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9120"/>
        <w:spacing w:after="0"/>
        <w:rPr>
          <w:sz w:val="20"/>
          <w:szCs w:val="20"/>
          <w:color w:val="auto"/>
        </w:rPr>
      </w:pPr>
      <w:r>
        <w:rPr>
          <w:rFonts w:ascii="Arial" w:cs="Arial" w:eastAsia="Arial" w:hAnsi="Arial"/>
          <w:sz w:val="16"/>
          <w:szCs w:val="16"/>
          <w:b w:val="1"/>
          <w:bCs w:val="1"/>
          <w:color w:val="auto"/>
        </w:rPr>
        <w:t>Filed Pursuant to Rule 497</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333-231271</w:t>
      </w:r>
    </w:p>
    <w:p>
      <w:pPr>
        <w:spacing w:after="0" w:line="135" w:lineRule="exact"/>
        <w:rPr>
          <w:sz w:val="24"/>
          <w:szCs w:val="24"/>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42"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(To Prospectus dated May 7, 2019)</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63500</wp:posOffset>
            </wp:positionV>
            <wp:extent cx="133794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3.875% Notes due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85725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7" w:lineRule="exact"/>
        <w:rPr>
          <w:sz w:val="24"/>
          <w:szCs w:val="24"/>
          <w:color w:val="auto"/>
        </w:rPr>
      </w:pPr>
    </w:p>
    <w:p>
      <w:pPr>
        <w:ind w:left="200" w:right="60" w:firstLine="441"/>
        <w:spacing w:after="0" w:line="248" w:lineRule="auto"/>
        <w:rPr>
          <w:sz w:val="20"/>
          <w:szCs w:val="20"/>
          <w:color w:val="auto"/>
        </w:rPr>
      </w:pPr>
      <w:r>
        <w:rPr>
          <w:rFonts w:ascii="Arial" w:cs="Arial" w:eastAsia="Arial" w:hAnsi="Arial"/>
          <w:sz w:val="13"/>
          <w:szCs w:val="13"/>
          <w:color w:val="auto"/>
        </w:rPr>
        <w:t>We are offering $50,000,000 in aggregate principal amount of 3.875% notes due 2024, which we refer to as the Reopened Notes. The Reopened Notes will be a further issuance of, be fungible with, rank equally in right of payment with and have the same terms (other than the issue date and the public offering price) as the $300 million aggregate principal amount of</w:t>
      </w:r>
    </w:p>
    <w:p>
      <w:pPr>
        <w:ind w:left="200" w:right="60"/>
        <w:spacing w:after="0" w:line="226" w:lineRule="auto"/>
        <w:rPr>
          <w:sz w:val="20"/>
          <w:szCs w:val="20"/>
          <w:color w:val="auto"/>
        </w:rPr>
      </w:pPr>
      <w:r>
        <w:rPr>
          <w:rFonts w:ascii="Arial" w:cs="Arial" w:eastAsia="Arial" w:hAnsi="Arial"/>
          <w:sz w:val="14"/>
          <w:szCs w:val="14"/>
          <w:color w:val="auto"/>
        </w:rPr>
        <w:t>3.875% Notes due 2024 issued by us in November 2019, which we refer to as the Original Notes and, together with the Reopened Notes, the Notes. The Reopened Notes offered hereby and the Original Notes will be treated as a single series for all purposes under the indenture (as defined herein), including, without limitation, waivers, amendments, consents, redemptions and other offers to purchase and voting. The outstanding aggregate principal amount of the series of Notes, after issuance of the Reopened Notes will be $350 million. The Notes will mature on November 1, 2024. We will pay interest on the Notes on May 1 and November 1 of each year, beginning on May 1, 2020. We may redeem the Notes in whole or in part at any time or 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7" w:lineRule="exact"/>
        <w:rPr>
          <w:sz w:val="24"/>
          <w:szCs w:val="24"/>
          <w:color w:val="auto"/>
        </w:rPr>
      </w:pPr>
    </w:p>
    <w:p>
      <w:pPr>
        <w:ind w:left="200" w:right="200" w:firstLine="441"/>
        <w:spacing w:after="0" w:line="251" w:lineRule="auto"/>
        <w:rPr>
          <w:sz w:val="20"/>
          <w:szCs w:val="20"/>
          <w:color w:val="auto"/>
        </w:rPr>
      </w:pPr>
      <w:r>
        <w:rPr>
          <w:rFonts w:ascii="Arial" w:cs="Arial" w:eastAsia="Arial" w:hAnsi="Arial"/>
          <w:sz w:val="14"/>
          <w:szCs w:val="14"/>
          <w:color w:val="auto"/>
        </w:rPr>
        <w:t>The Notes are our direct, general unsecured obligations and rank pari passu, or equal, with all existing and future unsecured unsubordinated indebtedness issued by us, but will rank senior to our future indebtedness that is expressly subordinated in right of payment to the Notes.</w:t>
      </w:r>
    </w:p>
    <w:p>
      <w:pPr>
        <w:spacing w:after="0" w:line="1" w:lineRule="exact"/>
        <w:rPr>
          <w:sz w:val="24"/>
          <w:szCs w:val="24"/>
          <w:color w:val="auto"/>
        </w:rPr>
      </w:pPr>
    </w:p>
    <w:p>
      <w:pPr>
        <w:jc w:val="both"/>
        <w:ind w:left="200" w:right="320" w:firstLine="441"/>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ind w:left="200" w:right="360" w:firstLine="441"/>
        <w:spacing w:after="0" w:line="243" w:lineRule="auto"/>
        <w:rPr>
          <w:sz w:val="20"/>
          <w:szCs w:val="20"/>
          <w:color w:val="auto"/>
        </w:rPr>
      </w:pPr>
      <w:r>
        <w:rPr>
          <w:rFonts w:ascii="Arial" w:cs="Arial" w:eastAsia="Arial" w:hAnsi="Arial"/>
          <w:sz w:val="14"/>
          <w:szCs w:val="14"/>
          <w:color w:val="auto"/>
        </w:rPr>
        <w:t>As of September 30, 2019, our investment portfolio consisted of investments in 55 portfolio companies with an aggregate fair value of $2,047.5 million. We intend to continue to pursue an investment strategy focused on direct origination of loans to middle-market companies principally domiciled in the United States.</w:t>
      </w:r>
    </w:p>
    <w:p>
      <w:pPr>
        <w:spacing w:after="0" w:line="5" w:lineRule="exact"/>
        <w:rPr>
          <w:sz w:val="24"/>
          <w:szCs w:val="24"/>
          <w:color w:val="auto"/>
        </w:rPr>
      </w:pPr>
    </w:p>
    <w:p>
      <w:pPr>
        <w:ind w:left="200" w:firstLine="441"/>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$33 billion of assets under management as of September 30, 2019. TPG Sixth Street Partners is a global finance and investment firm in a strategic partnership with TPG, the global alternative asset firm.</w:t>
      </w:r>
    </w:p>
    <w:p>
      <w:pPr>
        <w:spacing w:after="0" w:line="7" w:lineRule="exact"/>
        <w:rPr>
          <w:sz w:val="24"/>
          <w:szCs w:val="24"/>
          <w:color w:val="auto"/>
        </w:rPr>
      </w:pPr>
    </w:p>
    <w:p>
      <w:pPr>
        <w:ind w:left="200" w:right="20" w:firstLine="441"/>
        <w:spacing w:after="0" w:line="231"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2" w:lineRule="exact"/>
        <w:rPr>
          <w:sz w:val="24"/>
          <w:szCs w:val="24"/>
          <w:color w:val="auto"/>
        </w:rPr>
      </w:pPr>
    </w:p>
    <w:p>
      <w:pPr>
        <w:jc w:val="both"/>
        <w:ind w:left="200" w:right="60" w:firstLine="441"/>
        <w:spacing w:after="0" w:line="234"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60325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8" w:lineRule="exact"/>
        <w:rPr>
          <w:sz w:val="24"/>
          <w:szCs w:val="24"/>
          <w:color w:val="auto"/>
        </w:rPr>
      </w:pPr>
    </w:p>
    <w:p>
      <w:pPr>
        <w:ind w:left="200" w:right="360" w:firstLine="441"/>
        <w:spacing w:after="0" w:line="252"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the Notes involves risks, including the risk of leverage, that are described in the “</w:t>
      </w:r>
      <w:hyperlink w:anchor="page14">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section beginning on page S-11 of this prospectus supplement and page 23 of the accompanying prospectus and in the documents incorporated by reference herein and therein.</w:t>
      </w:r>
    </w:p>
    <w:p>
      <w:pPr>
        <w:spacing w:after="0" w:line="1" w:lineRule="exact"/>
        <w:rPr>
          <w:sz w:val="24"/>
          <w:szCs w:val="24"/>
          <w:color w:val="auto"/>
        </w:rPr>
      </w:pPr>
    </w:p>
    <w:p>
      <w:pPr>
        <w:ind w:left="200" w:right="120" w:firstLine="441"/>
        <w:spacing w:after="0" w:line="247" w:lineRule="auto"/>
        <w:rPr>
          <w:sz w:val="20"/>
          <w:szCs w:val="20"/>
          <w:color w:val="auto"/>
        </w:rPr>
      </w:pPr>
      <w:r>
        <w:rPr>
          <w:rFonts w:ascii="Arial" w:cs="Arial" w:eastAsia="Arial" w:hAnsi="Arial"/>
          <w:sz w:val="13"/>
          <w:szCs w:val="13"/>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31115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1" w:lineRule="exact"/>
        <w:rPr>
          <w:sz w:val="24"/>
          <w:szCs w:val="24"/>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Per Note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Public offering price(1)</w:t>
            </w:r>
          </w:p>
        </w:tc>
        <w:tc>
          <w:tcPr>
            <w:tcW w:w="22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vMerge w:val="continue"/>
            <w:shd w:val="clear" w:color="auto" w:fill="CCEEFF"/>
          </w:tcPr>
          <w:p>
            <w:pPr>
              <w:spacing w:after="0"/>
              <w:rPr>
                <w:sz w:val="12"/>
                <w:szCs w:val="12"/>
                <w:color w:val="auto"/>
              </w:rPr>
            </w:pPr>
          </w:p>
        </w:tc>
        <w:tc>
          <w:tcPr>
            <w:tcW w:w="2200" w:type="dxa"/>
            <w:vAlign w:val="bottom"/>
            <w:vMerge w:val="continue"/>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102.075%</w:t>
            </w:r>
          </w:p>
        </w:tc>
        <w:tc>
          <w:tcPr>
            <w:tcW w:w="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51,037,500.00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3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expenses(2)</w:t>
            </w:r>
          </w:p>
        </w:tc>
        <w:tc>
          <w:tcPr>
            <w:tcW w:w="3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101.075%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50,537,500.00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69" w:lineRule="exact"/>
        <w:rPr>
          <w:sz w:val="24"/>
          <w:szCs w:val="24"/>
          <w:color w:val="auto"/>
        </w:rPr>
      </w:pPr>
    </w:p>
    <w:p>
      <w:pPr>
        <w:jc w:val="both"/>
        <w:ind w:left="640" w:right="380" w:hanging="436"/>
        <w:spacing w:after="0" w:line="227"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of $505,902.78 in the aggregate from November 1, 2019 up to, but not including, the date of delivery, which will be paid by the purchasers of the Reopened Notes. On May 1, 2020, we will pay the pre-issuance accrued interest to the holders of the Reopened Notes as of the applicable record date along with the interest accrued on the Reopened Notes from the date of delivery to May 1, 2020.</w:t>
      </w:r>
    </w:p>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Before deducting expenses payable by us related to this offering, estimated at $0.4 million.</w:t>
      </w:r>
    </w:p>
    <w:p>
      <w:pPr>
        <w:spacing w:after="0" w:line="9" w:lineRule="exact"/>
        <w:rPr>
          <w:sz w:val="24"/>
          <w:szCs w:val="24"/>
          <w:color w:val="auto"/>
        </w:rPr>
      </w:pPr>
    </w:p>
    <w:p>
      <w:pPr>
        <w:ind w:left="200" w:right="1040" w:firstLine="441"/>
        <w:spacing w:after="0" w:line="243"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1" w:lineRule="exact"/>
        <w:rPr>
          <w:sz w:val="24"/>
          <w:szCs w:val="24"/>
          <w:color w:val="auto"/>
        </w:rPr>
      </w:pPr>
    </w:p>
    <w:p>
      <w:pPr>
        <w:ind w:left="200" w:right="320" w:firstLine="441"/>
        <w:spacing w:after="0" w:line="254"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4"/>
          <w:szCs w:val="24"/>
          <w:color w:val="auto"/>
        </w:rPr>
      </w:pPr>
    </w:p>
    <w:p>
      <w:pPr>
        <w:ind w:left="640"/>
        <w:spacing w:after="0"/>
        <w:rPr>
          <w:sz w:val="20"/>
          <w:szCs w:val="20"/>
          <w:color w:val="auto"/>
        </w:rPr>
      </w:pPr>
      <w:r>
        <w:rPr>
          <w:rFonts w:ascii="Arial" w:cs="Arial" w:eastAsia="Arial" w:hAnsi="Arial"/>
          <w:sz w:val="14"/>
          <w:szCs w:val="14"/>
          <w:color w:val="auto"/>
        </w:rPr>
        <w:t>Delivery of the Reopened Notes in book-entry form only through The Depository Trust Company will be made on or about February 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64135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6" w:lineRule="exact"/>
        <w:rPr>
          <w:sz w:val="24"/>
          <w:szCs w:val="24"/>
          <w:color w:val="auto"/>
        </w:rPr>
      </w:pPr>
    </w:p>
    <w:p>
      <w:pPr>
        <w:ind w:left="4780"/>
        <w:spacing w:after="0"/>
        <w:rPr>
          <w:sz w:val="20"/>
          <w:szCs w:val="20"/>
          <w:color w:val="auto"/>
        </w:rPr>
      </w:pPr>
      <w:r>
        <w:rPr>
          <w:rFonts w:ascii="Arial" w:cs="Arial" w:eastAsia="Arial" w:hAnsi="Arial"/>
          <w:sz w:val="14"/>
          <w:szCs w:val="14"/>
          <w:b w:val="1"/>
          <w:bCs w:val="1"/>
          <w:i w:val="1"/>
          <w:iCs w:val="1"/>
          <w:color w:val="auto"/>
        </w:rPr>
        <w:t>Joint Book-Running Managers</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BofA Securities</w:t>
      </w:r>
    </w:p>
    <w:p>
      <w:pPr>
        <w:sectPr>
          <w:pgSz w:w="11900" w:h="16838" w:orient="portrait"/>
          <w:cols w:equalWidth="0" w:num="1">
            <w:col w:w="11220"/>
          </w:cols>
          <w:pgMar w:left="240" w:top="230" w:right="439" w:bottom="1440" w:gutter="0" w:footer="0" w:header="0"/>
        </w:sectPr>
      </w:pPr>
    </w:p>
    <w:p>
      <w:pPr>
        <w:spacing w:after="0" w:line="50"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Citigroup</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SunTrust Robinson Humphrey</w:t>
      </w:r>
    </w:p>
    <w:p>
      <w:pPr>
        <w:spacing w:after="0" w:line="73" w:lineRule="exact"/>
        <w:rPr>
          <w:sz w:val="24"/>
          <w:szCs w:val="24"/>
          <w:color w:val="auto"/>
        </w:rPr>
      </w:pPr>
    </w:p>
    <w:p>
      <w:pPr>
        <w:sectPr>
          <w:pgSz w:w="11900" w:h="16838" w:orient="portrait"/>
          <w:cols w:equalWidth="0" w:num="3">
            <w:col w:w="4680" w:space="720"/>
            <w:col w:w="2220" w:space="720"/>
            <w:col w:w="2880"/>
          </w:cols>
          <w:pgMar w:left="240" w:top="230" w:right="43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Mizuho</w:t>
      </w:r>
    </w:p>
    <w:p>
      <w:pPr>
        <w:spacing w:after="0" w:line="20" w:lineRule="exact"/>
        <w:rPr>
          <w:sz w:val="24"/>
          <w:szCs w:val="24"/>
          <w:color w:val="auto"/>
        </w:rPr>
      </w:pPr>
      <w:r>
        <w:rPr>
          <w:sz w:val="24"/>
          <w:szCs w:val="24"/>
          <w:color w:val="auto"/>
        </w:rPr>
        <w:br w:type="column"/>
      </w:r>
    </w:p>
    <w:p>
      <w:pPr>
        <w:jc w:val="center"/>
        <w:ind w:right="240"/>
        <w:spacing w:after="0"/>
        <w:rPr>
          <w:sz w:val="20"/>
          <w:szCs w:val="20"/>
          <w:color w:val="auto"/>
        </w:rPr>
      </w:pPr>
      <w:r>
        <w:rPr>
          <w:rFonts w:ascii="Arial" w:cs="Arial" w:eastAsia="Arial" w:hAnsi="Arial"/>
          <w:sz w:val="16"/>
          <w:szCs w:val="16"/>
          <w:b w:val="1"/>
          <w:bCs w:val="1"/>
          <w:color w:val="auto"/>
        </w:rPr>
        <w:t>Goldman Sachs &amp;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Morgan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RBC Capital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SMBC Nikko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MUFG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HSBC</w:t>
      </w:r>
    </w:p>
    <w:p>
      <w:pPr>
        <w:spacing w:after="0" w:line="49" w:lineRule="exact"/>
        <w:rPr>
          <w:sz w:val="24"/>
          <w:szCs w:val="24"/>
          <w:color w:val="auto"/>
        </w:rPr>
      </w:pPr>
    </w:p>
    <w:p>
      <w:pPr>
        <w:sectPr>
          <w:pgSz w:w="11900" w:h="16838" w:orient="portrait"/>
          <w:cols w:equalWidth="0" w:num="7">
            <w:col w:w="1020" w:space="720"/>
            <w:col w:w="1640" w:space="720"/>
            <w:col w:w="620" w:space="660"/>
            <w:col w:w="1120" w:space="720"/>
            <w:col w:w="1500" w:space="720"/>
            <w:col w:w="580" w:space="720"/>
            <w:col w:w="480"/>
          </w:cols>
          <w:pgMar w:left="240" w:top="230" w:right="43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Co. LLC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Stanley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Markets</w:t>
      </w:r>
    </w:p>
    <w:p>
      <w:pPr>
        <w:spacing w:after="0" w:line="53" w:lineRule="exact"/>
        <w:rPr>
          <w:sz w:val="24"/>
          <w:szCs w:val="24"/>
          <w:color w:val="auto"/>
        </w:rPr>
      </w:pPr>
    </w:p>
    <w:p>
      <w:pPr>
        <w:sectPr>
          <w:pgSz w:w="11900" w:h="16838" w:orient="portrait"/>
          <w:cols w:equalWidth="0" w:num="4">
            <w:col w:w="1380" w:space="720"/>
            <w:col w:w="1300" w:space="720"/>
            <w:col w:w="720" w:space="720"/>
            <w:col w:w="5660"/>
          </w:cols>
          <w:pgMar w:left="240" w:top="230" w:right="439" w:bottom="1440" w:gutter="0" w:footer="0" w:header="0"/>
          <w:type w:val="continuous"/>
        </w:sectPr>
      </w:pPr>
    </w:p>
    <w:p>
      <w:pPr>
        <w:jc w:val="center"/>
        <w:ind w:right="-199"/>
        <w:spacing w:after="0"/>
        <w:rPr>
          <w:sz w:val="20"/>
          <w:szCs w:val="20"/>
          <w:color w:val="auto"/>
        </w:rPr>
      </w:pPr>
      <w:r>
        <w:rPr>
          <w:rFonts w:ascii="Arial" w:cs="Arial" w:eastAsia="Arial" w:hAnsi="Arial"/>
          <w:sz w:val="12"/>
          <w:szCs w:val="12"/>
          <w:b w:val="1"/>
          <w:bCs w:val="1"/>
          <w:i w:val="1"/>
          <w:iCs w:val="1"/>
          <w:color w:val="auto"/>
        </w:rPr>
        <w:t>Co-Managers</w:t>
      </w:r>
    </w:p>
    <w:p>
      <w:pPr>
        <w:sectPr>
          <w:pgSz w:w="11900" w:h="16838" w:orient="portrait"/>
          <w:cols w:equalWidth="0" w:num="1">
            <w:col w:w="11220"/>
          </w:cols>
          <w:pgMar w:left="240" w:top="230" w:right="439" w:bottom="1440" w:gutter="0" w:footer="0" w:header="0"/>
          <w:type w:val="continuous"/>
        </w:sectPr>
      </w:pPr>
    </w:p>
    <w:p>
      <w:pPr>
        <w:spacing w:after="0" w:line="47" w:lineRule="exact"/>
        <w:rPr>
          <w:sz w:val="24"/>
          <w:szCs w:val="24"/>
          <w:color w:val="auto"/>
        </w:rPr>
      </w:pPr>
    </w:p>
    <w:p>
      <w:pPr>
        <w:jc w:val="center"/>
        <w:ind w:left="260"/>
        <w:spacing w:after="0"/>
        <w:rPr>
          <w:sz w:val="20"/>
          <w:szCs w:val="20"/>
          <w:color w:val="auto"/>
        </w:rPr>
      </w:pPr>
      <w:r>
        <w:rPr>
          <w:rFonts w:ascii="Arial" w:cs="Arial" w:eastAsia="Arial" w:hAnsi="Arial"/>
          <w:sz w:val="14"/>
          <w:szCs w:val="14"/>
          <w:b w:val="1"/>
          <w:bCs w:val="1"/>
          <w:color w:val="auto"/>
        </w:rPr>
        <w:t>ICBC</w:t>
      </w:r>
    </w:p>
    <w:p>
      <w:pPr>
        <w:spacing w:after="0" w:line="4" w:lineRule="exact"/>
        <w:rPr>
          <w:sz w:val="24"/>
          <w:szCs w:val="24"/>
          <w:color w:val="auto"/>
        </w:rPr>
      </w:pPr>
    </w:p>
    <w:p>
      <w:pPr>
        <w:jc w:val="center"/>
        <w:ind w:left="260"/>
        <w:spacing w:after="0"/>
        <w:rPr>
          <w:sz w:val="20"/>
          <w:szCs w:val="20"/>
          <w:color w:val="auto"/>
        </w:rPr>
      </w:pPr>
      <w:r>
        <w:rPr>
          <w:rFonts w:ascii="Arial" w:cs="Arial" w:eastAsia="Arial" w:hAnsi="Arial"/>
          <w:sz w:val="13"/>
          <w:szCs w:val="13"/>
          <w:b w:val="1"/>
          <w:bCs w:val="1"/>
          <w:color w:val="auto"/>
        </w:rPr>
        <w:t>Standard</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ind w:hanging="215"/>
        <w:spacing w:after="0" w:line="268" w:lineRule="auto"/>
        <w:rPr>
          <w:sz w:val="20"/>
          <w:szCs w:val="20"/>
          <w:color w:val="auto"/>
        </w:rPr>
      </w:pPr>
      <w:r>
        <w:rPr>
          <w:rFonts w:ascii="Arial" w:cs="Arial" w:eastAsia="Arial" w:hAnsi="Arial"/>
          <w:sz w:val="13"/>
          <w:szCs w:val="13"/>
          <w:b w:val="1"/>
          <w:bCs w:val="1"/>
          <w:color w:val="auto"/>
        </w:rPr>
        <w:t xml:space="preserve">Keefe, Bruyette &amp; Woods </w:t>
      </w:r>
      <w:r>
        <w:rPr>
          <w:rFonts w:ascii="Arial" w:cs="Arial" w:eastAsia="Arial" w:hAnsi="Arial"/>
          <w:sz w:val="13"/>
          <w:szCs w:val="13"/>
          <w:b w:val="1"/>
          <w:bCs w:val="1"/>
          <w:i w:val="1"/>
          <w:iCs w:val="1"/>
          <w:color w:val="auto"/>
        </w:rPr>
        <w:t>A Stifel Company</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JMP Securities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Raymond James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Wells Fargo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Janney</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Montgomery Scott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jc w:val="right"/>
        <w:spacing w:after="0" w:line="249" w:lineRule="auto"/>
        <w:rPr>
          <w:sz w:val="20"/>
          <w:szCs w:val="20"/>
          <w:color w:val="auto"/>
        </w:rPr>
      </w:pPr>
      <w:r>
        <w:rPr>
          <w:rFonts w:ascii="Arial" w:cs="Arial" w:eastAsia="Arial" w:hAnsi="Arial"/>
          <w:sz w:val="14"/>
          <w:szCs w:val="14"/>
          <w:b w:val="1"/>
          <w:bCs w:val="1"/>
          <w:color w:val="auto"/>
        </w:rPr>
        <w:t>Santander    Comerica Securities</w:t>
      </w:r>
    </w:p>
    <w:p>
      <w:pPr>
        <w:spacing w:after="0" w:line="1" w:lineRule="exact"/>
        <w:rPr>
          <w:sz w:val="24"/>
          <w:szCs w:val="24"/>
          <w:color w:val="auto"/>
        </w:rPr>
      </w:pPr>
    </w:p>
    <w:p>
      <w:pPr>
        <w:sectPr>
          <w:pgSz w:w="11900" w:h="16838" w:orient="portrait"/>
          <w:cols w:equalWidth="0" w:num="7">
            <w:col w:w="960" w:space="720"/>
            <w:col w:w="1340" w:space="700"/>
            <w:col w:w="920" w:space="660"/>
            <w:col w:w="1020" w:space="660"/>
            <w:col w:w="740" w:space="420"/>
            <w:col w:w="1140" w:space="380"/>
            <w:col w:w="1560"/>
          </w:cols>
          <w:pgMar w:left="240" w:top="230" w:right="439" w:bottom="1440" w:gutter="0" w:footer="0" w:header="0"/>
          <w:type w:val="continuous"/>
        </w:sectPr>
      </w:pPr>
    </w:p>
    <w:p>
      <w:pPr>
        <w:ind w:left="460"/>
        <w:spacing w:after="0"/>
        <w:rPr>
          <w:sz w:val="20"/>
          <w:szCs w:val="20"/>
          <w:color w:val="auto"/>
        </w:rPr>
      </w:pPr>
      <w:r>
        <w:rPr>
          <w:rFonts w:ascii="Arial" w:cs="Arial" w:eastAsia="Arial" w:hAnsi="Arial"/>
          <w:sz w:val="13"/>
          <w:szCs w:val="13"/>
          <w:b w:val="1"/>
          <w:bCs w:val="1"/>
          <w:color w:val="auto"/>
        </w:rPr>
        <w:t>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59055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p>
      <w:pPr>
        <w:spacing w:after="0" w:line="111" w:lineRule="exact"/>
        <w:rPr>
          <w:sz w:val="24"/>
          <w:szCs w:val="24"/>
          <w:color w:val="auto"/>
        </w:rPr>
      </w:pPr>
    </w:p>
    <w:p>
      <w:pPr>
        <w:jc w:val="center"/>
        <w:ind w:right="-199"/>
        <w:spacing w:after="0"/>
        <w:rPr>
          <w:sz w:val="20"/>
          <w:szCs w:val="20"/>
          <w:color w:val="auto"/>
        </w:rPr>
      </w:pPr>
      <w:r>
        <w:rPr>
          <w:rFonts w:ascii="Arial" w:cs="Arial" w:eastAsia="Arial" w:hAnsi="Arial"/>
          <w:sz w:val="12"/>
          <w:szCs w:val="12"/>
          <w:b w:val="1"/>
          <w:bCs w:val="1"/>
          <w:color w:val="auto"/>
        </w:rPr>
        <w:t>The date of this prospectus supplement is January 29, 2020.</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INFORMATION INCORPORATED BY REFERENCE</w:t>
              </w:r>
            </w:hyperlink>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580" w:type="dxa"/>
            <w:vAlign w:val="bottom"/>
            <w:gridSpan w:val="19"/>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SPECIAL NOTE REGARDING FORWARD-LOOKING STATEMENTS</w:t>
              </w:r>
            </w:hyperlink>
          </w:p>
        </w:tc>
        <w:tc>
          <w:tcPr>
            <w:tcW w:w="5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THE COMPANY</w:t>
              </w:r>
            </w:hyperlink>
          </w:p>
        </w:tc>
        <w:tc>
          <w:tcPr>
            <w:tcW w:w="9280" w:type="dxa"/>
            <w:vAlign w:val="bottom"/>
            <w:gridSpan w:val="16"/>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SPECIFIC TERMS OF THE NOTES AND THE OFFERING</w:t>
              </w:r>
            </w:hyperlink>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RISK FACTORS</w:t>
              </w:r>
            </w:hyperlink>
          </w:p>
        </w:tc>
        <w:tc>
          <w:tcPr>
            <w:tcW w:w="3200" w:type="dxa"/>
            <w:vAlign w:val="bottom"/>
            <w:tcBorders>
              <w:top w:val="single" w:sz="8" w:color="0000EE"/>
            </w:tcBorders>
            <w:gridSpan w:val="12"/>
          </w:tcPr>
          <w:p>
            <w:pPr>
              <w:spacing w:after="0"/>
              <w:rPr>
                <w:sz w:val="17"/>
                <w:szCs w:val="17"/>
                <w:color w:val="auto"/>
              </w:rPr>
            </w:pPr>
          </w:p>
        </w:tc>
        <w:tc>
          <w:tcPr>
            <w:tcW w:w="6120" w:type="dxa"/>
            <w:vAlign w:val="bottom"/>
            <w:gridSpan w:val="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SENIOR SECURITIES</w:t>
              </w:r>
            </w:hyperlink>
          </w:p>
        </w:tc>
        <w:tc>
          <w:tcPr>
            <w:tcW w:w="8860" w:type="dxa"/>
            <w:vAlign w:val="bottom"/>
            <w:gridSpan w:val="1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CAPITALIZATION</w:t>
              </w:r>
            </w:hyperlink>
          </w:p>
        </w:tc>
        <w:tc>
          <w:tcPr>
            <w:tcW w:w="9120" w:type="dxa"/>
            <w:vAlign w:val="bottom"/>
            <w:gridSpan w:val="1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892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MANAGEMENT’S DISCUSSION AND ANALYSIS OF FINANCIAL CONDITION AND RESULTS OF OPERATIONS</w:t>
              </w:r>
            </w:hyperlink>
          </w:p>
        </w:tc>
        <w:tc>
          <w:tcPr>
            <w:tcW w:w="1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DESCRIPTION OF NOTES</w:t>
              </w:r>
            </w:hyperlink>
          </w:p>
        </w:tc>
        <w:tc>
          <w:tcPr>
            <w:tcW w:w="850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MATERIAL U.S. FEDERAL INCOME TAX CONSIDERATIONS</w:t>
              </w:r>
            </w:hyperlink>
          </w:p>
        </w:tc>
        <w:tc>
          <w:tcPr>
            <w:tcW w:w="570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S-34</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UNDERWRITING</w:t>
              </w:r>
            </w:hyperlink>
          </w:p>
        </w:tc>
        <w:tc>
          <w:tcPr>
            <w:tcW w:w="9180" w:type="dxa"/>
            <w:vAlign w:val="bottom"/>
            <w:gridSpan w:val="1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S-38</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S-45</w:t>
            </w:r>
          </w:p>
        </w:tc>
        <w:tc>
          <w:tcPr>
            <w:tcW w:w="0" w:type="dxa"/>
            <w:vAlign w:val="bottom"/>
          </w:tcPr>
          <w:p>
            <w:pPr>
              <w:spacing w:after="0"/>
              <w:rPr>
                <w:sz w:val="1"/>
                <w:szCs w:val="1"/>
                <w:color w:val="auto"/>
              </w:rPr>
            </w:pPr>
          </w:p>
        </w:tc>
      </w:tr>
      <w:tr>
        <w:trPr>
          <w:trHeight w:val="453"/>
        </w:trPr>
        <w:tc>
          <w:tcPr>
            <w:tcW w:w="9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3"/>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20" w:type="dxa"/>
            <w:vAlign w:val="bottom"/>
            <w:gridSpan w:val="5"/>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40" w:type="dxa"/>
            <w:vAlign w:val="bottom"/>
            <w:gridSpan w:val="11"/>
            <w:vMerge w:val="restart"/>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ABOUT THIS PROSPECTUS</w:t>
              </w:r>
            </w:hyperlink>
          </w:p>
        </w:tc>
        <w:tc>
          <w:tcPr>
            <w:tcW w:w="8340" w:type="dxa"/>
            <w:vAlign w:val="bottom"/>
            <w:gridSpan w:val="8"/>
            <w:vMerge w:val="restart"/>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40" w:type="dxa"/>
            <w:vAlign w:val="bottom"/>
            <w:tcBorders>
              <w:bottom w:val="single" w:sz="8" w:color="0000EE"/>
            </w:tcBorders>
            <w:gridSpan w:val="11"/>
            <w:vMerge w:val="continue"/>
          </w:tcPr>
          <w:p>
            <w:pPr>
              <w:spacing w:after="0"/>
              <w:rPr>
                <w:sz w:val="13"/>
                <w:szCs w:val="13"/>
                <w:color w:val="auto"/>
              </w:rPr>
            </w:pPr>
          </w:p>
        </w:tc>
        <w:tc>
          <w:tcPr>
            <w:tcW w:w="8340" w:type="dxa"/>
            <w:vAlign w:val="bottom"/>
            <w:gridSpan w:val="8"/>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r>
        <w:trPr>
          <w:trHeight w:val="210"/>
        </w:trPr>
        <w:tc>
          <w:tcPr>
            <w:tcW w:w="1058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SUMMARY</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THE OFFERING</w:t>
              </w:r>
            </w:hyperlink>
          </w:p>
        </w:tc>
        <w:tc>
          <w:tcPr>
            <w:tcW w:w="9280" w:type="dxa"/>
            <w:vAlign w:val="bottom"/>
            <w:gridSpan w:val="1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FEES AND EXPENSES</w:t>
              </w:r>
            </w:hyperlink>
          </w:p>
        </w:tc>
        <w:tc>
          <w:tcPr>
            <w:tcW w:w="8780" w:type="dxa"/>
            <w:vAlign w:val="bottom"/>
            <w:gridSpan w:val="11"/>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SELECTED FINANCIAL DATA AND OTHER INFORMATION</w:t>
              </w:r>
            </w:hyperlink>
          </w:p>
        </w:tc>
        <w:tc>
          <w:tcPr>
            <w:tcW w:w="5780" w:type="dxa"/>
            <w:vAlign w:val="bottom"/>
            <w:gridSpan w:val="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SELECTED QUARTERLY FINANCIAL DATA</w:t>
              </w:r>
            </w:hyperlink>
          </w:p>
        </w:tc>
        <w:tc>
          <w:tcPr>
            <w:tcW w:w="7040" w:type="dxa"/>
            <w:vAlign w:val="bottom"/>
            <w:gridSpan w:val="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RISK FACTORS</w:t>
              </w:r>
            </w:hyperlink>
          </w:p>
        </w:tc>
        <w:tc>
          <w:tcPr>
            <w:tcW w:w="9320" w:type="dxa"/>
            <w:vAlign w:val="bottom"/>
            <w:gridSpan w:val="1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SPECIAL NOTE REGARDING FORWARD-LOOKING STATEMENTS</w:t>
              </w:r>
            </w:hyperlink>
          </w:p>
        </w:tc>
        <w:tc>
          <w:tcPr>
            <w:tcW w:w="5240" w:type="dxa"/>
            <w:vAlign w:val="bottom"/>
            <w:gridSpan w:val="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USE OF PROCEEDS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PRICE RANGE OF COMMON STOCK AND DISTRIBUTIONS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740" w:type="dxa"/>
            <w:vAlign w:val="bottom"/>
            <w:gridSpan w:val="6"/>
            <w:shd w:val="clear" w:color="auto" w:fill="0000EE"/>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MANAGEMENT’S DISCUSSION AND ANALYSIS OF FINANCIAL CONDITION AND RESULTS OF OPERATIONS</w:t>
              </w:r>
            </w:hyperlink>
          </w:p>
        </w:tc>
        <w:tc>
          <w:tcPr>
            <w:tcW w:w="1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SENIOR SECURITIES</w:t>
              </w:r>
            </w:hyperlink>
          </w:p>
        </w:tc>
        <w:tc>
          <w:tcPr>
            <w:tcW w:w="8860" w:type="dxa"/>
            <w:vAlign w:val="bottom"/>
            <w:gridSpan w:val="1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THE COMPANY</w:t>
              </w:r>
            </w:hyperlink>
          </w:p>
        </w:tc>
        <w:tc>
          <w:tcPr>
            <w:tcW w:w="9280" w:type="dxa"/>
            <w:vAlign w:val="bottom"/>
            <w:gridSpan w:val="1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PORTFOLIO COMPANIES</w:t>
              </w:r>
            </w:hyperlink>
          </w:p>
        </w:tc>
        <w:tc>
          <w:tcPr>
            <w:tcW w:w="8520" w:type="dxa"/>
            <w:vAlign w:val="bottom"/>
            <w:gridSpan w:val="1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MANAGEMENT</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640" w:type="dxa"/>
            <w:vAlign w:val="bottom"/>
            <w:gridSpan w:val="14"/>
            <w:vMerge w:val="restart"/>
          </w:tcPr>
          <w:p>
            <w:pPr>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MANAGEMENT AND OTHER AGREEMENTS</w:t>
              </w:r>
            </w:hyperlink>
          </w:p>
        </w:tc>
        <w:tc>
          <w:tcPr>
            <w:tcW w:w="4820" w:type="dxa"/>
            <w:vAlign w:val="bottom"/>
            <w:gridSpan w:val="9"/>
            <w:vMerge w:val="restart"/>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640" w:type="dxa"/>
            <w:vAlign w:val="bottom"/>
            <w:tcBorders>
              <w:bottom w:val="single" w:sz="8" w:color="0000EE"/>
            </w:tcBorders>
            <w:gridSpan w:val="14"/>
            <w:vMerge w:val="continue"/>
          </w:tcPr>
          <w:p>
            <w:pPr>
              <w:spacing w:after="0"/>
              <w:rPr>
                <w:sz w:val="13"/>
                <w:szCs w:val="13"/>
                <w:color w:val="auto"/>
              </w:rPr>
            </w:pPr>
          </w:p>
        </w:tc>
        <w:tc>
          <w:tcPr>
            <w:tcW w:w="4820" w:type="dxa"/>
            <w:vAlign w:val="bottom"/>
            <w:gridSpan w:val="9"/>
            <w:vMerge w:val="continue"/>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94">
              <w:r>
                <w:rPr>
                  <w:rFonts w:ascii="Arial" w:cs="Arial" w:eastAsia="Arial" w:hAnsi="Arial"/>
                  <w:sz w:val="18"/>
                  <w:szCs w:val="18"/>
                  <w:color w:val="0000EE"/>
                  <w:w w:val="95"/>
                </w:rPr>
                <w:t>RELATED-PARTY TRANSACTIONS AND CERTAIN RELATIONSHIPS</w:t>
              </w:r>
            </w:hyperlink>
          </w:p>
        </w:tc>
        <w:tc>
          <w:tcPr>
            <w:tcW w:w="2960" w:type="dxa"/>
            <w:vAlign w:val="bottom"/>
            <w:gridSpan w:val="2"/>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CONTROL PERSONS AND PRINCIPAL STOCKHOLDERS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w:anchor="page95">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3920" w:type="dxa"/>
            <w:vAlign w:val="bottom"/>
            <w:gridSpan w:val="5"/>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SALES OF COMMON STOCK BELOW NET ASSET VALUE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DIVIDEND REINVESTMENT PLAN</w:t>
              </w:r>
            </w:hyperlink>
          </w:p>
        </w:tc>
        <w:tc>
          <w:tcPr>
            <w:tcW w:w="3820" w:type="dxa"/>
            <w:vAlign w:val="bottom"/>
            <w:gridSpan w:val="4"/>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MATERIAL U.S. FEDERAL INCOME TAX CONSIDERATIONS</w:t>
              </w:r>
            </w:hyperlink>
          </w:p>
        </w:tc>
        <w:tc>
          <w:tcPr>
            <w:tcW w:w="3580" w:type="dxa"/>
            <w:vAlign w:val="bottom"/>
            <w:gridSpan w:val="3"/>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DESCRIPTION OF OUR SECURITIES</w:t>
              </w:r>
            </w:hyperlink>
          </w:p>
        </w:tc>
        <w:tc>
          <w:tcPr>
            <w:tcW w:w="5520" w:type="dxa"/>
            <w:vAlign w:val="bottom"/>
            <w:gridSpan w:val="15"/>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DESCRIPTION OF OUR CAPITAL STOCK</w:t>
              </w:r>
            </w:hyperlink>
          </w:p>
        </w:tc>
        <w:tc>
          <w:tcPr>
            <w:tcW w:w="5160" w:type="dxa"/>
            <w:vAlign w:val="bottom"/>
            <w:gridSpan w:val="13"/>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DESCRIPTION OF OUR PREFERRED STOCK</w:t>
              </w:r>
            </w:hyperlink>
          </w:p>
        </w:tc>
        <w:tc>
          <w:tcPr>
            <w:tcW w:w="4880" w:type="dxa"/>
            <w:vAlign w:val="bottom"/>
            <w:gridSpan w:val="10"/>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DESCRIPTION OF OUR SUBSCRIPTION RIGHTS</w:t>
              </w:r>
            </w:hyperlink>
          </w:p>
        </w:tc>
        <w:tc>
          <w:tcPr>
            <w:tcW w:w="4560" w:type="dxa"/>
            <w:vAlign w:val="bottom"/>
            <w:gridSpan w:val="8"/>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DESCRIPTION OF OUR WARRANTS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DESCRIPTION OF OUR DEBT SECURITIES</w:t>
              </w:r>
            </w:hyperlink>
          </w:p>
        </w:tc>
        <w:tc>
          <w:tcPr>
            <w:tcW w:w="5000" w:type="dxa"/>
            <w:vAlign w:val="bottom"/>
            <w:gridSpan w:val="11"/>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SHARES ELIGIBLE FOR FUTURE SALE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REGULATION</w:t>
              </w:r>
            </w:hyperlink>
          </w:p>
        </w:tc>
        <w:tc>
          <w:tcPr>
            <w:tcW w:w="5280" w:type="dxa"/>
            <w:vAlign w:val="bottom"/>
            <w:gridSpan w:val="14"/>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CUSTODIAN, TRANSFER AND DIVIDEND PAYING AGENT AND REGISTRAR</w:t>
              </w:r>
            </w:hyperlink>
          </w:p>
        </w:tc>
        <w:tc>
          <w:tcPr>
            <w:tcW w:w="2220" w:type="dxa"/>
            <w:vAlign w:val="bottom"/>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BROKERAGE ALLOCATION AND OTHER PRACTICES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3"/>
          </w:tcPr>
          <w:p>
            <w:pPr>
              <w:spacing w:after="0"/>
              <w:rPr>
                <w:sz w:val="17"/>
                <w:szCs w:val="17"/>
                <w:color w:val="auto"/>
              </w:rPr>
            </w:pPr>
          </w:p>
        </w:tc>
        <w:tc>
          <w:tcPr>
            <w:tcW w:w="4080" w:type="dxa"/>
            <w:vAlign w:val="bottom"/>
            <w:gridSpan w:val="6"/>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LEGAL MATTERS</w:t>
              </w:r>
            </w:hyperlink>
          </w:p>
        </w:tc>
        <w:tc>
          <w:tcPr>
            <w:tcW w:w="7000" w:type="dxa"/>
            <w:vAlign w:val="bottom"/>
            <w:gridSpan w:val="20"/>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EXPERTS</w:t>
              </w:r>
            </w:hyperlink>
          </w:p>
        </w:tc>
        <w:tc>
          <w:tcPr>
            <w:tcW w:w="7680" w:type="dxa"/>
            <w:vAlign w:val="bottom"/>
            <w:gridSpan w:val="22"/>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41">
              <w:r>
                <w:rPr>
                  <w:rFonts w:ascii="Arial" w:cs="Arial" w:eastAsia="Arial" w:hAnsi="Arial"/>
                  <w:sz w:val="18"/>
                  <w:szCs w:val="18"/>
                  <w:color w:val="0000EE"/>
                  <w:w w:val="99"/>
                </w:rPr>
                <w:t>AVAILABLE INFORMATION</w:t>
              </w:r>
            </w:hyperlink>
          </w:p>
        </w:tc>
        <w:tc>
          <w:tcPr>
            <w:tcW w:w="6180" w:type="dxa"/>
            <w:vAlign w:val="bottom"/>
            <w:gridSpan w:val="18"/>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INFORMATION INCORPORATED BY REFERENCE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5" w:lineRule="exact"/>
        <w:rPr>
          <w:sz w:val="20"/>
          <w:szCs w:val="20"/>
          <w:color w:val="auto"/>
        </w:rPr>
      </w:pPr>
    </w:p>
    <w:p>
      <w:pPr>
        <w:ind w:left="1180" w:hanging="436"/>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2018, filed with the SEC on February 20, 2019 (the “2018 Annual Report”), including the information specifically incorporated by reference into the Form 10-K from our Definitive Proxy Statement on </w:t>
      </w:r>
      <w:hyperlink r:id="rId1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to our 2019 Annual Meeting of Stockholders, filed with the SEC on April 5, 2019;</w:t>
      </w:r>
    </w:p>
    <w:p>
      <w:pPr>
        <w:spacing w:after="0" w:line="86" w:lineRule="exact"/>
        <w:rPr>
          <w:rFonts w:ascii="Arial" w:cs="Arial" w:eastAsia="Arial" w:hAnsi="Arial"/>
          <w:sz w:val="18"/>
          <w:szCs w:val="18"/>
          <w:color w:val="auto"/>
        </w:rPr>
      </w:pPr>
    </w:p>
    <w:p>
      <w:pPr>
        <w:ind w:left="1180" w:right="140" w:hanging="436"/>
        <w:spacing w:after="0" w:line="286" w:lineRule="auto"/>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for the three months ended March 31, 2019, filed with the SEC on </w:t>
      </w:r>
      <w:hyperlink r:id="rId20">
        <w:r>
          <w:rPr>
            <w:rFonts w:ascii="Arial" w:cs="Arial" w:eastAsia="Arial" w:hAnsi="Arial"/>
            <w:sz w:val="17"/>
            <w:szCs w:val="17"/>
            <w:u w:val="single" w:color="auto"/>
            <w:color w:val="0000EE"/>
          </w:rPr>
          <w:t>May 2,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(the “2019 Q1 Quarterly Report”), the three months ended June 30, 2019, filed with the SEC on </w:t>
      </w:r>
      <w:hyperlink r:id="rId21">
        <w:r>
          <w:rPr>
            <w:rFonts w:ascii="Arial" w:cs="Arial" w:eastAsia="Arial" w:hAnsi="Arial"/>
            <w:sz w:val="17"/>
            <w:szCs w:val="17"/>
            <w:u w:val="single" w:color="auto"/>
            <w:color w:val="0000EE"/>
          </w:rPr>
          <w:t>July 31,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(the “2019 Q2 Quarterly Report”) and the three months ended September 30, 2019, filed with the SEC on </w:t>
      </w:r>
      <w:hyperlink r:id="rId22">
        <w:r>
          <w:rPr>
            <w:rFonts w:ascii="Arial" w:cs="Arial" w:eastAsia="Arial" w:hAnsi="Arial"/>
            <w:sz w:val="17"/>
            <w:szCs w:val="17"/>
            <w:u w:val="single" w:color="auto"/>
            <w:color w:val="0000EE"/>
          </w:rPr>
          <w:t>November 5,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(the “2019 Q3 Quarterly Report”); and</w:t>
      </w:r>
    </w:p>
    <w:p>
      <w:pPr>
        <w:spacing w:after="0" w:line="70" w:lineRule="exact"/>
        <w:rPr>
          <w:rFonts w:ascii="Arial" w:cs="Arial" w:eastAsia="Arial" w:hAnsi="Arial"/>
          <w:sz w:val="17"/>
          <w:szCs w:val="17"/>
          <w:color w:val="auto"/>
        </w:rPr>
      </w:pPr>
    </w:p>
    <w:p>
      <w:pPr>
        <w:ind w:left="1180" w:right="300" w:hanging="436"/>
        <w:spacing w:after="0" w:line="277" w:lineRule="auto"/>
        <w:tabs>
          <w:tab w:leader="none" w:pos="1180" w:val="left"/>
        </w:tabs>
        <w:numPr>
          <w:ilvl w:val="0"/>
          <w:numId w:val="2"/>
        </w:numPr>
        <w:rPr>
          <w:rFonts w:ascii="Arial" w:cs="Arial" w:eastAsia="Arial" w:hAnsi="Arial"/>
          <w:sz w:val="18"/>
          <w:szCs w:val="18"/>
          <w:color w:val="0000EE"/>
        </w:rPr>
      </w:pPr>
      <w:hyperlink r:id="rId23">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16,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14,</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 xml:space="preserve">September 13, 2019 </w:t>
        </w:r>
      </w:hyperlink>
      <w:hyperlink r:id="rId23">
        <w:r>
          <w:rPr>
            <w:rFonts w:ascii="Arial" w:cs="Arial" w:eastAsia="Arial" w:hAnsi="Arial"/>
            <w:sz w:val="18"/>
            <w:szCs w:val="18"/>
            <w:color w:val="000000"/>
          </w:rPr>
          <w:t>(Item 5.02 only),</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 xml:space="preserve">October 31, 2019 </w:t>
        </w:r>
      </w:hyperlink>
      <w:hyperlink r:id="rId2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6">
        <w:r>
          <w:rPr>
            <w:rFonts w:ascii="Arial" w:cs="Arial" w:eastAsia="Arial" w:hAnsi="Arial"/>
            <w:sz w:val="18"/>
            <w:szCs w:val="18"/>
            <w:u w:val="single" w:color="auto"/>
            <w:color w:val="0000EE"/>
          </w:rPr>
          <w:t>November 1, 2019</w:t>
        </w:r>
      </w:hyperlink>
      <w:hyperlink r:id="rId23">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EE"/>
        </w:rPr>
      </w:pPr>
    </w:p>
    <w:p>
      <w:pPr>
        <w:ind w:left="200" w:right="40" w:firstLine="441"/>
        <w:spacing w:after="0" w:line="293" w:lineRule="auto"/>
        <w:rPr>
          <w:sz w:val="20"/>
          <w:szCs w:val="20"/>
          <w:color w:val="auto"/>
        </w:rPr>
      </w:pPr>
      <w:r>
        <w:rPr>
          <w:rFonts w:ascii="Arial" w:cs="Arial" w:eastAsia="Arial" w:hAnsi="Arial"/>
          <w:sz w:val="16"/>
          <w:szCs w:val="16"/>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65" w:lineRule="exact"/>
        <w:rPr>
          <w:rFonts w:ascii="Arial" w:cs="Arial" w:eastAsia="Arial" w:hAnsi="Arial"/>
          <w:sz w:val="18"/>
          <w:szCs w:val="18"/>
          <w:color w:val="0000EE"/>
        </w:rPr>
      </w:pPr>
    </w:p>
    <w:p>
      <w:pPr>
        <w:ind w:left="200" w:right="20" w:firstLine="441"/>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47"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Email: IRTSL@tpg.com.</w:t>
      </w:r>
    </w:p>
    <w:p>
      <w:pPr>
        <w:spacing w:after="0" w:line="211" w:lineRule="exact"/>
        <w:rPr>
          <w:rFonts w:ascii="Arial" w:cs="Arial" w:eastAsia="Arial" w:hAnsi="Arial"/>
          <w:sz w:val="18"/>
          <w:szCs w:val="18"/>
          <w:color w:val="0000EE"/>
        </w:rPr>
      </w:pPr>
    </w:p>
    <w:p>
      <w:pPr>
        <w:ind w:left="20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21"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7" w:lineRule="exact"/>
        <w:rPr>
          <w:sz w:val="20"/>
          <w:szCs w:val="20"/>
          <w:color w:val="auto"/>
        </w:rPr>
      </w:pPr>
    </w:p>
    <w:p>
      <w:pPr>
        <w:ind w:left="1180" w:right="4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180" w:right="140" w:hanging="436"/>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180" w:right="40" w:hanging="436"/>
        <w:spacing w:after="0" w:line="279" w:lineRule="auto"/>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prospectus supplement, the accompanying prospectus and in Part I, Item 1A of our 2018 Annual Report and Part II, Item 1A of our 2019 Q1 Quarterly Report, 2019 Q2 Quarterly Report and 2019 Q3 Quarterly Report, any subsequent Quarterly Reports on Form 10-Q or Current Reports on Form 8-K we file after the date of this prospectus supplement, and those discussed in other documents we file with the SEC.</w:t>
      </w:r>
    </w:p>
    <w:p>
      <w:pPr>
        <w:spacing w:after="0" w:line="17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2018 Annual Report and Part II, Item 1A of our 2019 Q1 Quarterly Report, 2019 Q2 Quarterly Report and 2019 Q3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As used in the prospectus supplement and the accompanying prospectus, except where the context suggests otherwise, references to:</w:t>
      </w:r>
    </w:p>
    <w:p>
      <w:pPr>
        <w:spacing w:after="0" w:line="142" w:lineRule="exact"/>
        <w:rPr>
          <w:sz w:val="20"/>
          <w:szCs w:val="20"/>
          <w:color w:val="auto"/>
        </w:rPr>
      </w:pPr>
    </w:p>
    <w:p>
      <w:pPr>
        <w:ind w:left="1180" w:right="30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through September 30, 2019, we have originated more than $11.8 billion aggregate principal amount of investments and retained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billion aggregate principal amount of these investments on our balance sheet prior to any subsequent exits and repayments. We seek to generate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current income primarily in U.S.-domiciled middle-market companies through direct originations of senior secured loans and, to a lesser extent,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originations of mezzanine and unsecured loans and investments in corporate bonds and equity securities.</w:t>
      </w:r>
    </w:p>
    <w:p>
      <w:pPr>
        <w:spacing w:after="0" w:line="211" w:lineRule="exact"/>
        <w:rPr>
          <w:sz w:val="20"/>
          <w:szCs w:val="20"/>
          <w:color w:val="auto"/>
        </w:rPr>
      </w:pPr>
    </w:p>
    <w:p>
      <w:pPr>
        <w:jc w:val="both"/>
        <w:ind w:left="200" w:right="120" w:firstLine="441"/>
        <w:spacing w:after="0" w:line="257" w:lineRule="auto"/>
        <w:rPr>
          <w:sz w:val="20"/>
          <w:szCs w:val="20"/>
          <w:color w:val="auto"/>
        </w:rPr>
      </w:pPr>
      <w:r>
        <w:rPr>
          <w:rFonts w:ascii="Arial" w:cs="Arial" w:eastAsia="Arial" w:hAnsi="Arial"/>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2019, our core portfolio companies, which excludes certain investments that fall outside of our typical borrower profile and represent 78.1% of our total investments based on fair value, had weighted average annual revenue of $105.7 million and weighted average annual EBITDA of $33.6 million.</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w:t>
      </w:r>
    </w:p>
    <w:p>
      <w:pPr>
        <w:spacing w:after="0" w:line="170"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September 30, 2019, our portfolio based on fair value consisted of 97.2% first-lien debt investments, 0.7% second-lien debt investments,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0.1% mezzanine debt investments, and 2.0% equity and other investments. As of September 30, 2019, 99.1% of our debt investments based on fair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bore interest at floating rates (when including investment specific hedges), with 96.2% of these subject to interest rate floors, which we believe helps act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 portfolio-wide hedge against inflation.</w:t>
      </w:r>
    </w:p>
    <w:p>
      <w:pPr>
        <w:spacing w:after="0" w:line="21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As of September 30, 2019 and December 31, 2018, we had investments in 55 and 46 portfolio companies, respectively, with an aggregate fair value of $2,047.5 million and $1,706.0 million, respectively.</w:t>
      </w:r>
    </w:p>
    <w:p>
      <w:pPr>
        <w:spacing w:after="0" w:line="170"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For the three months ended September 30, 2019, the principal amount of new investments funded was $309.1 million in seven new portfolio companies and four existing portfolio companies. For this period, we had $309.9 million aggregate principal amount in exits and repayments.</w:t>
      </w:r>
    </w:p>
    <w:p>
      <w:pPr>
        <w:spacing w:after="0" w:line="124"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47" w:lineRule="exact"/>
        <w:rPr>
          <w:sz w:val="20"/>
          <w:szCs w:val="20"/>
          <w:color w:val="auto"/>
        </w:rPr>
      </w:pPr>
    </w:p>
    <w:p>
      <w:pPr>
        <w:ind w:left="200" w:right="640" w:firstLine="441"/>
        <w:spacing w:after="0" w:line="286" w:lineRule="auto"/>
        <w:rPr>
          <w:sz w:val="20"/>
          <w:szCs w:val="20"/>
          <w:color w:val="auto"/>
        </w:rPr>
      </w:pPr>
      <w:r>
        <w:rPr>
          <w:rFonts w:ascii="Arial" w:cs="Arial" w:eastAsia="Arial" w:hAnsi="Arial"/>
          <w:sz w:val="17"/>
          <w:szCs w:val="17"/>
          <w:color w:val="auto"/>
        </w:rPr>
        <w:t>As of September 30, 2019, the largest single investment based on fair value represented 4.2% of our total investment portfolio. As of September 30, 2019, the average investment size in each of our portfolio companies was approximately $37.2 million based on fair value. As of September 30, 2019, the largest industry represented 18.1% of our total investment portfolio based on fair value.</w:t>
      </w:r>
    </w:p>
    <w:p>
      <w:pPr>
        <w:spacing w:after="0" w:line="16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Since we began investing in 2011 through September 30, 2019, weighted by capital invested, our exited investments have generated an average realized gross internal rate of return to us of 18.6% (based on total capital invested of $3.9 billion and total proceeds from these exited investments of $4.9 billion). Eighty nine percent of these exited investments resulted in a realized gross internal rate of return to us of 10% or greater. For a description of how we calculate gross internal rates of return, see “Management’s Discussion and Analysis of Financial Condition and Results of Operations— Results of Operations—Realized Gross Internal Rate of Return” in Part I, Item 2 of our 2019 Q3 Quarterly Report, which is incorporated herein by reference.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2018 Annual Report, which is incorporated by reference in the accompanying prospectus, for more information on these requirements.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Robert “Bo” Stanley and David Stiepleman.</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TSSP is a global finance and investment firm with over $33 billion of assets under management as of September 30, 2019.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240 investment and operating professionals. As of September 30, 2019, thirty four (34) of these personnel are dedicated to our business, including twenty six (26) investment professionals.</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December 2019, we repaid at maturity the $115 million aggregate principal amount of our convertible notes due December 15, 2019, which we refer to as the 2019 Convertible Notes.</w:t>
      </w:r>
    </w:p>
    <w:p>
      <w:pPr>
        <w:spacing w:after="0" w:line="17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2100 McKinney Avenue, Suite 1500, Dallas, Texas 75201 and our telephone number is (469) 621-</w:t>
      </w:r>
    </w:p>
    <w:p>
      <w:pPr>
        <w:spacing w:after="0" w:line="46" w:lineRule="exact"/>
        <w:rPr>
          <w:sz w:val="20"/>
          <w:szCs w:val="20"/>
          <w:color w:val="auto"/>
        </w:rPr>
      </w:pPr>
    </w:p>
    <w:p>
      <w:pPr>
        <w:ind w:left="200" w:right="480"/>
        <w:spacing w:after="0" w:line="261" w:lineRule="auto"/>
        <w:rPr>
          <w:sz w:val="20"/>
          <w:szCs w:val="20"/>
          <w:color w:val="auto"/>
        </w:rPr>
      </w:pPr>
      <w:r>
        <w:rPr>
          <w:rFonts w:ascii="Arial" w:cs="Arial" w:eastAsia="Arial" w:hAnsi="Arial"/>
          <w:sz w:val="18"/>
          <w:szCs w:val="18"/>
          <w:color w:val="auto"/>
        </w:rPr>
        <w:t>3001. Our corporate website is located at http://www.tpgspecialtylending.com. Information on our website is not incorporated into or a part of this prospectus supplement or the accompanying prospectus.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i w:val="1"/>
          <w:iCs w:val="1"/>
          <w:color w:val="auto"/>
        </w:rPr>
        <w:t>This prospectus supplement sets forth certain terms of the Reopened Notes that we are offering pursuant to this prospectus supplement and supplements the accompanying prospectus that is attached to the back of this prospectus supplement. On November 1, 2019, we and the trustee entered into the second supplemental indenture to the base indenture (together, the indenture) relating to our issuance, offer and sale of the Original Notes. We will issue the Reopened Notes offered hereby under the same indenture. The Reopened Notes offered hereby and the Original Notes will be treated as a single series for all purposes under the indenture including, without limitation, waivers, amendments, consents, redemptions and other offers to purchase and voting. This section outlines certain legal and financial terms of the Reopened Notes. You should read this section together with the more detailed description of the Reopened Notes under the heading “Description of Notes” in this prospectus supplement and in the accompanying prospectus under the heading “Description of Our Debt Securities” before investing in the Reopened Notes. Capitalized terms used in this prospectus supplement and not otherwise defined shall have the meanings ascribed to them in the accompanying prospectus or in the indenture governing the Notes, as amended from time to time, the “indenture”.</w:t>
      </w:r>
    </w:p>
    <w:p>
      <w:pPr>
        <w:sectPr>
          <w:pgSz w:w="11900" w:h="16838" w:orient="portrait"/>
          <w:cols w:equalWidth="0" w:num="1">
            <w:col w:w="11180"/>
          </w:cols>
          <w:pgMar w:left="240" w:top="459" w:right="479" w:bottom="1440" w:gutter="0" w:footer="0" w:header="0"/>
        </w:sect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TPG Specialty Lending, Inc., a Delaware corporation</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3.875% Notes due 2024</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89" w:lineRule="exact"/>
        <w:rPr>
          <w:sz w:val="20"/>
          <w:szCs w:val="20"/>
          <w:color w:val="auto"/>
        </w:rPr>
      </w:pPr>
    </w:p>
    <w:p>
      <w:pPr>
        <w:ind w:left="4400"/>
        <w:spacing w:after="0" w:line="259" w:lineRule="auto"/>
        <w:rPr>
          <w:sz w:val="20"/>
          <w:szCs w:val="20"/>
          <w:color w:val="auto"/>
        </w:rPr>
      </w:pPr>
      <w:r>
        <w:rPr>
          <w:rFonts w:ascii="Arial" w:cs="Arial" w:eastAsia="Arial" w:hAnsi="Arial"/>
          <w:sz w:val="18"/>
          <w:szCs w:val="18"/>
          <w:color w:val="auto"/>
        </w:rPr>
        <w:t>The Reopened Notes will be a further issuance of, be fungible with, rank equally in right of payment with and have the same terms (other than the issue date and the public offering price) as the $300 million aggregate principal amount of 3.875% Notes due 2024 issued by us in November 2019</w:t>
      </w:r>
    </w:p>
    <w:p>
      <w:pPr>
        <w:sectPr>
          <w:pgSz w:w="11900" w:h="16838" w:orient="portrait"/>
          <w:cols w:equalWidth="0" w:num="1">
            <w:col w:w="11180"/>
          </w:cols>
          <w:pgMar w:left="240" w:top="459" w:right="479" w:bottom="1440" w:gutter="0" w:footer="0" w:header="0"/>
          <w:type w:val="continuous"/>
        </w:sect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Aggregate Principal Amount of Reopened Notes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$50,000,000</w:t>
      </w:r>
    </w:p>
    <w:p>
      <w:pPr>
        <w:spacing w:after="0" w:line="200" w:lineRule="exact"/>
        <w:rPr>
          <w:sz w:val="20"/>
          <w:szCs w:val="20"/>
          <w:color w:val="auto"/>
        </w:rPr>
      </w:pPr>
    </w:p>
    <w:p>
      <w:pPr>
        <w:sectPr>
          <w:pgSz w:w="11900" w:h="16838" w:orient="portrait"/>
          <w:cols w:equalWidth="0" w:num="2">
            <w:col w:w="4120" w:space="280"/>
            <w:col w:w="678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Aggregate Principal Amount of Original Notes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$300,000,000</w:t>
      </w:r>
    </w:p>
    <w:p>
      <w:pPr>
        <w:spacing w:after="0" w:line="200" w:lineRule="exact"/>
        <w:rPr>
          <w:sz w:val="20"/>
          <w:szCs w:val="20"/>
          <w:color w:val="auto"/>
        </w:rPr>
      </w:pPr>
    </w:p>
    <w:p>
      <w:pPr>
        <w:sectPr>
          <w:pgSz w:w="11900" w:h="16838" w:orient="portrait"/>
          <w:cols w:equalWidth="0" w:num="2">
            <w:col w:w="4000" w:space="400"/>
            <w:col w:w="678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Aggregate Principal Amount of Notes Outstanding $350,000,000</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Upon Completion of this Offering</w:t>
      </w:r>
    </w:p>
    <w:p>
      <w:pPr>
        <w:sectPr>
          <w:pgSz w:w="11900" w:h="16838" w:orient="portrait"/>
          <w:cols w:equalWidth="0" w:num="1">
            <w:col w:w="11180"/>
          </w:cols>
          <w:pgMar w:left="240" w:top="459" w:right="479" w:bottom="1440" w:gutter="0" w:footer="0" w:header="0"/>
          <w:type w:val="continuous"/>
        </w:sect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Initial Public Offering Price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102.075% of the aggregate principal amount of Reopened Notes, plus accrued interest from November 1, 2019 up to, but not including, the date of delivery of the Reopened Notes</w:t>
      </w:r>
    </w:p>
    <w:p>
      <w:pPr>
        <w:spacing w:after="0" w:line="151"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Aggregate Accrued Interest</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$505,902.78 of accrued interest from November 1, 2019 up to, but not including, the date of delivery of the Reopened Notes</w:t>
      </w:r>
    </w:p>
    <w:p>
      <w:pPr>
        <w:spacing w:after="0" w:line="197"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3.875%</w:t>
      </w:r>
    </w:p>
    <w:p>
      <w:pPr>
        <w:spacing w:after="0" w:line="211"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3.389%</w:t>
      </w:r>
    </w:p>
    <w:p>
      <w:pPr>
        <w:spacing w:after="0" w:line="222"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January 29, 2020</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 Date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February 5, 2020</w:t>
      </w:r>
    </w:p>
    <w:p>
      <w:pPr>
        <w:spacing w:after="0" w:line="200"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November 1, 2024</w:t>
      </w:r>
    </w:p>
    <w:p>
      <w:pPr>
        <w:spacing w:after="0" w:line="194"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1180"/>
          </w:cols>
          <w:pgMar w:left="240" w:top="459" w:right="47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780" w:type="dxa"/>
            <w:vAlign w:val="bottom"/>
          </w:tcPr>
          <w:p>
            <w:pPr>
              <w:spacing w:after="0"/>
              <w:rPr>
                <w:sz w:val="17"/>
                <w:szCs w:val="17"/>
                <w:color w:val="auto"/>
              </w:rPr>
            </w:pPr>
          </w:p>
        </w:tc>
        <w:tc>
          <w:tcPr>
            <w:tcW w:w="8060" w:type="dxa"/>
            <w:vAlign w:val="bottom"/>
          </w:tcPr>
          <w:p>
            <w:pPr>
              <w:spacing w:after="0"/>
              <w:rPr>
                <w:sz w:val="17"/>
                <w:szCs w:val="17"/>
                <w:color w:val="auto"/>
              </w:rPr>
            </w:pPr>
          </w:p>
        </w:tc>
      </w:tr>
      <w:tr>
        <w:trPr>
          <w:trHeight w:val="534"/>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Interest Payment Dates</w:t>
            </w:r>
          </w:p>
        </w:tc>
        <w:tc>
          <w:tcPr>
            <w:tcW w:w="8060" w:type="dxa"/>
            <w:vAlign w:val="bottom"/>
          </w:tcPr>
          <w:p>
            <w:pPr>
              <w:ind w:left="1260"/>
              <w:spacing w:after="0"/>
              <w:rPr>
                <w:sz w:val="20"/>
                <w:szCs w:val="20"/>
                <w:color w:val="auto"/>
              </w:rPr>
            </w:pPr>
            <w:r>
              <w:rPr>
                <w:rFonts w:ascii="Arial" w:cs="Arial" w:eastAsia="Arial" w:hAnsi="Arial"/>
                <w:sz w:val="18"/>
                <w:szCs w:val="18"/>
                <w:color w:val="auto"/>
              </w:rPr>
              <w:t>May 1 and November 1, commencing May 1, 2020</w:t>
            </w:r>
          </w:p>
        </w:tc>
      </w:tr>
      <w:tr>
        <w:trPr>
          <w:trHeight w:val="473"/>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Ranking of Notes</w:t>
            </w:r>
          </w:p>
        </w:tc>
        <w:tc>
          <w:tcPr>
            <w:tcW w:w="8060" w:type="dxa"/>
            <w:vAlign w:val="bottom"/>
          </w:tcPr>
          <w:p>
            <w:pPr>
              <w:ind w:left="1260"/>
              <w:spacing w:after="0"/>
              <w:rPr>
                <w:sz w:val="20"/>
                <w:szCs w:val="20"/>
                <w:color w:val="auto"/>
              </w:rPr>
            </w:pPr>
            <w:r>
              <w:rPr>
                <w:rFonts w:ascii="Arial" w:cs="Arial" w:eastAsia="Arial" w:hAnsi="Arial"/>
                <w:sz w:val="18"/>
                <w:szCs w:val="18"/>
                <w:color w:val="auto"/>
              </w:rPr>
              <w:t>The Notes are our direct, general unsecured obligations and will rank:</w:t>
            </w:r>
          </w:p>
        </w:tc>
      </w:tr>
      <w:tr>
        <w:trPr>
          <w:trHeight w:val="337"/>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tcPr>
          <w:p>
            <w:pPr>
              <w:ind w:left="1300"/>
              <w:spacing w:after="0"/>
              <w:rPr>
                <w:sz w:val="20"/>
                <w:szCs w:val="20"/>
                <w:color w:val="auto"/>
              </w:rPr>
            </w:pPr>
            <w:r>
              <w:rPr>
                <w:rFonts w:ascii="Arial" w:cs="Arial" w:eastAsia="Arial" w:hAnsi="Arial"/>
                <w:sz w:val="18"/>
                <w:szCs w:val="18"/>
                <w:color w:val="auto"/>
                <w:w w:val="97"/>
              </w:rPr>
              <w:t>• senior in right of payment to all of our future indebtedness or other obligations that are</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rPr>
              <w:t>expressly subordinated, or junior, in right of payment to the Notes;</w:t>
            </w:r>
          </w:p>
        </w:tc>
      </w:tr>
      <w:tr>
        <w:trPr>
          <w:trHeight w:val="323"/>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tcPr>
          <w:p>
            <w:pPr>
              <w:ind w:left="1300"/>
              <w:spacing w:after="0"/>
              <w:rPr>
                <w:sz w:val="20"/>
                <w:szCs w:val="20"/>
                <w:color w:val="auto"/>
              </w:rPr>
            </w:pPr>
            <w:r>
              <w:rPr>
                <w:rFonts w:ascii="Arial" w:cs="Arial" w:eastAsia="Arial" w:hAnsi="Arial"/>
                <w:sz w:val="18"/>
                <w:szCs w:val="18"/>
                <w:color w:val="auto"/>
                <w:w w:val="93"/>
              </w:rPr>
              <w:t>• pari passu, or equal, in right of payment with all of our existing and future indebtedness or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w w:val="92"/>
              </w:rPr>
              <w:t>other obligations that are not so subordinated, or junior, including, without limitation, as of</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w w:val="91"/>
              </w:rPr>
              <w:t>January 17, 2020, approximately $172.5 million aggregate principal amount of outstanding</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w w:val="94"/>
              </w:rPr>
              <w:t>indebtedness under our convertible notes due December 2022, which we refer to as the</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w w:val="93"/>
              </w:rPr>
              <w:t>2022 Convertible Notes, and approximately $150.0 million aggregate principal amount of</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w w:val="91"/>
              </w:rPr>
              <w:t>outstanding indebtedness under our unsecured notes due January 2023, which we refer to</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rPr>
              <w:t>as the 2023 Notes;</w:t>
            </w:r>
          </w:p>
        </w:tc>
      </w:tr>
      <w:tr>
        <w:trPr>
          <w:trHeight w:val="323"/>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tcPr>
          <w:p>
            <w:pPr>
              <w:ind w:left="1300"/>
              <w:spacing w:after="0"/>
              <w:rPr>
                <w:sz w:val="20"/>
                <w:szCs w:val="20"/>
                <w:color w:val="auto"/>
              </w:rPr>
            </w:pPr>
            <w:r>
              <w:rPr>
                <w:rFonts w:ascii="Arial" w:cs="Arial" w:eastAsia="Arial" w:hAnsi="Arial"/>
                <w:sz w:val="18"/>
                <w:szCs w:val="18"/>
                <w:color w:val="auto"/>
                <w:w w:val="93"/>
              </w:rPr>
              <w:t>• effectively subordinated, or junior, to any of our secured indebtedness or other obligations</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w w:val="94"/>
              </w:rPr>
              <w:t>(including unsecured indebtedness that we later secure) to the extent of the value of the</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rPr>
              <w:t>assets securing such indebtedness, including, without limitation, approximately</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w w:val="93"/>
              </w:rPr>
              <w:t>$588.2 million aggregate principal amount of outstanding indebtedness as of January 17,</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w w:val="93"/>
              </w:rPr>
              <w:t>2020 under our Senior Secured Revolving Credit Agreement, dated August 23, 2012, as</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rPr>
              <w:t>amended, which we refer to as the Revolving Credit Facility; and</w:t>
            </w:r>
          </w:p>
        </w:tc>
      </w:tr>
      <w:tr>
        <w:trPr>
          <w:trHeight w:val="323"/>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tcPr>
          <w:p>
            <w:pPr>
              <w:ind w:left="1300"/>
              <w:spacing w:after="0"/>
              <w:rPr>
                <w:sz w:val="20"/>
                <w:szCs w:val="20"/>
                <w:color w:val="auto"/>
              </w:rPr>
            </w:pPr>
            <w:r>
              <w:rPr>
                <w:rFonts w:ascii="Arial" w:cs="Arial" w:eastAsia="Arial" w:hAnsi="Arial"/>
                <w:sz w:val="18"/>
                <w:szCs w:val="18"/>
                <w:color w:val="auto"/>
                <w:w w:val="99"/>
              </w:rPr>
              <w:t>• structurally subordinated, or junior, to all existing and future indebtedness and other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w w:val="94"/>
              </w:rPr>
              <w:t>obligations (including trade payables) incurred by our subsidiaries, financing vehicles or</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60" w:type="dxa"/>
            <w:vAlign w:val="bottom"/>
          </w:tcPr>
          <w:p>
            <w:pPr>
              <w:ind w:left="1460"/>
              <w:spacing w:after="0"/>
              <w:rPr>
                <w:sz w:val="20"/>
                <w:szCs w:val="20"/>
                <w:color w:val="auto"/>
              </w:rPr>
            </w:pPr>
            <w:r>
              <w:rPr>
                <w:rFonts w:ascii="Arial" w:cs="Arial" w:eastAsia="Arial" w:hAnsi="Arial"/>
                <w:sz w:val="18"/>
                <w:szCs w:val="18"/>
                <w:color w:val="auto"/>
              </w:rPr>
              <w:t>similar facilities.</w:t>
            </w:r>
          </w:p>
        </w:tc>
      </w:tr>
      <w:tr>
        <w:trPr>
          <w:trHeight w:val="445"/>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95"/>
              </w:rPr>
              <w:t>As of January 17, 2020, our total consolidated indebtedness was approximately $1,210.7</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94"/>
              </w:rPr>
              <w:t>million aggregate principal amount outstanding, of which approximately $588.2 million was</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rPr>
              <w:t>secured indebtedness at the TSLX level and none of which was indebtedness of our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91"/>
              </w:rPr>
              <w:t>subsidiaries. After giving effect to the issuance of the Reopened Notes, and assuming the net</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95"/>
              </w:rPr>
              <w:t>proceeds therefrom are used to repay outstanding borrowings under the Revolving Credit</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91"/>
              </w:rPr>
              <w:t>Facility, our total consolidated indebtedness would have been approximately $1,210.6 million</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rPr>
              <w:t>aggregate principal amount outstanding as of January 17, 2020. See “Capitalization.”</w:t>
            </w:r>
          </w:p>
        </w:tc>
      </w:tr>
      <w:tr>
        <w:trPr>
          <w:trHeight w:val="445"/>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Denominations</w:t>
            </w:r>
          </w:p>
        </w:tc>
        <w:tc>
          <w:tcPr>
            <w:tcW w:w="8060" w:type="dxa"/>
            <w:vAlign w:val="bottom"/>
          </w:tcPr>
          <w:p>
            <w:pPr>
              <w:ind w:left="1260"/>
              <w:spacing w:after="0"/>
              <w:rPr>
                <w:sz w:val="20"/>
                <w:szCs w:val="20"/>
                <w:color w:val="auto"/>
              </w:rPr>
            </w:pPr>
            <w:r>
              <w:rPr>
                <w:rFonts w:ascii="Arial" w:cs="Arial" w:eastAsia="Arial" w:hAnsi="Arial"/>
                <w:sz w:val="18"/>
                <w:szCs w:val="18"/>
                <w:color w:val="auto"/>
                <w:w w:val="98"/>
              </w:rPr>
              <w:t>We will issue the Reopened Notes in denominations of $2,000 and integral multiples of</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rPr>
              <w:t>$1,000 in excess thereof.</w:t>
            </w:r>
          </w:p>
        </w:tc>
      </w:tr>
      <w:tr>
        <w:trPr>
          <w:trHeight w:val="445"/>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Optional Redemption</w:t>
            </w:r>
          </w:p>
        </w:tc>
        <w:tc>
          <w:tcPr>
            <w:tcW w:w="8060" w:type="dxa"/>
            <w:vAlign w:val="bottom"/>
          </w:tcPr>
          <w:p>
            <w:pPr>
              <w:ind w:left="1260"/>
              <w:spacing w:after="0"/>
              <w:rPr>
                <w:sz w:val="20"/>
                <w:szCs w:val="20"/>
                <w:color w:val="auto"/>
              </w:rPr>
            </w:pPr>
            <w:r>
              <w:rPr>
                <w:rFonts w:ascii="Arial" w:cs="Arial" w:eastAsia="Arial" w:hAnsi="Arial"/>
                <w:sz w:val="18"/>
                <w:szCs w:val="18"/>
                <w:color w:val="auto"/>
                <w:w w:val="94"/>
              </w:rPr>
              <w:t>We may redeem some or all of the Notes at any time, or from time to time, at a redemption</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91"/>
              </w:rPr>
              <w:t>price equal to the greater of (1) 100% of the principal amount of the Notes to be redeemed or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97"/>
              </w:rPr>
              <w:t>(2) the sum of the present values of the remaining scheduled payments of principal and</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89"/>
              </w:rPr>
              <w:t>interest (exclusive of accrued and unpaid interest to the date of redemption) on the Notes to be</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88"/>
              </w:rPr>
              <w:t>redeemed, discounted to the redemption date on a semi-annual basis (assuming a 360-day year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w w:val="91"/>
              </w:rPr>
              <w:t>consisting of twelve 30-day months) using the applicable Treasury Rate plus 40 basis points,</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60" w:type="dxa"/>
            <w:vAlign w:val="bottom"/>
          </w:tcPr>
          <w:p>
            <w:pPr>
              <w:ind w:left="1260"/>
              <w:spacing w:after="0"/>
              <w:rPr>
                <w:sz w:val="20"/>
                <w:szCs w:val="20"/>
                <w:color w:val="auto"/>
              </w:rPr>
            </w:pPr>
            <w:r>
              <w:rPr>
                <w:rFonts w:ascii="Arial" w:cs="Arial" w:eastAsia="Arial" w:hAnsi="Arial"/>
                <w:sz w:val="18"/>
                <w:szCs w:val="18"/>
                <w:color w:val="auto"/>
              </w:rPr>
              <w:t>plus, in each case, accrued and unpaid</w:t>
            </w:r>
          </w:p>
        </w:tc>
      </w:tr>
      <w:tr>
        <w:trPr>
          <w:trHeight w:val="365"/>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tcPr>
          <w:p>
            <w:pPr>
              <w:ind w:left="2440"/>
              <w:spacing w:after="0"/>
              <w:rPr>
                <w:sz w:val="20"/>
                <w:szCs w:val="20"/>
                <w:color w:val="auto"/>
              </w:rPr>
            </w:pPr>
            <w:r>
              <w:rPr>
                <w:rFonts w:ascii="Arial" w:cs="Arial" w:eastAsia="Arial" w:hAnsi="Arial"/>
                <w:sz w:val="18"/>
                <w:szCs w:val="18"/>
                <w:color w:val="auto"/>
              </w:rPr>
              <w:t>S-7</w:t>
            </w:r>
          </w:p>
        </w:tc>
      </w:tr>
    </w:tbl>
    <w:p>
      <w:pPr>
        <w:ind w:left="2440"/>
        <w:spacing w:after="0"/>
        <w:rPr>
          <w:sz w:val="20"/>
          <w:szCs w:val="20"/>
          <w:color w:val="auto"/>
        </w:rPr>
        <w:sectPr>
          <w:pgSz w:w="11900" w:h="16838" w:orient="portrait"/>
          <w:cols w:equalWidth="0" w:num="1">
            <w:col w:w="11200"/>
          </w:cols>
          <w:pgMar w:left="24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jc w:val="center"/>
              <w:ind w:right="1520"/>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820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w w:val="97"/>
              </w:rPr>
              <w:t xml:space="preserve">interest to the redemption date;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however, that if we redeem any Notes on or</w:t>
            </w: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w w:val="91"/>
              </w:rPr>
              <w:t>after October 1, 2024 (the date falling one month prior to the maturity date of the Notes), the</w:t>
            </w: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w w:val="91"/>
              </w:rPr>
              <w:t>redemption price for the Notes will be equal to 100% of the principal amount of the Notes to</w:t>
            </w: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rPr>
              <w:t>be redeemed, plus accrued and unpaid interest, if any, to, but excluding, the date of</w:t>
            </w: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w w:val="91"/>
              </w:rPr>
              <w:t>redemption. Any exercise of our option to redeem the Notes will be done in compliance with</w:t>
            </w:r>
          </w:p>
        </w:tc>
      </w:tr>
      <w:tr>
        <w:trPr>
          <w:trHeight w:val="230"/>
        </w:trPr>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rPr>
              <w:t>the 1940 Act.</w:t>
            </w:r>
          </w:p>
        </w:tc>
      </w:tr>
      <w:tr>
        <w:trPr>
          <w:trHeight w:val="458"/>
        </w:trPr>
        <w:tc>
          <w:tcPr>
            <w:tcW w:w="2880" w:type="dxa"/>
            <w:vAlign w:val="bottom"/>
            <w:gridSpan w:val="2"/>
          </w:tcPr>
          <w:p>
            <w:pPr>
              <w:jc w:val="center"/>
              <w:ind w:right="1500"/>
              <w:spacing w:after="0"/>
              <w:rPr>
                <w:sz w:val="20"/>
                <w:szCs w:val="20"/>
                <w:color w:val="auto"/>
              </w:rPr>
            </w:pPr>
            <w:r>
              <w:rPr>
                <w:rFonts w:ascii="Arial" w:cs="Arial" w:eastAsia="Arial" w:hAnsi="Arial"/>
                <w:sz w:val="18"/>
                <w:szCs w:val="18"/>
                <w:color w:val="auto"/>
                <w:w w:val="93"/>
              </w:rPr>
              <w:t>Sinking Fund</w:t>
            </w:r>
          </w:p>
        </w:tc>
        <w:tc>
          <w:tcPr>
            <w:tcW w:w="8200" w:type="dxa"/>
            <w:vAlign w:val="bottom"/>
          </w:tcPr>
          <w:p>
            <w:pPr>
              <w:ind w:left="1520"/>
              <w:spacing w:after="0"/>
              <w:rPr>
                <w:sz w:val="20"/>
                <w:szCs w:val="20"/>
                <w:color w:val="auto"/>
              </w:rPr>
            </w:pPr>
            <w:r>
              <w:rPr>
                <w:rFonts w:ascii="Arial" w:cs="Arial" w:eastAsia="Arial" w:hAnsi="Arial"/>
                <w:sz w:val="18"/>
                <w:szCs w:val="18"/>
                <w:color w:val="auto"/>
              </w:rPr>
              <w:t>The Notes will not be subject to any sinking fund. A sinking fund is a reserve fund</w:t>
            </w:r>
          </w:p>
        </w:tc>
      </w:tr>
      <w:tr>
        <w:trPr>
          <w:trHeight w:val="230"/>
        </w:trPr>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rPr>
              <w:t>accumulated over a period of time for the retirement of debt.</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Offer to Purchase upon a Change of Control Repurchase  If a Change of Control Repurchase Event occurs prior to maturity, unless we have exercised</w:t>
      </w:r>
    </w:p>
    <w:p>
      <w:pPr>
        <w:spacing w:after="0" w:line="46" w:lineRule="exact"/>
        <w:rPr>
          <w:sz w:val="20"/>
          <w:szCs w:val="20"/>
          <w:color w:val="auto"/>
        </w:rPr>
      </w:pPr>
    </w:p>
    <w:p>
      <w:pPr>
        <w:ind w:left="4400" w:right="100" w:hanging="4119"/>
        <w:spacing w:after="0" w:line="254" w:lineRule="auto"/>
        <w:tabs>
          <w:tab w:leader="none" w:pos="4380" w:val="left"/>
        </w:tabs>
        <w:rPr>
          <w:sz w:val="20"/>
          <w:szCs w:val="20"/>
          <w:color w:val="auto"/>
        </w:rPr>
      </w:pPr>
      <w:r>
        <w:rPr>
          <w:rFonts w:ascii="Arial" w:cs="Arial" w:eastAsia="Arial" w:hAnsi="Arial"/>
          <w:sz w:val="18"/>
          <w:szCs w:val="18"/>
          <w:color w:val="auto"/>
        </w:rPr>
        <w:t>Event</w:t>
      </w:r>
      <w:r>
        <w:rPr>
          <w:sz w:val="20"/>
          <w:szCs w:val="20"/>
          <w:color w:val="auto"/>
        </w:rPr>
        <w:tab/>
      </w:r>
      <w:r>
        <w:rPr>
          <w:rFonts w:ascii="Arial" w:cs="Arial" w:eastAsia="Arial" w:hAnsi="Arial"/>
          <w:sz w:val="18"/>
          <w:szCs w:val="18"/>
          <w:color w:val="auto"/>
        </w:rPr>
        <w:t>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p>
      <w:pPr>
        <w:sectPr>
          <w:pgSz w:w="11900" w:h="16838" w:orient="portrait"/>
          <w:cols w:equalWidth="0" w:num="1">
            <w:col w:w="11180"/>
          </w:cols>
          <w:pgMar w:left="240" w:top="446" w:right="479" w:bottom="1440" w:gutter="0" w:footer="0" w:header="0"/>
        </w:sect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Legal Defeasance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Notes are subject to legal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“Description of Notes—Satisfaction and Discharge; Defeasance,” we can legally release ourselves from all payment and other obligations on the Notes.</w:t>
      </w:r>
    </w:p>
    <w:p>
      <w:pPr>
        <w:spacing w:after="0" w:line="200" w:lineRule="exact"/>
        <w:rPr>
          <w:sz w:val="20"/>
          <w:szCs w:val="20"/>
          <w:color w:val="auto"/>
        </w:rPr>
      </w:pPr>
    </w:p>
    <w:p>
      <w:pPr>
        <w:sectPr>
          <w:pgSz w:w="11900" w:h="16838" w:orient="portrait"/>
          <w:cols w:equalWidth="0" w:num="2">
            <w:col w:w="3680" w:space="720"/>
            <w:col w:w="6780"/>
          </w:cols>
          <w:pgMar w:left="240" w:top="446" w:right="479" w:bottom="1440" w:gutter="0" w:footer="0" w:header="0"/>
          <w:type w:val="continuous"/>
        </w:sectPr>
      </w:pPr>
    </w:p>
    <w:p>
      <w:pPr>
        <w:spacing w:after="0" w:line="1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Covenant Defeasance</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The Notes are subject to covenant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“Description of Notes—Satisfaction and Discharge; Defeasance,” we will be released from some of the restrictive covenants in the indenture.</w:t>
      </w:r>
    </w:p>
    <w:p>
      <w:pPr>
        <w:spacing w:after="0" w:line="200" w:lineRule="exact"/>
        <w:rPr>
          <w:sz w:val="20"/>
          <w:szCs w:val="20"/>
          <w:color w:val="auto"/>
        </w:rPr>
      </w:pPr>
    </w:p>
    <w:p>
      <w:pPr>
        <w:sectPr>
          <w:pgSz w:w="11900" w:h="16838" w:orient="portrait"/>
          <w:cols w:equalWidth="0" w:num="2">
            <w:col w:w="3680" w:space="720"/>
            <w:col w:w="6780"/>
          </w:cols>
          <w:pgMar w:left="240" w:top="446" w:right="479" w:bottom="1440" w:gutter="0" w:footer="0" w:header="0"/>
          <w:type w:val="continuous"/>
        </w:sectPr>
      </w:pP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Form of Notes</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The Reopened Notes will be represented by global securities that will be deposited and registered in the name of The Depository Trust Company, or DTC, or its nominee. This means that, except in limited circumstances, you will not receive certificates for the Reopened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p>
      <w:pPr>
        <w:spacing w:after="0" w:line="100" w:lineRule="exact"/>
        <w:rPr>
          <w:sz w:val="20"/>
          <w:szCs w:val="20"/>
          <w:color w:val="auto"/>
        </w:rPr>
      </w:pPr>
    </w:p>
    <w:p>
      <w:pPr>
        <w:sectPr>
          <w:pgSz w:w="11900" w:h="16838" w:orient="portrait"/>
          <w:cols w:equalWidth="0" w:num="2">
            <w:col w:w="3680" w:space="720"/>
            <w:col w:w="6780"/>
          </w:cols>
          <w:pgMar w:left="240" w:top="446"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180"/>
          </w:cols>
          <w:pgMar w:left="240" w:top="446" w:right="47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240" w:type="dxa"/>
            <w:vAlign w:val="bottom"/>
          </w:tcPr>
          <w:p>
            <w:pPr>
              <w:spacing w:after="0"/>
              <w:rPr>
                <w:sz w:val="17"/>
                <w:szCs w:val="17"/>
                <w:color w:val="auto"/>
              </w:rPr>
            </w:pPr>
          </w:p>
        </w:tc>
        <w:tc>
          <w:tcPr>
            <w:tcW w:w="7620" w:type="dxa"/>
            <w:vAlign w:val="bottom"/>
          </w:tcPr>
          <w:p>
            <w:pPr>
              <w:spacing w:after="0"/>
              <w:rPr>
                <w:sz w:val="17"/>
                <w:szCs w:val="17"/>
                <w:color w:val="auto"/>
              </w:rPr>
            </w:pPr>
          </w:p>
        </w:tc>
      </w:tr>
      <w:tr>
        <w:trPr>
          <w:trHeight w:val="534"/>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Trustee, Paying Agent and Registrar</w:t>
            </w:r>
          </w:p>
        </w:tc>
        <w:tc>
          <w:tcPr>
            <w:tcW w:w="7620" w:type="dxa"/>
            <w:vAlign w:val="bottom"/>
          </w:tcPr>
          <w:p>
            <w:pPr>
              <w:ind w:left="800"/>
              <w:spacing w:after="0"/>
              <w:rPr>
                <w:sz w:val="20"/>
                <w:szCs w:val="20"/>
                <w:color w:val="auto"/>
              </w:rPr>
            </w:pPr>
            <w:r>
              <w:rPr>
                <w:rFonts w:ascii="Arial" w:cs="Arial" w:eastAsia="Arial" w:hAnsi="Arial"/>
                <w:sz w:val="18"/>
                <w:szCs w:val="18"/>
                <w:color w:val="auto"/>
              </w:rPr>
              <w:t>Wells Fargo Bank, National Association</w:t>
            </w:r>
          </w:p>
        </w:tc>
      </w:tr>
      <w:tr>
        <w:trPr>
          <w:trHeight w:val="458"/>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Events of Default</w:t>
            </w:r>
          </w:p>
        </w:tc>
        <w:tc>
          <w:tcPr>
            <w:tcW w:w="7620" w:type="dxa"/>
            <w:vAlign w:val="bottom"/>
          </w:tcPr>
          <w:p>
            <w:pPr>
              <w:ind w:left="800"/>
              <w:spacing w:after="0"/>
              <w:rPr>
                <w:sz w:val="20"/>
                <w:szCs w:val="20"/>
                <w:color w:val="auto"/>
              </w:rPr>
            </w:pPr>
            <w:r>
              <w:rPr>
                <w:rFonts w:ascii="Arial" w:cs="Arial" w:eastAsia="Arial" w:hAnsi="Arial"/>
                <w:sz w:val="18"/>
                <w:szCs w:val="18"/>
                <w:color w:val="auto"/>
                <w:w w:val="95"/>
              </w:rPr>
              <w:t>If an event of default (as described under “Description of Notes”) on the Notes occurs,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0"/>
              </w:rPr>
              <w:t>principal amount of the Notes, plus accrued and unpaid interest, may be declared immediately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0"/>
              </w:rPr>
              <w:t>due and payable, subject to conditions set forth in the indenture. These amounts automatically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6"/>
              </w:rPr>
              <w:t>become due and payable in the case of certain types of bankruptcy or insolvency events</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involving us.</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Other Covenants</w:t>
            </w:r>
          </w:p>
        </w:tc>
        <w:tc>
          <w:tcPr>
            <w:tcW w:w="7620" w:type="dxa"/>
            <w:vAlign w:val="bottom"/>
          </w:tcPr>
          <w:p>
            <w:pPr>
              <w:ind w:left="800"/>
              <w:spacing w:after="0"/>
              <w:rPr>
                <w:sz w:val="20"/>
                <w:szCs w:val="20"/>
                <w:color w:val="auto"/>
              </w:rPr>
            </w:pPr>
            <w:r>
              <w:rPr>
                <w:rFonts w:ascii="Arial" w:cs="Arial" w:eastAsia="Arial" w:hAnsi="Arial"/>
                <w:sz w:val="18"/>
                <w:szCs w:val="18"/>
                <w:color w:val="auto"/>
              </w:rPr>
              <w:t>In addition to the covenants described in the accompanying prospectus, the following</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covenants shall apply to the Notes:</w:t>
            </w:r>
          </w:p>
        </w:tc>
      </w:tr>
      <w:tr>
        <w:trPr>
          <w:trHeight w:val="323"/>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20" w:type="dxa"/>
            <w:vAlign w:val="bottom"/>
          </w:tcPr>
          <w:p>
            <w:pPr>
              <w:ind w:left="84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rPr>
              <w:t>violate, whether or not we are subject thereto, Section 18(a)(1)(A) as modified by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1"/>
              </w:rPr>
              <w:t>Section 61(a) of the 1940 Act or any successor provisions, but giving effect, in either case,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rPr>
              <w:t>to any exemptive relief granted to us by the SEC.</w:t>
            </w:r>
          </w:p>
        </w:tc>
      </w:tr>
      <w:tr>
        <w:trPr>
          <w:trHeight w:val="323"/>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20" w:type="dxa"/>
            <w:vAlign w:val="bottom"/>
          </w:tcPr>
          <w:p>
            <w:pPr>
              <w:ind w:left="840"/>
              <w:spacing w:after="0"/>
              <w:rPr>
                <w:sz w:val="20"/>
                <w:szCs w:val="20"/>
                <w:color w:val="auto"/>
              </w:rPr>
            </w:pPr>
            <w:r>
              <w:rPr>
                <w:rFonts w:ascii="Arial" w:cs="Arial" w:eastAsia="Arial" w:hAnsi="Arial"/>
                <w:sz w:val="18"/>
                <w:szCs w:val="18"/>
                <w:color w:val="auto"/>
                <w:w w:val="94"/>
              </w:rPr>
              <w:t>• If, at any time, we are not subject to the reporting requirements of Sections 13 or 15(d) of</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3"/>
              </w:rPr>
              <w:t>the Exchange Act to file any periodic reports with the SEC, we agree to furnish to holders</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0"/>
              </w:rPr>
              <w:t>of the Notes and the Trustee, for the period of time during which the Notes are outstanding,</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1"/>
              </w:rPr>
              <w:t>our audited annual consolidated financial statements, within 90 days of our fiscal year end,</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9"/>
              </w:rPr>
              <w:t>and unaudited interim consolidated financial statements, within 45 days of our fiscal</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8"/>
              </w:rPr>
              <w:t>quarter end (other than our fourth fiscal quarter). All such financial statements will be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4"/>
              </w:rPr>
              <w:t>prepared, in all material respects, in accordance with applicable United States generally</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rPr>
              <w:t>accepted accounting principles, or GAAP.</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Tax Treatment</w:t>
            </w: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For U.S. federal income tax purposes, we intend to treat the Reopened Notes as issued in a</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9"/>
              </w:rPr>
              <w:t>“qualified reopening” of the Original Notes. For U.S. federal income tax purposes, debt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3"/>
              </w:rPr>
              <w:t>instruments issued in a qualified reopening are deemed to be part of the same issue as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1"/>
              </w:rPr>
              <w:t>original debt instruments. Assuming the treatment described in this paragraph applies, (1)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Reopened Notes will have the same issue date, the same issue price and the same adjusted</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6"/>
              </w:rPr>
              <w:t>issue price as the Original Notes for U.S. federal income tax purposes, and (2) under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6"/>
              </w:rPr>
              <w:t>qualified reopening rules, because the Original Notes were not issued with “original issue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3"/>
              </w:rPr>
              <w:t>discount” for U.S. federal income tax purposes, the Reopened Notes issued hereby also will</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not have original issue discount.</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No Established Trading Market</w:t>
            </w: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While a limited trading market developed after the issuance of the Original Notes, we cannot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1"/>
              </w:rPr>
              <w:t>assure you that an active trading market for the Notes will be maintained or will exist at all. As</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with the Original Notes, the Reopened Notes will not be listed on any securities exchange or</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quoted on any automated dealer quotation system. Although certain of the underwriters have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1"/>
              </w:rPr>
              <w:t>informed us that they currently intend to continue to make a market in the Notes, as permitted</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3"/>
              </w:rPr>
              <w:t>by applicable laws and regulations, they are not obligated to do so and may discontinue any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5"/>
              </w:rPr>
              <w:t>such market making activities at any time without notice. See “Underwriting.” Accordingly,</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we cannot assure you that a liquid market for the Notes will be maintained.</w:t>
            </w:r>
          </w:p>
        </w:tc>
      </w:tr>
      <w:tr>
        <w:trPr>
          <w:trHeight w:val="365"/>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20" w:type="dxa"/>
            <w:vAlign w:val="bottom"/>
          </w:tcPr>
          <w:p>
            <w:pPr>
              <w:ind w:left="1980"/>
              <w:spacing w:after="0"/>
              <w:rPr>
                <w:sz w:val="20"/>
                <w:szCs w:val="20"/>
                <w:color w:val="auto"/>
              </w:rPr>
            </w:pPr>
            <w:r>
              <w:rPr>
                <w:rFonts w:ascii="Arial" w:cs="Arial" w:eastAsia="Arial" w:hAnsi="Arial"/>
                <w:sz w:val="18"/>
                <w:szCs w:val="18"/>
                <w:color w:val="auto"/>
              </w:rPr>
              <w:t>S-9</w:t>
            </w:r>
          </w:p>
        </w:tc>
      </w:tr>
    </w:tbl>
    <w:p>
      <w:pPr>
        <w:ind w:left="1980"/>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540" w:type="dxa"/>
            <w:vAlign w:val="bottom"/>
          </w:tcPr>
          <w:p>
            <w:pPr>
              <w:spacing w:after="0"/>
              <w:rPr>
                <w:sz w:val="17"/>
                <w:szCs w:val="17"/>
                <w:color w:val="auto"/>
              </w:rPr>
            </w:pPr>
          </w:p>
        </w:tc>
        <w:tc>
          <w:tcPr>
            <w:tcW w:w="7320" w:type="dxa"/>
            <w:vAlign w:val="bottom"/>
          </w:tcPr>
          <w:p>
            <w:pPr>
              <w:spacing w:after="0"/>
              <w:rPr>
                <w:sz w:val="17"/>
                <w:szCs w:val="17"/>
                <w:color w:val="auto"/>
              </w:rPr>
            </w:pPr>
          </w:p>
        </w:tc>
      </w:tr>
      <w:tr>
        <w:trPr>
          <w:trHeight w:val="519"/>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Global Clearance and Settlement Procedures</w:t>
            </w:r>
          </w:p>
        </w:tc>
        <w:tc>
          <w:tcPr>
            <w:tcW w:w="7320" w:type="dxa"/>
            <w:vAlign w:val="bottom"/>
          </w:tcPr>
          <w:p>
            <w:pPr>
              <w:ind w:left="50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permitted secondary market trading activity in such Notes will, therefore, be required by DTC</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to be settled in immediately available funds. None of the Company, the Trustee or the paying</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agent will have any responsibility or liability for the performance by DTC or its participants or</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indirect participants of their respective obligations under the rules and procedures governing</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their operations.</w:t>
            </w:r>
          </w:p>
        </w:tc>
      </w:tr>
      <w:tr>
        <w:trPr>
          <w:trHeight w:val="445"/>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Governing Law</w:t>
            </w:r>
          </w:p>
        </w:tc>
        <w:tc>
          <w:tcPr>
            <w:tcW w:w="7320" w:type="dxa"/>
            <w:vAlign w:val="bottom"/>
          </w:tcPr>
          <w:p>
            <w:pPr>
              <w:ind w:left="500"/>
              <w:spacing w:after="0"/>
              <w:rPr>
                <w:sz w:val="20"/>
                <w:szCs w:val="20"/>
                <w:color w:val="auto"/>
              </w:rPr>
            </w:pPr>
            <w:r>
              <w:rPr>
                <w:rFonts w:ascii="Arial" w:cs="Arial" w:eastAsia="Arial" w:hAnsi="Arial"/>
                <w:sz w:val="18"/>
                <w:szCs w:val="18"/>
                <w:color w:val="auto"/>
                <w:w w:val="89"/>
              </w:rPr>
              <w:t>The Notes and the indenture are governed by and construed in accordance with the laws of the</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State of New York.</w:t>
            </w:r>
          </w:p>
        </w:tc>
      </w:tr>
      <w:tr>
        <w:trPr>
          <w:trHeight w:val="365"/>
        </w:trPr>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320" w:type="dxa"/>
            <w:vAlign w:val="bottom"/>
          </w:tcPr>
          <w:p>
            <w:pPr>
              <w:ind w:left="1640"/>
              <w:spacing w:after="0"/>
              <w:rPr>
                <w:sz w:val="20"/>
                <w:szCs w:val="20"/>
                <w:color w:val="auto"/>
              </w:rPr>
            </w:pPr>
            <w:r>
              <w:rPr>
                <w:rFonts w:ascii="Arial" w:cs="Arial" w:eastAsia="Arial" w:hAnsi="Arial"/>
                <w:sz w:val="18"/>
                <w:szCs w:val="18"/>
                <w:color w:val="auto"/>
              </w:rPr>
              <w:t>S-10</w:t>
            </w:r>
          </w:p>
        </w:tc>
      </w:tr>
    </w:tbl>
    <w:p>
      <w:pPr>
        <w:ind w:left="1640"/>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Investing in our securities involves a number of significant risks. You should carefully consider the risks set out below and the risk factors incorporated by reference in Part I, Item 1A, “Risk Factors,” in our 2018 Annual Report and Part 1, Item IA, “Risk Factors,” in our 2019 Q1 Quarterly Report, our 2019 Q2 Quarterly Report and our 2019 Q3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2018 Annual Report and our 2019 Q1 Quarterly Report, 2019 Q2 Quarterly Report and 2019 Q3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The Notes are unsecured and therefore are effectively subordinated to any secured indebtedness we have currently incurred or may incur in the future.</w:t>
      </w:r>
    </w:p>
    <w:p>
      <w:pPr>
        <w:spacing w:after="0" w:line="62"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January 17, 2020, we had approximately $588.2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Notes are structurally subordinated to the indebtedness and other liabilities of our subsidiaries.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January 17, 2020 our total consolidated indebtedness was approximately $1,210.7 million aggregate principal amount outstanding, of which approximately $588.2 million was secured indebtedness at the TSLX level and none of which was indebtedness of our subsidiaries, and approximately $622.5 million aggregate principal amount was unsecured indebtedness.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making it more difficult for us to meet our payment and other obligations under the Notes and our other outstanding indebtedness;</w:t>
      </w:r>
    </w:p>
    <w:p>
      <w:pPr>
        <w:spacing w:after="0" w:line="142" w:lineRule="exact"/>
        <w:rPr>
          <w:rFonts w:ascii="Arial" w:cs="Arial" w:eastAsia="Arial" w:hAnsi="Arial"/>
          <w:sz w:val="17"/>
          <w:szCs w:val="17"/>
          <w:color w:val="auto"/>
        </w:rPr>
      </w:pPr>
    </w:p>
    <w:p>
      <w:pPr>
        <w:ind w:left="1180" w:right="32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and</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8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7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62"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indenture governing the Notes contains limited protection for holders of the Notes.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92" w:lineRule="exact"/>
        <w:rPr>
          <w:sz w:val="20"/>
          <w:szCs w:val="20"/>
          <w:color w:val="auto"/>
        </w:rPr>
      </w:pPr>
    </w:p>
    <w:p>
      <w:pPr>
        <w:ind w:left="1180" w:right="340" w:hanging="436"/>
        <w:spacing w:after="0" w:line="288"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ind w:left="1180"/>
        <w:spacing w:after="0" w:line="252" w:lineRule="auto"/>
        <w:rPr>
          <w:rFonts w:ascii="Arial" w:cs="Arial" w:eastAsia="Arial" w:hAnsi="Arial"/>
          <w:sz w:val="16"/>
          <w:szCs w:val="16"/>
          <w:color w:val="auto"/>
        </w:rPr>
      </w:pPr>
      <w:r>
        <w:rPr>
          <w:rFonts w:ascii="Arial" w:cs="Arial" w:eastAsia="Arial" w:hAnsi="Arial"/>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9" w:lineRule="exact"/>
        <w:rPr>
          <w:rFonts w:ascii="Arial" w:cs="Arial" w:eastAsia="Arial" w:hAnsi="Arial"/>
          <w:sz w:val="16"/>
          <w:szCs w:val="16"/>
          <w:color w:val="auto"/>
        </w:rPr>
      </w:pPr>
    </w:p>
    <w:p>
      <w:pPr>
        <w:ind w:left="1180" w:right="36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your return on the Notes.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Revolving Credit Facility or under the 2022 Convertible Notes or 2023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we are unable to repay debt, lenders having secured obligations, including the lenders under our Revolving Credit Facility, could proceed against the collateral securing the debt. Because our Revolving Credit Facility, 2022 Convertible Notes and 2023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 Repurchase Event.</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2022 Convertible Notes and 2023 Notes each contain a provision that would require us to offer to purchase the respective 2022 Convertible Notes or 2023 Notes upon the occurrence of a fundamental change.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assure that an active trading market will be maintained for the Notes.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with the Original Notes, we do not intend to apply for listing of the Reopened Notes on any securities exchange or for quotation of the Notes on any automated dealer quotation system. If no active trading market is maintained,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We estimate that the net proceeds we will receive from the sale of $50.0 million aggregate principal amount of Notes in this offering will be approximately $50.1 million, after deducting the underwriting discounts and commissions and estimated offering expenses payable by us.</w:t>
      </w:r>
    </w:p>
    <w:p>
      <w:pPr>
        <w:spacing w:after="0" w:line="12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intend to use 100% of the net proceeds of this offering to pay down a portion of the outstanding indebtedness on the Revolving Credit Facility on or about the date of the closing of this offering. As of January 17, 2020, we had $588.2 million outstanding under the Revolving Credit Facility. However, through reborrowing under the Revolving Credit Facility, we intend to make new investments in accordance with our investment objective and strategies described in this prospectus supplement and the accompanying prospectus. As of January 17, 2020, amounts outstanding under our Revolving Credit Facility bore interest at a rate of LIBOR, Euribor, CDOR or BBSY plus a margin of 1.875%. The stated maturity date of the Revolving Credit Facility is February 14, 2024. See “Management’s Discussion and Analysis of Financial Condition and Results of Operations—Financial Condition, Liquidity and Capital Resources—Revolving Credit Facility” in our 2019 Q3 Quarterly Report, which is incorporated herein by reference.</w:t>
      </w:r>
    </w:p>
    <w:p>
      <w:pPr>
        <w:spacing w:after="0" w:line="16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and as of September 30, 2019. The table does not reflect the issuance of the Original Notes on November 1, 2019 or the repayment at maturity of our 2019 Convertible Notes. The report of our independent registered public accounting firm, KPMG LLP, on the senior securities table as of December 31, 2018 is attached as an exhibit to the registration statement of which this prospectus supplement and the accompanying prospectus are a part. This information about our senior securities should be read in conjunction with our consolidated financial statements and related notes thereto and “Management’s Discussion and Analysis of Financial Condition and Results of Operations” included in our 2018 Annual Report and our 2019 Q3 Quarterly Report.</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40" w:type="dxa"/>
            <w:vAlign w:val="bottom"/>
            <w:gridSpan w:val="3"/>
          </w:tcPr>
          <w:p>
            <w:pPr>
              <w:ind w:left="880"/>
              <w:spacing w:after="0"/>
              <w:rPr>
                <w:sz w:val="20"/>
                <w:szCs w:val="20"/>
                <w:color w:val="auto"/>
              </w:rPr>
            </w:pPr>
            <w:r>
              <w:rPr>
                <w:rFonts w:ascii="Arial" w:cs="Arial" w:eastAsia="Arial" w:hAnsi="Arial"/>
                <w:sz w:val="14"/>
                <w:szCs w:val="14"/>
                <w:b w:val="1"/>
                <w:bCs w:val="1"/>
                <w:color w:val="auto"/>
                <w:w w:val="93"/>
              </w:rPr>
              <w:t>Total Amount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648"/>
              <w:spacing w:after="0"/>
              <w:rPr>
                <w:sz w:val="20"/>
                <w:szCs w:val="20"/>
                <w:color w:val="auto"/>
              </w:rPr>
            </w:pPr>
            <w:r>
              <w:rPr>
                <w:rFonts w:ascii="Arial" w:cs="Arial" w:eastAsia="Arial" w:hAnsi="Arial"/>
                <w:sz w:val="14"/>
                <w:szCs w:val="14"/>
                <w:b w:val="1"/>
                <w:bCs w:val="1"/>
                <w:color w:val="auto"/>
                <w:w w:val="98"/>
              </w:rPr>
              <w:t>Involuntary</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1"/>
              <w:spacing w:after="0" w:line="149" w:lineRule="exact"/>
              <w:rPr>
                <w:sz w:val="20"/>
                <w:szCs w:val="20"/>
                <w:color w:val="auto"/>
              </w:rPr>
            </w:pPr>
            <w:r>
              <w:rPr>
                <w:rFonts w:ascii="Arial" w:cs="Arial" w:eastAsia="Arial" w:hAnsi="Arial"/>
                <w:sz w:val="14"/>
                <w:szCs w:val="14"/>
                <w:b w:val="1"/>
                <w:bCs w:val="1"/>
                <w:color w:val="auto"/>
                <w:w w:val="94"/>
              </w:rPr>
              <w:t>Treasury</w:t>
            </w:r>
          </w:p>
        </w:tc>
        <w:tc>
          <w:tcPr>
            <w:tcW w:w="166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88"/>
              </w:rPr>
              <w:t>Asset Coverage</w:t>
            </w: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Liquidating</w:t>
            </w:r>
          </w:p>
        </w:tc>
        <w:tc>
          <w:tcPr>
            <w:tcW w:w="7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Market</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Securities(1)</w:t>
            </w:r>
          </w:p>
        </w:tc>
        <w:tc>
          <w:tcPr>
            <w:tcW w:w="16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7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740" w:type="dxa"/>
            <w:vAlign w:val="bottom"/>
            <w:gridSpan w:val="3"/>
          </w:tcPr>
          <w:p>
            <w:pPr>
              <w:ind w:left="88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Per Unit(2)</w:t>
            </w:r>
          </w:p>
        </w:tc>
        <w:tc>
          <w:tcPr>
            <w:tcW w:w="7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Per Unit(3)</w:t>
            </w:r>
          </w:p>
        </w:tc>
        <w:tc>
          <w:tcPr>
            <w:tcW w:w="1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Value Per Unit(4)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2019 (as of September 30, 2019)</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481.2</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2,207.4</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2017</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2015</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2013</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2011</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2019 (as of September 30, 2019)</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114.9</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2,207.4</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2017</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2015</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September 30, 2019)</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2018</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September 30, 2019)</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2018</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320" w:hanging="436"/>
        <w:spacing w:after="0" w:line="258"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following table sets forth our consolidated capitalization at September 30, 2019. You should read this table together with “Use of Proceeds” described in this prospectus supplement and our most recent balance sheet included elsewhere in this prospectus supplement or the accompanying prospectus, or incorporated by reference herein or therein.</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280" w:type="dxa"/>
            <w:vAlign w:val="bottom"/>
            <w:gridSpan w:val="4"/>
          </w:tcPr>
          <w:p>
            <w:pPr>
              <w:ind w:left="600"/>
              <w:spacing w:after="0"/>
              <w:rPr>
                <w:sz w:val="20"/>
                <w:szCs w:val="20"/>
                <w:color w:val="auto"/>
              </w:rPr>
            </w:pPr>
            <w:r>
              <w:rPr>
                <w:rFonts w:ascii="Arial" w:cs="Arial" w:eastAsia="Arial" w:hAnsi="Arial"/>
                <w:sz w:val="14"/>
                <w:szCs w:val="14"/>
                <w:b w:val="1"/>
                <w:bCs w:val="1"/>
                <w:color w:val="auto"/>
                <w:w w:val="97"/>
              </w:rPr>
              <w:t>As of September 30, 2019</w:t>
            </w:r>
          </w:p>
        </w:tc>
        <w:tc>
          <w:tcPr>
            <w:tcW w:w="0" w:type="dxa"/>
            <w:vAlign w:val="bottom"/>
          </w:tcPr>
          <w:p>
            <w:pPr>
              <w:spacing w:after="0"/>
              <w:rPr>
                <w:sz w:val="1"/>
                <w:szCs w:val="1"/>
                <w:color w:val="auto"/>
              </w:rPr>
            </w:pPr>
          </w:p>
        </w:tc>
      </w:tr>
      <w:tr>
        <w:trPr>
          <w:trHeight w:val="171"/>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87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Debt(1)</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Convertible Notes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2023 Notes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2024 Notes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tcPr>
          <w:p>
            <w:pPr>
              <w:spacing w:after="0" w:line="201" w:lineRule="exact"/>
              <w:rPr>
                <w:sz w:val="20"/>
                <w:szCs w:val="20"/>
                <w:color w:val="auto"/>
              </w:rPr>
            </w:pPr>
            <w:r>
              <w:rPr>
                <w:rFonts w:ascii="Arial" w:cs="Arial" w:eastAsia="Arial" w:hAnsi="Arial"/>
                <w:sz w:val="18"/>
                <w:szCs w:val="18"/>
                <w:color w:val="auto"/>
                <w:w w:val="95"/>
              </w:rPr>
              <w:t>Common stock, $0.01 par value; 400,000,000 shares authorized; 66,382,453 shares issued and 66,293,373 shares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Treasury stock at cost, 89,080 shares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earnings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1,108,258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above table reflects the principal amount of indebtedness outstanding as of September 30, 2019. As of January 17, 2020, total debt was</w:t>
      </w:r>
    </w:p>
    <w:p>
      <w:pPr>
        <w:spacing w:after="0" w:line="34" w:lineRule="exact"/>
        <w:rPr>
          <w:rFonts w:ascii="Arial" w:cs="Arial" w:eastAsia="Arial" w:hAnsi="Arial"/>
          <w:sz w:val="17"/>
          <w:szCs w:val="17"/>
          <w:color w:val="auto"/>
        </w:rPr>
      </w:pPr>
    </w:p>
    <w:p>
      <w:pPr>
        <w:ind w:left="640" w:right="40"/>
        <w:spacing w:after="0" w:line="254" w:lineRule="auto"/>
        <w:rPr>
          <w:rFonts w:ascii="Arial" w:cs="Arial" w:eastAsia="Arial" w:hAnsi="Arial"/>
          <w:sz w:val="17"/>
          <w:szCs w:val="17"/>
          <w:color w:val="auto"/>
        </w:rPr>
      </w:pPr>
      <w:r>
        <w:rPr>
          <w:rFonts w:ascii="Arial" w:cs="Arial" w:eastAsia="Arial" w:hAnsi="Arial"/>
          <w:sz w:val="18"/>
          <w:szCs w:val="18"/>
          <w:color w:val="auto"/>
        </w:rPr>
        <w:t>$1,210.7 million, after giving effect to the issuance of the $300 million aggregate principal amount of Original Notes, the repayment of our 2019 Convertible Notes upon maturity on December 15, 2019, and outstanding indebtedness under the Revolving Credit Facility of $588.2 million as of January 17, 2020. The net proceeds from the sale of the Notes are expected to be used to pay down outstanding indebtedness under the Revolving Credit Facility. See “Use of Proceeds.”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 FINANCIAL CONDITION AND RESULTS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OPERATIONS</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our 2019 Q3 Quarterly Report is incorporated herein by reference.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description of the particular terms of the 3.875% Notes due 2024 supplements and, to the extent inconsistent therewith, replaces the description of the general terms and provisions of the debt securities set forth in the accompanying prospectus.</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will issue the Reopened Notes under a base indenture dated as of January 22, 2018, between us and Wells Fargo Bank, National Association, as trustee (the “trustee”), as supplemented by a separate supplemental indenture, dated as of November 1, 2019 (the “second supplemental indenture”). We previously issued $300 million aggregate principal amount of Original Notes under the indenture on November 1, 2019. As used in this section, all references to the indenture mean the base indenture as supplemented by the second supplemental indenture. The terms of the Notes include those expressly set forth in the indenture and those made part of the indenture by reference to the Trust Indenture Act of 1939, as amended, or the TIA.</w:t>
      </w:r>
    </w:p>
    <w:p>
      <w:pPr>
        <w:spacing w:after="0" w:line="1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Reopened Notes offered hereby will be a further issuance of, be fungible with, rank equally in right of payment with and have the same terms (other than the issue date and the public offering price) as the Original Notes. The Reopened Notes offered hereby and the Original Notes will be treated as a single series for all purposes under the indenture including, without limitation, waivers, amendments, consents, redemptions and other offers to purchase and voting. Unless the context otherwise requires, for all purposes of this “Description of Notes,” references to the “Notes” include the Reopened Notes offered hereby and the Original Notes.</w:t>
      </w:r>
    </w:p>
    <w:p>
      <w:pPr>
        <w:spacing w:after="0" w:line="18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6"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Reopened Notes:</w:t>
      </w:r>
    </w:p>
    <w:p>
      <w:pPr>
        <w:spacing w:after="0" w:line="131"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our direct, general unsecured, senior obligations;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an aggregate principal amount of $50.0 million;</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have identical terms, be fungible with and be part of a single series of debt securities with the $300 million aggregate principal amount of the Original Notes issued by us in November 2019;</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mature on November 1, 2024, unless earlier redeemed or repurchased, as discussed below;</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bear cash interest from November 1, 2019 at an annual rate of 3.875% payable semi-annually on May 1 and November 1 of each year, beginning on May 1, 2020;</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1180" w:right="20" w:hanging="436"/>
        <w:spacing w:after="0" w:line="286" w:lineRule="auto"/>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Original Notes and the Reopened Notes in an unlimited aggregate principal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must either be issued in a “qualified reopening” for U.S. federal income tax purposes, with no more than a de minimis amount of original issue discount, or otherwise be part of the same issue as the Original Notes and the Reopened Notes for U.S. federal income tax purposes. The $50.0 million aggregate principal amount of Reopened Notes offered hereby will be issued as additional Notes under the indenture.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4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Notes bear cash interest at a rate of 3.875% per year until maturity. Interest on the Reopened Notes will accrue from November 1, 2019 or from the most recent date on which interest has been paid or duly provided for. Interest is payable semiannually in arrears on May 1 and November 1 of each year, beginning on May 1, 2020.</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Interest will be paid to the person in whose name a Note is registered at 5:00 p.m. New York City time (the “close of business”) on April 15 or October 15 (whether or not a business day), as the case may be, immediately preceding the relevant interest payment date. Interest on the Notes will be computed on the basis of a 360-day year composed of twelve 30-day months.</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are our direct, general unsecured obligations that rank:</w:t>
      </w:r>
    </w:p>
    <w:p>
      <w:pPr>
        <w:spacing w:after="0" w:line="131" w:lineRule="exact"/>
        <w:rPr>
          <w:sz w:val="20"/>
          <w:szCs w:val="20"/>
          <w:color w:val="auto"/>
        </w:rPr>
      </w:pPr>
    </w:p>
    <w:p>
      <w:pPr>
        <w:ind w:left="1180" w:right="58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pari passu, or equal, in right of payment with all of our existing and future indebtedness or other obligations that are not so subordinated, or junior, including, without limitation, as of January 17, 2020, approximately $172.5 million aggregate principal amount of outstanding indebtedness under our 2022 Convertible Notes and approximately $150.0 million aggregate principal amount of outstanding indebtedness under our 2023 Notes;</w:t>
      </w:r>
    </w:p>
    <w:p>
      <w:pPr>
        <w:spacing w:after="0" w:line="92" w:lineRule="exact"/>
        <w:rPr>
          <w:rFonts w:ascii="Arial" w:cs="Arial" w:eastAsia="Arial" w:hAnsi="Arial"/>
          <w:sz w:val="18"/>
          <w:szCs w:val="18"/>
          <w:color w:val="auto"/>
        </w:rPr>
      </w:pPr>
    </w:p>
    <w:p>
      <w:pPr>
        <w:ind w:left="1180" w:right="80" w:hanging="436"/>
        <w:spacing w:after="0" w:line="312"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$588.2 million aggregate principal amount of outstanding indebtedness as of January 17, 2020 under the Revolving Credit Facility; and</w:t>
      </w:r>
    </w:p>
    <w:p>
      <w:pPr>
        <w:spacing w:after="0" w:line="52" w:lineRule="exact"/>
        <w:rPr>
          <w:rFonts w:ascii="Arial" w:cs="Arial" w:eastAsia="Arial" w:hAnsi="Arial"/>
          <w:sz w:val="16"/>
          <w:szCs w:val="16"/>
          <w:color w:val="auto"/>
        </w:rPr>
      </w:pPr>
    </w:p>
    <w:p>
      <w:pPr>
        <w:ind w:left="1180" w:right="8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of January 17, 2020, our total consolidated indebtedness was approximately $1,210.7 million aggregate principal amount outstanding, of which approximately $588.2 million was secured indebtedness at the TSLX level and none of which was indebtedness of our subsidiaries. After giving effect to the issuance of the Reopened Notes, and assuming the net proceeds therefrom are used to repay outstanding borrowings under the Revolving Credit Facility, our total consolidated indebtedness would have been approximately $1,210.6 million aggregate principal amount outstanding as of January 17, 2020. See “Capitalization.”</w:t>
      </w:r>
    </w:p>
    <w:p>
      <w:pPr>
        <w:spacing w:after="0" w:line="18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40 basis points;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however, that if we redeem any Notes on or after October 1, 2024 (the date falling one month prior to the maturity date of the Notes), the</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price for the Notes will be equal to 100% of the principal amount of the Notes to be redeemed, plus accrued and unpaid interest, if any, to, but excluding, the date of redemption. Calculation of the redemption price will be made by us or on our behalf by such person as we shall designate; provided that such calculation or the correctness thereof shall not be a duty or obligation of the trustee.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we choose to redeem any Notes, we will deliver a notice of redemption to holders of Notes not less than 30 nor more than 60 days before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redemption date. Any exercise of our option to redeem the Notes will be done in compliance with the 1940 Act. If we are redeeming less than all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 the particular Notes to be redeemed will be selected by the trustee in accordance with the applicable procedures of DTC and in accordance with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the 1940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no such partial redemption shall reduce the portion of the principal amount of a Note not redeemed to less than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$2,000. Unless we default in payment of the redemption price, on and after the redemption date, interest will cease to accrue on the Notes or portions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 called for redemption.</w:t>
      </w:r>
    </w:p>
    <w:p>
      <w:pPr>
        <w:spacing w:after="0" w:line="21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62"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200" w:right="580" w:firstLine="441"/>
        <w:spacing w:after="0" w:line="312" w:lineRule="auto"/>
        <w:rPr>
          <w:sz w:val="20"/>
          <w:szCs w:val="20"/>
          <w:color w:val="auto"/>
        </w:rPr>
      </w:pPr>
      <w:r>
        <w:rPr>
          <w:rFonts w:ascii="Arial" w:cs="Arial" w:eastAsia="Arial" w:hAnsi="Arial"/>
          <w:sz w:val="16"/>
          <w:szCs w:val="16"/>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22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“Reference Treasury Dealer” means (1) BofA Securities, Inc. or its respective affiliates which are primary U.S. government securities dealers in the United States (a “Primary Treasury Dealer”) and their respective successors;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the foregoing or its affiliates shall cease to be a Primary Treasury Dealer, we shall select another Primary Treasury Dealer, and (2) three other Primary Treasury Dealers selected by us.</w:t>
      </w:r>
    </w:p>
    <w:p>
      <w:pPr>
        <w:spacing w:after="0" w:line="14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If a Change of Control Repurchase Event occurs, unless we have exercised our right to redeem the Notes in full, we will make an offer to each holder of Notes to repurchase all or any part (in minimum denominations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180" w:hanging="54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180" w:right="56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2022 Convertible Notes and the 2023 Notes each contains a provision that would require us to offer to purchase the respective 2022 Convertible Notes or 2023 Notes upon the occurrence of a fundamental change. A failure to purchase any tendered 2022 Convertible Notes or 2023 Notes would constitute an event of default under the applicable indenture, which would, in turn, constitute a default under our credit facility and the indenture. See “Management’s Discussion and Analysis of Financial Condition and Results of Operations— Financial Condition, Liquidity and Capital Resources” in our 2019 Q3 Quarterly Report, which is incorporated by reference herein, for a general discussion of our indebtedness. Our</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73"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Notes: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180" w:right="60" w:hanging="544"/>
        <w:spacing w:after="0" w:line="25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93" w:lineRule="exact"/>
        <w:rPr>
          <w:rFonts w:ascii="Arial" w:cs="Arial" w:eastAsia="Arial" w:hAnsi="Arial"/>
          <w:sz w:val="18"/>
          <w:szCs w:val="18"/>
          <w:color w:val="auto"/>
        </w:rPr>
      </w:pPr>
    </w:p>
    <w:p>
      <w:pPr>
        <w:jc w:val="both"/>
        <w:ind w:left="1180" w:right="140" w:hanging="544"/>
        <w:spacing w:after="0" w:line="279" w:lineRule="auto"/>
        <w:tabs>
          <w:tab w:leader="none" w:pos="1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76" w:lineRule="exact"/>
        <w:rPr>
          <w:rFonts w:ascii="Arial" w:cs="Arial" w:eastAsia="Arial" w:hAnsi="Arial"/>
          <w:sz w:val="17"/>
          <w:szCs w:val="17"/>
          <w:color w:val="auto"/>
        </w:rPr>
      </w:pPr>
    </w:p>
    <w:p>
      <w:pPr>
        <w:ind w:left="1180" w:hanging="544"/>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“Controlled Subsidiary” means any subsidiary of TSLX, 50% or more of the outstanding equity interests of which are owned by TSLX and its direct or indirect subsidiaries and of which TSLX possesses, directly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indirectly, the power to direct or cause the direction of the management or policies, whether through the ownership of voting equity interests, by agreement or otherwise.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“Fitch” means Fitch Ratings, Inc., also known as Fitch Ratings, or any successor thereto.</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“Moody’s” means Moody’s Investor Service, or any successor thereto.</w:t>
      </w:r>
    </w:p>
    <w:p>
      <w:pPr>
        <w:spacing w:after="0" w:line="225"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“Permitted Holders” means (i) us, (ii) one or more of our Controlled Subsidiaries and (iii) TSL Advisers LLC or any affiliate of TSL Advisers LLC that is organized under the laws of a jurisdiction located in the United States of America and in the business of managing or advising clients.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180" w:hanging="544"/>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Fitch, Moody’s and S&amp;P; and</w:t>
      </w:r>
    </w:p>
    <w:p>
      <w:pPr>
        <w:spacing w:after="0" w:line="130" w:lineRule="exact"/>
        <w:rPr>
          <w:rFonts w:ascii="Arial" w:cs="Arial" w:eastAsia="Arial" w:hAnsi="Arial"/>
          <w:sz w:val="18"/>
          <w:szCs w:val="18"/>
          <w:color w:val="auto"/>
        </w:rPr>
      </w:pPr>
    </w:p>
    <w:p>
      <w:pPr>
        <w:ind w:left="1180" w:right="40" w:hanging="544"/>
        <w:spacing w:after="0" w:line="264"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“S&amp;P” means S&amp;P Global Ratings or any successor thereto.</w:t>
      </w:r>
    </w:p>
    <w:p>
      <w:pPr>
        <w:spacing w:after="0" w:line="225"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92" w:lineRule="exact"/>
        <w:rPr>
          <w:sz w:val="20"/>
          <w:szCs w:val="20"/>
          <w:color w:val="auto"/>
        </w:rPr>
      </w:pPr>
    </w:p>
    <w:p>
      <w:pPr>
        <w:ind w:left="1180" w:right="60" w:hanging="436"/>
        <w:spacing w:after="0" w:line="26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6" w:lineRule="exact"/>
        <w:rPr>
          <w:rFonts w:ascii="Arial" w:cs="Arial" w:eastAsia="Arial" w:hAnsi="Arial"/>
          <w:sz w:val="18"/>
          <w:szCs w:val="18"/>
          <w:color w:val="auto"/>
        </w:rPr>
      </w:pPr>
    </w:p>
    <w:p>
      <w:pPr>
        <w:ind w:left="1180" w:right="58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Surviving Person (if other than us) expressly assumes, by supplemental indenture in form reasonably satisfactory to the trustee, executed and delivered to the trustee by such Surviving Person,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spacing w:after="0" w:line="277" w:lineRule="auto"/>
        <w:rPr>
          <w:sz w:val="20"/>
          <w:szCs w:val="20"/>
          <w:color w:val="auto"/>
        </w:rPr>
      </w:pPr>
      <w:r>
        <w:rPr>
          <w:rFonts w:ascii="Arial" w:cs="Arial" w:eastAsia="Arial" w:hAnsi="Arial"/>
          <w:sz w:val="18"/>
          <w:szCs w:val="18"/>
          <w:color w:val="auto"/>
        </w:rPr>
        <w:t>the due and punctual payment of the principal of, and premium, if any, and interest on, all the Notes outstanding, and the due and punctual performance and observance of all the covenants and conditions of the indenture to be performed by us;</w:t>
      </w:r>
    </w:p>
    <w:p>
      <w:pPr>
        <w:spacing w:after="0" w:line="76" w:lineRule="exact"/>
        <w:rPr>
          <w:sz w:val="20"/>
          <w:szCs w:val="20"/>
          <w:color w:val="auto"/>
        </w:rPr>
      </w:pPr>
    </w:p>
    <w:p>
      <w:pPr>
        <w:ind w:left="1180" w:right="16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5"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80" w:right="320" w:hanging="436"/>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6" w:lineRule="exact"/>
        <w:rPr>
          <w:rFonts w:ascii="Arial" w:cs="Arial" w:eastAsia="Arial" w:hAnsi="Arial"/>
          <w:sz w:val="18"/>
          <w:szCs w:val="18"/>
          <w:color w:val="auto"/>
        </w:rPr>
      </w:pPr>
    </w:p>
    <w:p>
      <w:pPr>
        <w:ind w:left="1180" w:right="60" w:hanging="436"/>
        <w:spacing w:after="0" w:line="25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180" w:hanging="544"/>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when due and payable and the default continues for a period of 30 days;</w:t>
      </w:r>
    </w:p>
    <w:p>
      <w:pPr>
        <w:spacing w:after="0" w:line="130" w:lineRule="exact"/>
        <w:rPr>
          <w:rFonts w:ascii="Arial" w:cs="Arial" w:eastAsia="Arial" w:hAnsi="Arial"/>
          <w:sz w:val="18"/>
          <w:szCs w:val="18"/>
          <w:color w:val="auto"/>
        </w:rPr>
      </w:pPr>
    </w:p>
    <w:p>
      <w:pPr>
        <w:ind w:left="1180" w:right="300" w:hanging="544"/>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 w:hanging="544"/>
        <w:spacing w:after="0" w:line="264"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6" w:lineRule="exact"/>
        <w:rPr>
          <w:rFonts w:ascii="Arial" w:cs="Arial" w:eastAsia="Arial" w:hAnsi="Arial"/>
          <w:sz w:val="18"/>
          <w:szCs w:val="18"/>
          <w:color w:val="auto"/>
        </w:rPr>
      </w:pPr>
    </w:p>
    <w:p>
      <w:pPr>
        <w:ind w:left="1180" w:right="320" w:hanging="544"/>
        <w:spacing w:after="0" w:line="291"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180" w:right="60"/>
        <w:spacing w:after="0" w:line="268" w:lineRule="auto"/>
        <w:rPr>
          <w:rFonts w:ascii="Arial" w:cs="Arial" w:eastAsia="Arial" w:hAnsi="Arial"/>
          <w:sz w:val="16"/>
          <w:szCs w:val="16"/>
          <w:color w:val="auto"/>
        </w:rPr>
      </w:pPr>
      <w:r>
        <w:rPr>
          <w:rFonts w:ascii="Arial" w:cs="Arial" w:eastAsia="Arial" w:hAnsi="Arial"/>
          <w:sz w:val="17"/>
          <w:szCs w:val="17"/>
          <w:color w:val="auto"/>
        </w:rPr>
        <w:t>(c) is not consolidated with TSLX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89" w:lineRule="exact"/>
        <w:rPr>
          <w:rFonts w:ascii="Arial" w:cs="Arial" w:eastAsia="Arial" w:hAnsi="Arial"/>
          <w:sz w:val="16"/>
          <w:szCs w:val="16"/>
          <w:color w:val="auto"/>
        </w:rPr>
      </w:pPr>
    </w:p>
    <w:p>
      <w:pPr>
        <w:ind w:left="1180" w:right="80" w:hanging="544"/>
        <w:spacing w:after="0" w:line="312"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2" w:lineRule="exact"/>
        <w:rPr>
          <w:rFonts w:ascii="Arial" w:cs="Arial" w:eastAsia="Arial" w:hAnsi="Arial"/>
          <w:sz w:val="16"/>
          <w:szCs w:val="16"/>
          <w:color w:val="auto"/>
        </w:rPr>
      </w:pPr>
    </w:p>
    <w:p>
      <w:pPr>
        <w:ind w:left="1180" w:right="420" w:hanging="544"/>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occur and remain undischarged or unstayed for a period of 90 days.</w:t>
      </w:r>
    </w:p>
    <w:p>
      <w:pPr>
        <w:spacing w:after="0" w:line="17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5540" w:right="1460" w:hanging="4904"/>
        <w:spacing w:after="0" w:line="449" w:lineRule="auto"/>
        <w:tabs>
          <w:tab w:leader="none" w:pos="1172"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 S-28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6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180" w:right="16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after the Notes have become due and payable, or otherwise, moneys sufficient to pay all of the outstanding Notes and paying all other sums payable under the indenture by us. Such discharge is subject to terms contained in the indenture.</w:t>
      </w:r>
    </w:p>
    <w:p>
      <w:pPr>
        <w:spacing w:after="0" w:line="17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Wells Fargo Bank, National Association is the trustee, security registrar and paying agent. Wells Fargo Bank, National Association, in each of its capacities, including without limitation as trustee, security registrar and paying agent, assumes no responsibility for the accuracy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may maintain banking relationships in the ordinary course of business with the trustee and its affiliates. Wells Fargo Securities, LLC, one of the underwriters, is an affiliate of the trustee.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Reopened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80" w:right="10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underwriters are responsible for those operations or procedures.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7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180" w:right="20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5540" w:right="220" w:hanging="4796"/>
        <w:spacing w:after="0" w:line="449" w:lineRule="auto"/>
        <w:tabs>
          <w:tab w:leader="none" w:pos="11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and a successor depositary is not appointed within 90 days; or S-32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40"/>
          </w:cols>
          <w:pgMar w:left="24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discussion is a summary of the material U.S. federal income tax considerations that are likely to be relevant to the purchase, ownership and disposition of the Reopened Notes. References in this summary to the “Notes” mean the Reopened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84"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trusts;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persons holding Notes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who hold our stock or Notes on behalf of another person as a nominee;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Nonresident alien individuals present in the United States for more than 182 days in a taxable year;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Holders (as defined below) who have a “functional currency” other than the U.S. dollar.</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and gift tax consequences, the Medicare tax on net investment income and the alternative minimum tax) or any state, local or foreign tax consequences.</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U.S. federal income tax purposes, an individual who is a citizen or resident of the United States or a domestic corporation or otherwise subject to U.S. federal income tax on a net income basis in respect of the Notes. The term “non-U.S. Holder” means a beneficial owner of a Note that is not a U.S. Holder. 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For U.S. federal income tax purposes, we intend to treat the Notes as issued in a “qualified reopening” of the Original Notes. For U.S. federal income tax purposes, debt instruments issued in a qualified reopening are deemed to be part of the same issue as the original debt instruments. Assuming the treatment described in this paragraph applies, (1) the Notes will have the same issue date, the same issue price and the same adjusted issue price as the Original Notes for U.S. federal income tax purposes, and (2) under the qualified reopening rules, because the Original Notes were not issued with “original issue discount” for U.S. federal income tax purposes, the Notes issued hereby also will not have original issue discount. The remainder of this discussion assumes that the Notes offered hereby are issued in a qualified reopening.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to U.S. Holders of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Book/Tax Conformity</w:t>
      </w:r>
    </w:p>
    <w:p>
      <w:pPr>
        <w:spacing w:after="0" w:line="117"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U.S. Holders that use an accrual method of accounting for tax purposes (“accrual method holders”) generally are required to include certain amounts in income no later than the time such amounts are reflected on certain financial statements (the “book/tax conformity rule”). The application of the book/tax conformity rule thus may require the accrual of income earlier than would be the case under the general tax rules described below. It is not entirely clear to what types of income the book/tax conformity rule applies, or, in some cases, how the rule is to be applied if it is applicable. However, recently released proposed regulations generally would exclude, among other items, original issue discount and market discount (in either case, whether or not de minimis) from the applicability of the book/tax conformity rule. Although the proposed regulations generally will not be effective until taxable years beginning after the date on which they are issued in final form, taxpayers generally are permitted to elect to rely on their provisions currently.</w:t>
      </w:r>
    </w:p>
    <w:p>
      <w:pPr>
        <w:spacing w:after="0" w:line="3"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Accrual method holders should consult with their tax advisors regarding the potential applicability of the book/tax conformity rule to their particular situation.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Stated interest on the Notes will generally be includible in the income of a U.S. Holder as ordinary income at the time the interest is received or accrued in accordance with the U.S. Holder’s method of accounting for U.S. federal income tax purposes. It is anticipated, and this discussion assumes, that the Notes will be issued with no more than a de minimis amount of original issue discount (within the meaning of the applicable Treasury regulations). If, however, the Notes are issued for an amount less than the principal amount and the difference is more than a de minimis amount, and the Notes were not to be treated as issued in a qualified reopening of the Original Notes, a U.S. Holder will be required to include the difference in income as original issue discount in accordance with a “constant-yield method” before the receipt of cash attributable to such income, regardless of the U.S. Holder’s regular method of accounting for U.S. income tax purposes. A U.S. Holder is urged to consult its own tax advisor in the event the Notes are issued with original issue discount.</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Bond Premium</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If a U.S. Holder purchases a Note in this offering at a price (excluding any pre-issuance accrued interest excluded from the purchase price) that exceeds the stated principal amount of the Note, such holder will be considered to have purchased the Note with amortizable bond premium equal to the amount of that excess. A U.S. Holder generally may elect to amortize the premium using a constant yield method over the remaining term of the Note as an offset to interest when included in income in accordance with such holder’s regular method of tax accounting. This election to amortize premium on a constant yield method will apply to all debt obligations (other than debt obligations the interest on which is excludable from gross income) held by such holder as of the beginning of, or acquired during or after, the first taxable year for which the election applies and may not be revoked without the consent of the Internal Revenue Service, or the IRS. If a U.S. Holder makes the election to amortize bond premium with respect to a Note, such holder will be required to reduce its adjusted tax basis in such Note by the amount of the premium amortized. If a U.S. Holder does not elect to amortize bond premium, that premium will decrease the gain or increase the loss such holder would otherwise recognize on the sale,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exchange, redemption, retirement or other taxable disposition of the Note. Prospective investors should consult their own tax advisors regarding this election.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Notes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 U.S. Holder will generally recognize taxable gain or loss upon the sale, exchange, retirement or other taxable disposition of a Note equal to the difference between the amount received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to Non-U.S. Holders of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76" w:lineRule="exact"/>
        <w:rPr>
          <w:sz w:val="20"/>
          <w:szCs w:val="20"/>
          <w:color w:val="auto"/>
        </w:rPr>
      </w:pPr>
    </w:p>
    <w:p>
      <w:pPr>
        <w:ind w:left="1180" w:right="28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75"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sufficient stock ownership; and</w:t>
      </w:r>
    </w:p>
    <w:p>
      <w:pPr>
        <w:spacing w:after="0" w:line="75" w:lineRule="exact"/>
        <w:rPr>
          <w:rFonts w:ascii="Arial" w:cs="Arial" w:eastAsia="Arial" w:hAnsi="Arial"/>
          <w:sz w:val="18"/>
          <w:szCs w:val="18"/>
          <w:color w:val="auto"/>
        </w:rPr>
      </w:pPr>
    </w:p>
    <w:p>
      <w:pPr>
        <w:ind w:left="1180" w:right="60" w:hanging="436"/>
        <w:spacing w:after="0" w:line="259"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provides its name and address, and certifies, under penalties of perjury, that it is not a U.S. person (which certification may be made on an IRS W-8BEN or IRS W-8BEN-E (or successor form, in each case)) or (b) the Non-U.S. Holder holds the Notes through certain foreign intermediaries or certain foreign partnerships, and satisfies the certification requirements of applicable Treasury Regulations.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Exchange or Retirement of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 Non-U.S. Holder generally will not be subject to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on gain recognized on a sale, exchange or retirement of Notes.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on the Notes made to, and the proceeds of dispositions of Notes effected by, certain U.S. Holders. In addition, certain U.S. Holders may be subject to backup withholding tax in respect of such payments if they do not provide their taxpayer identification numbers to the person from whom they receive payments. Non-U.S. Holders generally are exempt from information reporting and backup withholding, provided, if necessary, that they demonstrate their qualification for exemption. Any amounts withheld under the backup withholding rules from a payment to a U.S. or Non-U.S. Holder generally would be allowed as a refund or a credit against such Holder’s U.S. federal income tax provided the required information is timely furnished to the IRS.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Under certain circumstances, the Foreign Account Tax Compliance provisions of the United States Hiring Incentives to Restore Employment Act (“FATCA”) will impose a withholding tax of 30% on payments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An intergovernmental agreement between the United States and an applicable foreign country, or future Treasury Regulations or other guidance, may modify these requirements. Accordingly, the entity through which the Notes are held will affect the determination of whether such withholding is required.</w:t>
      </w:r>
    </w:p>
    <w:p>
      <w:pPr>
        <w:spacing w:after="0" w:line="189"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 Prospective holders should consult their own tax advisors regarding the potential application of withholding under FATCA to their investment in the Notes.</w:t>
      </w:r>
    </w:p>
    <w:p>
      <w:pPr>
        <w:spacing w:after="0" w:line="27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9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58"/>
        </w:trPr>
        <w:tc>
          <w:tcPr>
            <w:tcW w:w="90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8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ICBC Standard Bank Plc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Janney Montgomery Scott LLC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Santander Investment Securities Inc.</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we are to pay to the underwriters in connection with this offering.</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 Note</w:t>
            </w: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102.075%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51,037,500.00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3680" w:type="dxa"/>
            <w:vAlign w:val="bottom"/>
            <w:gridSpan w:val="3"/>
          </w:tcPr>
          <w:p>
            <w:pPr>
              <w:jc w:val="right"/>
              <w:ind w:right="18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3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101.075%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50,537,500.00</w:t>
            </w:r>
          </w:p>
        </w:tc>
        <w:tc>
          <w:tcPr>
            <w:tcW w:w="6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680" w:type="dxa"/>
            <w:vAlign w:val="bottom"/>
            <w:gridSpan w:val="3"/>
          </w:tcPr>
          <w:p>
            <w:pPr>
              <w:jc w:val="right"/>
              <w:ind w:right="2580"/>
              <w:spacing w:after="0"/>
              <w:rPr>
                <w:sz w:val="20"/>
                <w:szCs w:val="20"/>
                <w:color w:val="auto"/>
              </w:rPr>
            </w:pPr>
            <w:r>
              <w:rPr>
                <w:rFonts w:ascii="Arial" w:cs="Arial" w:eastAsia="Arial" w:hAnsi="Arial"/>
                <w:sz w:val="18"/>
                <w:szCs w:val="18"/>
                <w:color w:val="auto"/>
              </w:rPr>
              <w:t>S-38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The underwriters propose to offer some of the Notes to the public at the public offering price set forth on the cover page of this prospectus supplement, plus accrued interest of $505,902.78 in the aggregate from November 1, 2019 up to, but not including, the date of delivery, and some of the Notes to certain other Financial Industry Regulatory Authority, or FINRA, members at the public offering price less a concession not in excess</w:t>
      </w:r>
    </w:p>
    <w:p>
      <w:pPr>
        <w:ind w:left="200" w:right="60"/>
        <w:spacing w:after="0" w:line="302" w:lineRule="auto"/>
        <w:rPr>
          <w:sz w:val="20"/>
          <w:szCs w:val="20"/>
          <w:color w:val="auto"/>
        </w:rPr>
      </w:pPr>
      <w:r>
        <w:rPr>
          <w:rFonts w:ascii="Arial" w:cs="Arial" w:eastAsia="Arial" w:hAnsi="Arial"/>
          <w:sz w:val="16"/>
          <w:szCs w:val="16"/>
          <w:color w:val="auto"/>
        </w:rPr>
        <w:t>of 0.600% of the aggregate principal amount of the Notes. The underwriters may allow, and the dealers may reallow, a discount not in excess of 0.400%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expenses of the offering, not including the underwriting discount, are estimated at $0.4 million and are payable by 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While a limited trading market developed after the issuance of the Original Notes, we cannot assure that an active trading market for the Notes will be maintained or will exist at all. As with the Original Notes, the Reopened Notes will not be listed on any securities exchange or quoted on any automated dealer quotation system.</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continue to make a market in the Notes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the active public trading market for the Notes is not maintained, the market price and liquidity of the Notes may be adversely affected.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5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8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Goldman Sachs &amp; Co. LLC is also acting as our agent for the Company 10b5-1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Wells Fargo Securities, LLC, one of the underwriters, is an affiliate of the trustee.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Affiliates of certain of the underwriters may be limited partners of investment funds affiliated with TPG.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February 5, 2020, which will be the fifth business day following the date hereof. Under Rule 15c6-1 under the Exchange Act,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business address of BofA Securities, Inc. is One Bryant Park, New York, NY 10036.</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19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w:t>
      </w:r>
    </w:p>
    <w:p>
      <w:pPr>
        <w:spacing w:after="0" w:line="2" w:lineRule="exact"/>
        <w:rPr>
          <w:sz w:val="20"/>
          <w:szCs w:val="20"/>
          <w:color w:val="auto"/>
        </w:rPr>
      </w:pPr>
    </w:p>
    <w:p>
      <w:pPr>
        <w:ind w:left="200" w:right="160" w:firstLine="4"/>
        <w:spacing w:after="0" w:line="269" w:lineRule="auto"/>
        <w:tabs>
          <w:tab w:leader="none" w:pos="54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the Notes. This prospectus supplement and the accompanying prospectus is not a prospectus for the purposes of the Prospectus Regulation.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document is only being distributed to and is only directed at (i) persons who are outside the United Kingdom or (ii) investment professionals falling within Article 19 (5)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Any Notes will only be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180" w:right="100" w:hanging="544"/>
        <w:spacing w:after="0" w:line="279" w:lineRule="auto"/>
        <w:tabs>
          <w:tab w:leader="none" w:pos="1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received by it in connection with the issue or sale of any Notes which are the subject of the offering contemplated by this prospectus supplement in circumstances in which Section 21(1) of the Financial Services and Markets Act 2000 does not apply to us; and</w:t>
      </w:r>
    </w:p>
    <w:p>
      <w:pPr>
        <w:spacing w:after="0" w:line="76" w:lineRule="exact"/>
        <w:rPr>
          <w:rFonts w:ascii="Arial" w:cs="Arial" w:eastAsia="Arial" w:hAnsi="Arial"/>
          <w:sz w:val="17"/>
          <w:szCs w:val="17"/>
          <w:color w:val="auto"/>
        </w:rPr>
      </w:pPr>
    </w:p>
    <w:p>
      <w:pPr>
        <w:ind w:left="1180" w:right="300" w:hanging="544"/>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Financial Services and Markets Act 2000 with respect to anything done by it in relation to the Notes in, from or otherwise involving the United Kingdom.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left="200" w:right="220" w:firstLine="441"/>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prospectus supplement has been prepared in reliance on section 3A.3 of National Instrument 33-105 </w:t>
      </w:r>
      <w:r>
        <w:rPr>
          <w:rFonts w:ascii="Arial" w:cs="Arial" w:eastAsia="Arial" w:hAnsi="Arial"/>
          <w:sz w:val="17"/>
          <w:szCs w:val="17"/>
          <w:b w:val="1"/>
          <w:bCs w:val="1"/>
          <w:i w:val="1"/>
          <w:iCs w:val="1"/>
          <w:color w:val="auto"/>
        </w:rPr>
        <w:t>Underwriting Conflicts</w:t>
      </w:r>
      <w:r>
        <w:rPr>
          <w:rFonts w:ascii="Arial" w:cs="Arial" w:eastAsia="Arial" w:hAnsi="Arial"/>
          <w:sz w:val="17"/>
          <w:szCs w:val="17"/>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Arial" w:cs="Arial" w:eastAsia="Arial" w:hAnsi="Arial"/>
          <w:sz w:val="16"/>
          <w:szCs w:val="16"/>
          <w:i w:val="1"/>
          <w:iCs w:val="1"/>
          <w:color w:val="auto"/>
        </w:rPr>
        <w:t xml:space="preserve">Prospectus Exemptions </w:t>
      </w:r>
      <w:r>
        <w:rPr>
          <w:rFonts w:ascii="Arial" w:cs="Arial" w:eastAsia="Arial" w:hAnsi="Arial"/>
          <w:sz w:val="16"/>
          <w:szCs w:val="16"/>
          <w:color w:val="auto"/>
        </w:rPr>
        <w:t>or, in Ontario, as such term is defined in section 73.3(1) of the</w:t>
      </w:r>
      <w:r>
        <w:rPr>
          <w:rFonts w:ascii="Arial" w:cs="Arial" w:eastAsia="Arial" w:hAnsi="Arial"/>
          <w:sz w:val="16"/>
          <w:szCs w:val="16"/>
          <w:i w:val="1"/>
          <w:iCs w:val="1"/>
          <w:color w:val="auto"/>
        </w:rPr>
        <w:t xml:space="preserve"> Securities Act </w:t>
      </w:r>
      <w:r>
        <w:rPr>
          <w:rFonts w:ascii="Arial" w:cs="Arial" w:eastAsia="Arial" w:hAnsi="Arial"/>
          <w:sz w:val="16"/>
          <w:szCs w:val="16"/>
          <w:color w:val="auto"/>
        </w:rPr>
        <w:t>(Ontario); and (iii) a “permitted client”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is defined in section 1.1 of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Any discussion of taxation and related matters contained in this prospectus supplement does not purport to be a comprehensive description of all of the tax considerations that may be relevant to a Canadian investor when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Arial" w:cs="Arial" w:eastAsia="Arial" w:hAnsi="Arial"/>
          <w:sz w:val="18"/>
          <w:szCs w:val="18"/>
          <w:i w:val="1"/>
          <w:iCs w:val="1"/>
          <w:color w:val="auto"/>
        </w:rPr>
        <w:t>Ontario Prospectus and Registration Exemptions</w:t>
      </w:r>
      <w:r>
        <w:rPr>
          <w:rFonts w:ascii="Arial" w:cs="Arial" w:eastAsia="Arial" w:hAnsi="Arial"/>
          <w:sz w:val="18"/>
          <w:szCs w:val="18"/>
          <w:color w:val="auto"/>
        </w:rPr>
        <w:t xml:space="preserve"> and in Multilateral Instrument 45-107 </w:t>
      </w:r>
      <w:r>
        <w:rPr>
          <w:rFonts w:ascii="Arial" w:cs="Arial" w:eastAsia="Arial" w:hAnsi="Arial"/>
          <w:sz w:val="18"/>
          <w:szCs w:val="18"/>
          <w:i w:val="1"/>
          <w:iCs w:val="1"/>
          <w:color w:val="auto"/>
        </w:rPr>
        <w:t>Listing Representation and Statutory</w:t>
      </w:r>
      <w:r>
        <w:rPr>
          <w:rFonts w:ascii="Arial" w:cs="Arial" w:eastAsia="Arial" w:hAnsi="Arial"/>
          <w:sz w:val="18"/>
          <w:szCs w:val="18"/>
          <w:color w:val="auto"/>
        </w:rPr>
        <w:t xml:space="preserve"> </w:t>
      </w:r>
      <w:r>
        <w:rPr>
          <w:rFonts w:ascii="Arial" w:cs="Arial" w:eastAsia="Arial" w:hAnsi="Arial"/>
          <w:sz w:val="18"/>
          <w:szCs w:val="18"/>
          <w:i w:val="1"/>
          <w:iCs w:val="1"/>
          <w:color w:val="auto"/>
        </w:rPr>
        <w:t>Rights of Action Disclosure Exemptions</w:t>
      </w:r>
      <w:r>
        <w:rPr>
          <w:rFonts w:ascii="Arial" w:cs="Arial" w:eastAsia="Arial" w:hAnsi="Arial"/>
          <w:sz w:val="18"/>
          <w:szCs w:val="18"/>
          <w:color w:val="auto"/>
        </w:rPr>
        <w:t>, as applicable, with a remedy for damages or rescission, or both, in addition to any other rights they may have at</w:t>
      </w:r>
      <w:r>
        <w:rPr>
          <w:rFonts w:ascii="Arial" w:cs="Arial" w:eastAsia="Arial" w:hAnsi="Arial"/>
          <w:sz w:val="18"/>
          <w:szCs w:val="18"/>
          <w:i w:val="1"/>
          <w:iCs w:val="1"/>
          <w:color w:val="auto"/>
        </w:rPr>
        <w:t xml:space="preserve"> </w:t>
      </w:r>
      <w:r>
        <w:rPr>
          <w:rFonts w:ascii="Arial" w:cs="Arial" w:eastAsia="Arial" w:hAnsi="Arial"/>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w:t>
      </w:r>
      <w:r>
        <w:rPr>
          <w:rFonts w:ascii="Arial" w:cs="Arial" w:eastAsia="Arial" w:hAnsi="Arial"/>
          <w:sz w:val="17"/>
          <w:szCs w:val="17"/>
          <w:color w:val="auto"/>
        </w:rPr>
        <w:t xml:space="preserve"> </w:t>
      </w:r>
      <w:r>
        <w:rPr>
          <w:rFonts w:ascii="Arial" w:cs="Arial" w:eastAsia="Arial" w:hAnsi="Arial"/>
          <w:sz w:val="17"/>
          <w:szCs w:val="17"/>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Netherlands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Each underwriter, severally and not jointly, has agreed that it has not offered or sold, and will not offer or sell, the Notes to the public in The Netherlands, other than exclusively to qualified investors (gekwalificeerde beleggers) within the meaning of the Financial Supervision Act (Wet op het financieel toezicht).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Neither this prospectus supplement nor the accompanying prospectus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the accompanying prospectus has been or will be:</w:t>
      </w:r>
    </w:p>
    <w:p>
      <w:pPr>
        <w:spacing w:after="0" w:line="92"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 Such offers, sales and distributions will be made in France only:</w:t>
      </w:r>
    </w:p>
    <w:p>
      <w:pPr>
        <w:spacing w:after="0" w:line="75"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mon´etaire et financier and article 211-2 of the General Regulations (Règlement Génerál) of the Autorité des Marchés Financiers, does not constitute a public offer (appel public a’ l’épargne).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This prospectus supplement and the accompanying prospectus have not been prepared in accordance with the requirements for a securities or sales prospectus under the German Securities Prospectus Act (Wertpapierprospektgesetz), the German Sales Prospectus Act (Verkaufsprospektgesetz), or the German Investment Act (Investmentgesetz). Neither the German Federal Financial Services Supervisory Authority (Bundesanstalt für Finanzdienstleistungsaufsicht — BaFin) nor any other German authority has been notified of the intention to distribute the Notes in Germany. Consequently, the Notes may not be distributed in Germany by way of public offering, public advertisement or in any similar manner and this prospectus supplement and the accompanying prospectus and any other document relating to this offering, as well as information or statements contained therein, may not be supplied to the public in Germany or used in connection with any offer for subscription of the Notes to the public in Germany or any other means of public marketing. The Notes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supplement and the accompanying prospectus is strictly for use of the person who has received it. It may not be forwarded to other persons or published in Germany.</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This offering of our Notes does not constitute an offer to buy or the solicitation or an offer to sell the Notes in any circumstances in which such offer or solicitation is unlawful.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legal matters in connection with the offering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by Ropes &amp; Gray LLP, New York, New York.</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240" w:top="459"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PROSPECTUS</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27"/>
          <w:szCs w:val="27"/>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67945</wp:posOffset>
            </wp:positionV>
            <wp:extent cx="1689735" cy="720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6897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36"/>
          <w:szCs w:val="36"/>
          <w:b w:val="1"/>
          <w:bCs w:val="1"/>
          <w:color w:val="auto"/>
        </w:rPr>
        <w:t>TPG Specialty Lending, Inc.</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Common Stock</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Preferred Stock</w:t>
      </w:r>
    </w:p>
    <w:p>
      <w:pPr>
        <w:jc w:val="center"/>
        <w:ind w:right="-219"/>
        <w:spacing w:after="0"/>
        <w:rPr>
          <w:sz w:val="20"/>
          <w:szCs w:val="20"/>
          <w:color w:val="auto"/>
        </w:rPr>
      </w:pPr>
      <w:r>
        <w:rPr>
          <w:rFonts w:ascii="Arial" w:cs="Arial" w:eastAsia="Arial" w:hAnsi="Arial"/>
          <w:sz w:val="20"/>
          <w:szCs w:val="20"/>
          <w:b w:val="1"/>
          <w:bCs w:val="1"/>
          <w:color w:val="auto"/>
        </w:rPr>
        <w:t>Subscription Rights</w:t>
      </w:r>
    </w:p>
    <w:p>
      <w:pPr>
        <w:jc w:val="center"/>
        <w:ind w:right="-219"/>
        <w:spacing w:after="0"/>
        <w:rPr>
          <w:sz w:val="20"/>
          <w:szCs w:val="20"/>
          <w:color w:val="auto"/>
        </w:rPr>
      </w:pPr>
      <w:r>
        <w:rPr>
          <w:rFonts w:ascii="Arial" w:cs="Arial" w:eastAsia="Arial" w:hAnsi="Arial"/>
          <w:sz w:val="20"/>
          <w:szCs w:val="20"/>
          <w:b w:val="1"/>
          <w:bCs w:val="1"/>
          <w:color w:val="auto"/>
        </w:rPr>
        <w:t>Warrants</w:t>
      </w:r>
    </w:p>
    <w:p>
      <w:pPr>
        <w:jc w:val="center"/>
        <w:ind w:right="-219"/>
        <w:spacing w:after="0"/>
        <w:rPr>
          <w:sz w:val="20"/>
          <w:szCs w:val="20"/>
          <w:color w:val="auto"/>
        </w:rPr>
      </w:pPr>
      <w:r>
        <w:rPr>
          <w:rFonts w:ascii="Arial" w:cs="Arial" w:eastAsia="Arial" w:hAnsi="Arial"/>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4" w:lineRule="exact"/>
        <w:rPr>
          <w:sz w:val="20"/>
          <w:szCs w:val="20"/>
          <w:color w:val="auto"/>
        </w:rPr>
      </w:pPr>
    </w:p>
    <w:p>
      <w:pPr>
        <w:jc w:val="both"/>
        <w:ind w:left="200" w:right="320" w:firstLine="441"/>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7" w:lineRule="exact"/>
        <w:rPr>
          <w:sz w:val="20"/>
          <w:szCs w:val="20"/>
          <w:color w:val="auto"/>
        </w:rPr>
      </w:pPr>
    </w:p>
    <w:p>
      <w:pPr>
        <w:ind w:left="200" w:firstLine="441"/>
        <w:spacing w:after="0" w:line="251" w:lineRule="auto"/>
        <w:rPr>
          <w:sz w:val="20"/>
          <w:szCs w:val="20"/>
          <w:color w:val="auto"/>
        </w:rPr>
      </w:pPr>
      <w:r>
        <w:rPr>
          <w:rFonts w:ascii="Arial" w:cs="Arial" w:eastAsia="Arial" w:hAnsi="Arial"/>
          <w:sz w:val="14"/>
          <w:szCs w:val="14"/>
          <w:color w:val="auto"/>
        </w:rPr>
        <w:t>As of March 31, 2019, our investment portfolio consisted of investments in 48 portfolio companies with an aggregate fair value of $1,824.9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200" w:right="220" w:firstLine="441"/>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$30 billion of assets under management as of December 31, 2018. TPG Sixth Street Partners is the global finance and investment firm in a strategic relationship with TPG, the global alternative asset firm.</w:t>
      </w:r>
    </w:p>
    <w:p>
      <w:pPr>
        <w:ind w:left="200" w:right="20" w:firstLine="441"/>
        <w:spacing w:after="0" w:line="229"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 w:lineRule="exact"/>
        <w:rPr>
          <w:sz w:val="20"/>
          <w:szCs w:val="20"/>
          <w:color w:val="auto"/>
        </w:rPr>
      </w:pPr>
    </w:p>
    <w:p>
      <w:pPr>
        <w:jc w:val="both"/>
        <w:ind w:left="200" w:right="60" w:firstLine="441"/>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7" w:lineRule="exact"/>
        <w:rPr>
          <w:sz w:val="20"/>
          <w:szCs w:val="20"/>
          <w:color w:val="auto"/>
        </w:rPr>
      </w:pPr>
    </w:p>
    <w:p>
      <w:pPr>
        <w:ind w:left="200" w:right="40" w:firstLine="441"/>
        <w:spacing w:after="0" w:line="234" w:lineRule="auto"/>
        <w:rPr>
          <w:sz w:val="20"/>
          <w:szCs w:val="20"/>
          <w:color w:val="auto"/>
        </w:rPr>
      </w:pPr>
      <w:r>
        <w:rPr>
          <w:rFonts w:ascii="Arial" w:cs="Arial" w:eastAsia="Arial" w:hAnsi="Arial"/>
          <w:sz w:val="14"/>
          <w:szCs w:val="14"/>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ind w:left="200" w:right="40" w:firstLine="441"/>
        <w:spacing w:after="0" w:line="231" w:lineRule="auto"/>
        <w:rPr>
          <w:sz w:val="20"/>
          <w:szCs w:val="20"/>
          <w:color w:val="auto"/>
        </w:rPr>
      </w:pPr>
      <w:r>
        <w:rPr>
          <w:rFonts w:ascii="Arial" w:cs="Arial" w:eastAsia="Arial" w:hAnsi="Arial"/>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8" w:lineRule="exact"/>
        <w:rPr>
          <w:sz w:val="20"/>
          <w:szCs w:val="20"/>
          <w:color w:val="auto"/>
        </w:rPr>
      </w:pPr>
    </w:p>
    <w:p>
      <w:pPr>
        <w:ind w:left="200" w:right="40" w:firstLine="441"/>
        <w:spacing w:after="0" w:line="231" w:lineRule="auto"/>
        <w:rPr>
          <w:sz w:val="20"/>
          <w:szCs w:val="20"/>
          <w:color w:val="auto"/>
        </w:rPr>
      </w:pPr>
      <w:r>
        <w:rPr>
          <w:rFonts w:ascii="Arial" w:cs="Arial" w:eastAsia="Arial" w:hAnsi="Arial"/>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9"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4"/>
          <w:szCs w:val="14"/>
          <w:color w:val="auto"/>
        </w:rPr>
        <w:t>Our common stock is traded on the New York Stock Exchange, or NYSE, under the symbol “TSLX.” On May 6, 2019, the last reported sales price of our common stock on the NYSE was $20.21 per share. The net asset value per share of our common stock at March 31, 2019 (the last date prior to the date of this prospectus for which we reported net asset value) was $16.34.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59055</wp:posOffset>
            </wp:positionV>
            <wp:extent cx="1466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4" w:lineRule="exact"/>
        <w:rPr>
          <w:sz w:val="20"/>
          <w:szCs w:val="20"/>
          <w:color w:val="auto"/>
        </w:rPr>
      </w:pPr>
    </w:p>
    <w:p>
      <w:pPr>
        <w:ind w:left="200" w:right="60" w:firstLine="441"/>
        <w:spacing w:after="0" w:line="25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75">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 beginning on page 23 of this prospectus and in the documents incorporated by reference herein.</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This prospectus may not be used to consummate sales of our securities unless accompanied by a prospectus supplement.</w:t>
      </w:r>
    </w:p>
    <w:p>
      <w:pPr>
        <w:spacing w:after="0" w:line="3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3"/>
          <w:szCs w:val="13"/>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4" w:lineRule="exact"/>
        <w:rPr>
          <w:sz w:val="20"/>
          <w:szCs w:val="20"/>
          <w:color w:val="auto"/>
        </w:rPr>
      </w:pPr>
    </w:p>
    <w:p>
      <w:pPr>
        <w:ind w:left="200" w:firstLine="441"/>
        <w:spacing w:after="0" w:line="259" w:lineRule="auto"/>
        <w:rPr>
          <w:sz w:val="20"/>
          <w:szCs w:val="20"/>
          <w:color w:val="auto"/>
        </w:rPr>
      </w:pPr>
      <w:r>
        <w:rPr>
          <w:rFonts w:ascii="Arial" w:cs="Arial" w:eastAsia="Arial" w:hAnsi="Arial"/>
          <w:sz w:val="14"/>
          <w:szCs w:val="14"/>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50800</wp:posOffset>
            </wp:positionV>
            <wp:extent cx="1466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The date of this prospectus is May 7, 2019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000" w:type="dxa"/>
            <w:vAlign w:val="bottom"/>
          </w:tcPr>
          <w:p>
            <w:pPr>
              <w:jc w:val="center"/>
              <w:ind w:right="251"/>
              <w:spacing w:after="0"/>
              <w:rPr>
                <w:sz w:val="20"/>
                <w:szCs w:val="20"/>
                <w:color w:val="auto"/>
              </w:rPr>
            </w:pPr>
            <w:r>
              <w:rPr>
                <w:rFonts w:ascii="Arial" w:cs="Arial" w:eastAsia="Arial" w:hAnsi="Arial"/>
                <w:sz w:val="14"/>
                <w:szCs w:val="14"/>
                <w:b w:val="1"/>
                <w:bCs w:val="1"/>
                <w:color w:val="auto"/>
              </w:rPr>
              <w:t>ITEM</w:t>
            </w:r>
          </w:p>
        </w:tc>
        <w:tc>
          <w:tcPr>
            <w:tcW w:w="5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CAPTION</w:t>
            </w:r>
          </w:p>
        </w:tc>
        <w:tc>
          <w:tcPr>
            <w:tcW w:w="4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71"/>
        </w:trPr>
        <w:tc>
          <w:tcPr>
            <w:tcW w:w="1000" w:type="dxa"/>
            <w:vAlign w:val="bottom"/>
          </w:tcPr>
          <w:p>
            <w:pPr>
              <w:jc w:val="center"/>
              <w:ind w:right="271"/>
              <w:spacing w:after="0"/>
              <w:rPr>
                <w:sz w:val="20"/>
                <w:szCs w:val="20"/>
                <w:color w:val="auto"/>
              </w:rPr>
            </w:pPr>
            <w:r>
              <w:rPr>
                <w:rFonts w:ascii="Arial" w:cs="Arial" w:eastAsia="Arial" w:hAnsi="Arial"/>
                <w:sz w:val="14"/>
                <w:szCs w:val="14"/>
                <w:b w:val="1"/>
                <w:bCs w:val="1"/>
                <w:color w:val="auto"/>
              </w:rPr>
              <w:t>NUMBER</w:t>
            </w:r>
          </w:p>
        </w:tc>
        <w:tc>
          <w:tcPr>
            <w:tcW w:w="5060" w:type="dxa"/>
            <w:vAlign w:val="bottom"/>
            <w:gridSpan w:val="2"/>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0" w:type="dxa"/>
            <w:vAlign w:val="bottom"/>
          </w:tcPr>
          <w:p>
            <w:pPr>
              <w:jc w:val="center"/>
              <w:ind w:right="251"/>
              <w:spacing w:after="0" w:line="195" w:lineRule="exact"/>
              <w:rPr>
                <w:sz w:val="20"/>
                <w:szCs w:val="20"/>
                <w:color w:val="auto"/>
              </w:rPr>
            </w:pPr>
            <w:r>
              <w:rPr>
                <w:rFonts w:ascii="Arial" w:cs="Arial" w:eastAsia="Arial" w:hAnsi="Arial"/>
                <w:sz w:val="18"/>
                <w:szCs w:val="18"/>
                <w:color w:val="auto"/>
                <w:w w:val="99"/>
              </w:rPr>
              <w:t>1</w:t>
            </w:r>
          </w:p>
        </w:tc>
        <w:tc>
          <w:tcPr>
            <w:tcW w:w="4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Outside Front Cover</w:t>
            </w:r>
          </w:p>
        </w:tc>
        <w:tc>
          <w:tcPr>
            <w:tcW w:w="220" w:type="dxa"/>
            <w:vAlign w:val="bottom"/>
          </w:tcPr>
          <w:p>
            <w:pPr>
              <w:spacing w:after="0"/>
              <w:rPr>
                <w:sz w:val="16"/>
                <w:szCs w:val="16"/>
                <w:color w:val="auto"/>
              </w:rPr>
            </w:pP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2</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Cover Pages; Other Offering Information</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3</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Fee Table and Synopsis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Financial Highlights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Selected Financial Data and Other Information; Selected Quarterly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Data; Management’s Discussion and Analysis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 Senior Securities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Plan of Distribution</w:t>
            </w: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6</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Selling Shareholders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7</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Use of Proceeds</w:t>
            </w:r>
          </w:p>
        </w:tc>
        <w:tc>
          <w:tcPr>
            <w:tcW w:w="4860" w:type="dxa"/>
            <w:vAlign w:val="bottom"/>
          </w:tcPr>
          <w:p>
            <w:pPr>
              <w:jc w:val="center"/>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8</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General Description of the Registrant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Outside Front Cover Page; Prospectus Summary; Risk Factors;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and Results of Operations; The Company; Portfolio Companies;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Regulation; Shares Eligible for Future Sale; Price Range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Common Stock and Distributions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9</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Transfer and Dividend Paying Agent and Registrar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Capital Stock, Long-Term Debt, and Other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Our Capital Stock; Description of Our Preferred Stock;</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Warrants; Description of Our Debt Securities; Dividend</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Defaults and Arrears on Senior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12</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Legal Proceedings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The Company</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13</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Table of Contents of the Statement of Additional Information, or</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SAI</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Cover Page of SAI</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Table of Contents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16</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General Information and History</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17</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Investment Objective and Policies</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and Results of Operations; Senior Securities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18</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Regulation; Available Information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19</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Control Persons and Principal Holders of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Control Persons and Principal Stockholders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 Advisory and Other Services</w:t>
            </w:r>
          </w:p>
        </w:tc>
        <w:tc>
          <w:tcPr>
            <w:tcW w:w="4860" w:type="dxa"/>
            <w:vAlign w:val="bottom"/>
          </w:tcPr>
          <w:p>
            <w:pPr>
              <w:jc w:val="center"/>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Portfolio Managers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22</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Brokerage Allocation and Other Practices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23</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Tax Status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w:t>
            </w:r>
          </w:p>
        </w:tc>
        <w:tc>
          <w:tcPr>
            <w:tcW w:w="0" w:type="dxa"/>
            <w:vAlign w:val="bottom"/>
          </w:tcPr>
          <w:p>
            <w:pPr>
              <w:spacing w:after="0"/>
              <w:rPr>
                <w:sz w:val="1"/>
                <w:szCs w:val="1"/>
                <w:color w:val="auto"/>
              </w:rPr>
            </w:pPr>
          </w:p>
        </w:tc>
      </w:tr>
      <w:tr>
        <w:trPr>
          <w:trHeight w:val="230"/>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24</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Financial Statements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37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8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ABOUT THIS PROSPECTUS</w:t>
              </w:r>
            </w:hyperlink>
          </w:p>
        </w:tc>
        <w:tc>
          <w:tcPr>
            <w:tcW w:w="6680" w:type="dxa"/>
            <w:vAlign w:val="bottom"/>
            <w:gridSpan w:val="2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SUMMARY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THE OFFERING</w:t>
              </w:r>
            </w:hyperlink>
          </w:p>
        </w:tc>
        <w:tc>
          <w:tcPr>
            <w:tcW w:w="7640" w:type="dxa"/>
            <w:vAlign w:val="bottom"/>
            <w:gridSpan w:val="29"/>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FEES AND EXPENSES</w:t>
              </w:r>
            </w:hyperlink>
          </w:p>
        </w:tc>
        <w:tc>
          <w:tcPr>
            <w:tcW w:w="7120" w:type="dxa"/>
            <w:vAlign w:val="bottom"/>
            <w:gridSpan w:val="2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800" w:type="dxa"/>
            <w:vAlign w:val="bottom"/>
            <w:tcBorders>
              <w:bottom w:val="single" w:sz="8" w:color="0000EE"/>
            </w:tcBorders>
            <w:gridSpan w:val="29"/>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SELECTED QUARTERLY FINANCIAL DATA</w:t>
              </w:r>
            </w:hyperlink>
          </w:p>
        </w:tc>
        <w:tc>
          <w:tcPr>
            <w:tcW w:w="5380" w:type="dxa"/>
            <w:vAlign w:val="bottom"/>
            <w:gridSpan w:val="1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RISK FACTORS</w:t>
              </w:r>
            </w:hyperlink>
          </w:p>
        </w:tc>
        <w:tc>
          <w:tcPr>
            <w:tcW w:w="7660" w:type="dxa"/>
            <w:vAlign w:val="bottom"/>
            <w:gridSpan w:val="3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340" w:type="dxa"/>
            <w:vAlign w:val="bottom"/>
            <w:tcBorders>
              <w:bottom w:val="single" w:sz="8" w:color="0000EE"/>
            </w:tcBorders>
            <w:gridSpan w:val="31"/>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SPECIAL NOTE REGARDING FORWARD-LOOKING STATEMENTS</w:t>
              </w:r>
            </w:hyperlink>
          </w:p>
        </w:tc>
        <w:tc>
          <w:tcPr>
            <w:tcW w:w="358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USE OF PROCEEDS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PRICE RANGE OF COMMON STOCK AND DISTRIBUTIONS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4"/>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MANAGEMENT’S DISCUSSION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SENIOR SECURITIES</w:t>
              </w:r>
            </w:hyperlink>
          </w:p>
        </w:tc>
        <w:tc>
          <w:tcPr>
            <w:tcW w:w="7200" w:type="dxa"/>
            <w:vAlign w:val="bottom"/>
            <w:gridSpan w:val="2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THE COMPANY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PORTFOLIO COMPANIES</w:t>
              </w:r>
            </w:hyperlink>
          </w:p>
        </w:tc>
        <w:tc>
          <w:tcPr>
            <w:tcW w:w="6860" w:type="dxa"/>
            <w:vAlign w:val="bottom"/>
            <w:gridSpan w:val="2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MANAGEMENT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94">
              <w:r>
                <w:rPr>
                  <w:rFonts w:ascii="Arial" w:cs="Arial" w:eastAsia="Arial" w:hAnsi="Arial"/>
                  <w:sz w:val="18"/>
                  <w:szCs w:val="18"/>
                  <w:color w:val="0000EE"/>
                  <w:w w:val="97"/>
                </w:rPr>
                <w:t>MANAGEMENT AND OTHER AGREEMENTS</w:t>
              </w:r>
            </w:hyperlink>
          </w:p>
        </w:tc>
        <w:tc>
          <w:tcPr>
            <w:tcW w:w="528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50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94">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CONTROL PERSONS AND PRINCIPAL STOCKHOLDERS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6"/>
              </w:rPr>
            </w:pPr>
            <w:hyperlink w:anchor="page95">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8"/>
          </w:tcPr>
          <w:p>
            <w:pPr>
              <w:spacing w:after="0"/>
              <w:rPr>
                <w:sz w:val="17"/>
                <w:szCs w:val="17"/>
                <w:color w:val="auto"/>
              </w:rPr>
            </w:pPr>
          </w:p>
        </w:tc>
        <w:tc>
          <w:tcPr>
            <w:tcW w:w="43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SALES OF COMMON STOCK BELOW NET ASSET VALUE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DIVIDEND REINVESTMENT PLAN</w:t>
              </w:r>
            </w:hyperlink>
          </w:p>
        </w:tc>
        <w:tc>
          <w:tcPr>
            <w:tcW w:w="4280" w:type="dxa"/>
            <w:vAlign w:val="bottom"/>
            <w:gridSpan w:val="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DESCRIPTION OF OUR SECURITIES</w:t>
              </w:r>
            </w:hyperlink>
          </w:p>
        </w:tc>
        <w:tc>
          <w:tcPr>
            <w:tcW w:w="5980" w:type="dxa"/>
            <w:vAlign w:val="bottom"/>
            <w:gridSpan w:val="1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30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DESCRIPTION OF OUR CAPITAL STOCK</w:t>
              </w:r>
            </w:hyperlink>
          </w:p>
        </w:tc>
        <w:tc>
          <w:tcPr>
            <w:tcW w:w="5620" w:type="dxa"/>
            <w:vAlign w:val="bottom"/>
            <w:gridSpan w:val="1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5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DESCRIPTION OF OUR PREFERRED STOCK</w:t>
              </w:r>
            </w:hyperlink>
          </w:p>
        </w:tc>
        <w:tc>
          <w:tcPr>
            <w:tcW w:w="5340" w:type="dxa"/>
            <w:vAlign w:val="bottom"/>
            <w:gridSpan w:val="1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9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DESCRIPTION OF OUR SUBSCRIPTION RIGHTS</w:t>
              </w:r>
            </w:hyperlink>
          </w:p>
        </w:tc>
        <w:tc>
          <w:tcPr>
            <w:tcW w:w="502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DESCRIPTION OF OUR WARRANTS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DESCRIPTION OF OUR DEBT SECURITIES</w:t>
              </w:r>
            </w:hyperlink>
          </w:p>
        </w:tc>
        <w:tc>
          <w:tcPr>
            <w:tcW w:w="546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SHARES ELIGIBLE FOR FUTURE SALE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REGULATION</w:t>
              </w:r>
            </w:hyperlink>
          </w:p>
        </w:tc>
        <w:tc>
          <w:tcPr>
            <w:tcW w:w="5740" w:type="dxa"/>
            <w:vAlign w:val="bottom"/>
            <w:gridSpan w:val="1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33"/>
          </w:tcPr>
          <w:p>
            <w:pPr>
              <w:spacing w:after="0" w:line="196"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CUSTODIAN, TRANSFER AND DIVIDEND PAYING AGENT AND REGISTRAR</w:t>
              </w:r>
            </w:hyperlink>
          </w:p>
        </w:tc>
        <w:tc>
          <w:tcPr>
            <w:tcW w:w="268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BROKERAGE ALLOCATION AND OTHER PRACTICES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0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5"/>
          </w:tcPr>
          <w:p>
            <w:pPr>
              <w:spacing w:after="0"/>
              <w:rPr>
                <w:sz w:val="17"/>
                <w:szCs w:val="17"/>
                <w:color w:val="auto"/>
              </w:rPr>
            </w:pPr>
          </w:p>
        </w:tc>
        <w:tc>
          <w:tcPr>
            <w:tcW w:w="454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LEGAL MATTERS</w:t>
              </w:r>
            </w:hyperlink>
          </w:p>
        </w:tc>
        <w:tc>
          <w:tcPr>
            <w:tcW w:w="7460" w:type="dxa"/>
            <w:vAlign w:val="bottom"/>
            <w:gridSpan w:val="2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EXPERTS</w:t>
              </w:r>
            </w:hyperlink>
          </w:p>
        </w:tc>
        <w:tc>
          <w:tcPr>
            <w:tcW w:w="8140" w:type="dxa"/>
            <w:vAlign w:val="bottom"/>
            <w:gridSpan w:val="3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141">
              <w:r>
                <w:rPr>
                  <w:rFonts w:ascii="Arial" w:cs="Arial" w:eastAsia="Arial" w:hAnsi="Arial"/>
                  <w:sz w:val="18"/>
                  <w:szCs w:val="18"/>
                  <w:color w:val="0000EE"/>
                  <w:w w:val="99"/>
                </w:rPr>
                <w:t>AVAILABLE INFORMATION</w:t>
              </w:r>
            </w:hyperlink>
          </w:p>
        </w:tc>
        <w:tc>
          <w:tcPr>
            <w:tcW w:w="6640" w:type="dxa"/>
            <w:vAlign w:val="bottom"/>
            <w:gridSpan w:val="2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INFORMATION INCORPORATED BY REFERENCE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This prospectus is part of an automatic shelf registration statement that we filed with the U.S. Securities and Exchange Commission, or SEC, as a “well-known seasoned issuer” as defined in Rule 405 under the Securities Act of 1933, as amended, or the Securities Act. Under the shelf registration process, which constitutes a delayed offering in reliance on Rule 415 under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10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002145" cy="6710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320" w:right="80" w:hanging="407"/>
        <w:spacing w:after="0" w:line="277"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380" w:right="80" w:firstLine="42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w:t>
      </w:r>
    </w:p>
    <w:p>
      <w:pPr>
        <w:ind w:left="380" w:right="20"/>
        <w:spacing w:after="0" w:line="252" w:lineRule="auto"/>
        <w:rPr>
          <w:sz w:val="20"/>
          <w:szCs w:val="20"/>
          <w:color w:val="auto"/>
        </w:rPr>
      </w:pPr>
      <w:r>
        <w:rPr>
          <w:rFonts w:ascii="Arial" w:cs="Arial" w:eastAsia="Arial" w:hAnsi="Arial"/>
          <w:sz w:val="18"/>
          <w:szCs w:val="18"/>
          <w:color w:val="auto"/>
        </w:rPr>
        <w:t>$5.4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92" w:lineRule="exact"/>
        <w:rPr>
          <w:sz w:val="20"/>
          <w:szCs w:val="20"/>
          <w:color w:val="auto"/>
        </w:rPr>
      </w:pPr>
    </w:p>
    <w:p>
      <w:pPr>
        <w:ind w:left="380" w:right="380" w:firstLine="42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7" w:lineRule="exact"/>
        <w:rPr>
          <w:sz w:val="20"/>
          <w:szCs w:val="20"/>
          <w:color w:val="auto"/>
        </w:rPr>
      </w:pPr>
    </w:p>
    <w:p>
      <w:pPr>
        <w:ind w:left="380" w:right="80" w:firstLine="426"/>
        <w:spacing w:after="0" w:line="342" w:lineRule="auto"/>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380" w:right="60" w:firstLine="42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1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00214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57" w:lineRule="auto"/>
        <w:rPr>
          <w:sz w:val="20"/>
          <w:szCs w:val="20"/>
          <w:color w:val="auto"/>
        </w:rPr>
      </w:pPr>
      <w:r>
        <w:rPr>
          <w:rFonts w:ascii="Arial" w:cs="Arial" w:eastAsia="Arial" w:hAnsi="Arial"/>
          <w:sz w:val="18"/>
          <w:szCs w:val="18"/>
          <w:color w:val="auto"/>
        </w:rPr>
        <w:t>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As of March 31, 2019, based on fair value our portfolio consisted of 97.4% first-lien debt investments, 0.2% second-lien debt investments, 0.1% mezzanine debt investments, and 2.3% equity and other investments.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8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As of March 31, 2019, we had investments in 48 portfolio companies with an aggregate fair value of $1,824.9 million. 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66" w:lineRule="exact"/>
        <w:rPr>
          <w:sz w:val="20"/>
          <w:szCs w:val="20"/>
          <w:color w:val="auto"/>
        </w:rPr>
      </w:pPr>
    </w:p>
    <w:p>
      <w:pPr>
        <w:ind w:left="380" w:firstLine="426"/>
        <w:spacing w:after="0" w:line="286" w:lineRule="auto"/>
        <w:rPr>
          <w:sz w:val="20"/>
          <w:szCs w:val="20"/>
          <w:color w:val="auto"/>
        </w:rPr>
      </w:pPr>
      <w:r>
        <w:rPr>
          <w:rFonts w:ascii="Arial" w:cs="Arial" w:eastAsia="Arial" w:hAnsi="Arial"/>
          <w:sz w:val="17"/>
          <w:szCs w:val="17"/>
          <w:color w:val="auto"/>
        </w:rPr>
        <w:t>As of December 31, 2018, we had investments in 46 portfolio companies with an aggregate fair value of $1,706.0 million. 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66"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auto"/>
        </w:rPr>
        <w:t>As of March 31, 2019, the largest single investment based on fair value represented 4.6% of our total investment portfolio. As of March 31, 2019, the average investment size in each of our portfolio companies was approximately $38.0 million based on fair value. As of March 31, 2019, the largest industry represented 20.0% of our total portfolio based on fair value.</w:t>
      </w:r>
    </w:p>
    <w:p>
      <w:pPr>
        <w:spacing w:after="0" w:line="181"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March 31, 2019 (the “2019 Q1 Quarterly Report”), which is incorporated herein by reference.</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2018 (the “2018 Annual Report”)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188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380" w:right="600" w:firstLine="42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78" w:lineRule="exact"/>
        <w:rPr>
          <w:sz w:val="20"/>
          <w:szCs w:val="20"/>
          <w:color w:val="auto"/>
        </w:rPr>
      </w:pPr>
    </w:p>
    <w:p>
      <w:pPr>
        <w:ind w:left="380" w:right="340" w:firstLine="426"/>
        <w:spacing w:after="0" w:line="264" w:lineRule="auto"/>
        <w:rPr>
          <w:sz w:val="20"/>
          <w:szCs w:val="20"/>
          <w:color w:val="auto"/>
        </w:rPr>
      </w:pPr>
      <w:r>
        <w:rPr>
          <w:rFonts w:ascii="Arial" w:cs="Arial" w:eastAsia="Arial" w:hAnsi="Arial"/>
          <w:sz w:val="18"/>
          <w:szCs w:val="18"/>
          <w:color w:val="auto"/>
        </w:rPr>
        <w:t>TPG is a leading global private investment firm founded in 1992. TPG is headquartered in San Francisco and Fort Worth, with additional offices in Austin, Beijing, Boston, Dallas, Hong Kong, Houston, London, Luxembourg, Melbourne, Moscow, Mumbai, New York, Seoul and Singapore.</w:t>
      </w:r>
    </w:p>
    <w:p>
      <w:pPr>
        <w:spacing w:after="0" w:line="181"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Our Administrator</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See the section entitled “Administration Agreement” in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100" w:firstLine="426"/>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38" w:lineRule="exact"/>
        <w:rPr>
          <w:sz w:val="20"/>
          <w:szCs w:val="20"/>
          <w:color w:val="auto"/>
        </w:rPr>
      </w:pPr>
    </w:p>
    <w:p>
      <w:pPr>
        <w:ind w:left="380" w:right="220" w:firstLine="426"/>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2"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$2.0 trillion as of May 2019,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380" w:right="200" w:firstLine="426"/>
        <w:spacing w:after="0" w:line="276" w:lineRule="auto"/>
        <w:rPr>
          <w:sz w:val="20"/>
          <w:szCs w:val="20"/>
          <w:color w:val="auto"/>
        </w:rPr>
      </w:pPr>
      <w:r>
        <w:rPr>
          <w:rFonts w:ascii="Arial" w:cs="Arial" w:eastAsia="Arial" w:hAnsi="Arial"/>
          <w:sz w:val="17"/>
          <w:szCs w:val="17"/>
          <w:i w:val="1"/>
          <w:iCs w:val="1"/>
          <w:color w:val="auto"/>
        </w:rPr>
        <w:t>Conservative capital structures</w:t>
      </w:r>
      <w:r>
        <w:rPr>
          <w:rFonts w:ascii="Arial" w:cs="Arial" w:eastAsia="Arial" w:hAnsi="Arial"/>
          <w:sz w:val="17"/>
          <w:szCs w:val="17"/>
          <w:color w:val="auto"/>
        </w:rPr>
        <w:t>. Following the credit crisis, which we define broadly as occurring between mid-2007 and mid-2009,</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73"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i w:val="1"/>
          <w:iCs w:val="1"/>
          <w:color w:val="auto"/>
        </w:rPr>
        <w:t>Specialized lending requirements</w:t>
      </w:r>
      <w:r>
        <w:rPr>
          <w:rFonts w:ascii="Arial" w:cs="Arial" w:eastAsia="Arial" w:hAnsi="Arial"/>
          <w:sz w:val="17"/>
          <w:szCs w:val="17"/>
          <w:color w:val="auto"/>
        </w:rPr>
        <w:t>. Lending to middle-market companies requires specialized due diligence and underwriting capabilities,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TSSP position us more strongly than many capital providers to lend to middle-market companies.</w:t>
      </w:r>
    </w:p>
    <w:p>
      <w:pPr>
        <w:spacing w:after="0" w:line="171" w:lineRule="exact"/>
        <w:rPr>
          <w:sz w:val="20"/>
          <w:szCs w:val="20"/>
          <w:color w:val="auto"/>
        </w:rPr>
      </w:pPr>
    </w:p>
    <w:p>
      <w:pPr>
        <w:ind w:left="380" w:right="300" w:firstLine="426"/>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offer attractive financing structures, including unitranche loans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845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00214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380" w:right="100" w:firstLine="426"/>
        <w:spacing w:after="0" w:line="276" w:lineRule="auto"/>
        <w:rPr>
          <w:sz w:val="20"/>
          <w:szCs w:val="20"/>
          <w:color w:val="auto"/>
        </w:rPr>
      </w:pPr>
      <w:r>
        <w:rPr>
          <w:rFonts w:ascii="Arial" w:cs="Arial" w:eastAsia="Arial" w:hAnsi="Arial"/>
          <w:sz w:val="17"/>
          <w:szCs w:val="17"/>
          <w:i w:val="1"/>
          <w:iCs w:val="1"/>
          <w:color w:val="auto"/>
        </w:rPr>
        <w:t>Leading platform and access to proprietary deal flow</w:t>
      </w:r>
      <w:r>
        <w:rPr>
          <w:rFonts w:ascii="Arial" w:cs="Arial" w:eastAsia="Arial" w:hAnsi="Arial"/>
          <w:sz w:val="17"/>
          <w:szCs w:val="17"/>
          <w:color w:val="auto"/>
        </w:rPr>
        <w:t>. The substantial majority of our investments are not intermediated and are originated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assistance of investment banks or other traditional Wall Street sources. Our Adviser has a dedicated team of 25 investment professionals responsible for originating, underwriting, executing and managing the assets of our direct lending transactions. This team is responsible for sourcing and executing opportunities directly, while leveraging the resources and expertise of the TSSP platform. The senior members of our Investment Team have over 235 years of collective experience as commercial dealmakers.</w:t>
      </w:r>
    </w:p>
    <w:p>
      <w:pPr>
        <w:spacing w:after="0" w:line="173"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8"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In addition, our Adviser draws upon the resources of TSSP in underwriting transactions, performing due diligence, managing assets and optimizing our operations as a public company. Access to TSSP resources complements our Adviser’s view of markets and provides insight into important cyclical patterns.</w:t>
      </w:r>
    </w:p>
    <w:p>
      <w:pPr>
        <w:spacing w:after="0" w:line="181" w:lineRule="exact"/>
        <w:rPr>
          <w:sz w:val="20"/>
          <w:szCs w:val="20"/>
          <w:color w:val="auto"/>
        </w:rPr>
      </w:pPr>
    </w:p>
    <w:p>
      <w:pPr>
        <w:jc w:val="both"/>
        <w:ind w:left="380" w:right="220" w:firstLine="426"/>
        <w:spacing w:after="0" w:line="259" w:lineRule="auto"/>
        <w:rPr>
          <w:sz w:val="20"/>
          <w:szCs w:val="20"/>
          <w:color w:val="auto"/>
        </w:rPr>
      </w:pPr>
      <w:r>
        <w:rPr>
          <w:rFonts w:ascii="Arial" w:cs="Arial" w:eastAsia="Arial" w:hAnsi="Arial"/>
          <w:sz w:val="18"/>
          <w:szCs w:val="18"/>
          <w:i w:val="1"/>
          <w:iCs w:val="1"/>
          <w:color w:val="auto"/>
        </w:rPr>
        <w:t>Disciplined investment and underwriting process</w:t>
      </w:r>
      <w:r>
        <w:rPr>
          <w:rFonts w:ascii="Arial" w:cs="Arial" w:eastAsia="Arial" w:hAnsi="Arial"/>
          <w:sz w:val="18"/>
          <w:szCs w:val="18"/>
          <w:color w:val="auto"/>
        </w:rPr>
        <w:t>. Through our Adviser, we seek to achieve the highest risk-adjusted returns available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92" w:lineRule="exact"/>
        <w:rPr>
          <w:sz w:val="20"/>
          <w:szCs w:val="20"/>
          <w:color w:val="auto"/>
        </w:rPr>
      </w:pPr>
    </w:p>
    <w:p>
      <w:pPr>
        <w:ind w:left="1320" w:right="100" w:hanging="407"/>
        <w:spacing w:after="0" w:line="277" w:lineRule="auto"/>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320" w:right="40" w:hanging="407"/>
        <w:spacing w:after="0" w:line="276" w:lineRule="auto"/>
        <w:tabs>
          <w:tab w:leader="none" w:pos="13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Risk pricing</w:t>
      </w:r>
      <w:r>
        <w:rPr>
          <w:rFonts w:ascii="Arial" w:cs="Arial" w:eastAsia="Arial" w:hAnsi="Arial"/>
          <w:sz w:val="17"/>
          <w:szCs w:val="17"/>
          <w:color w:val="auto"/>
        </w:rPr>
        <w:t>. The risk profile of our portfolio evolves across credit cycles as credit tightens and loosens. During periods when risk</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77" w:lineRule="exact"/>
        <w:rPr>
          <w:rFonts w:ascii="Arial" w:cs="Arial" w:eastAsia="Arial" w:hAnsi="Arial"/>
          <w:sz w:val="17"/>
          <w:szCs w:val="17"/>
          <w:color w:val="auto"/>
        </w:rPr>
      </w:pPr>
    </w:p>
    <w:p>
      <w:pPr>
        <w:ind w:left="1320" w:right="200" w:hanging="407"/>
        <w:spacing w:after="0" w:line="277" w:lineRule="auto"/>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740" w:hanging="300"/>
        <w:spacing w:after="0" w:line="255" w:lineRule="auto"/>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240" w:top="459" w:right="7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95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002145" cy="5595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40" w:right="120" w:hanging="300"/>
        <w:spacing w:after="0" w:line="273" w:lineRule="auto"/>
        <w:tabs>
          <w:tab w:leader="none" w:pos="1740" w:val="left"/>
        </w:tabs>
        <w:numPr>
          <w:ilvl w:val="1"/>
          <w:numId w:val="35"/>
        </w:numPr>
        <w:rPr>
          <w:rFonts w:ascii="Arial" w:cs="Arial" w:eastAsia="Arial" w:hAnsi="Arial"/>
          <w:sz w:val="17"/>
          <w:szCs w:val="17"/>
          <w:color w:val="auto"/>
        </w:rPr>
      </w:pPr>
      <w:r>
        <w:rPr>
          <w:rFonts w:ascii="Arial" w:cs="Arial" w:eastAsia="Arial" w:hAnsi="Arial"/>
          <w:sz w:val="17"/>
          <w:szCs w:val="17"/>
          <w:i w:val="1"/>
          <w:iCs w:val="1"/>
          <w:color w:val="auto"/>
        </w:rPr>
        <w:t>Investment structuring</w:t>
      </w:r>
      <w:r>
        <w:rPr>
          <w:rFonts w:ascii="Arial" w:cs="Arial" w:eastAsia="Arial" w:hAnsi="Arial"/>
          <w:sz w:val="17"/>
          <w:szCs w:val="17"/>
          <w:color w:val="auto"/>
        </w:rPr>
        <w:t>. We focus on investing at the top of the capital structure and protecting that position. We carefully</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3" w:lineRule="exact"/>
        <w:rPr>
          <w:rFonts w:ascii="Arial" w:cs="Arial" w:eastAsia="Arial" w:hAnsi="Arial"/>
          <w:sz w:val="17"/>
          <w:szCs w:val="17"/>
          <w:color w:val="auto"/>
        </w:rPr>
      </w:pPr>
    </w:p>
    <w:p>
      <w:pPr>
        <w:ind w:left="1740" w:right="160" w:hanging="300"/>
        <w:spacing w:after="0" w:line="259" w:lineRule="auto"/>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92" w:lineRule="exact"/>
        <w:rPr>
          <w:rFonts w:ascii="Arial" w:cs="Arial" w:eastAsia="Arial" w:hAnsi="Arial"/>
          <w:sz w:val="18"/>
          <w:szCs w:val="18"/>
          <w:color w:val="auto"/>
        </w:rPr>
      </w:pPr>
    </w:p>
    <w:p>
      <w:pPr>
        <w:ind w:left="1740" w:right="120" w:hanging="300"/>
        <w:spacing w:after="0" w:line="264" w:lineRule="auto"/>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to protect 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1320" w:right="180" w:hanging="407"/>
        <w:spacing w:after="0" w:line="264"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w:t>
      </w:r>
      <w:r>
        <w:rPr>
          <w:rFonts w:ascii="Arial" w:cs="Arial" w:eastAsia="Arial" w:hAnsi="Arial"/>
          <w:sz w:val="18"/>
          <w:szCs w:val="18"/>
          <w:i w:val="1"/>
          <w:iCs w:val="1"/>
          <w:color w:val="auto"/>
        </w:rPr>
        <w:t xml:space="preserve"> </w:t>
      </w:r>
      <w:r>
        <w:rPr>
          <w:rFonts w:ascii="Arial" w:cs="Arial" w:eastAsia="Arial" w:hAnsi="Arial"/>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380" w:right="540" w:firstLine="42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2.2% of approximately 6,250 investment opportunities our Investment Team reviewed since our inception through December 31, 2018.</w:t>
      </w:r>
    </w:p>
    <w:p>
      <w:pPr>
        <w:spacing w:after="0" w:line="170"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8"/>
          <w:szCs w:val="18"/>
          <w:color w:val="auto"/>
        </w:rPr>
        <w:t>Since we began investing in July 2011, we have originated more than $9.7 billion aggregate principal amount of investments.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we had a portfolio of investments in 48 portfolio companies with an aggregate fair value of $1,824.9 million that we believe exhibits strong credit quality and broad industry composition. As of March 31, 2019, 99.7% of our debt investments based on fair value bore interest at floating rates (when including investment specific hedges), with 93.9% of these subject to interest rate floors, and 97.4% of the fair value of our portfolio was invested in first-lien debt investments. We believe this portfolio will allow us to generate meaningful investment income, and consequently dividend income, for our stockholders.</w:t>
      </w:r>
    </w:p>
    <w:p>
      <w:pPr>
        <w:spacing w:after="0" w:line="189"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Adviser has a highly experienced management team consisting of seven TSSP Partners and four TSSP</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200" w:lineRule="exact"/>
        <w:rPr>
          <w:sz w:val="20"/>
          <w:szCs w:val="20"/>
          <w:color w:val="auto"/>
        </w:rPr>
      </w:pPr>
    </w:p>
    <w:p>
      <w:pPr>
        <w:spacing w:after="0" w:line="3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1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002145" cy="6101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280" w:firstLine="42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right="20" w:firstLine="426"/>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320" w:right="60" w:hanging="407"/>
        <w:spacing w:after="0" w:line="293" w:lineRule="auto"/>
        <w:tabs>
          <w:tab w:leader="none" w:pos="13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Leverage</w:t>
      </w:r>
      <w:r>
        <w:rPr>
          <w:rFonts w:ascii="Arial" w:cs="Arial" w:eastAsia="Arial" w:hAnsi="Arial"/>
          <w:sz w:val="16"/>
          <w:szCs w:val="16"/>
          <w:color w:val="auto"/>
        </w:rPr>
        <w:t>. Regulations under the 1940 Act limit our ability to use borrowing, also known as leverage, in significant respects.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2018 Annual Report.</w:t>
      </w:r>
    </w:p>
    <w:p>
      <w:pPr>
        <w:spacing w:after="0" w:line="70" w:lineRule="exact"/>
        <w:rPr>
          <w:rFonts w:ascii="Arial" w:cs="Arial" w:eastAsia="Arial" w:hAnsi="Arial"/>
          <w:sz w:val="16"/>
          <w:szCs w:val="16"/>
          <w:color w:val="auto"/>
        </w:rPr>
      </w:pPr>
    </w:p>
    <w:p>
      <w:pPr>
        <w:ind w:left="1320" w:right="120" w:hanging="407"/>
        <w:spacing w:after="0" w:line="312" w:lineRule="auto"/>
        <w:tabs>
          <w:tab w:leader="none" w:pos="132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As a BDC, we are required to invest at least 70% of our total assets in qualifying assets,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52" w:lineRule="exact"/>
        <w:rPr>
          <w:rFonts w:ascii="Arial" w:cs="Arial" w:eastAsia="Arial" w:hAnsi="Arial"/>
          <w:sz w:val="16"/>
          <w:szCs w:val="16"/>
          <w:color w:val="auto"/>
        </w:rPr>
      </w:pPr>
    </w:p>
    <w:p>
      <w:pPr>
        <w:ind w:left="1740" w:hanging="300"/>
        <w:spacing w:after="0"/>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740" w:right="220" w:hanging="300"/>
        <w:spacing w:after="0" w:line="264" w:lineRule="auto"/>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6" w:lineRule="exact"/>
        <w:rPr>
          <w:rFonts w:ascii="Arial" w:cs="Arial" w:eastAsia="Arial" w:hAnsi="Arial"/>
          <w:sz w:val="18"/>
          <w:szCs w:val="18"/>
          <w:color w:val="auto"/>
        </w:rPr>
      </w:pPr>
    </w:p>
    <w:p>
      <w:pPr>
        <w:ind w:left="1740" w:hanging="300"/>
        <w:spacing w:after="0"/>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320" w:hanging="407"/>
        <w:spacing w:after="0" w:line="264" w:lineRule="auto"/>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240" w:top="459" w:right="7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On October 8, 2018, our stockholders approved the application of the minimum asset coverage ratio of 150% to us, as set forth in</w:t>
      </w:r>
    </w:p>
    <w:p>
      <w:pPr>
        <w:spacing w:after="0" w:line="23" w:lineRule="exact"/>
        <w:rPr>
          <w:sz w:val="20"/>
          <w:szCs w:val="20"/>
          <w:color w:val="auto"/>
        </w:rPr>
      </w:pPr>
    </w:p>
    <w:p>
      <w:pPr>
        <w:ind w:left="380" w:right="20"/>
        <w:spacing w:after="0" w:line="302" w:lineRule="auto"/>
        <w:rPr>
          <w:sz w:val="20"/>
          <w:szCs w:val="20"/>
          <w:color w:val="auto"/>
        </w:rPr>
      </w:pPr>
      <w:r>
        <w:rPr>
          <w:rFonts w:ascii="Arial" w:cs="Arial" w:eastAsia="Arial" w:hAnsi="Arial"/>
          <w:sz w:val="16"/>
          <w:szCs w:val="16"/>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55"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93" w:lineRule="exact"/>
        <w:rPr>
          <w:sz w:val="20"/>
          <w:szCs w:val="20"/>
          <w:color w:val="auto"/>
        </w:rPr>
      </w:pPr>
    </w:p>
    <w:p>
      <w:pPr>
        <w:jc w:val="both"/>
        <w:ind w:left="380" w:right="40" w:firstLine="426"/>
        <w:spacing w:after="0" w:line="273"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78" w:lineRule="exact"/>
        <w:rPr>
          <w:sz w:val="20"/>
          <w:szCs w:val="20"/>
          <w:color w:val="auto"/>
        </w:rPr>
      </w:pPr>
    </w:p>
    <w:p>
      <w:pPr>
        <w:jc w:val="both"/>
        <w:ind w:left="380" w:right="80" w:firstLine="426"/>
        <w:spacing w:after="0" w:line="302" w:lineRule="auto"/>
        <w:rPr>
          <w:sz w:val="20"/>
          <w:szCs w:val="20"/>
          <w:color w:val="auto"/>
        </w:rPr>
      </w:pPr>
      <w:r>
        <w:rPr>
          <w:rFonts w:ascii="Arial" w:cs="Arial" w:eastAsia="Arial" w:hAnsi="Arial"/>
          <w:sz w:val="16"/>
          <w:szCs w:val="16"/>
          <w:color w:val="auto"/>
        </w:rPr>
        <w:t>See “Business—General—Our Company”; and “Business—General—Regulation as a Business Development Company” in Part I, Item 1 of our 2018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2019 Q1 Quarterly Report.</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3" w:lineRule="exact"/>
        <w:rPr>
          <w:sz w:val="20"/>
          <w:szCs w:val="20"/>
          <w:color w:val="auto"/>
        </w:rPr>
      </w:pPr>
    </w:p>
    <w:p>
      <w:pPr>
        <w:ind w:left="380" w:right="580" w:firstLine="426"/>
        <w:spacing w:after="0" w:line="277"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71" w:lineRule="auto"/>
        <w:rPr>
          <w:sz w:val="20"/>
          <w:szCs w:val="20"/>
          <w:color w:val="auto"/>
        </w:rPr>
      </w:pPr>
      <w:r>
        <w:rPr>
          <w:rFonts w:ascii="Arial" w:cs="Arial" w:eastAsia="Arial" w:hAnsi="Arial"/>
          <w:sz w:val="17"/>
          <w:szCs w:val="17"/>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TSSP or TPG funds or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79" w:lineRule="exact"/>
        <w:rPr>
          <w:sz w:val="20"/>
          <w:szCs w:val="20"/>
          <w:color w:val="auto"/>
        </w:rPr>
      </w:pPr>
    </w:p>
    <w:p>
      <w:pPr>
        <w:ind w:left="380" w:right="140" w:firstLine="426"/>
        <w:spacing w:after="0" w:line="272" w:lineRule="auto"/>
        <w:rPr>
          <w:sz w:val="20"/>
          <w:szCs w:val="20"/>
          <w:color w:val="auto"/>
        </w:rPr>
      </w:pPr>
      <w:r>
        <w:rPr>
          <w:rFonts w:ascii="Arial" w:cs="Arial" w:eastAsia="Arial" w:hAnsi="Arial"/>
          <w:sz w:val="17"/>
          <w:szCs w:val="17"/>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8" w:lineRule="exact"/>
        <w:rPr>
          <w:sz w:val="20"/>
          <w:szCs w:val="20"/>
          <w:color w:val="auto"/>
        </w:rPr>
      </w:pPr>
    </w:p>
    <w:p>
      <w:pPr>
        <w:ind w:left="380" w:right="120" w:firstLine="426"/>
        <w:spacing w:after="0" w:line="308" w:lineRule="auto"/>
        <w:rPr>
          <w:sz w:val="20"/>
          <w:szCs w:val="20"/>
          <w:color w:val="auto"/>
        </w:rPr>
      </w:pPr>
      <w:r>
        <w:rPr>
          <w:rFonts w:ascii="Arial" w:cs="Arial" w:eastAsia="Arial" w:hAnsi="Arial"/>
          <w:sz w:val="17"/>
          <w:szCs w:val="17"/>
          <w:color w:val="auto"/>
        </w:rPr>
        <w:t>See “Certain Relationships and Related Party Transactions” in our Definitive Proxy Statement on Schedule 14A relating to our 2019 Annual Meeting of Stockholders filed with the SEC on April 5, 2019, (the “2019 Annual Proxy”) which is incorporated herein by reference.</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71" w:lineRule="exact"/>
        <w:rPr>
          <w:sz w:val="20"/>
          <w:szCs w:val="20"/>
          <w:color w:val="auto"/>
        </w:rPr>
      </w:pPr>
    </w:p>
    <w:p>
      <w:pPr>
        <w:ind w:left="380" w:right="160" w:firstLine="426"/>
        <w:spacing w:after="0" w:line="279" w:lineRule="auto"/>
        <w:rPr>
          <w:sz w:val="20"/>
          <w:szCs w:val="20"/>
          <w:color w:val="auto"/>
        </w:rPr>
      </w:pPr>
      <w:r>
        <w:rPr>
          <w:rFonts w:ascii="Arial" w:cs="Arial" w:eastAsia="Arial" w:hAnsi="Arial"/>
          <w:sz w:val="17"/>
          <w:szCs w:val="17"/>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“Certain Relationships and Related Party Transactions—Exemptive Order” in our 2019 Annual Proxy.</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380" w:right="20" w:firstLine="426"/>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54" w:lineRule="exact"/>
        <w:rPr>
          <w:sz w:val="20"/>
          <w:szCs w:val="20"/>
          <w:color w:val="auto"/>
        </w:rPr>
      </w:pPr>
    </w:p>
    <w:p>
      <w:pPr>
        <w:ind w:left="380" w:right="100" w:firstLine="426"/>
        <w:spacing w:after="0" w:line="308" w:lineRule="auto"/>
        <w:rPr>
          <w:sz w:val="20"/>
          <w:szCs w:val="20"/>
          <w:color w:val="auto"/>
        </w:rPr>
      </w:pPr>
      <w:r>
        <w:rPr>
          <w:rFonts w:ascii="Arial" w:cs="Arial" w:eastAsia="Arial" w:hAnsi="Arial"/>
          <w:sz w:val="17"/>
          <w:szCs w:val="17"/>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80" w:right="180" w:firstLine="426"/>
        <w:spacing w:after="0" w:line="257" w:lineRule="auto"/>
        <w:rPr>
          <w:sz w:val="20"/>
          <w:szCs w:val="20"/>
          <w:color w:val="auto"/>
        </w:rPr>
      </w:pPr>
      <w:r>
        <w:rPr>
          <w:rFonts w:ascii="Arial" w:cs="Arial" w:eastAsia="Arial" w:hAnsi="Arial"/>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2018 Annual Report and our 2019 Q1 Quarterly Report, as well as the other documents that are incorporated by reference herein or in any prospectus supplement, for a description of these and other risks relating to our business and investments in our securities, including that:</w:t>
      </w:r>
    </w:p>
    <w:p>
      <w:pPr>
        <w:spacing w:after="0" w:line="94" w:lineRule="exact"/>
        <w:rPr>
          <w:sz w:val="20"/>
          <w:szCs w:val="20"/>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and their affiliates for our future success;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legislation allows us to incur additional leverage;</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320" w:right="600" w:hanging="407"/>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320" w:right="60" w:hanging="407"/>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9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002145"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14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320" w:right="160" w:hanging="407"/>
        <w:spacing w:after="0" w:line="264"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any new investment advisory agreement would require stockholder approval;</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320" w:hanging="407"/>
        <w:spacing w:after="0" w:line="312" w:lineRule="auto"/>
        <w:tabs>
          <w:tab w:leader="none" w:pos="1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cybersecurity risks and cyber incidents may adversely affect our business or those of our portfolio companies by causing a disruption to our operations, a compromise or corruption of our confidential information and/or damage to our business relationships, or those of our portfolio companies, all of which could negatively impact our business, results of operations or financial condition;</w:t>
      </w:r>
    </w:p>
    <w:p>
      <w:pPr>
        <w:spacing w:after="0" w:line="52" w:lineRule="exact"/>
        <w:rPr>
          <w:rFonts w:ascii="Arial" w:cs="Arial" w:eastAsia="Arial" w:hAnsi="Arial"/>
          <w:sz w:val="16"/>
          <w:szCs w:val="16"/>
          <w:color w:val="auto"/>
        </w:rPr>
      </w:pPr>
    </w:p>
    <w:p>
      <w:pPr>
        <w:ind w:left="1320" w:right="30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Board may change our investment objective, operating policies and strategies without prior notice or stockholder approval;</w:t>
      </w:r>
    </w:p>
    <w:p>
      <w:pPr>
        <w:spacing w:after="0" w:line="142" w:lineRule="exact"/>
        <w:rPr>
          <w:rFonts w:ascii="Arial" w:cs="Arial" w:eastAsia="Arial" w:hAnsi="Arial"/>
          <w:sz w:val="17"/>
          <w:szCs w:val="17"/>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320" w:right="8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240" w:top="459" w:right="6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57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002145" cy="2576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407"/>
        <w:spacing w:after="0" w:line="257" w:lineRule="auto"/>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(which generally are not deductible by individuals, trusts or estates for taxable years beginning after December 31, 2017 and before January 1, 2026);</w:t>
      </w:r>
    </w:p>
    <w:p>
      <w:pPr>
        <w:spacing w:after="0" w:line="93" w:lineRule="exact"/>
        <w:rPr>
          <w:rFonts w:ascii="Arial" w:cs="Arial" w:eastAsia="Arial" w:hAnsi="Arial"/>
          <w:sz w:val="18"/>
          <w:szCs w:val="18"/>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w:t>
      </w:r>
    </w:p>
    <w:p>
      <w:pPr>
        <w:spacing w:after="0" w:line="130" w:lineRule="exact"/>
        <w:rPr>
          <w:rFonts w:ascii="Arial" w:cs="Arial" w:eastAsia="Arial" w:hAnsi="Arial"/>
          <w:sz w:val="18"/>
          <w:szCs w:val="18"/>
          <w:color w:val="auto"/>
        </w:rPr>
      </w:pPr>
    </w:p>
    <w:p>
      <w:pPr>
        <w:ind w:left="1320" w:right="220" w:hanging="407"/>
        <w:spacing w:after="0" w:line="277" w:lineRule="auto"/>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principal executive offices are located at 301 Commerce Street, Suite 3300, Fort Worth, TX 76102 and our telephone number is</w:t>
      </w:r>
    </w:p>
    <w:p>
      <w:pPr>
        <w:spacing w:after="0" w:line="35" w:lineRule="exact"/>
        <w:rPr>
          <w:sz w:val="20"/>
          <w:szCs w:val="20"/>
          <w:color w:val="auto"/>
        </w:rPr>
      </w:pPr>
    </w:p>
    <w:p>
      <w:pPr>
        <w:ind w:left="380" w:right="160" w:firstLine="6"/>
        <w:spacing w:after="0" w:line="261" w:lineRule="auto"/>
        <w:tabs>
          <w:tab w:leader="none" w:pos="8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380" w:right="200" w:firstLine="426"/>
        <w:spacing w:after="0" w:line="289"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67" w:lineRule="exact"/>
        <w:rPr>
          <w:sz w:val="20"/>
          <w:szCs w:val="20"/>
          <w:color w:val="auto"/>
        </w:rPr>
      </w:pPr>
    </w:p>
    <w:p>
      <w:pPr>
        <w:ind w:left="380" w:right="280" w:firstLine="426"/>
        <w:spacing w:after="0" w:line="297" w:lineRule="auto"/>
        <w:rPr>
          <w:sz w:val="20"/>
          <w:szCs w:val="20"/>
          <w:color w:val="auto"/>
        </w:rPr>
      </w:pPr>
      <w:r>
        <w:rPr>
          <w:rFonts w:ascii="Arial" w:cs="Arial" w:eastAsia="Arial" w:hAnsi="Arial"/>
          <w:sz w:val="16"/>
          <w:szCs w:val="16"/>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58" w:lineRule="exact"/>
        <w:rPr>
          <w:sz w:val="20"/>
          <w:szCs w:val="20"/>
          <w:color w:val="auto"/>
        </w:rPr>
      </w:pPr>
    </w:p>
    <w:p>
      <w:pPr>
        <w:ind w:left="380" w:right="300" w:firstLine="426"/>
        <w:spacing w:after="0" w:line="293" w:lineRule="auto"/>
        <w:rPr>
          <w:sz w:val="20"/>
          <w:szCs w:val="20"/>
          <w:color w:val="auto"/>
        </w:rPr>
      </w:pPr>
      <w:r>
        <w:rPr>
          <w:rFonts w:ascii="Arial" w:cs="Arial" w:eastAsia="Arial" w:hAnsi="Arial"/>
          <w:sz w:val="16"/>
          <w:szCs w:val="16"/>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Unless otherwise specified in a prospectus supplement, we intend to use the net proceeds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from the sale of our securities for general corporate purposes, which may include, among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other things, investing in portfolio companies in accordance with our investment objective</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and repaying indebtedness (which will be subject to reborrowing).</w:t>
            </w:r>
          </w:p>
        </w:tc>
      </w:tr>
      <w:tr>
        <w:trPr>
          <w:trHeight w:val="445"/>
        </w:trPr>
        <w:tc>
          <w:tcPr>
            <w:tcW w:w="3020" w:type="dxa"/>
            <w:vAlign w:val="bottom"/>
          </w:tcPr>
          <w:p>
            <w:pPr>
              <w:spacing w:after="0"/>
              <w:rPr>
                <w:sz w:val="24"/>
                <w:szCs w:val="24"/>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of the proceeds from such offering. See “Use of Proceeds.”</w:t>
            </w:r>
          </w:p>
        </w:tc>
      </w:tr>
      <w:tr>
        <w:trPr>
          <w:trHeight w:val="459"/>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Symbol on the NYSE</w:t>
            </w:r>
          </w:p>
        </w:tc>
        <w:tc>
          <w:tcPr>
            <w:tcW w:w="8020" w:type="dxa"/>
            <w:vAlign w:val="bottom"/>
          </w:tcPr>
          <w:p>
            <w:pPr>
              <w:ind w:left="1200"/>
              <w:spacing w:after="0"/>
              <w:rPr>
                <w:sz w:val="20"/>
                <w:szCs w:val="20"/>
                <w:color w:val="auto"/>
              </w:rPr>
            </w:pPr>
            <w:r>
              <w:rPr>
                <w:rFonts w:ascii="Arial" w:cs="Arial" w:eastAsia="Arial" w:hAnsi="Arial"/>
                <w:sz w:val="18"/>
                <w:szCs w:val="18"/>
                <w:color w:val="auto"/>
              </w:rPr>
              <w:t>“TSLX”</w:t>
            </w:r>
          </w:p>
        </w:tc>
      </w:tr>
      <w:tr>
        <w:trPr>
          <w:trHeight w:val="458"/>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Distributions</w:t>
            </w: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To the extent we have earnings available for distribution, we expect to continue distributing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quarterly dividends to our stockholders. The specific tax characteristics of our distributions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will be reported to stockholders after the end of the calendar year. Future quarterly</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8"/>
              </w:rPr>
              <w:t>dividends, if any, will be determined by our Board. See “Price Range of Common Stock</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and Distributions.”</w:t>
            </w:r>
          </w:p>
        </w:tc>
      </w:tr>
      <w:tr>
        <w:trPr>
          <w:trHeight w:val="240"/>
        </w:trPr>
        <w:tc>
          <w:tcPr>
            <w:tcW w:w="302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20" w:type="dxa"/>
            <w:vAlign w:val="bottom"/>
          </w:tcPr>
          <w:p>
            <w:pPr>
              <w:spacing w:after="0"/>
              <w:rPr>
                <w:sz w:val="24"/>
                <w:szCs w:val="24"/>
                <w:color w:val="auto"/>
              </w:rPr>
            </w:pPr>
          </w:p>
        </w:tc>
        <w:tc>
          <w:tcPr>
            <w:tcW w:w="8020" w:type="dxa"/>
            <w:vAlign w:val="bottom"/>
          </w:tcPr>
          <w:p>
            <w:pPr>
              <w:ind w:left="24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180" w:type="dxa"/>
            <w:vAlign w:val="bottom"/>
            <w:tcBorders>
              <w:top w:val="single" w:sz="8" w:color="auto"/>
              <w:left w:val="single" w:sz="8" w:color="auto"/>
            </w:tcBorders>
          </w:tcPr>
          <w:p>
            <w:pPr>
              <w:spacing w:after="0"/>
              <w:rPr>
                <w:sz w:val="24"/>
                <w:szCs w:val="24"/>
                <w:color w:val="auto"/>
              </w:rPr>
            </w:pPr>
          </w:p>
        </w:tc>
        <w:tc>
          <w:tcPr>
            <w:tcW w:w="78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tax treatment as a RIC, we must make certain distributions. See “Material</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U.S. Federal Income Tax Considerations—Regulated Investment Company Classification.”</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Anti-Takeover Provisions</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Our Board is divided into three classes of directors serving staggered three-year terms. This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structure is intended to provide us with a greater likelihood of continuity of management,</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which may be necessary for us to realize the full value of our investments. A staggered</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9"/>
              </w:rPr>
              <w:t>board of directors also may serve to deter hostile takeovers or proxy contests, as may</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certain other measures adopted by us. See “Description of Our Capital Stock—Anti-</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Takeover Provisions.”</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Leverage</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to finance a portion of our investments. As a result, we are exposed to the risks of leverage,</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Leverage increases the potential for gain and loss on amounts invested and, as a result,</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increases the risks associated with investing in our securities. The costs associated with our</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borrowings, including any increase in the fees payable to the Adviser, are borne by our</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stockholders. Any decision on our part to use borrowings depends upon our assessment of</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attractiveness of available investment opportunities in relation to the costs and</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perceived risks of such leverage. See “Regulation as a Business Development Company” in</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Part I, Item 1 of our 2018 Annual Report.</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Taxation</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We have elected to be treated as a RIC for U.S. federal income tax purposes. Our status as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a RIC will enable us to deduct qualifying distributions to our stockholders, so that we will</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be subject to corporate-level U.S. federal income taxation only in respect of earnings that</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we retain and do not distribute.</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status as a RIC and to avoid being subject to corporate-level U.S. federal</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derive in each taxable year at least 90% of our gross income from dividends,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8"/>
              </w:rPr>
              <w:t>interest, gains from the sale or other disposition of stock or securities and other</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specified categories of investment income; and</w:t>
            </w:r>
          </w:p>
        </w:tc>
      </w:tr>
      <w:tr>
        <w:trPr>
          <w:trHeight w:val="338"/>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for tax purposes equal to at least 90% of our investment company taxable income and net</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tax-exempt income for that taxable year.</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As a RIC, we generally will not be subject to corporate-level U.S. federal income tax on</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our investment company taxable income and</w:t>
            </w:r>
          </w:p>
        </w:tc>
      </w:tr>
      <w:tr>
        <w:trPr>
          <w:trHeight w:val="240"/>
        </w:trPr>
        <w:tc>
          <w:tcPr>
            <w:tcW w:w="3180" w:type="dxa"/>
            <w:vAlign w:val="bottom"/>
            <w:tcBorders>
              <w:left w:val="single" w:sz="8" w:color="auto"/>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r>
      <w:tr>
        <w:trPr>
          <w:trHeight w:val="604"/>
        </w:trPr>
        <w:tc>
          <w:tcPr>
            <w:tcW w:w="3180" w:type="dxa"/>
            <w:vAlign w:val="bottom"/>
          </w:tcPr>
          <w:p>
            <w:pPr>
              <w:spacing w:after="0"/>
              <w:rPr>
                <w:sz w:val="24"/>
                <w:szCs w:val="24"/>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30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97"/>
              </w:rPr>
              <w:t>net capital gains that we distribute to stockholders. If we fail to distribute our investment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company taxable income or net capital gains on a timely basis, we will be subject to a</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nondeductible 4% U.S. federal excise tax. We can be expected to carry forward investment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company taxable income in excess of current year distributions into the next tax year and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pay a 4% excise tax on such income. We elected to retain a portion of income and capital</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gains for the three months ended March 31, 2019 and for the calendar years ended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December 31, 2018 and 2017 and we recorded a net expense of $0.3 million, $3.4 million</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$2.8 million, respectively, for U.S. federal excise tax as a result. Any carryover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investment company taxable income or net capital gains must be timely declared and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distributed as a dividend in the taxable year following the taxable year in which the income</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or gains were earned. See “Price Range of Common Stock and Distributions” and</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“Material U.S. Federal Income Tax Considerations.”</w:t>
            </w:r>
          </w:p>
        </w:tc>
      </w:tr>
      <w:tr>
        <w:trPr>
          <w:trHeight w:val="458"/>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Dividend Reinvestment Plan</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shares of our common stock, rather than receiving the cash distribution. If a stockholder</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elects to “opt out,” that stockholder will receive cash dividends or other distributions.</w:t>
            </w:r>
          </w:p>
        </w:tc>
      </w:tr>
      <w:tr>
        <w:trPr>
          <w:trHeight w:val="445"/>
        </w:trPr>
        <w:tc>
          <w:tcPr>
            <w:tcW w:w="330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Stockholders who receive dividends and other distributions in the form of shares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common stock generally are subject to the same U.S. federal tax consequences as</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stockholders who elect to receive their distributions in cash; however, since their cash</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dividends will be reinvested, those stockholders will not receive cash with which to pay</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any applicable taxes on reinvested dividends. See “Dividend Reinvestment Plan.”</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Management Arrangements</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Our Adviser serves as our investment adviser and our administrator. For more information</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regarding our Adviser, TSSP and TPG and our contractual arrangements with these</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companies, see “Management Agreements” in Part I, Item 1 of our 2018 Annual Report</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Note 3 to our consolidated financial statements in our 2019 Q1 Quarterly Report.</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Trading at a Discount</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Shares of closed-end investment companies, including BDCs, frequently trade at a discount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to their net asset value. We are not generally able to issue and sell our common stock at a</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price below our net asset value per share except (a) in connection with a rights offering to</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our existing stockholders, (b) with the prior approval of the majority of our outstanding</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voting securities or (c) under such other circumstances as the SEC may permit. The risk</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that our shares may trade at a discount to our net asset value is separate and distinct from</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risk that our net asset value per share may decline. We</w:t>
            </w:r>
          </w:p>
        </w:tc>
      </w:tr>
      <w:tr>
        <w:trPr>
          <w:trHeight w:val="240"/>
        </w:trPr>
        <w:tc>
          <w:tcPr>
            <w:tcW w:w="3300" w:type="dxa"/>
            <w:vAlign w:val="bottom"/>
            <w:tcBorders>
              <w:left w:val="single" w:sz="8" w:color="auto"/>
              <w:bottom w:val="single" w:sz="8" w:color="auto"/>
            </w:tcBorders>
          </w:tcPr>
          <w:p>
            <w:pPr>
              <w:spacing w:after="0"/>
              <w:rPr>
                <w:sz w:val="20"/>
                <w:szCs w:val="20"/>
                <w:color w:val="auto"/>
              </w:rPr>
            </w:pPr>
          </w:p>
        </w:tc>
        <w:tc>
          <w:tcPr>
            <w:tcW w:w="7740" w:type="dxa"/>
            <w:vAlign w:val="bottom"/>
            <w:tcBorders>
              <w:bottom w:val="single" w:sz="8" w:color="auto"/>
              <w:right w:val="single" w:sz="8" w:color="auto"/>
            </w:tcBorders>
          </w:tcPr>
          <w:p>
            <w:pPr>
              <w:spacing w:after="0"/>
              <w:rPr>
                <w:sz w:val="20"/>
                <w:szCs w:val="20"/>
                <w:color w:val="auto"/>
              </w:rPr>
            </w:pPr>
          </w:p>
        </w:tc>
      </w:tr>
      <w:tr>
        <w:trPr>
          <w:trHeight w:val="604"/>
        </w:trPr>
        <w:tc>
          <w:tcPr>
            <w:tcW w:w="3300" w:type="dxa"/>
            <w:vAlign w:val="bottom"/>
          </w:tcPr>
          <w:p>
            <w:pPr>
              <w:spacing w:after="0"/>
              <w:rPr>
                <w:sz w:val="24"/>
                <w:szCs w:val="24"/>
                <w:color w:val="auto"/>
              </w:rPr>
            </w:pPr>
          </w:p>
        </w:tc>
        <w:tc>
          <w:tcPr>
            <w:tcW w:w="7740" w:type="dxa"/>
            <w:vAlign w:val="bottom"/>
          </w:tcPr>
          <w:p>
            <w:pPr>
              <w:ind w:left="21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4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91"/>
              </w:rPr>
              <w:t>cannot predict whether our shares will trade at a price per share above, at or below net asset</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value per share. See “Risk Factors—Risks Related to Offerings Pursuant to This</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Prospectus.”</w:t>
            </w:r>
          </w:p>
        </w:tc>
      </w:tr>
      <w:tr>
        <w:trPr>
          <w:trHeight w:val="458"/>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Available Information</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We have filed with the SEC a registration statement on Form N-2, of which this prospectus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is a part, under the Securities Act. This registration statement contains additional</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information about us and the securities being offered by this prospectus. We are also</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required to file periodic reports, current reports, proxy statements and other information</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with the SEC. This information is available on the SEC’s website at http://www.sec.gov.</w:t>
            </w:r>
          </w:p>
        </w:tc>
      </w:tr>
      <w:tr>
        <w:trPr>
          <w:trHeight w:val="445"/>
        </w:trPr>
        <w:tc>
          <w:tcPr>
            <w:tcW w:w="374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We maintain a website at http://www.tpgspecialtylending.com and make all of our periodic</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and current reports, proxy statements and other information available, free of charge, on or</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through our website. Information on our website is not incorporated into or part of this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prospectus. You may also obtain such information free of charge by contacting us in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writing at 888 7th Avenue, 35th Floor, New York, NY 10106, Attention: TSLX Investor</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Relations, or by emailing us at IRTSL@tpg.com.</w:t>
            </w:r>
          </w:p>
        </w:tc>
      </w:tr>
      <w:tr>
        <w:trPr>
          <w:trHeight w:val="445"/>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Information Incorporated by Reference</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The rules of the SEC allow us to incorporate by reference information into this prospectus.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The information incorporated by reference is considered to be a part of this prospectus,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information that we file later with the SEC will automatically update and supersede this</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information. See “Information Incorporated by Reference” for more information.</w:t>
            </w:r>
          </w:p>
        </w:tc>
      </w:tr>
      <w:tr>
        <w:trPr>
          <w:trHeight w:val="240"/>
        </w:trPr>
        <w:tc>
          <w:tcPr>
            <w:tcW w:w="374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40" w:type="dxa"/>
            <w:vAlign w:val="bottom"/>
          </w:tcPr>
          <w:p>
            <w:pPr>
              <w:spacing w:after="0"/>
              <w:rPr>
                <w:sz w:val="24"/>
                <w:szCs w:val="24"/>
                <w:color w:val="auto"/>
              </w:rPr>
            </w:pPr>
          </w:p>
        </w:tc>
        <w:tc>
          <w:tcPr>
            <w:tcW w:w="7300" w:type="dxa"/>
            <w:vAlign w:val="bottom"/>
          </w:tcPr>
          <w:p>
            <w:pPr>
              <w:ind w:left="16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474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00214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380" w:right="20" w:firstLine="426"/>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Sales load</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2.69%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3.68%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Total annual expenses</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260" w:hanging="414"/>
        <w:spacing w:after="0" w:line="25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800" w:right="420" w:hanging="414"/>
        <w:spacing w:after="0" w:line="250"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800" w:right="140" w:hanging="414"/>
        <w:spacing w:after="0" w:line="281"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3" w:lineRule="exact"/>
        <w:rPr>
          <w:rFonts w:ascii="Arial" w:cs="Arial" w:eastAsia="Arial" w:hAnsi="Arial"/>
          <w:sz w:val="16"/>
          <w:szCs w:val="16"/>
          <w:color w:val="auto"/>
        </w:rPr>
      </w:pPr>
    </w:p>
    <w:p>
      <w:pPr>
        <w:ind w:left="800" w:right="400" w:hanging="414"/>
        <w:spacing w:after="0" w:line="250"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$1,063.2 million as of December 31, 2018.</w:t>
      </w:r>
    </w:p>
    <w:p>
      <w:pPr>
        <w:ind w:left="800" w:hanging="414"/>
        <w:spacing w:after="0" w:line="252"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2018 Annual Report and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240" w:top="459" w:right="6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23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00214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140"/>
        <w:spacing w:after="0" w:line="277" w:lineRule="auto"/>
        <w:rPr>
          <w:sz w:val="20"/>
          <w:szCs w:val="20"/>
          <w:color w:val="auto"/>
        </w:rPr>
      </w:pPr>
      <w:r>
        <w:rPr>
          <w:rFonts w:ascii="Arial" w:cs="Arial" w:eastAsia="Arial" w:hAnsi="Arial"/>
          <w:sz w:val="18"/>
          <w:szCs w:val="18"/>
          <w:color w:val="auto"/>
        </w:rPr>
        <w:t>The Management Fee reflected in the table is calculated by determining the ratio that the Management Fee for the year ended December 31, 2018 bears to our net assets attributable to common stock (rather than our gross assets).</w:t>
      </w:r>
    </w:p>
    <w:p>
      <w:pPr>
        <w:spacing w:after="0" w:line="62" w:lineRule="exact"/>
        <w:rPr>
          <w:sz w:val="20"/>
          <w:szCs w:val="20"/>
          <w:color w:val="auto"/>
        </w:rPr>
      </w:pPr>
    </w:p>
    <w:p>
      <w:pPr>
        <w:ind w:left="820" w:right="80"/>
        <w:spacing w:after="0" w:line="302" w:lineRule="auto"/>
        <w:rPr>
          <w:sz w:val="20"/>
          <w:szCs w:val="20"/>
          <w:color w:val="auto"/>
        </w:rPr>
      </w:pPr>
      <w:r>
        <w:rPr>
          <w:rFonts w:ascii="Arial" w:cs="Arial" w:eastAsia="Arial" w:hAnsi="Arial"/>
          <w:sz w:val="16"/>
          <w:szCs w:val="16"/>
          <w:color w:val="auto"/>
        </w:rPr>
        <w:t>From time to time, our Adviser voluntarily has waived certain Management Fees. See “Management’s Discussion and Analysis of Financial Condition and Results of Operations—Results of Operations—Management Fees” in Part II, Item 7 of our 2018 Annual Report and in Part I, Item 2 of our 2019 Q1 Quarterly Report. The above estimates are based on our actual Management Fees for the year ended December 31, 2018 and do not reflect any Management Fees that were waived during the year ended December 31, 2018.</w:t>
      </w:r>
    </w:p>
    <w:p>
      <w:pPr>
        <w:spacing w:after="0" w:line="46" w:lineRule="exact"/>
        <w:rPr>
          <w:sz w:val="20"/>
          <w:szCs w:val="20"/>
          <w:color w:val="auto"/>
        </w:rPr>
      </w:pPr>
    </w:p>
    <w:p>
      <w:pPr>
        <w:ind w:left="820" w:right="200"/>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were waived pursuant to the Leverage Waiver.</w:t>
      </w:r>
    </w:p>
    <w:p>
      <w:pPr>
        <w:spacing w:after="0" w:line="70" w:lineRule="exact"/>
        <w:rPr>
          <w:sz w:val="20"/>
          <w:szCs w:val="20"/>
          <w:color w:val="auto"/>
        </w:rPr>
      </w:pPr>
    </w:p>
    <w:p>
      <w:pPr>
        <w:jc w:val="both"/>
        <w:ind w:left="800" w:right="60" w:hanging="414"/>
        <w:spacing w:after="0" w:line="25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2018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820" w:right="6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820"/>
        <w:spacing w:after="0" w:line="273" w:lineRule="auto"/>
        <w:rPr>
          <w:rFonts w:ascii="Arial" w:cs="Arial" w:eastAsia="Arial" w:hAnsi="Arial"/>
          <w:sz w:val="18"/>
          <w:szCs w:val="18"/>
          <w:color w:val="auto"/>
        </w:rPr>
      </w:pPr>
      <w:r>
        <w:rPr>
          <w:rFonts w:ascii="Arial" w:cs="Arial" w:eastAsia="Arial" w:hAnsi="Arial"/>
          <w:sz w:val="17"/>
          <w:szCs w:val="17"/>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70" w:lineRule="exact"/>
        <w:rPr>
          <w:rFonts w:ascii="Arial" w:cs="Arial" w:eastAsia="Arial" w:hAnsi="Arial"/>
          <w:sz w:val="18"/>
          <w:szCs w:val="18"/>
          <w:color w:val="auto"/>
        </w:rPr>
      </w:pPr>
    </w:p>
    <w:p>
      <w:pPr>
        <w:ind w:left="820" w:right="40"/>
        <w:spacing w:after="0" w:line="264"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 our 2018 Annual Report and our 2019 Q1 Quarterly Report and “Management Agreements—Investment Advisory Agreement; Administration Agreement; License Agreement” in Part I, Item 1 of our 2018 Annual Report and Note 3 to our consolidated financial statements in our 2019 Q1 Quarterly Report.</w:t>
      </w:r>
    </w:p>
    <w:p>
      <w:pPr>
        <w:spacing w:after="0" w:line="73" w:lineRule="exact"/>
        <w:rPr>
          <w:rFonts w:ascii="Arial" w:cs="Arial" w:eastAsia="Arial" w:hAnsi="Arial"/>
          <w:sz w:val="18"/>
          <w:szCs w:val="18"/>
          <w:color w:val="auto"/>
        </w:rPr>
      </w:pPr>
    </w:p>
    <w:p>
      <w:pPr>
        <w:ind w:left="820" w:right="340"/>
        <w:spacing w:after="0" w:line="286" w:lineRule="auto"/>
        <w:rPr>
          <w:rFonts w:ascii="Arial" w:cs="Arial" w:eastAsia="Arial" w:hAnsi="Arial"/>
          <w:sz w:val="18"/>
          <w:szCs w:val="18"/>
          <w:color w:val="auto"/>
        </w:rPr>
      </w:pPr>
      <w:r>
        <w:rPr>
          <w:rFonts w:ascii="Arial" w:cs="Arial" w:eastAsia="Arial" w:hAnsi="Arial"/>
          <w:sz w:val="17"/>
          <w:szCs w:val="17"/>
          <w:color w:val="auto"/>
        </w:rPr>
        <w:t>From time to time, our Adviser has voluntarily waived certain Incentive Fees. See “Management’s Discussion and Analysis of Financial Condition and Results of Operations—Results of Operations—Incentive Fees” in Part II, Item 7 of our 2018 Annual Report and in Part I, Item 2 of our 2019 Q1 Quarterly Report. The above estimates do not reflect or assume any such waivers.</w:t>
      </w:r>
    </w:p>
    <w:p>
      <w:pPr>
        <w:spacing w:after="0" w:line="70" w:lineRule="exact"/>
        <w:rPr>
          <w:rFonts w:ascii="Arial" w:cs="Arial" w:eastAsia="Arial" w:hAnsi="Arial"/>
          <w:sz w:val="18"/>
          <w:szCs w:val="18"/>
          <w:color w:val="auto"/>
        </w:rPr>
      </w:pPr>
    </w:p>
    <w:p>
      <w:pPr>
        <w:ind w:left="800" w:right="560" w:hanging="414"/>
        <w:spacing w:after="0" w:line="277"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2018 under our credit facilities excluding fees (such as fees on undrawn amounts and amortization of upfront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240" w:top="459" w:right="6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9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002145" cy="5749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20"/>
        <w:spacing w:after="0" w:line="284" w:lineRule="auto"/>
        <w:rPr>
          <w:sz w:val="20"/>
          <w:szCs w:val="20"/>
          <w:color w:val="auto"/>
        </w:rPr>
      </w:pPr>
      <w:r>
        <w:rPr>
          <w:rFonts w:ascii="Arial" w:cs="Arial" w:eastAsia="Arial" w:hAnsi="Arial"/>
          <w:sz w:val="16"/>
          <w:szCs w:val="16"/>
          <w:color w:val="auto"/>
        </w:rPr>
        <w:t>fees) and including the swap-adjusted interest expense related to our Convertible Notes and 2023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Our stockholders indirectly bear the costs of borrowings under any debt instruments we may enter into.</w:t>
      </w:r>
    </w:p>
    <w:p>
      <w:pPr>
        <w:spacing w:after="0" w:line="1" w:lineRule="exact"/>
        <w:rPr>
          <w:sz w:val="20"/>
          <w:szCs w:val="20"/>
          <w:color w:val="auto"/>
        </w:rPr>
      </w:pPr>
    </w:p>
    <w:p>
      <w:pPr>
        <w:ind w:left="800" w:right="80" w:hanging="414"/>
        <w:spacing w:after="0" w:line="273"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2018 Annual Report and Note 3 to our consolidated financial statements in our 2019 Q1 Quarterly Report. The expenses in this table are based on our actual other expenses and excise taxes for the year ended December 31, 2018.</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380" w:right="200" w:firstLine="426"/>
        <w:spacing w:after="0" w:line="273"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9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10 years</w:t>
            </w:r>
          </w:p>
        </w:tc>
      </w:tr>
      <w:tr>
        <w:trPr>
          <w:trHeight w:val="182"/>
        </w:trPr>
        <w:tc>
          <w:tcPr>
            <w:tcW w:w="77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You would pay the following expenses on a $1,000 common stock investment, assuming a 5% annual</w:t>
            </w: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 from realized capital gains</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88</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$ 253</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$ 407</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742</w:t>
            </w:r>
          </w:p>
        </w:tc>
      </w:tr>
    </w:tbl>
    <w:p>
      <w:pPr>
        <w:spacing w:after="0" w:line="202" w:lineRule="exact"/>
        <w:rPr>
          <w:sz w:val="20"/>
          <w:szCs w:val="20"/>
          <w:color w:val="auto"/>
        </w:rPr>
      </w:pPr>
    </w:p>
    <w:p>
      <w:pPr>
        <w:ind w:left="380" w:firstLine="426"/>
        <w:spacing w:after="0" w:line="287"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69" w:lineRule="exact"/>
        <w:rPr>
          <w:sz w:val="20"/>
          <w:szCs w:val="20"/>
          <w:color w:val="auto"/>
        </w:rPr>
      </w:pPr>
    </w:p>
    <w:p>
      <w:pPr>
        <w:ind w:left="380" w:right="580" w:firstLine="426"/>
        <w:spacing w:after="0" w:line="313"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3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9" w:right="6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520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002145" cy="4652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380" w:right="220" w:firstLine="426"/>
        <w:spacing w:after="0" w:line="273"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in Part II, Item 7 of our 2018 Annual Report and in Part I, Item 2 of our 2019 Q1 Quarterly Report and our consolidated financial statements, related notes and other financial information incorporated by reference in this prospectus. The selected financial data in this section is not intended to replace the consolidated financial statements and is qualified in its entirety by our consolidated financial statements and related notes incorporated by reference in this prospectus to the consolidated financial statements in our 2018 Annual Report and in our 2019 Q1 Quarterly Report.</w:t>
      </w:r>
    </w:p>
    <w:p>
      <w:pPr>
        <w:spacing w:after="0" w:line="178" w:lineRule="exact"/>
        <w:rPr>
          <w:sz w:val="20"/>
          <w:szCs w:val="20"/>
          <w:color w:val="auto"/>
        </w:rPr>
      </w:pPr>
    </w:p>
    <w:p>
      <w:pPr>
        <w:ind w:left="380" w:right="380" w:firstLine="426"/>
        <w:spacing w:after="0" w:line="293" w:lineRule="auto"/>
        <w:rPr>
          <w:sz w:val="20"/>
          <w:szCs w:val="20"/>
          <w:color w:val="auto"/>
        </w:rPr>
      </w:pPr>
      <w:r>
        <w:rPr>
          <w:rFonts w:ascii="Arial" w:cs="Arial" w:eastAsia="Arial" w:hAnsi="Arial"/>
          <w:sz w:val="16"/>
          <w:szCs w:val="16"/>
          <w:color w:val="auto"/>
        </w:rPr>
        <w:t>We derived the selected consolidated financial data for the years ended December 31, 2018, 2017 and 2016 from our audited consolidated financial statements and related notes, which are incorporated by reference in this prospectus. We derived the selected consolidated financial data for the years ended December 31, 2015 and 2014 from our audited consolidated financial statements and related notes, which are not included or incorporated by reference in this prospectus. We derived the selected consolidated financial data for the three months ended March 31, 2019 and 2018 from our unaudited interim consolidated financial statements and related notes, which are incorporated by reference in this prospectus. Certain prior period information has been reclassified to conform to the current period presentation.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8"/>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88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520" w:type="dxa"/>
            <w:vAlign w:val="bottom"/>
            <w:tcBorders>
              <w:bottom w:val="single" w:sz="8" w:color="CCEEFF"/>
            </w:tcBorders>
            <w:vMerge w:val="continue"/>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$52.5</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210.9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173.4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Expenses</w:t>
            </w:r>
          </w:p>
        </w:tc>
        <w:tc>
          <w:tcPr>
            <w:tcW w:w="8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114.6</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Before Income Taxes</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$26.9</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26.6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143.9</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120.3</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107.3</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Change in Unrealized Gain (Loss)</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(28.5)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Net Realized Gain (Loss)</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(10.7)</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(14.0)</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$0.59</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$0.56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00" w:type="dxa"/>
            <w:vAlign w:val="bottom"/>
            <w:gridSpan w:val="2"/>
          </w:tcPr>
          <w:p>
            <w:pPr>
              <w:jc w:val="right"/>
              <w:ind w:right="322"/>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Consolidated Balance Sheet Data:</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vMerge w:val="restart"/>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1,824.9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1,693.7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1,657.4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1,485.7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1,263.5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1,849.5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1,730.3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1,720.2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1,675.5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1,506.5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1,288.9</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608.0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680.7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1,074.1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1,063.2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969.3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952.2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820.7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portfolio companies at year end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47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securities at fair value</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at amortized cost</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Fair value of debt investments as a percentage of principal</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fair value of debt investments as a</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 call price</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0" w:hanging="41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3" w:lineRule="exact"/>
        <w:rPr>
          <w:rFonts w:ascii="Arial" w:cs="Arial" w:eastAsia="Arial" w:hAnsi="Arial"/>
          <w:sz w:val="18"/>
          <w:szCs w:val="18"/>
          <w:color w:val="auto"/>
        </w:rPr>
      </w:pPr>
    </w:p>
    <w:p>
      <w:pPr>
        <w:ind w:left="800" w:right="120" w:hanging="414"/>
        <w:spacing w:after="0" w:line="281" w:lineRule="auto"/>
        <w:tabs>
          <w:tab w:leader="none" w:pos="8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three months ended March 31, 2019 and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$6.6 million, $28.6 million, $24.3 million, $24.3 million, $21.3 million, and $18.3 million for the three months ended March 31, 2019 and the years ended December 31, 2018, 2017, 2016, 2015, and 2014, respectively. The Incentive Fee excluding the effects of the waiver would have been $5.7 million, $30.5 million, $25.5 million, $22.7 million, $20.2 million and</w:t>
      </w:r>
    </w:p>
    <w:p>
      <w:pPr>
        <w:spacing w:after="0" w:line="5" w:lineRule="exact"/>
        <w:rPr>
          <w:rFonts w:ascii="Arial" w:cs="Arial" w:eastAsia="Arial" w:hAnsi="Arial"/>
          <w:sz w:val="16"/>
          <w:szCs w:val="16"/>
          <w:color w:val="auto"/>
        </w:rPr>
      </w:pPr>
    </w:p>
    <w:p>
      <w:pPr>
        <w:ind w:left="800" w:right="140"/>
        <w:spacing w:after="0" w:line="250" w:lineRule="auto"/>
        <w:rPr>
          <w:rFonts w:ascii="Arial" w:cs="Arial" w:eastAsia="Arial" w:hAnsi="Arial"/>
          <w:sz w:val="16"/>
          <w:szCs w:val="16"/>
          <w:color w:val="auto"/>
        </w:rPr>
      </w:pPr>
      <w:r>
        <w:rPr>
          <w:rFonts w:ascii="Arial" w:cs="Arial" w:eastAsia="Arial" w:hAnsi="Arial"/>
          <w:sz w:val="18"/>
          <w:szCs w:val="18"/>
          <w:color w:val="auto"/>
        </w:rPr>
        <w:t>$17.8 million for the three months ended March 31, 2019 and the years ended December 31, 2018, 2017, 2016, 2015 and 2014 respectively. The corresponding impact on the total return calculation is not material.</w:t>
      </w:r>
    </w:p>
    <w:p>
      <w:pPr>
        <w:ind w:left="800" w:right="20" w:hanging="414"/>
        <w:spacing w:after="0" w:line="269" w:lineRule="auto"/>
        <w:tabs>
          <w:tab w:leader="none" w:pos="8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459" w:right="6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780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002145" cy="4678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SELECTED QUARTERLY FINANCIAL DATA</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$52,487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$25,849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$26,638</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$12,107</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$38,745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16.34</w:t>
            </w:r>
          </w:p>
        </w:tc>
      </w:tr>
      <w:tr>
        <w:trPr>
          <w:trHeight w:val="377"/>
        </w:trPr>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1"/>
              </w:rPr>
              <w:t>$ 74,741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89"/>
              </w:rPr>
              <w:t>$63,004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6"/>
              </w:rPr>
              <w:t>$66,401</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$57,767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900" w:type="dxa"/>
            <w:vAlign w:val="bottom"/>
            <w:gridSpan w:val="7"/>
          </w:tcPr>
          <w:p>
            <w:pPr>
              <w:ind w:left="40"/>
              <w:spacing w:after="0"/>
              <w:rPr>
                <w:sz w:val="20"/>
                <w:szCs w:val="20"/>
                <w:color w:val="auto"/>
              </w:rPr>
            </w:pPr>
            <w:r>
              <w:rPr>
                <w:rFonts w:ascii="Arial" w:cs="Arial" w:eastAsia="Arial" w:hAnsi="Arial"/>
                <w:sz w:val="18"/>
                <w:szCs w:val="18"/>
                <w:color w:val="auto"/>
              </w:rPr>
              <w:t>$ 30,634</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89"/>
              </w:rPr>
              <w:t>$30,711</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$30,099</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$26,581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9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$ 44,107</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$32,293</w:t>
            </w:r>
          </w:p>
        </w:tc>
        <w:tc>
          <w:tcPr>
            <w:tcW w:w="106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$36,302</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$31,186</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900" w:type="dxa"/>
            <w:vAlign w:val="bottom"/>
            <w:gridSpan w:val="7"/>
          </w:tcPr>
          <w:p>
            <w:pPr>
              <w:ind w:left="40"/>
              <w:spacing w:after="0"/>
              <w:rPr>
                <w:sz w:val="20"/>
                <w:szCs w:val="20"/>
                <w:color w:val="auto"/>
              </w:rPr>
            </w:pPr>
            <w:r>
              <w:rPr>
                <w:rFonts w:ascii="Arial" w:cs="Arial" w:eastAsia="Arial" w:hAnsi="Arial"/>
                <w:sz w:val="18"/>
                <w:szCs w:val="18"/>
                <w:color w:val="auto"/>
              </w:rPr>
              <w:t>$(29,875)</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96"/>
              </w:rPr>
              <w:t>$ 5,087</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 (2,733)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2,650</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$ 14,232</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$37,380</w:t>
            </w:r>
          </w:p>
        </w:tc>
        <w:tc>
          <w:tcPr>
            <w:tcW w:w="106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$33,569</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$33,836</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gridSpan w:val="5"/>
          </w:tcPr>
          <w:p>
            <w:pPr>
              <w:ind w:left="140"/>
              <w:spacing w:after="0"/>
              <w:rPr>
                <w:sz w:val="20"/>
                <w:szCs w:val="20"/>
                <w:color w:val="auto"/>
              </w:rPr>
            </w:pPr>
            <w:r>
              <w:rPr>
                <w:rFonts w:ascii="Arial" w:cs="Arial" w:eastAsia="Arial" w:hAnsi="Arial"/>
                <w:sz w:val="18"/>
                <w:szCs w:val="18"/>
                <w:color w:val="auto"/>
              </w:rPr>
              <w:t>16.25</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96"/>
              </w:rPr>
              <w:t>$ 16.47</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$ 16.36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16.27</w:t>
            </w:r>
          </w:p>
        </w:tc>
      </w:tr>
      <w:tr>
        <w:trPr>
          <w:trHeight w:val="377"/>
        </w:trPr>
        <w:tc>
          <w:tcPr>
            <w:tcW w:w="7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6"/>
              </w:rPr>
              <w:t>$48,825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$52,305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$58,819</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$50,948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620" w:type="dxa"/>
            <w:vAlign w:val="bottom"/>
            <w:gridSpan w:val="5"/>
          </w:tcPr>
          <w:p>
            <w:pPr>
              <w:spacing w:after="0"/>
              <w:rPr>
                <w:sz w:val="20"/>
                <w:szCs w:val="20"/>
                <w:color w:val="auto"/>
              </w:rPr>
            </w:pPr>
            <w:r>
              <w:rPr>
                <w:rFonts w:ascii="Arial" w:cs="Arial" w:eastAsia="Arial" w:hAnsi="Arial"/>
                <w:sz w:val="18"/>
                <w:szCs w:val="18"/>
                <w:color w:val="auto"/>
                <w:w w:val="92"/>
              </w:rPr>
              <w:t>$21,946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rPr>
              <w:t>$21,376</w:t>
            </w:r>
          </w:p>
        </w:tc>
        <w:tc>
          <w:tcPr>
            <w:tcW w:w="40" w:type="dxa"/>
            <w:vAlign w:val="bottom"/>
          </w:tcPr>
          <w:p>
            <w:pPr>
              <w:spacing w:after="0"/>
              <w:rPr>
                <w:sz w:val="18"/>
                <w:szCs w:val="18"/>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$24,887</w:t>
            </w:r>
          </w:p>
        </w:tc>
        <w:tc>
          <w:tcPr>
            <w:tcW w:w="26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$22,429</w:t>
            </w:r>
          </w:p>
        </w:tc>
        <w:tc>
          <w:tcPr>
            <w:tcW w:w="4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$26,879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$30,929</w:t>
            </w:r>
          </w:p>
        </w:tc>
        <w:tc>
          <w:tcPr>
            <w:tcW w:w="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$33,932</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$28,519</w:t>
            </w:r>
          </w:p>
        </w:tc>
        <w:tc>
          <w:tcPr>
            <w:tcW w:w="40" w:type="dxa"/>
            <w:vAlign w:val="bottom"/>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w w:val="94"/>
              </w:rPr>
              <w:t>$ (6,170)</w:t>
            </w:r>
          </w:p>
        </w:tc>
        <w:tc>
          <w:tcPr>
            <w:tcW w:w="40" w:type="dxa"/>
            <w:vAlign w:val="bottom"/>
          </w:tcPr>
          <w:p>
            <w:pPr>
              <w:spacing w:after="0"/>
              <w:rPr>
                <w:sz w:val="18"/>
                <w:szCs w:val="18"/>
                <w:color w:val="auto"/>
              </w:rPr>
            </w:pPr>
          </w:p>
        </w:tc>
        <w:tc>
          <w:tcPr>
            <w:tcW w:w="1060" w:type="dxa"/>
            <w:vAlign w:val="bottom"/>
            <w:gridSpan w:val="7"/>
          </w:tcPr>
          <w:p>
            <w:pPr>
              <w:ind w:left="160"/>
              <w:spacing w:after="0"/>
              <w:rPr>
                <w:sz w:val="20"/>
                <w:szCs w:val="20"/>
                <w:color w:val="auto"/>
              </w:rPr>
            </w:pPr>
            <w:r>
              <w:rPr>
                <w:rFonts w:ascii="Arial" w:cs="Arial" w:eastAsia="Arial" w:hAnsi="Arial"/>
                <w:sz w:val="18"/>
                <w:szCs w:val="18"/>
                <w:color w:val="auto"/>
              </w:rPr>
              <w:t>$ (2,106)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$26,746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$24,759</w:t>
            </w:r>
          </w:p>
        </w:tc>
        <w:tc>
          <w:tcPr>
            <w:tcW w:w="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$31,826</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$28,278</w:t>
            </w:r>
          </w:p>
        </w:tc>
        <w:tc>
          <w:tcPr>
            <w:tcW w:w="40" w:type="dxa"/>
            <w:vAlign w:val="bottom"/>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16.09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rPr>
              <w:t>$ 16.09</w:t>
            </w:r>
          </w:p>
        </w:tc>
        <w:tc>
          <w:tcPr>
            <w:tcW w:w="40" w:type="dxa"/>
            <w:vAlign w:val="bottom"/>
          </w:tcPr>
          <w:p>
            <w:pPr>
              <w:spacing w:after="0"/>
              <w:rPr>
                <w:sz w:val="20"/>
                <w:szCs w:val="20"/>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rPr>
              <w:t>$ 16.15</w:t>
            </w: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16.04</w:t>
            </w:r>
          </w:p>
        </w:tc>
        <w:tc>
          <w:tcPr>
            <w:tcW w:w="40" w:type="dxa"/>
            <w:vAlign w:val="bottom"/>
          </w:tcPr>
          <w:p>
            <w:pPr>
              <w:spacing w:after="0"/>
              <w:rPr>
                <w:sz w:val="20"/>
                <w:szCs w:val="20"/>
                <w:color w:val="auto"/>
              </w:rPr>
            </w:pPr>
          </w:p>
        </w:tc>
      </w:tr>
    </w:tbl>
    <w:p>
      <w:pPr>
        <w:spacing w:after="0" w:line="214" w:lineRule="exact"/>
        <w:rPr>
          <w:sz w:val="20"/>
          <w:szCs w:val="20"/>
          <w:color w:val="auto"/>
        </w:rPr>
      </w:pPr>
    </w:p>
    <w:p>
      <w:pPr>
        <w:ind w:left="800" w:hanging="41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240" w:top="459" w:right="6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Investing in our securities involves a number of significant risks. You should carefully consider the risks set out below and described in Part I, Item 1A, “Risk Factors,” in our 2018 Annual Report and Part 1, Item IA, “Risk Factors,” in our 2019 Q1 Quarterly Report, which are incorporated herein by reference, together with the other information set forth in this prospectus and in the other documents that we include or incorporate by reference into this prospectus before making a decision about investing in our securities. The risks and uncertainties set out below and discussed in our 2018 Annual Report and our 2019 Q1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2018 Annual Report.</w:t>
      </w:r>
    </w:p>
    <w:p>
      <w:pPr>
        <w:spacing w:after="0" w:line="1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7"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180" w:right="82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 including our Convertible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uncertainty between the U.S. and other countries with respect to trade policies, treaties and tariffs;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fluctuations in base interest rates, such as LIBOR, CDOR, BBSY, EURIBOR, the Federal Funds Effective Rate or the Prime Rate;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the 2019 Convertible Notes and the 2022 Convertible Notes.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initial conversion price of the 2019 Convertible Notes was $25.83 per share and the initial conversion price of the 2022 Convertible Notes was $21.34 per share. As the result of our payment of certain cash dividends in respect of our common stock, as of March 31, 2019, the estimated adjusted conversion price of the 2019 Convertible Notes is $24.91 per share, and the estimated adjusted conversion price of the 2022 Convertible Notes is $20.79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entered into an agreement with Goldman Sachs &amp; Co. LLC, which we refer to as the Company 10b5-1 Plan, in accordance with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Rules 10b5-1 and 10b-18 under the Exchange Act, under which Goldman Sachs &amp; Co. LLC, as agent for us, will buy up to $50 million of our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stock in the aggregate during the period ending on the earlier of the date on which all the capital committed to the plan has been exhausted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30, 2019.</w:t>
      </w:r>
    </w:p>
    <w:p>
      <w:pPr>
        <w:spacing w:after="0" w:line="21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70"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58"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55"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7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the board of directors and class voting rights on certain matters.</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76" w:lineRule="exact"/>
        <w:rPr>
          <w:sz w:val="20"/>
          <w:szCs w:val="20"/>
          <w:color w:val="auto"/>
        </w:rPr>
      </w:pPr>
    </w:p>
    <w:p>
      <w:pPr>
        <w:ind w:left="118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180" w:right="100" w:hanging="436"/>
        <w:spacing w:after="0" w:line="264"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180" w:right="100" w:hanging="436"/>
        <w:spacing w:after="0" w:line="342" w:lineRule="auto"/>
        <w:tabs>
          <w:tab w:leader="none" w:pos="1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prospectus and in Part I, Item 1A of our 2018 Annual Report and Part II, Item 1A of our 2019 Q1 Quarterly Report, and those discussed in other documents we file with the SEC.</w:t>
      </w:r>
    </w:p>
    <w:p>
      <w:pPr>
        <w:spacing w:after="0" w:line="12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of our 2018 Annual Report and Part II, Item 1A of our 2019 Q1 Quarterly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2019 and for the years ended December 31, 2018 and 2017. On May 6, 2019, the last reported closing sales price of our common stock on the NYSE was $20.21 per share, which represented a premium of approximately 23.7% to the net asset value per share reported by us as of March 31, 2019, the last date prior to the date of this prospectus for which we reported net asset value.</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Price Range</w:t>
            </w: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High Sales</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12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4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Price to</w:t>
            </w:r>
          </w:p>
        </w:tc>
        <w:tc>
          <w:tcPr>
            <w:tcW w:w="76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340" w:type="dxa"/>
            <w:vAlign w:val="bottom"/>
          </w:tcPr>
          <w:p>
            <w:pPr>
              <w:spacing w:after="0"/>
              <w:rPr>
                <w:sz w:val="10"/>
                <w:szCs w:val="10"/>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24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Asset</w:t>
            </w:r>
          </w:p>
        </w:tc>
        <w:tc>
          <w:tcPr>
            <w:tcW w:w="140" w:type="dxa"/>
            <w:vAlign w:val="bottom"/>
          </w:tcPr>
          <w:p>
            <w:pPr>
              <w:spacing w:after="0"/>
              <w:rPr>
                <w:sz w:val="10"/>
                <w:szCs w:val="10"/>
                <w:color w:val="auto"/>
              </w:rPr>
            </w:pP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Net Asset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1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$20.39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$18.27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27.1%</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$20.31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$19.94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34.3%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$19.80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$17.47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$17.51</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17.3%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$18.04</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$18.09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29.2%</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11.3%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2019</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$18.44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28.5%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12.9%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6, 2019)</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$20.29</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$20.01</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20" w:hanging="436"/>
        <w:spacing w:after="0" w:line="291"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640" w:right="540" w:hanging="436"/>
        <w:spacing w:after="0" w:line="250"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applicable quarter). Does not reflect intraday trading prices.</w:t>
      </w: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9" w:lineRule="exact"/>
        <w:rPr>
          <w:sz w:val="20"/>
          <w:szCs w:val="20"/>
          <w:color w:val="auto"/>
        </w:rPr>
      </w:pPr>
    </w:p>
    <w:p>
      <w:pPr>
        <w:ind w:left="640" w:hanging="43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1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On May 2, 2019, our Board declared a second quarter 2019 base dividend of $0.39 per share for stockholders of record as of June 14, 2019, payable on July 15, 2019. Our Board also declared a first quarter variable supplemental dividend of $0.01 per share for stockholders of record as of May 31, 2019, payable on June 28, 2019. We anticipate that these dividends will be paid from income generated primarily by interest earned on our investment portfolio.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summarize dividends declared during the three months ended March 31, 2019 and years ended December 31, 2018 and 2017:</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 2019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gridSpan w:val="6"/>
            <w:shd w:val="clear" w:color="auto" w:fill="CCEEFF"/>
          </w:tcPr>
          <w:p>
            <w:pPr>
              <w:jc w:val="center"/>
              <w:ind w:left="16"/>
              <w:spacing w:after="0" w:line="203" w:lineRule="exact"/>
              <w:rPr>
                <w:sz w:val="20"/>
                <w:szCs w:val="20"/>
                <w:color w:val="auto"/>
              </w:rPr>
            </w:pPr>
            <w:r>
              <w:rPr>
                <w:rFonts w:ascii="Arial" w:cs="Arial" w:eastAsia="Arial" w:hAnsi="Arial"/>
                <w:sz w:val="18"/>
                <w:szCs w:val="18"/>
                <w:color w:val="auto"/>
                <w:w w:val="89"/>
              </w:rPr>
              <w:t>Supplemental</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ind w:left="160"/>
              <w:spacing w:after="0" w:line="203" w:lineRule="exact"/>
              <w:rPr>
                <w:sz w:val="20"/>
                <w:szCs w:val="20"/>
                <w:color w:val="auto"/>
              </w:rPr>
            </w:pPr>
            <w:r>
              <w:rPr>
                <w:rFonts w:ascii="Arial" w:cs="Arial" w:eastAsia="Arial" w:hAnsi="Arial"/>
                <w:sz w:val="18"/>
                <w:szCs w:val="18"/>
                <w:color w:val="auto"/>
                <w:w w:val="95"/>
              </w:rPr>
              <w:t>February 28, 2019</w:t>
            </w:r>
          </w:p>
        </w:tc>
        <w:tc>
          <w:tcPr>
            <w:tcW w:w="2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29, 2019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5"/>
          </w:tcPr>
          <w:p>
            <w:pPr>
              <w:jc w:val="center"/>
              <w:ind w:left="156"/>
              <w:spacing w:after="0"/>
              <w:rPr>
                <w:sz w:val="20"/>
                <w:szCs w:val="20"/>
                <w:color w:val="auto"/>
              </w:rPr>
            </w:pPr>
            <w:r>
              <w:rPr>
                <w:rFonts w:ascii="Arial" w:cs="Arial" w:eastAsia="Arial" w:hAnsi="Arial"/>
                <w:sz w:val="18"/>
                <w:szCs w:val="18"/>
                <w:color w:val="auto"/>
                <w:w w:val="82"/>
              </w:rPr>
              <w:t>Base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Arial" w:cs="Arial" w:eastAsia="Arial" w:hAnsi="Arial"/>
                <w:sz w:val="18"/>
                <w:szCs w:val="18"/>
                <w:color w:val="auto"/>
              </w:rPr>
              <w:t>March 15, 2019</w:t>
            </w:r>
          </w:p>
        </w:tc>
        <w:tc>
          <w:tcPr>
            <w:tcW w:w="28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9"/>
            <w:vMerge w:val="restart"/>
          </w:tcPr>
          <w:p>
            <w:pPr>
              <w:ind w:left="8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15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21, 2018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Supplemental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ind w:left="100"/>
              <w:spacing w:after="0" w:line="203" w:lineRule="exact"/>
              <w:rPr>
                <w:sz w:val="20"/>
                <w:szCs w:val="20"/>
                <w:color w:val="auto"/>
              </w:rPr>
            </w:pPr>
            <w:r>
              <w:rPr>
                <w:rFonts w:ascii="Arial" w:cs="Arial" w:eastAsia="Arial" w:hAnsi="Arial"/>
                <w:sz w:val="18"/>
                <w:szCs w:val="18"/>
                <w:color w:val="auto"/>
              </w:rPr>
              <w:t>February 28, 2018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38"/>
              <w:spacing w:after="0" w:line="203" w:lineRule="exact"/>
              <w:rPr>
                <w:sz w:val="20"/>
                <w:szCs w:val="20"/>
                <w:color w:val="auto"/>
              </w:rPr>
            </w:pPr>
            <w:r>
              <w:rPr>
                <w:rFonts w:ascii="Arial" w:cs="Arial" w:eastAsia="Arial" w:hAnsi="Arial"/>
                <w:sz w:val="18"/>
                <w:szCs w:val="18"/>
                <w:color w:val="auto"/>
                <w:w w:val="92"/>
              </w:rPr>
              <w:t>March 30, 2018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February 21,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8"/>
                <w:szCs w:val="18"/>
                <w:color w:val="auto"/>
              </w:rPr>
            </w:pPr>
          </w:p>
        </w:tc>
        <w:tc>
          <w:tcPr>
            <w:tcW w:w="1900" w:type="dxa"/>
            <w:vAlign w:val="bottom"/>
            <w:gridSpan w:val="7"/>
          </w:tcPr>
          <w:p>
            <w:pPr>
              <w:jc w:val="center"/>
              <w:ind w:right="680"/>
              <w:spacing w:after="0"/>
              <w:rPr>
                <w:sz w:val="20"/>
                <w:szCs w:val="20"/>
                <w:color w:val="auto"/>
              </w:rPr>
            </w:pPr>
            <w:r>
              <w:rPr>
                <w:rFonts w:ascii="Arial" w:cs="Arial" w:eastAsia="Arial" w:hAnsi="Arial"/>
                <w:sz w:val="18"/>
                <w:szCs w:val="18"/>
                <w:color w:val="auto"/>
                <w:w w:val="91"/>
              </w:rPr>
              <w:t>March 15,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93"/>
              </w:rPr>
              <w:t>April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6"/>
            <w:shd w:val="clear" w:color="auto" w:fill="CCEEFF"/>
          </w:tcPr>
          <w:p>
            <w:pPr>
              <w:jc w:val="center"/>
              <w:ind w:right="720"/>
              <w:spacing w:after="0"/>
              <w:rPr>
                <w:sz w:val="20"/>
                <w:szCs w:val="20"/>
                <w:color w:val="auto"/>
              </w:rPr>
            </w:pPr>
            <w:r>
              <w:rPr>
                <w:rFonts w:ascii="Arial" w:cs="Arial" w:eastAsia="Arial" w:hAnsi="Arial"/>
                <w:sz w:val="18"/>
                <w:szCs w:val="18"/>
                <w:color w:val="auto"/>
                <w:w w:val="91"/>
              </w:rPr>
              <w:t>May 31,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29,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May 3,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720"/>
              <w:spacing w:after="0"/>
              <w:rPr>
                <w:sz w:val="20"/>
                <w:szCs w:val="20"/>
                <w:color w:val="auto"/>
              </w:rPr>
            </w:pPr>
            <w:r>
              <w:rPr>
                <w:rFonts w:ascii="Arial" w:cs="Arial" w:eastAsia="Arial" w:hAnsi="Arial"/>
                <w:sz w:val="18"/>
                <w:szCs w:val="18"/>
                <w:color w:val="auto"/>
                <w:w w:val="87"/>
              </w:rPr>
              <w:t>June 15,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July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140" w:type="dxa"/>
            <w:vAlign w:val="bottom"/>
            <w:shd w:val="clear" w:color="auto" w:fill="CCEEFF"/>
          </w:tcPr>
          <w:p>
            <w:pPr>
              <w:spacing w:after="0"/>
              <w:rPr>
                <w:sz w:val="18"/>
                <w:szCs w:val="18"/>
                <w:color w:val="auto"/>
              </w:rPr>
            </w:pPr>
          </w:p>
        </w:tc>
        <w:tc>
          <w:tcPr>
            <w:tcW w:w="1900" w:type="dxa"/>
            <w:vAlign w:val="bottom"/>
            <w:gridSpan w:val="7"/>
            <w:shd w:val="clear" w:color="auto" w:fill="CCEEFF"/>
          </w:tcPr>
          <w:p>
            <w:pPr>
              <w:jc w:val="center"/>
              <w:ind w:right="660"/>
              <w:spacing w:after="0"/>
              <w:rPr>
                <w:sz w:val="20"/>
                <w:szCs w:val="20"/>
                <w:color w:val="auto"/>
              </w:rPr>
            </w:pPr>
            <w:r>
              <w:rPr>
                <w:rFonts w:ascii="Arial" w:cs="Arial" w:eastAsia="Arial" w:hAnsi="Arial"/>
                <w:sz w:val="18"/>
                <w:szCs w:val="18"/>
                <w:color w:val="auto"/>
                <w:w w:val="91"/>
              </w:rPr>
              <w:t>August 31,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September 28,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tcPr>
          <w:p>
            <w:pPr>
              <w:jc w:val="center"/>
              <w:ind w:right="520"/>
              <w:spacing w:after="0"/>
              <w:rPr>
                <w:sz w:val="20"/>
                <w:szCs w:val="20"/>
                <w:color w:val="auto"/>
              </w:rPr>
            </w:pPr>
            <w:r>
              <w:rPr>
                <w:rFonts w:ascii="Arial" w:cs="Arial" w:eastAsia="Arial" w:hAnsi="Arial"/>
                <w:sz w:val="18"/>
                <w:szCs w:val="18"/>
                <w:color w:val="auto"/>
                <w:w w:val="88"/>
              </w:rPr>
              <w:t>September 14,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October 15,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6,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2040" w:type="dxa"/>
            <w:vAlign w:val="bottom"/>
            <w:gridSpan w:val="8"/>
            <w:shd w:val="clear" w:color="auto" w:fill="CCEEFF"/>
          </w:tcPr>
          <w:p>
            <w:pPr>
              <w:jc w:val="center"/>
              <w:ind w:right="520"/>
              <w:spacing w:after="0"/>
              <w:rPr>
                <w:sz w:val="20"/>
                <w:szCs w:val="20"/>
                <w:color w:val="auto"/>
              </w:rPr>
            </w:pPr>
            <w:r>
              <w:rPr>
                <w:rFonts w:ascii="Arial" w:cs="Arial" w:eastAsia="Arial" w:hAnsi="Arial"/>
                <w:sz w:val="18"/>
                <w:szCs w:val="18"/>
                <w:color w:val="auto"/>
                <w:w w:val="91"/>
              </w:rPr>
              <w:t>November 30,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December 31,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November 6, 2018</w:t>
            </w:r>
          </w:p>
        </w:tc>
        <w:tc>
          <w:tcPr>
            <w:tcW w:w="120" w:type="dxa"/>
            <w:vAlign w:val="bottom"/>
          </w:tcPr>
          <w:p>
            <w:pPr>
              <w:spacing w:after="0"/>
              <w:rPr>
                <w:sz w:val="19"/>
                <w:szCs w:val="19"/>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tcPr>
          <w:p>
            <w:pPr>
              <w:jc w:val="center"/>
              <w:ind w:right="540"/>
              <w:spacing w:after="0"/>
              <w:rPr>
                <w:sz w:val="20"/>
                <w:szCs w:val="20"/>
                <w:color w:val="auto"/>
              </w:rPr>
            </w:pPr>
            <w:r>
              <w:rPr>
                <w:rFonts w:ascii="Arial" w:cs="Arial" w:eastAsia="Arial" w:hAnsi="Arial"/>
                <w:sz w:val="18"/>
                <w:szCs w:val="18"/>
                <w:color w:val="auto"/>
                <w:w w:val="89"/>
              </w:rPr>
              <w:t>December 14,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January 15, 2019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9"/>
            <w:vMerge w:val="restart"/>
          </w:tcPr>
          <w:p>
            <w:pPr>
              <w:ind w:left="14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154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22, 2017</w:t>
            </w: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Base</w:t>
            </w:r>
          </w:p>
        </w:tc>
        <w:tc>
          <w:tcPr>
            <w:tcW w:w="2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center"/>
              <w:ind w:right="240"/>
              <w:spacing w:after="0" w:line="203" w:lineRule="exact"/>
              <w:rPr>
                <w:sz w:val="20"/>
                <w:szCs w:val="20"/>
                <w:color w:val="auto"/>
              </w:rPr>
            </w:pPr>
            <w:r>
              <w:rPr>
                <w:rFonts w:ascii="Arial" w:cs="Arial" w:eastAsia="Arial" w:hAnsi="Arial"/>
                <w:sz w:val="18"/>
                <w:szCs w:val="18"/>
                <w:color w:val="auto"/>
                <w:w w:val="95"/>
              </w:rPr>
              <w:t>April 7, 2017</w:t>
            </w:r>
            <w:r>
              <w:rPr>
                <w:rFonts w:ascii="Arial" w:cs="Arial" w:eastAsia="Arial" w:hAnsi="Arial"/>
                <w:sz w:val="15"/>
                <w:szCs w:val="15"/>
                <w:color w:val="auto"/>
                <w:w w:val="95"/>
              </w:rPr>
              <w:t>(2)</w:t>
            </w:r>
          </w:p>
        </w:tc>
        <w:tc>
          <w:tcPr>
            <w:tcW w:w="2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80"/>
              <w:spacing w:after="0" w:line="203" w:lineRule="exact"/>
              <w:rPr>
                <w:sz w:val="20"/>
                <w:szCs w:val="20"/>
                <w:color w:val="auto"/>
              </w:rPr>
            </w:pPr>
            <w:r>
              <w:rPr>
                <w:rFonts w:ascii="Arial" w:cs="Arial" w:eastAsia="Arial" w:hAnsi="Arial"/>
                <w:sz w:val="18"/>
                <w:szCs w:val="18"/>
                <w:color w:val="auto"/>
                <w:w w:val="95"/>
              </w:rPr>
              <w:t>April 28, 2017</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May 3,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May 31, 2017</w:t>
            </w:r>
          </w:p>
        </w:tc>
        <w:tc>
          <w:tcPr>
            <w:tcW w:w="280" w:type="dxa"/>
            <w:vAlign w:val="bottom"/>
          </w:tcPr>
          <w:p>
            <w:pPr>
              <w:spacing w:after="0"/>
              <w:rPr>
                <w:sz w:val="18"/>
                <w:szCs w:val="18"/>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June 30,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6"/>
            <w:shd w:val="clear" w:color="auto" w:fill="CCEEFF"/>
          </w:tcPr>
          <w:p>
            <w:pPr>
              <w:jc w:val="center"/>
              <w:ind w:right="600"/>
              <w:spacing w:after="0"/>
              <w:rPr>
                <w:sz w:val="20"/>
                <w:szCs w:val="20"/>
                <w:color w:val="auto"/>
              </w:rPr>
            </w:pPr>
            <w:r>
              <w:rPr>
                <w:rFonts w:ascii="Arial" w:cs="Arial" w:eastAsia="Arial" w:hAnsi="Arial"/>
                <w:sz w:val="18"/>
                <w:szCs w:val="18"/>
                <w:color w:val="auto"/>
                <w:w w:val="87"/>
              </w:rPr>
              <w:t>June 15, 2017</w:t>
            </w:r>
          </w:p>
        </w:tc>
        <w:tc>
          <w:tcPr>
            <w:tcW w:w="2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July 14,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August 2,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August 31, 2017</w:t>
            </w:r>
          </w:p>
        </w:tc>
        <w:tc>
          <w:tcPr>
            <w:tcW w:w="168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shd w:val="clear" w:color="auto" w:fill="CCEEFF"/>
          </w:tcPr>
          <w:p>
            <w:pPr>
              <w:jc w:val="center"/>
              <w:ind w:right="400"/>
              <w:spacing w:after="0"/>
              <w:rPr>
                <w:sz w:val="20"/>
                <w:szCs w:val="20"/>
                <w:color w:val="auto"/>
              </w:rPr>
            </w:pPr>
            <w:r>
              <w:rPr>
                <w:rFonts w:ascii="Arial" w:cs="Arial" w:eastAsia="Arial" w:hAnsi="Arial"/>
                <w:sz w:val="18"/>
                <w:szCs w:val="18"/>
                <w:color w:val="auto"/>
                <w:w w:val="88"/>
              </w:rPr>
              <w:t>September 15, 2017</w:t>
            </w:r>
          </w:p>
        </w:tc>
        <w:tc>
          <w:tcPr>
            <w:tcW w:w="168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13,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November 7,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2040" w:type="dxa"/>
            <w:vAlign w:val="bottom"/>
            <w:gridSpan w:val="8"/>
          </w:tcPr>
          <w:p>
            <w:pPr>
              <w:jc w:val="center"/>
              <w:ind w:right="400"/>
              <w:spacing w:after="0"/>
              <w:rPr>
                <w:sz w:val="20"/>
                <w:szCs w:val="20"/>
                <w:color w:val="auto"/>
              </w:rPr>
            </w:pPr>
            <w:r>
              <w:rPr>
                <w:rFonts w:ascii="Arial" w:cs="Arial" w:eastAsia="Arial" w:hAnsi="Arial"/>
                <w:sz w:val="18"/>
                <w:szCs w:val="18"/>
                <w:color w:val="auto"/>
                <w:w w:val="91"/>
              </w:rPr>
              <w:t>November 30, 2017</w:t>
            </w: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December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shd w:val="clear" w:color="auto" w:fill="CCEEFF"/>
          </w:tcPr>
          <w:p>
            <w:pPr>
              <w:jc w:val="center"/>
              <w:ind w:right="420"/>
              <w:spacing w:after="0"/>
              <w:rPr>
                <w:sz w:val="20"/>
                <w:szCs w:val="20"/>
                <w:color w:val="auto"/>
              </w:rPr>
            </w:pPr>
            <w:r>
              <w:rPr>
                <w:rFonts w:ascii="Arial" w:cs="Arial" w:eastAsia="Arial" w:hAnsi="Arial"/>
                <w:sz w:val="18"/>
                <w:szCs w:val="18"/>
                <w:color w:val="auto"/>
                <w:w w:val="89"/>
              </w:rPr>
              <w:t>December 15, 2017</w:t>
            </w:r>
          </w:p>
        </w:tc>
        <w:tc>
          <w:tcPr>
            <w:tcW w:w="16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12,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20" w:hanging="436"/>
        <w:spacing w:after="0" w:line="274"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ind w:left="640" w:right="140" w:hanging="436"/>
        <w:spacing w:after="0" w:line="254"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9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dividends declared during the three months ended March 31, 2019 were derived from net investment income, determined on a tax basis. The dividends declared during the years ended December 31, 2018 and 2017 were derived from net investment income and net realized capital gains, determined on a tax basis.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94" w:lineRule="exact"/>
        <w:rPr>
          <w:sz w:val="20"/>
          <w:szCs w:val="20"/>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2019 and for calendar years ended December 31, 2018 and 2017 for purposes of additional liquidity and we recorded an expense of $0.3 million for the three months ended March 31, 2019 and $3.4 million and $2.8 million for the years ended December 31, 2018 and December 31, 2017,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2018 Annual Report.</w:t>
      </w:r>
    </w:p>
    <w:p>
      <w:pPr>
        <w:spacing w:after="0" w:line="18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Part II, Item 7 of our 2018 Annual Report and in Part I, Item 2 of our 2019 Q1 Quarterly Report is incorporated herein by reference.</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240" w:top="459" w:right="7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2019. The report of our independent registered public accounting firm, KPMG LLP, on the senior securities table as of December 31, 2018 is attached as an exhibit to the registration statement of which this prospectus is a part.</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80" w:type="dxa"/>
            <w:vAlign w:val="bottom"/>
            <w:gridSpan w:val="3"/>
          </w:tcPr>
          <w:p>
            <w:pPr>
              <w:ind w:left="1040"/>
              <w:spacing w:after="0"/>
              <w:rPr>
                <w:sz w:val="20"/>
                <w:szCs w:val="20"/>
                <w:color w:val="auto"/>
              </w:rPr>
            </w:pPr>
            <w:r>
              <w:rPr>
                <w:rFonts w:ascii="Arial" w:cs="Arial" w:eastAsia="Arial" w:hAnsi="Arial"/>
                <w:sz w:val="14"/>
                <w:szCs w:val="14"/>
                <w:b w:val="1"/>
                <w:bCs w:val="1"/>
                <w:color w:val="auto"/>
                <w:w w:val="90"/>
              </w:rPr>
              <w:t>Total Amount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vMerge w:val="restart"/>
          </w:tcPr>
          <w:p>
            <w:pPr>
              <w:jc w:val="center"/>
              <w:ind w:left="628"/>
              <w:spacing w:after="0"/>
              <w:rPr>
                <w:sz w:val="20"/>
                <w:szCs w:val="20"/>
                <w:color w:val="auto"/>
              </w:rPr>
            </w:pPr>
            <w:r>
              <w:rPr>
                <w:rFonts w:ascii="Arial" w:cs="Arial" w:eastAsia="Arial" w:hAnsi="Arial"/>
                <w:sz w:val="14"/>
                <w:szCs w:val="14"/>
                <w:b w:val="1"/>
                <w:bCs w:val="1"/>
                <w:color w:val="auto"/>
                <w:w w:val="98"/>
              </w:rPr>
              <w:t>Involuntary</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4"/>
              </w:rPr>
              <w:t>Treasury</w:t>
            </w:r>
          </w:p>
        </w:tc>
        <w:tc>
          <w:tcPr>
            <w:tcW w:w="16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w w:val="88"/>
              </w:rPr>
              <w:t>Asset Coverage</w:t>
            </w:r>
          </w:p>
        </w:tc>
        <w:tc>
          <w:tcPr>
            <w:tcW w:w="7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Liquidating</w:t>
            </w:r>
          </w:p>
        </w:tc>
        <w:tc>
          <w:tcPr>
            <w:tcW w:w="720" w:type="dxa"/>
            <w:vAlign w:val="bottom"/>
          </w:tcPr>
          <w:p>
            <w:pPr>
              <w:spacing w:after="0"/>
              <w:rPr>
                <w:sz w:val="12"/>
                <w:szCs w:val="12"/>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6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880" w:type="dxa"/>
            <w:vAlign w:val="bottom"/>
            <w:gridSpan w:val="3"/>
          </w:tcPr>
          <w:p>
            <w:pPr>
              <w:ind w:left="104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(2)</w:t>
            </w:r>
          </w:p>
        </w:tc>
        <w:tc>
          <w:tcPr>
            <w:tcW w:w="7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1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Value Per Unit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306.0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2015</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2013</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2011</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2015</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320" w:hanging="436"/>
        <w:spacing w:after="0" w:line="258"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640" w:hanging="43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sections entitled “Business” in Part I, Item 1 and “Properties” in Part I, Item 2 of our 2018 Annual Report and in the section entitled “Legal Proceedings” in Part II, Item 1 of our 2019 Q1 Quarterly Report is incorporated herein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table set forth below contains certain information as of March 31, 2019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or Equity or Other Investments.</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12"/>
          <w:szCs w:val="12"/>
          <w:b w:val="1"/>
          <w:bCs w:val="1"/>
          <w:u w:val="single" w:color="auto"/>
          <w:color w:val="auto"/>
        </w:rPr>
        <w:t>(1)</w:t>
      </w:r>
    </w:p>
    <w:p>
      <w:pPr>
        <w:spacing w:after="0" w:line="17" w:lineRule="exact"/>
        <w:rPr>
          <w:sz w:val="20"/>
          <w:szCs w:val="20"/>
          <w:color w:val="auto"/>
        </w:rPr>
      </w:pPr>
    </w:p>
    <w:p>
      <w:pPr>
        <w:ind w:left="200" w:right="440"/>
        <w:spacing w:after="0" w:line="245" w:lineRule="auto"/>
        <w:rPr>
          <w:sz w:val="20"/>
          <w:szCs w:val="20"/>
          <w:color w:val="auto"/>
        </w:rPr>
      </w:pPr>
      <w:r>
        <w:rPr>
          <w:rFonts w:ascii="Arial" w:cs="Arial" w:eastAsia="Arial" w:hAnsi="Arial"/>
          <w:sz w:val="13"/>
          <w:szCs w:val="13"/>
          <w:b w:val="1"/>
          <w:bCs w:val="1"/>
          <w:color w:val="auto"/>
        </w:rPr>
        <w:t xml:space="preserve">Debt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(3)(5)(6)</w:t>
      </w:r>
    </w:p>
    <w:p>
      <w:pPr>
        <w:ind w:left="200"/>
        <w:spacing w:after="0" w:line="223" w:lineRule="auto"/>
        <w:rPr>
          <w:sz w:val="20"/>
          <w:szCs w:val="20"/>
          <w:color w:val="auto"/>
        </w:rPr>
      </w:pPr>
      <w:r>
        <w:rPr>
          <w:rFonts w:ascii="Arial" w:cs="Arial" w:eastAsia="Arial" w:hAnsi="Arial"/>
          <w:sz w:val="14"/>
          <w:szCs w:val="14"/>
          <w:b w:val="1"/>
          <w:bCs w:val="1"/>
          <w:color w:val="auto"/>
        </w:rPr>
        <w:t>Business services</w:t>
      </w:r>
    </w:p>
    <w:p>
      <w:pPr>
        <w:ind w:left="200"/>
        <w:spacing w:after="0"/>
        <w:rPr>
          <w:sz w:val="20"/>
          <w:szCs w:val="20"/>
          <w:color w:val="auto"/>
        </w:rPr>
      </w:pPr>
      <w:r>
        <w:rPr>
          <w:rFonts w:ascii="Arial" w:cs="Arial" w:eastAsia="Arial" w:hAnsi="Arial"/>
          <w:sz w:val="14"/>
          <w:szCs w:val="14"/>
          <w:color w:val="auto"/>
        </w:rPr>
        <w:t xml:space="preserve">Acceo Solutions, Inc. </w:t>
      </w:r>
      <w:r>
        <w:rPr>
          <w:rFonts w:ascii="Arial" w:cs="Arial" w:eastAsia="Arial" w:hAnsi="Arial"/>
          <w:sz w:val="12"/>
          <w:szCs w:val="12"/>
          <w:color w:val="auto"/>
        </w:rPr>
        <w:t>(3)(4)(5)</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12"/>
          <w:szCs w:val="12"/>
          <w:color w:val="auto"/>
        </w:rPr>
        <w:t>(3)</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Jive Software, Inc. </w:t>
      </w:r>
      <w:r>
        <w:rPr>
          <w:rFonts w:ascii="Arial" w:cs="Arial" w:eastAsia="Arial" w:hAnsi="Arial"/>
          <w:sz w:val="12"/>
          <w:szCs w:val="12"/>
          <w:color w:val="auto"/>
        </w:rPr>
        <w:t>(3)(5)</w:t>
      </w:r>
    </w:p>
    <w:p>
      <w:pPr>
        <w:ind w:left="200"/>
        <w:spacing w:after="0" w:line="221" w:lineRule="auto"/>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(3)</w:t>
      </w:r>
    </w:p>
    <w:p>
      <w:pPr>
        <w:ind w:left="200"/>
        <w:spacing w:after="0" w:line="221" w:lineRule="auto"/>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(3)(5)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Sovos Compliance, LLC </w:t>
      </w:r>
      <w:r>
        <w:rPr>
          <w:rFonts w:ascii="Arial" w:cs="Arial" w:eastAsia="Arial" w:hAnsi="Arial"/>
          <w:sz w:val="12"/>
          <w:szCs w:val="12"/>
          <w:color w:val="auto"/>
        </w:rPr>
        <w:t>(3)</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Chemicals</w:t>
      </w:r>
    </w:p>
    <w:p>
      <w:pPr>
        <w:ind w:left="200"/>
        <w:spacing w:after="0" w:line="226" w:lineRule="auto"/>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(3)</w:t>
      </w:r>
    </w:p>
    <w:p>
      <w:pPr>
        <w:ind w:left="200"/>
        <w:spacing w:after="0" w:line="222" w:lineRule="auto"/>
        <w:rPr>
          <w:sz w:val="20"/>
          <w:szCs w:val="20"/>
          <w:color w:val="auto"/>
        </w:rPr>
      </w:pPr>
      <w:r>
        <w:rPr>
          <w:rFonts w:ascii="Arial" w:cs="Arial" w:eastAsia="Arial" w:hAnsi="Arial"/>
          <w:sz w:val="14"/>
          <w:szCs w:val="14"/>
          <w:b w:val="1"/>
          <w:bCs w:val="1"/>
          <w:color w:val="auto"/>
        </w:rPr>
        <w:t>Education</w:t>
      </w:r>
    </w:p>
    <w:p>
      <w:pPr>
        <w:ind w:left="200"/>
        <w:spacing w:after="0"/>
        <w:rPr>
          <w:sz w:val="20"/>
          <w:szCs w:val="20"/>
          <w:color w:val="auto"/>
        </w:rPr>
      </w:pPr>
      <w:r>
        <w:rPr>
          <w:rFonts w:ascii="Arial" w:cs="Arial" w:eastAsia="Arial" w:hAnsi="Arial"/>
          <w:sz w:val="14"/>
          <w:szCs w:val="14"/>
          <w:color w:val="auto"/>
        </w:rPr>
        <w:t xml:space="preserve">Curriculum Associates, LLC </w:t>
      </w:r>
      <w:r>
        <w:rPr>
          <w:rFonts w:ascii="Arial" w:cs="Arial" w:eastAsia="Arial" w:hAnsi="Arial"/>
          <w:sz w:val="12"/>
          <w:szCs w:val="12"/>
          <w:color w:val="auto"/>
        </w:rPr>
        <w:t>(3)(5)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 xml:space="preserve">Frontline Technologies Group, LLC </w:t>
      </w:r>
      <w:r>
        <w:rPr>
          <w:rFonts w:ascii="Arial" w:cs="Arial" w:eastAsia="Arial" w:hAnsi="Arial"/>
          <w:sz w:val="11"/>
          <w:szCs w:val="11"/>
          <w:color w:val="auto"/>
        </w:rPr>
        <w:t>(3)</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Illuminate Education, Inc.</w:t>
      </w:r>
      <w:r>
        <w:rPr>
          <w:rFonts w:ascii="Arial" w:cs="Arial" w:eastAsia="Arial" w:hAnsi="Arial"/>
          <w:sz w:val="12"/>
          <w:szCs w:val="12"/>
          <w:color w:val="auto"/>
        </w:rPr>
        <w:t>(3)(5)</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Electronics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Monitronics International, Inc. </w:t>
      </w:r>
      <w:r>
        <w:rPr>
          <w:rFonts w:ascii="Arial" w:cs="Arial" w:eastAsia="Arial" w:hAnsi="Arial"/>
          <w:sz w:val="12"/>
          <w:szCs w:val="12"/>
          <w:color w:val="auto"/>
        </w:rPr>
        <w:t>(3)(11)</w:t>
      </w:r>
    </w:p>
    <w:p>
      <w:pPr>
        <w:spacing w:after="0" w:line="1" w:lineRule="exact"/>
        <w:rPr>
          <w:sz w:val="20"/>
          <w:szCs w:val="20"/>
          <w:color w:val="auto"/>
        </w:rPr>
      </w:pPr>
    </w:p>
    <w:p>
      <w:pPr>
        <w:ind w:left="200" w:right="680"/>
        <w:spacing w:after="0" w:line="229" w:lineRule="auto"/>
        <w:rPr>
          <w:sz w:val="20"/>
          <w:szCs w:val="20"/>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 xml:space="preserve">AppStar Financial, LLC </w:t>
      </w:r>
      <w:r>
        <w:rPr>
          <w:rFonts w:ascii="Arial" w:cs="Arial" w:eastAsia="Arial" w:hAnsi="Arial"/>
          <w:sz w:val="12"/>
          <w:szCs w:val="12"/>
          <w:color w:val="auto"/>
        </w:rPr>
        <w:t>(3)</w:t>
      </w:r>
      <w:r>
        <w:rPr>
          <w:rFonts w:ascii="Arial" w:cs="Arial" w:eastAsia="Arial" w:hAnsi="Arial"/>
          <w:sz w:val="14"/>
          <w:szCs w:val="14"/>
          <w:color w:val="auto"/>
        </w:rPr>
        <w:t xml:space="preserve"> AvidXchange, Inc. </w:t>
      </w:r>
      <w:r>
        <w:rPr>
          <w:rFonts w:ascii="Arial" w:cs="Arial" w:eastAsia="Arial" w:hAnsi="Arial"/>
          <w:sz w:val="12"/>
          <w:szCs w:val="12"/>
          <w:color w:val="auto"/>
        </w:rPr>
        <w:t>(3)</w:t>
      </w:r>
      <w:r>
        <w:rPr>
          <w:rFonts w:ascii="Arial" w:cs="Arial" w:eastAsia="Arial" w:hAnsi="Arial"/>
          <w:sz w:val="14"/>
          <w:szCs w:val="14"/>
          <w:color w:val="auto"/>
        </w:rPr>
        <w:t xml:space="preserve"> G Treasury SS, LLC </w:t>
      </w:r>
      <w:r>
        <w:rPr>
          <w:rFonts w:ascii="Arial" w:cs="Arial" w:eastAsia="Arial" w:hAnsi="Arial"/>
          <w:sz w:val="12"/>
          <w:szCs w:val="12"/>
          <w:color w:val="auto"/>
        </w:rPr>
        <w:t>(3)</w:t>
      </w: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GC Agile Holdings Limited </w:t>
      </w:r>
      <w:r>
        <w:rPr>
          <w:rFonts w:ascii="Arial" w:cs="Arial" w:eastAsia="Arial" w:hAnsi="Arial"/>
          <w:sz w:val="12"/>
          <w:szCs w:val="12"/>
          <w:color w:val="auto"/>
        </w:rPr>
        <w:t>(3)(4)</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Government Brands, LLC </w:t>
      </w:r>
      <w:r>
        <w:rPr>
          <w:rFonts w:ascii="Arial" w:cs="Arial" w:eastAsia="Arial" w:hAnsi="Arial"/>
          <w:sz w:val="12"/>
          <w:szCs w:val="12"/>
          <w:color w:val="auto"/>
        </w:rPr>
        <w:t>(3)</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PayLease, LLC </w:t>
      </w:r>
      <w:r>
        <w:rPr>
          <w:rFonts w:ascii="Arial" w:cs="Arial" w:eastAsia="Arial" w:hAnsi="Arial"/>
          <w:sz w:val="12"/>
          <w:szCs w:val="12"/>
          <w:color w:val="auto"/>
        </w:rPr>
        <w:t>(3)</w:t>
      </w:r>
    </w:p>
    <w:p>
      <w:pPr>
        <w:ind w:left="200"/>
        <w:spacing w:after="0"/>
        <w:rPr>
          <w:sz w:val="20"/>
          <w:szCs w:val="20"/>
          <w:color w:val="auto"/>
        </w:rPr>
      </w:pPr>
      <w:r>
        <w:rPr>
          <w:rFonts w:ascii="Arial" w:cs="Arial" w:eastAsia="Arial" w:hAnsi="Arial"/>
          <w:sz w:val="14"/>
          <w:szCs w:val="14"/>
          <w:color w:val="auto"/>
        </w:rPr>
        <w:t xml:space="preserve">PaySimple, Inc. </w:t>
      </w:r>
      <w:r>
        <w:rPr>
          <w:rFonts w:ascii="Arial" w:cs="Arial" w:eastAsia="Arial" w:hAnsi="Arial"/>
          <w:sz w:val="12"/>
          <w:szCs w:val="12"/>
          <w:color w:val="auto"/>
        </w:rPr>
        <w:t>(3)(5)</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PrimeRevenue, Inc. </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Interest</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jc w:val="center"/>
              <w:ind w:left="108"/>
              <w:spacing w:after="0" w:line="142" w:lineRule="exact"/>
              <w:rPr>
                <w:sz w:val="20"/>
                <w:szCs w:val="20"/>
                <w:color w:val="auto"/>
              </w:rPr>
            </w:pPr>
            <w:r>
              <w:rPr>
                <w:rFonts w:ascii="Arial" w:cs="Arial" w:eastAsia="Arial" w:hAnsi="Arial"/>
                <w:sz w:val="14"/>
                <w:szCs w:val="14"/>
                <w:b w:val="1"/>
                <w:bCs w:val="1"/>
                <w:color w:val="auto"/>
                <w:w w:val="94"/>
              </w:rPr>
              <w:t>Acquisition</w:t>
            </w:r>
          </w:p>
        </w:tc>
        <w:tc>
          <w:tcPr>
            <w:tcW w:w="24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Rate and</w:t>
            </w:r>
          </w:p>
        </w:tc>
        <w:tc>
          <w:tcPr>
            <w:tcW w:w="80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Spread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2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3"/>
              </w:rPr>
              <w:t>(10)</w:t>
            </w:r>
          </w:p>
        </w:tc>
        <w:tc>
          <w:tcPr>
            <w:tcW w:w="18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540" w:type="dxa"/>
            <w:vAlign w:val="bottom"/>
            <w:gridSpan w:val="2"/>
          </w:tcPr>
          <w:p>
            <w:pPr>
              <w:spacing w:after="0"/>
              <w:rPr>
                <w:sz w:val="20"/>
                <w:szCs w:val="20"/>
                <w:color w:val="auto"/>
              </w:rPr>
            </w:pPr>
            <w:r>
              <w:rPr>
                <w:rFonts w:ascii="Arial" w:cs="Arial" w:eastAsia="Arial" w:hAnsi="Arial"/>
                <w:sz w:val="14"/>
                <w:szCs w:val="14"/>
                <w:color w:val="auto"/>
                <w:w w:val="97"/>
              </w:rPr>
              <w:t>First-lien loan ($46,441 par, due 10/2023)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10/16/2018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45,781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$ 45,628</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(CAD 64,513 par, due</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C + 5.25%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7.23%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48,205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47,444</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63,384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($52,381 par, due 8/2023)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8/13/2018</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51,676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51,595</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revolving loan ($2,095 par, due</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2,056</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($51,435 par, due 6/2022)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6/12/2017</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50,085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53,621</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($68,880 par, due 1/2024)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67,328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69,811</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($74,789 par, due 4/2024)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75,163</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($36,360 par, due 3/2022)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7/1/2016</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35,970</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36,457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328,525</w:t>
            </w:r>
          </w:p>
        </w:tc>
        <w:tc>
          <w:tcPr>
            <w:tcW w:w="2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336,147</w:t>
            </w:r>
          </w:p>
        </w:tc>
        <w:tc>
          <w:tcPr>
            <w:tcW w:w="1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4"/>
                <w:szCs w:val="14"/>
                <w:color w:val="auto"/>
                <w:w w:val="93"/>
              </w:rPr>
              <w:t>Second-lien loan ($3,341 par, due 10/2021)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10/31/2016</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L + 12.00%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3,341</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3,341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($49,625 par, due 2/2024)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2/28/2018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8.53%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48,307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50,617</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($49,192 par, due 9/2023)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9/18/2017</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9.10%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48,716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49,192</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1"/>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($64,513 par, due 8/2022)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8/25/2017</w:t>
            </w:r>
          </w:p>
        </w:tc>
        <w:tc>
          <w:tcPr>
            <w:tcW w:w="2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63,512</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63,706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160,535</w:t>
            </w:r>
          </w:p>
        </w:tc>
        <w:tc>
          <w:tcPr>
            <w:tcW w:w="2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163,515</w:t>
            </w:r>
          </w:p>
        </w:tc>
        <w:tc>
          <w:tcPr>
            <w:tcW w:w="1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($1,164 par, due 9/2022)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1/2/2019</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+ 5.50%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1,010</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($18,056 par, due 8/2020)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8/18/2015</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17,912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18,207</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($54,449 par, due 8/2020)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8/7/2015</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+ 9.50%</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54,133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55,130</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($30,749 par, due 4/2022)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11.99%</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30,196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30,277</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($32,910 par, due 6/2025)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1/31/2019</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32,198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32,310</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($46,151 par, due 3/2023)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45,325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45,512</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($59,807 par, due 7/2022)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7/28/2017</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+ 7.00%</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58,892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59,649</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($59,621 par, due 3/2022)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59,365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59,173</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w w:val="97"/>
              </w:rPr>
              <w:t>First-lien loan ($20,270 par, due 12/2023)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+ 8.50%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20,204</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PIK)</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-4391025</wp:posOffset>
            </wp:positionV>
            <wp:extent cx="6997700" cy="94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-4202430</wp:posOffset>
            </wp:positionV>
            <wp:extent cx="6997700"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-4004945</wp:posOffset>
            </wp:positionV>
            <wp:extent cx="6997700"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6997700" cy="29146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-3610610</wp:posOffset>
            </wp:positionV>
            <wp:extent cx="699770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-3328035</wp:posOffset>
            </wp:positionV>
            <wp:extent cx="6997700"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-3138805</wp:posOffset>
            </wp:positionV>
            <wp:extent cx="6997700" cy="94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-2915920</wp:posOffset>
            </wp:positionV>
            <wp:extent cx="6997700"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-2727325</wp:posOffset>
            </wp:positionV>
            <wp:extent cx="6997700" cy="946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-2530475</wp:posOffset>
            </wp:positionV>
            <wp:extent cx="6997700" cy="102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-2306955</wp:posOffset>
            </wp:positionV>
            <wp:extent cx="6997700"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-2101215</wp:posOffset>
            </wp:positionV>
            <wp:extent cx="699770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-1904365</wp:posOffset>
            </wp:positionV>
            <wp:extent cx="6997700" cy="94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-1715770</wp:posOffset>
            </wp:positionV>
            <wp:extent cx="6997700"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6997700" cy="37719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-1235075</wp:posOffset>
            </wp:positionV>
            <wp:extent cx="6997700" cy="377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6997700" cy="37719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-763270</wp:posOffset>
            </wp:positionV>
            <wp:extent cx="6997700" cy="3771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6997700" cy="37719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460" w:space="680"/>
            <w:col w:w="8040"/>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80"/>
          </w:cols>
          <w:pgMar w:left="240" w:top="459" w:right="47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360" w:type="dxa"/>
            <w:vAlign w:val="bottom"/>
          </w:tcPr>
          <w:p>
            <w:pPr>
              <w:spacing w:after="0"/>
              <w:rPr>
                <w:sz w:val="13"/>
                <w:szCs w:val="13"/>
                <w:color w:val="auto"/>
              </w:rPr>
            </w:pPr>
          </w:p>
        </w:tc>
        <w:tc>
          <w:tcPr>
            <w:tcW w:w="26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center"/>
              <w:ind w:left="28"/>
              <w:spacing w:after="0" w:line="151"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3"/>
                <w:szCs w:val="13"/>
                <w:color w:val="auto"/>
              </w:rPr>
            </w:pPr>
          </w:p>
        </w:tc>
        <w:tc>
          <w:tcPr>
            <w:tcW w:w="780" w:type="dxa"/>
            <w:vAlign w:val="bottom"/>
            <w:gridSpan w:val="2"/>
          </w:tcPr>
          <w:p>
            <w:pPr>
              <w:jc w:val="center"/>
              <w:ind w:right="108"/>
              <w:spacing w:after="0" w:line="151" w:lineRule="exact"/>
              <w:rPr>
                <w:sz w:val="20"/>
                <w:szCs w:val="20"/>
                <w:color w:val="auto"/>
              </w:rPr>
            </w:pPr>
            <w:r>
              <w:rPr>
                <w:rFonts w:ascii="Arial" w:cs="Arial" w:eastAsia="Arial" w:hAnsi="Arial"/>
                <w:sz w:val="14"/>
                <w:szCs w:val="14"/>
                <w:b w:val="1"/>
                <w:bCs w:val="1"/>
                <w:color w:val="auto"/>
                <w:w w:val="94"/>
              </w:rPr>
              <w:t>Rate and</w:t>
            </w:r>
          </w:p>
        </w:tc>
        <w:tc>
          <w:tcPr>
            <w:tcW w:w="720" w:type="dxa"/>
            <w:vAlign w:val="bottom"/>
            <w:gridSpan w:val="3"/>
          </w:tcPr>
          <w:p>
            <w:pPr>
              <w:jc w:val="right"/>
              <w:ind w:right="138"/>
              <w:spacing w:after="0" w:line="151" w:lineRule="exact"/>
              <w:rPr>
                <w:sz w:val="20"/>
                <w:szCs w:val="20"/>
                <w:color w:val="auto"/>
              </w:rPr>
            </w:pPr>
            <w:r>
              <w:rPr>
                <w:rFonts w:ascii="Arial" w:cs="Arial" w:eastAsia="Arial" w:hAnsi="Arial"/>
                <w:sz w:val="14"/>
                <w:szCs w:val="14"/>
                <w:b w:val="1"/>
                <w:bCs w:val="1"/>
                <w:color w:val="auto"/>
                <w:w w:val="98"/>
              </w:rPr>
              <w:t>Interest</w:t>
            </w:r>
          </w:p>
        </w:tc>
        <w:tc>
          <w:tcPr>
            <w:tcW w:w="7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96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960" w:type="dxa"/>
            <w:vAlign w:val="bottom"/>
            <w:gridSpan w:val="2"/>
          </w:tcPr>
          <w:p>
            <w:pPr>
              <w:jc w:val="right"/>
              <w:ind w:right="168"/>
              <w:spacing w:after="0" w:line="151" w:lineRule="exact"/>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55"/>
        </w:trPr>
        <w:tc>
          <w:tcPr>
            <w:tcW w:w="264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3"/>
                <w:szCs w:val="13"/>
                <w:color w:val="auto"/>
              </w:rPr>
            </w:pPr>
          </w:p>
        </w:tc>
        <w:tc>
          <w:tcPr>
            <w:tcW w:w="780" w:type="dxa"/>
            <w:vAlign w:val="bottom"/>
            <w:gridSpan w:val="2"/>
          </w:tcPr>
          <w:p>
            <w:pPr>
              <w:jc w:val="center"/>
              <w:ind w:right="108"/>
              <w:spacing w:after="0" w:line="155" w:lineRule="exact"/>
              <w:rPr>
                <w:sz w:val="20"/>
                <w:szCs w:val="20"/>
                <w:color w:val="auto"/>
              </w:rPr>
            </w:pPr>
            <w:r>
              <w:rPr>
                <w:rFonts w:ascii="Arial" w:cs="Arial" w:eastAsia="Arial" w:hAnsi="Arial"/>
                <w:sz w:val="14"/>
                <w:szCs w:val="14"/>
                <w:b w:val="1"/>
                <w:bCs w:val="1"/>
                <w:color w:val="auto"/>
                <w:w w:val="92"/>
              </w:rPr>
              <w:t>Spread</w:t>
            </w:r>
          </w:p>
        </w:tc>
        <w:tc>
          <w:tcPr>
            <w:tcW w:w="40" w:type="dxa"/>
            <w:vAlign w:val="bottom"/>
          </w:tcPr>
          <w:p>
            <w:pPr>
              <w:spacing w:after="0"/>
              <w:rPr>
                <w:sz w:val="13"/>
                <w:szCs w:val="13"/>
                <w:color w:val="auto"/>
              </w:rPr>
            </w:pPr>
          </w:p>
        </w:tc>
        <w:tc>
          <w:tcPr>
            <w:tcW w:w="680" w:type="dxa"/>
            <w:vAlign w:val="bottom"/>
            <w:gridSpan w:val="2"/>
          </w:tcPr>
          <w:p>
            <w:pPr>
              <w:jc w:val="right"/>
              <w:ind w:right="238"/>
              <w:spacing w:after="0" w:line="155" w:lineRule="exact"/>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980" w:type="dxa"/>
            <w:vAlign w:val="bottom"/>
            <w:gridSpan w:val="2"/>
          </w:tcPr>
          <w:p>
            <w:pPr>
              <w:jc w:val="right"/>
              <w:ind w:right="248"/>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3"/>
                <w:szCs w:val="13"/>
                <w:color w:val="auto"/>
              </w:rPr>
            </w:pPr>
          </w:p>
        </w:tc>
        <w:tc>
          <w:tcPr>
            <w:tcW w:w="1040" w:type="dxa"/>
            <w:vAlign w:val="bottom"/>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(3)(5)</w:t>
            </w:r>
          </w:p>
        </w:tc>
        <w:tc>
          <w:tcPr>
            <w:tcW w:w="36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First-lien loan ($28,693 par, due 1/2022)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7/31/2017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120"/>
              <w:spacing w:after="0" w:line="136" w:lineRule="exact"/>
              <w:rPr>
                <w:sz w:val="20"/>
                <w:szCs w:val="20"/>
                <w:color w:val="auto"/>
              </w:rPr>
            </w:pPr>
            <w:r>
              <w:rPr>
                <w:rFonts w:ascii="Arial" w:cs="Arial" w:eastAsia="Arial" w:hAnsi="Arial"/>
                <w:sz w:val="14"/>
                <w:szCs w:val="14"/>
                <w:color w:val="auto"/>
                <w:w w:val="94"/>
              </w:rPr>
              <w:t>L + 6.50</w:t>
            </w:r>
          </w:p>
        </w:tc>
        <w:tc>
          <w:tcPr>
            <w:tcW w:w="1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jc w:val="right"/>
              <w:ind w:right="18"/>
              <w:spacing w:after="0" w:line="136" w:lineRule="exact"/>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28,195</w:t>
            </w:r>
          </w:p>
        </w:tc>
        <w:tc>
          <w:tcPr>
            <w:tcW w:w="1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29,984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346,173</w:t>
            </w:r>
          </w:p>
        </w:tc>
        <w:tc>
          <w:tcPr>
            <w:tcW w:w="160" w:type="dxa"/>
            <w:vAlign w:val="bottom"/>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350,446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Healthcare</w:t>
            </w: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Caris Life Sciences, Ltd.</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($2,500 par, due 9/2023)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9/21/2018</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11.30%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11.30%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2,306</w:t>
            </w:r>
          </w:p>
        </w:tc>
        <w:tc>
          <w:tcPr>
            <w:tcW w:w="14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Convertible note ($2,500 par, due 9/2023)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9/21/2018</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8.00%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Integrated Practice Solutions, Inc. </w:t>
            </w:r>
            <w:r>
              <w:rPr>
                <w:rFonts w:ascii="Arial" w:cs="Arial" w:eastAsia="Arial" w:hAnsi="Arial"/>
                <w:sz w:val="12"/>
                <w:szCs w:val="12"/>
                <w:color w:val="auto"/>
              </w:rPr>
              <w:t>(3)(5)</w:t>
            </w: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First-lien loan ($36,409 par, due 6/2022)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L + 8.00%</w:t>
            </w:r>
          </w:p>
        </w:tc>
        <w:tc>
          <w:tcPr>
            <w:tcW w:w="720" w:type="dxa"/>
            <w:vAlign w:val="bottom"/>
            <w:gridSpan w:val="3"/>
          </w:tcPr>
          <w:p>
            <w:pPr>
              <w:jc w:val="right"/>
              <w:ind w:right="18"/>
              <w:spacing w:after="0"/>
              <w:rPr>
                <w:sz w:val="20"/>
                <w:szCs w:val="20"/>
                <w:color w:val="auto"/>
              </w:rPr>
            </w:pPr>
            <w:r>
              <w:rPr>
                <w:rFonts w:ascii="Arial" w:cs="Arial" w:eastAsia="Arial" w:hAnsi="Arial"/>
                <w:sz w:val="14"/>
                <w:szCs w:val="14"/>
                <w:color w:val="auto"/>
              </w:rPr>
              <w:t>10.50%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35,655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36,227</w:t>
            </w:r>
          </w:p>
        </w:tc>
        <w:tc>
          <w:tcPr>
            <w:tcW w:w="1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InterOperability Bidco,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($29,925 par, due 10/2023)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10/30/2018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+ 7.00%</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9.50%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28,952</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($41,606 par, due 9/2020)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9/30/2015</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+ 7.50%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41,176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41,815</w:t>
            </w:r>
          </w:p>
        </w:tc>
        <w:tc>
          <w:tcPr>
            <w:tcW w:w="14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($27,590 par, due 9/2019)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2/29/2016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10.35%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26,712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27,314</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($21,938 par, due 2/2024)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2/11/2019</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9.00%</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21,317</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21,390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158,456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12"/>
                <w:szCs w:val="12"/>
                <w:color w:val="auto"/>
              </w:rPr>
              <w:t>(3)(7)</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First-lien loan ($30,410 par, due 9/2019)</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9/29/2015</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+ 9.50%</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12.10%</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28,556</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30,333</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revolving loan ($894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9/29/2015</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L + 9.50%</w:t>
            </w:r>
          </w:p>
        </w:tc>
        <w:tc>
          <w:tcPr>
            <w:tcW w:w="5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12.00%</w:t>
            </w:r>
          </w:p>
        </w:tc>
        <w:tc>
          <w:tcPr>
            <w:tcW w:w="180" w:type="dxa"/>
            <w:vAlign w:val="bottom"/>
          </w:tcPr>
          <w:p>
            <w:pPr>
              <w:spacing w:after="0"/>
              <w:rPr>
                <w:sz w:val="11"/>
                <w:szCs w:val="11"/>
                <w:color w:val="auto"/>
              </w:rPr>
            </w:pP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894</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886</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9/2019)</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29,450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31,219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First-lien loan ($17,261 par, due 7/2023)</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7/23/2018</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+ 8.50%</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11.13%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17,011</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17,008</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PageUp People Limited </w:t>
            </w:r>
            <w:r>
              <w:rPr>
                <w:rFonts w:ascii="Arial" w:cs="Arial" w:eastAsia="Arial" w:hAnsi="Arial"/>
                <w:sz w:val="12"/>
                <w:szCs w:val="12"/>
                <w:color w:val="auto"/>
              </w:rPr>
              <w:t>(3)(4)</w:t>
            </w: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loan (AUD 47,078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1/11/2018</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B + 7.25%</w:t>
            </w:r>
          </w:p>
        </w:tc>
        <w:tc>
          <w:tcPr>
            <w:tcW w:w="5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9.27%</w:t>
            </w:r>
          </w:p>
        </w:tc>
        <w:tc>
          <w:tcPr>
            <w:tcW w:w="180" w:type="dxa"/>
            <w:vAlign w:val="bottom"/>
          </w:tcPr>
          <w:p>
            <w:pPr>
              <w:spacing w:after="0"/>
              <w:rPr>
                <w:sz w:val="11"/>
                <w:szCs w:val="11"/>
                <w:color w:val="auto"/>
              </w:rPr>
            </w:pP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36,372</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33,164</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12/2022)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(AUD 46,688)</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53,383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50,172</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Insurity,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($60,837 par, due 10/2020)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10/31/2014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9.18%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60,593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61,293</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($50,000 par, due 10/2023)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+ 7.75%</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10.36%</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49,455</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49,250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110,048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Internet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($37,715 par, due 1/2022)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6/18/2018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+ 6.00%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8.61%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37,184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37,149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12"/>
                <w:szCs w:val="12"/>
                <w:color w:val="auto"/>
              </w:rPr>
              <w:t>(3)</w:t>
            </w: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First-lien loan ($54,700 par, due 10/2022)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10/3/2017</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L + 8.00%</w:t>
            </w:r>
          </w:p>
        </w:tc>
        <w:tc>
          <w:tcPr>
            <w:tcW w:w="720" w:type="dxa"/>
            <w:vAlign w:val="bottom"/>
            <w:gridSpan w:val="3"/>
          </w:tcPr>
          <w:p>
            <w:pPr>
              <w:jc w:val="right"/>
              <w:ind w:right="18"/>
              <w:spacing w:after="0"/>
              <w:rPr>
                <w:sz w:val="20"/>
                <w:szCs w:val="20"/>
                <w:color w:val="auto"/>
              </w:rPr>
            </w:pPr>
            <w:r>
              <w:rPr>
                <w:rFonts w:ascii="Arial" w:cs="Arial" w:eastAsia="Arial" w:hAnsi="Arial"/>
                <w:sz w:val="14"/>
                <w:szCs w:val="14"/>
                <w:color w:val="auto"/>
              </w:rPr>
              <w:t>10.49%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53,699</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54,260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90,883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Manufacturing</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ScentAir Technologies, Inc.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($19,986 par, due 12/2019)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12/30/2014</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+ 7.25%</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9.75%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19,986</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revolving loan ($1,393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12/30/2014</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L + 7.25%</w:t>
            </w:r>
          </w:p>
        </w:tc>
        <w:tc>
          <w:tcPr>
            <w:tcW w:w="720" w:type="dxa"/>
            <w:vAlign w:val="bottom"/>
            <w:gridSpan w:val="3"/>
          </w:tcPr>
          <w:p>
            <w:pPr>
              <w:jc w:val="right"/>
              <w:ind w:right="18"/>
              <w:spacing w:after="0" w:line="130" w:lineRule="exact"/>
              <w:rPr>
                <w:sz w:val="20"/>
                <w:szCs w:val="20"/>
                <w:color w:val="auto"/>
              </w:rPr>
            </w:pPr>
            <w:r>
              <w:rPr>
                <w:rFonts w:ascii="Arial" w:cs="Arial" w:eastAsia="Arial" w:hAnsi="Arial"/>
                <w:sz w:val="14"/>
                <w:szCs w:val="14"/>
                <w:color w:val="auto"/>
              </w:rPr>
              <w:t>9.75%</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1,387</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1,393</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12/2019)</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21,305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21,379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Marketing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(3)(5)(6)</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($36,797 par, due 5/2023)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5/31/2018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9.19%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36,243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36,153</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Office products</w:t>
            </w: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ABL FILO term loan ($13,000 par, due</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9/12/2017</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10.23%</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12,773</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12,967</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9/2022)</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3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fuels</w:t>
            </w: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MD America Energy, LLC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($14,906 par, due 11/2023)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11/14/2018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10.44%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14,383</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Reference</w:t>
            </w: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40" w:type="dxa"/>
            <w:vAlign w:val="bottom"/>
          </w:tcPr>
          <w:p>
            <w:pPr>
              <w:spacing w:after="0"/>
              <w:rPr>
                <w:sz w:val="12"/>
                <w:szCs w:val="12"/>
                <w:color w:val="auto"/>
              </w:rPr>
            </w:pPr>
          </w:p>
        </w:tc>
        <w:tc>
          <w:tcPr>
            <w:tcW w:w="28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Rate and</w:t>
            </w:r>
          </w:p>
        </w:tc>
        <w:tc>
          <w:tcPr>
            <w:tcW w:w="74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3"/>
                <w:szCs w:val="13"/>
                <w:color w:val="auto"/>
              </w:rPr>
            </w:pPr>
          </w:p>
        </w:tc>
        <w:tc>
          <w:tcPr>
            <w:tcW w:w="7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Spread</w:t>
            </w:r>
          </w:p>
        </w:tc>
        <w:tc>
          <w:tcPr>
            <w:tcW w:w="60" w:type="dxa"/>
            <w:vAlign w:val="bottom"/>
          </w:tcPr>
          <w:p>
            <w:pPr>
              <w:spacing w:after="0"/>
              <w:rPr>
                <w:sz w:val="13"/>
                <w:szCs w:val="13"/>
                <w:color w:val="auto"/>
              </w:rPr>
            </w:pPr>
          </w:p>
        </w:tc>
        <w:tc>
          <w:tcPr>
            <w:tcW w:w="6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4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112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(3)(7)</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First-lien loan ($17,429 par, due 6/2020)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L + 9.00%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31,940</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31,595</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Pharmaceuticals</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Ironwood Pharmaceuticals, Inc. </w:t>
            </w:r>
            <w:r>
              <w:rPr>
                <w:rFonts w:ascii="Arial" w:cs="Arial" w:eastAsia="Arial" w:hAnsi="Arial"/>
                <w:sz w:val="12"/>
                <w:szCs w:val="12"/>
                <w:color w:val="auto"/>
              </w:rPr>
              <w:t>(4)(5)(9)</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rPr>
              <w:t>Secured note ($30,610 par, due 9/2026)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1/5/2017</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8.38%</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8.38%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30,493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31,529</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12"/>
                <w:szCs w:val="12"/>
                <w:color w:val="auto"/>
              </w:rPr>
              <w:t>(4)(5)(9)</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Secured note ($74,950 par, due 10/2020)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10/5/2015</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74,611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76,824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105,104</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108,353</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Retail and consumer products</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99 Cents Only Stores LLC </w:t>
            </w:r>
            <w:r>
              <w:rPr>
                <w:rFonts w:ascii="Arial" w:cs="Arial" w:eastAsia="Arial" w:hAnsi="Arial"/>
                <w:sz w:val="12"/>
                <w:szCs w:val="12"/>
                <w:color w:val="auto"/>
              </w:rPr>
              <w:t>(3)</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w w:val="96"/>
              </w:rPr>
              <w:t>ABL FILO term loan ($32,500 par, due 4/2021)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9/6/2017</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L + 7.75%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10.36%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32,197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32,825</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American Achievement Corporation </w:t>
            </w:r>
            <w:r>
              <w:rPr>
                <w:rFonts w:ascii="Arial" w:cs="Arial" w:eastAsia="Arial" w:hAnsi="Arial"/>
                <w:sz w:val="12"/>
                <w:szCs w:val="12"/>
                <w:color w:val="auto"/>
              </w:rPr>
              <w:t>(3)</w:t>
            </w:r>
          </w:p>
        </w:tc>
        <w:tc>
          <w:tcPr>
            <w:tcW w:w="32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First-lien loan ($22,214 par, due 9/2020)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9/30/2015</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 + 8.25%</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21,992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24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Secured Promissory Note ($795 par, due</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12/19/2018</w:t>
            </w:r>
          </w:p>
        </w:tc>
        <w:tc>
          <w:tcPr>
            <w:tcW w:w="160" w:type="dxa"/>
            <w:vAlign w:val="bottom"/>
          </w:tcPr>
          <w:p>
            <w:pPr>
              <w:spacing w:after="0"/>
              <w:rPr>
                <w:sz w:val="11"/>
                <w:szCs w:val="11"/>
                <w:color w:val="auto"/>
              </w:rPr>
            </w:pPr>
          </w:p>
        </w:tc>
        <w:tc>
          <w:tcPr>
            <w:tcW w:w="76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L + 8.25%</w:t>
            </w:r>
          </w:p>
        </w:tc>
        <w:tc>
          <w:tcPr>
            <w:tcW w:w="74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10.74%</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789</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795</w:t>
            </w:r>
          </w:p>
        </w:tc>
        <w:tc>
          <w:tcPr>
            <w:tcW w:w="112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rPr>
              <w:t>12/2020)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PayLess Inc. </w:t>
            </w:r>
            <w:r>
              <w:rPr>
                <w:rFonts w:ascii="Arial" w:cs="Arial" w:eastAsia="Arial" w:hAnsi="Arial"/>
                <w:sz w:val="12"/>
                <w:szCs w:val="12"/>
                <w:color w:val="auto"/>
              </w:rPr>
              <w:t>(3)(5)</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ABL FILO term loan ($14,235 par, due 8/2022)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L + 10.00%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14,235</w:t>
            </w:r>
          </w:p>
        </w:tc>
        <w:tc>
          <w:tcPr>
            <w:tcW w:w="11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12"/>
                <w:szCs w:val="12"/>
                <w:color w:val="auto"/>
              </w:rPr>
              <w:t>(3)</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w w:val="96"/>
              </w:rPr>
              <w:t>ABL FILO term loan ($75,000 par, due 2/2024)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2/11/2019</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L + 7.25%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9.74%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74,265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75,000</w:t>
            </w:r>
          </w:p>
        </w:tc>
        <w:tc>
          <w:tcPr>
            <w:tcW w:w="1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143,356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144,847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6"/>
        </w:trPr>
        <w:tc>
          <w:tcPr>
            <w:tcW w:w="2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Transportation</w:t>
            </w:r>
          </w:p>
        </w:tc>
        <w:tc>
          <w:tcPr>
            <w:tcW w:w="4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12"/>
                <w:szCs w:val="12"/>
                <w:color w:val="auto"/>
              </w:rPr>
              <w:t>(3)(4)(5)</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First-lien loan ($82,500 par, due 5/2023)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L + 5.75%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81,101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84,188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Debt Investments</w:t>
            </w: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u w:val="single" w:color="auto"/>
                <w:color w:val="auto"/>
                <w:w w:val="99"/>
              </w:rPr>
              <w:t>1,759,407</w:t>
            </w:r>
          </w:p>
        </w:tc>
        <w:tc>
          <w:tcPr>
            <w:tcW w:w="14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u w:val="single" w:color="auto"/>
                <w:color w:val="auto"/>
                <w:w w:val="96"/>
              </w:rPr>
              <w:t>1,783,406</w:t>
            </w:r>
          </w:p>
        </w:tc>
        <w:tc>
          <w:tcPr>
            <w:tcW w:w="160" w:type="dxa"/>
            <w:vAlign w:val="bottom"/>
            <w:vMerge w:val="continue"/>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6522720</wp:posOffset>
            </wp:positionH>
            <wp:positionV relativeFrom="paragraph">
              <wp:posOffset>-12065</wp:posOffset>
            </wp:positionV>
            <wp:extent cx="50609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ind w:left="200" w:right="460"/>
        <w:spacing w:after="0" w:line="245" w:lineRule="auto"/>
        <w:rPr>
          <w:sz w:val="20"/>
          <w:szCs w:val="20"/>
          <w:color w:val="auto"/>
        </w:rPr>
      </w:pPr>
      <w:r>
        <w:rPr>
          <w:rFonts w:ascii="Arial" w:cs="Arial" w:eastAsia="Arial" w:hAnsi="Arial"/>
          <w:sz w:val="13"/>
          <w:szCs w:val="13"/>
          <w:b w:val="1"/>
          <w:bCs w:val="1"/>
          <w:color w:val="auto"/>
        </w:rPr>
        <w:t xml:space="preserve">Equity and Other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(6)(13)(14)</w:t>
      </w:r>
    </w:p>
    <w:p>
      <w:pPr>
        <w:ind w:left="200"/>
        <w:spacing w:after="0" w:line="223" w:lineRule="auto"/>
        <w:rPr>
          <w:sz w:val="20"/>
          <w:szCs w:val="20"/>
          <w:color w:val="auto"/>
        </w:rPr>
      </w:pPr>
      <w:r>
        <w:rPr>
          <w:rFonts w:ascii="Arial" w:cs="Arial" w:eastAsia="Arial" w:hAnsi="Arial"/>
          <w:sz w:val="14"/>
          <w:szCs w:val="14"/>
          <w:b w:val="1"/>
          <w:bCs w:val="1"/>
          <w:color w:val="auto"/>
        </w:rPr>
        <w:t>Business Services</w:t>
      </w:r>
    </w:p>
    <w:p>
      <w:pPr>
        <w:ind w:left="200"/>
        <w:spacing w:after="0"/>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(13)</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(13)</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Chemicals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(13)</w:t>
      </w:r>
    </w:p>
    <w:p>
      <w:pPr>
        <w:ind w:left="200"/>
        <w:spacing w:after="0" w:line="223" w:lineRule="auto"/>
        <w:rPr>
          <w:sz w:val="20"/>
          <w:szCs w:val="20"/>
          <w:color w:val="auto"/>
        </w:rPr>
      </w:pPr>
      <w:r>
        <w:rPr>
          <w:rFonts w:ascii="Arial" w:cs="Arial" w:eastAsia="Arial" w:hAnsi="Arial"/>
          <w:sz w:val="14"/>
          <w:szCs w:val="14"/>
          <w:b w:val="1"/>
          <w:bCs w:val="1"/>
          <w:color w:val="auto"/>
        </w:rPr>
        <w:t>Financial services</w:t>
      </w:r>
    </w:p>
    <w:p>
      <w:pPr>
        <w:ind w:left="200"/>
        <w:spacing w:after="0" w:line="221" w:lineRule="auto"/>
        <w:rPr>
          <w:sz w:val="20"/>
          <w:szCs w:val="20"/>
          <w:color w:val="auto"/>
        </w:rPr>
      </w:pPr>
      <w:r>
        <w:rPr>
          <w:rFonts w:ascii="Arial" w:cs="Arial" w:eastAsia="Arial" w:hAnsi="Arial"/>
          <w:sz w:val="14"/>
          <w:szCs w:val="14"/>
          <w:color w:val="auto"/>
        </w:rPr>
        <w:t xml:space="preserve">AvidXchange, Inc. </w:t>
      </w:r>
      <w:r>
        <w:rPr>
          <w:rFonts w:ascii="Arial" w:cs="Arial" w:eastAsia="Arial" w:hAnsi="Arial"/>
          <w:sz w:val="12"/>
          <w:szCs w:val="12"/>
          <w:color w:val="auto"/>
        </w:rPr>
        <w:t>(13)</w:t>
      </w:r>
    </w:p>
    <w:p>
      <w:pPr>
        <w:ind w:left="200"/>
        <w:spacing w:after="0"/>
        <w:rPr>
          <w:sz w:val="20"/>
          <w:szCs w:val="20"/>
          <w:color w:val="auto"/>
        </w:rPr>
      </w:pPr>
      <w:r>
        <w:rPr>
          <w:rFonts w:ascii="Arial" w:cs="Arial" w:eastAsia="Arial" w:hAnsi="Arial"/>
          <w:sz w:val="13"/>
          <w:szCs w:val="13"/>
          <w:color w:val="auto"/>
        </w:rPr>
        <w:t xml:space="preserve">Oxford Square Capital Corp. </w:t>
      </w:r>
      <w:r>
        <w:rPr>
          <w:rFonts w:ascii="Arial" w:cs="Arial" w:eastAsia="Arial" w:hAnsi="Arial"/>
          <w:sz w:val="11"/>
          <w:szCs w:val="11"/>
          <w:color w:val="auto"/>
        </w:rPr>
        <w:t>(4)(12)</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(13)</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Healthcare</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Caris Life Sciences, Ltd. </w:t>
      </w:r>
      <w:r>
        <w:rPr>
          <w:rFonts w:ascii="Arial" w:cs="Arial" w:eastAsia="Arial" w:hAnsi="Arial"/>
          <w:sz w:val="12"/>
          <w:szCs w:val="12"/>
          <w:color w:val="auto"/>
        </w:rPr>
        <w:t>(13)(14)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Vita Topco, Inc. </w:t>
      </w:r>
      <w:r>
        <w:rPr>
          <w:rFonts w:ascii="Arial" w:cs="Arial" w:eastAsia="Arial" w:hAnsi="Arial"/>
          <w:sz w:val="12"/>
          <w:szCs w:val="12"/>
          <w:color w:val="auto"/>
        </w:rPr>
        <w:t>(13)(14)(15)</w:t>
      </w:r>
    </w:p>
    <w:p>
      <w:pPr>
        <w:spacing w:after="0" w:line="174" w:lineRule="exact"/>
        <w:rPr>
          <w:sz w:val="20"/>
          <w:szCs w:val="20"/>
          <w:color w:val="auto"/>
        </w:rPr>
      </w:pPr>
    </w:p>
    <w:p>
      <w:pPr>
        <w:ind w:left="200" w:right="740"/>
        <w:spacing w:after="0" w:line="297" w:lineRule="auto"/>
        <w:rPr>
          <w:sz w:val="20"/>
          <w:szCs w:val="20"/>
          <w:color w:val="auto"/>
        </w:rPr>
      </w:pPr>
      <w:r>
        <w:rPr>
          <w:rFonts w:ascii="Arial" w:cs="Arial" w:eastAsia="Arial" w:hAnsi="Arial"/>
          <w:sz w:val="13"/>
          <w:szCs w:val="13"/>
          <w:b w:val="1"/>
          <w:bCs w:val="1"/>
          <w:color w:val="auto"/>
        </w:rPr>
        <w:t xml:space="preserve">Hotel, gaming, and leisure </w:t>
      </w:r>
      <w:r>
        <w:rPr>
          <w:rFonts w:ascii="Arial" w:cs="Arial" w:eastAsia="Arial" w:hAnsi="Arial"/>
          <w:sz w:val="13"/>
          <w:szCs w:val="13"/>
          <w:color w:val="auto"/>
        </w:rPr>
        <w:t xml:space="preserve">IRGSE Holding Corp. </w:t>
      </w:r>
      <w:r>
        <w:rPr>
          <w:rFonts w:ascii="Arial" w:cs="Arial" w:eastAsia="Arial" w:hAnsi="Arial"/>
          <w:sz w:val="11"/>
          <w:szCs w:val="11"/>
          <w:color w:val="auto"/>
        </w:rPr>
        <w:t>(7)(13)</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20"/>
                <w:szCs w:val="20"/>
                <w:color w:val="auto"/>
              </w:rPr>
            </w:pPr>
            <w:r>
              <w:rPr>
                <w:rFonts w:ascii="Arial" w:cs="Arial" w:eastAsia="Arial" w:hAnsi="Arial"/>
                <w:sz w:val="14"/>
                <w:szCs w:val="14"/>
                <w:color w:val="auto"/>
              </w:rPr>
              <w:t>Preferred Units (4,441,090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10/16/2018</w:t>
            </w:r>
          </w:p>
        </w:tc>
        <w:tc>
          <w:tcPr>
            <w:tcW w:w="660" w:type="dxa"/>
            <w:vAlign w:val="bottom"/>
          </w:tcPr>
          <w:p>
            <w:pPr>
              <w:jc w:val="right"/>
              <w:spacing w:after="0"/>
              <w:rPr>
                <w:sz w:val="20"/>
                <w:szCs w:val="20"/>
                <w:color w:val="auto"/>
              </w:rPr>
            </w:pPr>
            <w:r>
              <w:rPr>
                <w:rFonts w:ascii="Arial" w:cs="Arial" w:eastAsia="Arial" w:hAnsi="Arial"/>
                <w:sz w:val="14"/>
                <w:szCs w:val="14"/>
                <w:color w:val="auto"/>
              </w:rPr>
              <w:t>4,441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4,441</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Class A Units (1,262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rPr>
                <w:sz w:val="20"/>
                <w:szCs w:val="20"/>
                <w:color w:val="auto"/>
              </w:rPr>
            </w:pPr>
            <w:r>
              <w:rPr>
                <w:rFonts w:ascii="Arial" w:cs="Arial" w:eastAsia="Arial" w:hAnsi="Arial"/>
                <w:sz w:val="14"/>
                <w:szCs w:val="14"/>
                <w:color w:val="auto"/>
              </w:rPr>
              <w:t>1,262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1,325</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B Units (517,020 units)</w:t>
            </w:r>
          </w:p>
        </w:tc>
        <w:tc>
          <w:tcPr>
            <w:tcW w:w="266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A Shares (1,197 shares)</w:t>
            </w:r>
          </w:p>
        </w:tc>
        <w:tc>
          <w:tcPr>
            <w:tcW w:w="266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1,532</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Class B Shares (398,557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2,471</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2,872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tcPr>
          <w:p>
            <w:pPr>
              <w:spacing w:after="0"/>
              <w:rPr>
                <w:sz w:val="20"/>
                <w:szCs w:val="20"/>
                <w:color w:val="auto"/>
              </w:rPr>
            </w:pPr>
            <w:r>
              <w:rPr>
                <w:rFonts w:ascii="Arial" w:cs="Arial" w:eastAsia="Arial" w:hAnsi="Arial"/>
                <w:sz w:val="14"/>
                <w:szCs w:val="14"/>
                <w:color w:val="auto"/>
              </w:rPr>
              <w:t>Common Units (2,672,990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10/31/2016</w:t>
            </w:r>
          </w:p>
        </w:tc>
        <w:tc>
          <w:tcPr>
            <w:tcW w:w="660" w:type="dxa"/>
            <w:vAlign w:val="bottom"/>
          </w:tcPr>
          <w:p>
            <w:pPr>
              <w:jc w:val="right"/>
              <w:spacing w:after="0"/>
              <w:rPr>
                <w:sz w:val="20"/>
                <w:szCs w:val="20"/>
                <w:color w:val="auto"/>
              </w:rPr>
            </w:pPr>
            <w:r>
              <w:rPr>
                <w:rFonts w:ascii="Arial" w:cs="Arial" w:eastAsia="Arial" w:hAnsi="Arial"/>
                <w:sz w:val="14"/>
                <w:szCs w:val="14"/>
                <w:color w:val="auto"/>
              </w:rPr>
              <w:t>3,828</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3,560</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Series E Preferred Equity (214,132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8/7/2015</w:t>
            </w:r>
          </w:p>
        </w:tc>
        <w:tc>
          <w:tcPr>
            <w:tcW w:w="660" w:type="dxa"/>
            <w:vAlign w:val="bottom"/>
          </w:tcPr>
          <w:p>
            <w:pPr>
              <w:jc w:val="right"/>
              <w:spacing w:after="0"/>
              <w:rPr>
                <w:sz w:val="20"/>
                <w:szCs w:val="20"/>
                <w:color w:val="auto"/>
              </w:rPr>
            </w:pPr>
            <w:r>
              <w:rPr>
                <w:rFonts w:ascii="Arial" w:cs="Arial" w:eastAsia="Arial" w:hAnsi="Arial"/>
                <w:sz w:val="14"/>
                <w:szCs w:val="14"/>
                <w:color w:val="auto"/>
              </w:rPr>
              <w:t>3,846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7,481</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Common Shares (1,059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8/5/2015</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(35,000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7/31/2017</w:t>
            </w:r>
          </w:p>
        </w:tc>
        <w:tc>
          <w:tcPr>
            <w:tcW w:w="660" w:type="dxa"/>
            <w:vAlign w:val="bottom"/>
          </w:tcPr>
          <w:p>
            <w:pPr>
              <w:jc w:val="right"/>
              <w:spacing w:after="0"/>
              <w:rPr>
                <w:sz w:val="20"/>
                <w:szCs w:val="20"/>
                <w:color w:val="auto"/>
              </w:rPr>
            </w:pPr>
            <w:r>
              <w:rPr>
                <w:rFonts w:ascii="Arial" w:cs="Arial" w:eastAsia="Arial" w:hAnsi="Arial"/>
                <w:sz w:val="14"/>
                <w:szCs w:val="14"/>
                <w:color w:val="auto"/>
              </w:rPr>
              <w:t>3,500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7,997</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7,353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15,485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720" w:type="dxa"/>
            <w:vAlign w:val="bottom"/>
          </w:tcPr>
          <w:p>
            <w:pPr>
              <w:spacing w:after="0"/>
              <w:rPr>
                <w:sz w:val="20"/>
                <w:szCs w:val="20"/>
                <w:color w:val="auto"/>
              </w:rPr>
            </w:pPr>
            <w:r>
              <w:rPr>
                <w:rFonts w:ascii="Arial" w:cs="Arial" w:eastAsia="Arial" w:hAnsi="Arial"/>
                <w:sz w:val="14"/>
                <w:szCs w:val="14"/>
                <w:color w:val="auto"/>
              </w:rPr>
              <w:t>Common Shares Class A (1,980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9/21/2018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192</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(1,000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2/11/2019</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720" w:type="dxa"/>
            <w:vAlign w:val="bottom"/>
          </w:tcPr>
          <w:p>
            <w:pPr>
              <w:spacing w:after="0"/>
              <w:rPr>
                <w:sz w:val="20"/>
                <w:szCs w:val="20"/>
                <w:color w:val="auto"/>
              </w:rPr>
            </w:pPr>
            <w:r>
              <w:rPr>
                <w:rFonts w:ascii="Arial" w:cs="Arial" w:eastAsia="Arial" w:hAnsi="Arial"/>
                <w:sz w:val="14"/>
                <w:szCs w:val="14"/>
                <w:color w:val="auto"/>
              </w:rPr>
              <w:t xml:space="preserve">Class A Units (27,690,171 units) </w:t>
            </w:r>
            <w:r>
              <w:rPr>
                <w:rFonts w:ascii="Arial" w:cs="Arial" w:eastAsia="Arial" w:hAnsi="Arial"/>
                <w:sz w:val="12"/>
                <w:szCs w:val="12"/>
                <w:color w:val="auto"/>
              </w:rPr>
              <w:t>(14)</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20,063</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3,600</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(8,800,000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20,163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3,648</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-2426335</wp:posOffset>
            </wp:positionV>
            <wp:extent cx="6997700" cy="94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-2237740</wp:posOffset>
            </wp:positionV>
            <wp:extent cx="6997700"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-2040255</wp:posOffset>
            </wp:positionV>
            <wp:extent cx="699770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-1851660</wp:posOffset>
            </wp:positionV>
            <wp:extent cx="6997700"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-1645920</wp:posOffset>
            </wp:positionV>
            <wp:extent cx="6997700" cy="94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-1440180</wp:posOffset>
            </wp:positionV>
            <wp:extent cx="6997700"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-1242695</wp:posOffset>
            </wp:positionV>
            <wp:extent cx="699770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-1045845</wp:posOffset>
            </wp:positionV>
            <wp:extent cx="6997700"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-822960</wp:posOffset>
            </wp:positionV>
            <wp:extent cx="699770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-625475</wp:posOffset>
            </wp:positionV>
            <wp:extent cx="6997700" cy="94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-402590</wp:posOffset>
            </wp:positionV>
            <wp:extent cx="6997700" cy="946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-213995</wp:posOffset>
            </wp:positionV>
            <wp:extent cx="6997700" cy="946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600" w:space="720"/>
            <w:col w:w="792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240" w:top="459" w:right="41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7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1"/>
              </w:rPr>
              <w:t>Reference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80" w:type="dxa"/>
            <w:vAlign w:val="bottom"/>
          </w:tcPr>
          <w:p>
            <w:pPr>
              <w:spacing w:after="0"/>
              <w:rPr>
                <w:sz w:val="13"/>
                <w:szCs w:val="13"/>
                <w:color w:val="auto"/>
              </w:rPr>
            </w:pPr>
          </w:p>
        </w:tc>
        <w:tc>
          <w:tcPr>
            <w:tcW w:w="28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center"/>
              <w:ind w:left="28"/>
              <w:spacing w:after="0" w:line="151"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3"/>
                <w:szCs w:val="13"/>
                <w:color w:val="auto"/>
              </w:rPr>
            </w:pPr>
          </w:p>
        </w:tc>
        <w:tc>
          <w:tcPr>
            <w:tcW w:w="6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Rate and</w:t>
            </w:r>
          </w:p>
        </w:tc>
        <w:tc>
          <w:tcPr>
            <w:tcW w:w="560" w:type="dxa"/>
            <w:vAlign w:val="bottom"/>
            <w:gridSpan w:val="2"/>
          </w:tcPr>
          <w:p>
            <w:pPr>
              <w:jc w:val="center"/>
              <w:ind w:left="8"/>
              <w:spacing w:after="0" w:line="151" w:lineRule="exact"/>
              <w:rPr>
                <w:sz w:val="20"/>
                <w:szCs w:val="20"/>
                <w:color w:val="auto"/>
              </w:rPr>
            </w:pPr>
            <w:r>
              <w:rPr>
                <w:rFonts w:ascii="Arial" w:cs="Arial" w:eastAsia="Arial" w:hAnsi="Arial"/>
                <w:sz w:val="14"/>
                <w:szCs w:val="14"/>
                <w:b w:val="1"/>
                <w:bCs w:val="1"/>
                <w:color w:val="auto"/>
                <w:w w:val="94"/>
              </w:rPr>
              <w:t>Interest</w:t>
            </w:r>
          </w:p>
        </w:tc>
        <w:tc>
          <w:tcPr>
            <w:tcW w:w="8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55"/>
        </w:trPr>
        <w:tc>
          <w:tcPr>
            <w:tcW w:w="27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Spread</w:t>
            </w:r>
          </w:p>
        </w:tc>
        <w:tc>
          <w:tcPr>
            <w:tcW w:w="80" w:type="dxa"/>
            <w:vAlign w:val="bottom"/>
          </w:tcPr>
          <w:p>
            <w:pPr>
              <w:spacing w:after="0"/>
              <w:rPr>
                <w:sz w:val="13"/>
                <w:szCs w:val="13"/>
                <w:color w:val="auto"/>
              </w:rPr>
            </w:pPr>
          </w:p>
        </w:tc>
        <w:tc>
          <w:tcPr>
            <w:tcW w:w="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82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rPr>
              <w:t>(10)</w:t>
            </w:r>
          </w:p>
        </w:tc>
        <w:tc>
          <w:tcPr>
            <w:tcW w:w="11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Human resource support services</w:t>
            </w:r>
          </w:p>
        </w:tc>
        <w:tc>
          <w:tcPr>
            <w:tcW w:w="48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(13)(14)(15)</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Class A Units (44,944 units)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8/24/2018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(13)(14)</w:t>
            </w:r>
          </w:p>
        </w:tc>
        <w:tc>
          <w:tcPr>
            <w:tcW w:w="33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Common Shares Class A (1,020 units)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Common Shares Class B (987,929 units)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6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40" w:type="dxa"/>
            <w:vAlign w:val="bottom"/>
            <w:vMerge w:val="continue"/>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Marketing services</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(6)(13)(14)</w:t>
            </w:r>
          </w:p>
        </w:tc>
        <w:tc>
          <w:tcPr>
            <w:tcW w:w="334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9"/>
              </w:rPr>
              <w:t>Series A Preferred Shares (3,840,000 shares)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5/31/2018</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3,840</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48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fuels</w:t>
            </w:r>
          </w:p>
        </w:tc>
        <w:tc>
          <w:tcPr>
            <w:tcW w:w="4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(7)(13)(14)</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Class A-1 Member Units (1,360 units)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5/3/2017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10,366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Class A-2 Member Units (933 units)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6/4/2014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8,874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Northern Oil and Gas, Inc. </w:t>
            </w:r>
            <w:r>
              <w:rPr>
                <w:rFonts w:ascii="Arial" w:cs="Arial" w:eastAsia="Arial" w:hAnsi="Arial"/>
                <w:sz w:val="12"/>
                <w:szCs w:val="12"/>
                <w:color w:val="auto"/>
              </w:rPr>
              <w:t>(12)(13)</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Common Shares (493,316 shares)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5/15/2018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1,352</w:t>
            </w: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Equity and Other Investments</w:t>
            </w: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66,312</w:t>
            </w:r>
          </w:p>
        </w:tc>
        <w:tc>
          <w:tcPr>
            <w:tcW w:w="16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41,455</w:t>
            </w:r>
          </w:p>
        </w:tc>
        <w:tc>
          <w:tcPr>
            <w:tcW w:w="140" w:type="dxa"/>
            <w:vAlign w:val="bottom"/>
            <w:vMerge w:val="continue"/>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1,825,719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1,824,861</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Certain portfolio company investments are subject to contractual restrictions on sales.</w:t>
      </w:r>
    </w:p>
    <w:p>
      <w:pPr>
        <w:ind w:left="640" w:hanging="436"/>
        <w:spacing w:after="0"/>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amortized cost represents the original cost adjusted for the amortization of discounts and premiums, as applicable, on debt investments using the effective interest method.</w:t>
      </w:r>
    </w:p>
    <w:p>
      <w:pPr>
        <w:ind w:left="640" w:right="180" w:hanging="436"/>
        <w:spacing w:after="0" w:line="238"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Arial" w:cs="Arial" w:eastAsia="Arial" w:hAnsi="Arial"/>
          <w:sz w:val="13"/>
          <w:szCs w:val="13"/>
          <w:color w:val="auto"/>
        </w:rPr>
      </w:pPr>
    </w:p>
    <w:p>
      <w:pPr>
        <w:jc w:val="both"/>
        <w:ind w:left="640" w:right="220" w:hanging="436"/>
        <w:spacing w:after="0" w:line="221"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jc w:val="both"/>
        <w:ind w:left="640" w:right="140" w:hanging="436"/>
        <w:spacing w:after="0" w:line="238"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ind w:left="640" w:right="160" w:hanging="436"/>
        <w:spacing w:after="0" w:line="232"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160" w:type="dxa"/>
            <w:vAlign w:val="bottom"/>
            <w:gridSpan w:val="18"/>
          </w:tcPr>
          <w:p>
            <w:pPr>
              <w:ind w:left="760"/>
              <w:spacing w:after="0"/>
              <w:rPr>
                <w:sz w:val="20"/>
                <w:szCs w:val="20"/>
                <w:color w:val="auto"/>
              </w:rPr>
            </w:pPr>
            <w:r>
              <w:rPr>
                <w:rFonts w:ascii="Arial" w:cs="Arial" w:eastAsia="Arial" w:hAnsi="Arial"/>
                <w:sz w:val="14"/>
                <w:szCs w:val="14"/>
                <w:b w:val="1"/>
                <w:bCs w:val="1"/>
                <w:color w:val="auto"/>
                <w:w w:val="94"/>
              </w:rPr>
              <w:t>Non-controlled, Affiliated Investments during the three months ended March 31, 2019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Net</w:t>
            </w: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vMerge w:val="restart"/>
          </w:tcPr>
          <w:p>
            <w:pPr>
              <w:jc w:val="center"/>
              <w:ind w:left="288"/>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Value at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7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Gain/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Gain/</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2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Additions (a)</w:t>
            </w:r>
          </w:p>
        </w:tc>
        <w:tc>
          <w:tcPr>
            <w:tcW w:w="1500" w:type="dxa"/>
            <w:vAlign w:val="bottom"/>
            <w:gridSpan w:val="4"/>
          </w:tcPr>
          <w:p>
            <w:pPr>
              <w:jc w:val="center"/>
              <w:ind w:left="48"/>
              <w:spacing w:after="0" w:line="158" w:lineRule="exact"/>
              <w:rPr>
                <w:sz w:val="20"/>
                <w:szCs w:val="20"/>
                <w:color w:val="auto"/>
              </w:rPr>
            </w:pPr>
            <w:r>
              <w:rPr>
                <w:rFonts w:ascii="Arial" w:cs="Arial" w:eastAsia="Arial" w:hAnsi="Arial"/>
                <w:sz w:val="14"/>
                <w:szCs w:val="14"/>
                <w:b w:val="1"/>
                <w:bCs w:val="1"/>
                <w:color w:val="auto"/>
                <w:w w:val="91"/>
              </w:rPr>
              <w:t>Reductions (b)</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0"/>
              </w:rPr>
              <w:t>(Loss)</w:t>
            </w:r>
          </w:p>
        </w:tc>
        <w:tc>
          <w:tcPr>
            <w:tcW w:w="380" w:type="dxa"/>
            <w:vAlign w:val="bottom"/>
          </w:tcPr>
          <w:p>
            <w:pPr>
              <w:spacing w:after="0"/>
              <w:rPr>
                <w:sz w:val="13"/>
                <w:szCs w:val="13"/>
                <w:color w:val="auto"/>
              </w:rPr>
            </w:pPr>
          </w:p>
        </w:tc>
        <w:tc>
          <w:tcPr>
            <w:tcW w:w="5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2019</w:t>
            </w:r>
          </w:p>
        </w:tc>
        <w:tc>
          <w:tcPr>
            <w:tcW w:w="8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Income</w:t>
            </w:r>
          </w:p>
        </w:tc>
        <w:tc>
          <w:tcPr>
            <w:tcW w:w="380" w:type="dxa"/>
            <w:vAlign w:val="bottom"/>
          </w:tcPr>
          <w:p>
            <w:pPr>
              <w:spacing w:after="0"/>
              <w:rPr>
                <w:sz w:val="13"/>
                <w:szCs w:val="13"/>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AFS Technologies, Inc.</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45,342</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4,742</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480"/>
              <w:spacing w:after="0" w:line="136" w:lineRule="exact"/>
              <w:rPr>
                <w:sz w:val="20"/>
                <w:szCs w:val="20"/>
                <w:color w:val="auto"/>
              </w:rPr>
            </w:pPr>
            <w:r>
              <w:rPr>
                <w:rFonts w:ascii="Arial" w:cs="Arial" w:eastAsia="Arial" w:hAnsi="Arial"/>
                <w:sz w:val="14"/>
                <w:szCs w:val="14"/>
                <w:color w:val="auto"/>
                <w:w w:val="73"/>
              </w:rPr>
              <w:t>(294)</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279</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50,069</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19</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1,248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Validity, Inc.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38,590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1,489</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(234)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39,993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1,163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980" w:type="dxa"/>
            <w:vAlign w:val="bottom"/>
            <w:gridSpan w:val="3"/>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83,932</w:t>
            </w:r>
          </w:p>
        </w:tc>
        <w:tc>
          <w:tcPr>
            <w:tcW w:w="5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6,231</w:t>
            </w:r>
          </w:p>
        </w:tc>
        <w:tc>
          <w:tcPr>
            <w:tcW w:w="5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(528)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90,062</w:t>
            </w:r>
          </w:p>
        </w:tc>
        <w:tc>
          <w:tcPr>
            <w:tcW w:w="5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5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2,411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460" w:hanging="324"/>
        <w:spacing w:after="0" w:line="253" w:lineRule="auto"/>
        <w:tabs>
          <w:tab w:leader="none" w:pos="9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60" w:right="300" w:hanging="324"/>
        <w:spacing w:after="0" w:line="238" w:lineRule="auto"/>
        <w:tabs>
          <w:tab w:leader="none" w:pos="960" w:val="left"/>
        </w:tabs>
        <w:numPr>
          <w:ilvl w:val="1"/>
          <w:numId w:val="57"/>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640" w:right="80" w:hanging="436"/>
        <w:spacing w:after="0" w:line="234"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28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80" w:type="dxa"/>
            <w:vAlign w:val="bottom"/>
            <w:gridSpan w:val="15"/>
          </w:tcPr>
          <w:p>
            <w:pPr>
              <w:spacing w:after="0"/>
              <w:rPr>
                <w:sz w:val="20"/>
                <w:szCs w:val="20"/>
                <w:color w:val="auto"/>
              </w:rPr>
            </w:pPr>
            <w:r>
              <w:rPr>
                <w:rFonts w:ascii="Arial" w:cs="Arial" w:eastAsia="Arial" w:hAnsi="Arial"/>
                <w:sz w:val="14"/>
                <w:szCs w:val="14"/>
                <w:b w:val="1"/>
                <w:bCs w:val="1"/>
                <w:color w:val="auto"/>
                <w:w w:val="97"/>
              </w:rPr>
              <w:t>Controlled, Affiliated Investments during the three months ended March 31, 2019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4"/>
            <w:vMerge w:val="restart"/>
          </w:tcPr>
          <w:p>
            <w:pPr>
              <w:jc w:val="center"/>
              <w:ind w:left="108"/>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280" w:type="dxa"/>
            <w:vAlign w:val="bottom"/>
            <w:gridSpan w:val="4"/>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Unrealized</w:t>
            </w:r>
          </w:p>
        </w:tc>
        <w:tc>
          <w:tcPr>
            <w:tcW w:w="74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5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Gain/</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Additions (a)</w:t>
            </w:r>
          </w:p>
        </w:tc>
        <w:tc>
          <w:tcPr>
            <w:tcW w:w="130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91"/>
              </w:rPr>
              <w:t>Reductions (b)</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3"/>
                <w:szCs w:val="13"/>
                <w:color w:val="auto"/>
              </w:rPr>
            </w:pPr>
          </w:p>
        </w:tc>
        <w:tc>
          <w:tcPr>
            <w:tcW w:w="5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2019</w:t>
            </w:r>
          </w:p>
        </w:tc>
        <w:tc>
          <w:tcPr>
            <w:tcW w:w="84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89"/>
              </w:rPr>
              <w:t>Income</w:t>
            </w:r>
          </w:p>
        </w:tc>
        <w:tc>
          <w:tcPr>
            <w:tcW w:w="380" w:type="dxa"/>
            <w:vAlign w:val="bottom"/>
          </w:tcPr>
          <w:p>
            <w:pPr>
              <w:spacing w:after="0"/>
              <w:rPr>
                <w:sz w:val="13"/>
                <w:szCs w:val="13"/>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IRGSE Holding Corp.</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34,527</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1,262</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line="136"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(922)</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ind w:left="40"/>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34,867</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Mississippi Resources, LLC</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21,978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19,233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56,505</w:t>
            </w:r>
          </w:p>
        </w:tc>
        <w:tc>
          <w:tcPr>
            <w:tcW w:w="5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1,262</w:t>
            </w:r>
          </w:p>
        </w:tc>
        <w:tc>
          <w:tcPr>
            <w:tcW w:w="5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(3,667)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54,100</w:t>
            </w:r>
          </w:p>
        </w:tc>
        <w:tc>
          <w:tcPr>
            <w:tcW w:w="5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5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1,439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460" w:hanging="324"/>
        <w:spacing w:after="0" w:line="230" w:lineRule="auto"/>
        <w:tabs>
          <w:tab w:leader="none" w:pos="9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960" w:right="300" w:hanging="324"/>
        <w:spacing w:after="0" w:line="232" w:lineRule="auto"/>
        <w:tabs>
          <w:tab w:leader="none" w:pos="9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640" w:right="240" w:hanging="436"/>
        <w:spacing w:after="0" w:line="230"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As of March 31, 2019, the estimated cost basis of investments for U.S. federal tax purposes was $1,825,595, resulting in estimated gross unrealized gains and losses of $86,883 and $82,732, respectively.</w:t>
      </w:r>
    </w:p>
    <w:p>
      <w:pPr>
        <w:ind w:left="640" w:right="28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These investments contain a fixed rate structure. The Company entered into an interest rate swap agreement to swap to a floating rate. Refer to Note 5 to our consolidated financial statements in our 2019 Q1 Quarterly Report for further information related to the Company’s interest rate swaps on investments.</w:t>
      </w:r>
    </w:p>
    <w:p>
      <w:pPr>
        <w:ind w:left="640" w:right="10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In accordance with Financial Accounting Standards Board Accounting Standards Codification 820,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in our 2019 Q1 Quarterly Report for further information related to investments at fair value.</w:t>
      </w:r>
    </w:p>
    <w:p>
      <w:pPr>
        <w:ind w:left="640" w:right="30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2 investment. See Note 6 to our consolidated financial statements in our 2019 Q1 Quarterly Report for further information related to investments at fair value.</w:t>
      </w:r>
    </w:p>
    <w:p>
      <w:pPr>
        <w:ind w:left="640" w:right="30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1 investment. See Note 6 to our consolidated financial statements in our 2019 Q1 Quarterly Report for further information related to investments at fair value.</w:t>
      </w:r>
    </w:p>
    <w:p>
      <w:pPr>
        <w:ind w:left="64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This equity investment is non-income producing.</w:t>
      </w:r>
    </w:p>
    <w:p>
      <w:pPr>
        <w:ind w:left="640" w:right="160" w:hanging="436"/>
        <w:spacing w:after="0" w:line="221"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640" w:hanging="436"/>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Ownership of equity investments may occur through a holding company or partnership.</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in the sections entitled “Election of Directors” and “Corporate Governance” in our 2019 Annual Proxy.</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information in the section entitled “Management Agreements” in Part I, Item 1 of our 2018 Annual Report and in Note 3 to our consolidated financial statements in our 2019 Q1 Quarterly Report is incorporated herein by reference.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section entitled “Certain Relationships and Related Party Transactions” in our 2019 Annual Proxy is incorporated herein by reference.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information in the sections entitled “Election of Directors” and “Security Ownership of Certain Beneficial Owners and Management” in our 2019 Annual Proxy is incorporated herein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II, Item 7 of our 2018 Annual Report and in Part I, Item 2 of our 2019 Q1 Quarterly Report, which are incorporated herein by reference.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52" w:lineRule="exact"/>
        <w:rPr>
          <w:sz w:val="20"/>
          <w:szCs w:val="20"/>
          <w:color w:val="auto"/>
        </w:rPr>
      </w:pPr>
    </w:p>
    <w:p>
      <w:pPr>
        <w:ind w:left="1180" w:hanging="436"/>
        <w:spacing w:after="0"/>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180" w:right="80" w:hanging="436"/>
        <w:spacing w:after="0" w:line="286" w:lineRule="auto"/>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1180" w:hanging="436"/>
        <w:spacing w:after="0" w:line="25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92" w:lineRule="exact"/>
        <w:rPr>
          <w:sz w:val="20"/>
          <w:szCs w:val="20"/>
          <w:color w:val="auto"/>
        </w:rPr>
      </w:pPr>
    </w:p>
    <w:p>
      <w:pPr>
        <w:ind w:left="1180" w:hanging="436"/>
        <w:spacing w:after="0"/>
        <w:tabs>
          <w:tab w:leader="none" w:pos="1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“required majority” of our directors have determined that any such sale would be in the best interests of us and our stockholders;</w:t>
      </w:r>
    </w:p>
    <w:p>
      <w:pPr>
        <w:spacing w:after="0" w:line="142" w:lineRule="exact"/>
        <w:rPr>
          <w:rFonts w:ascii="Arial" w:cs="Arial" w:eastAsia="Arial" w:hAnsi="Arial"/>
          <w:sz w:val="17"/>
          <w:szCs w:val="17"/>
          <w:color w:val="auto"/>
        </w:rPr>
      </w:pPr>
    </w:p>
    <w:p>
      <w:pPr>
        <w:ind w:left="1180" w:hanging="436"/>
        <w:spacing w:after="0" w:line="25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number of shares to be issued does not exceed 25% of our then-outstanding common stock immediately prior to each such offering.</w:t>
      </w:r>
    </w:p>
    <w:p>
      <w:pPr>
        <w:spacing w:after="0" w:line="24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1"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2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1180" w:right="12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7" w:lineRule="exact"/>
        <w:rPr>
          <w:sz w:val="20"/>
          <w:szCs w:val="20"/>
          <w:color w:val="auto"/>
        </w:rPr>
      </w:pPr>
    </w:p>
    <w:p>
      <w:pPr>
        <w:ind w:left="200" w:right="240" w:firstLine="441"/>
        <w:spacing w:after="0" w:line="270" w:lineRule="auto"/>
        <w:rPr>
          <w:sz w:val="20"/>
          <w:szCs w:val="20"/>
          <w:color w:val="auto"/>
        </w:rPr>
      </w:pPr>
      <w:r>
        <w:rPr>
          <w:rFonts w:ascii="Arial" w:cs="Arial" w:eastAsia="Arial" w:hAnsi="Arial"/>
          <w:sz w:val="17"/>
          <w:szCs w:val="17"/>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78"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76" w:lineRule="exact"/>
        <w:rPr>
          <w:sz w:val="20"/>
          <w:szCs w:val="20"/>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70"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240" w:top="459" w:right="6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The example assumes that we have 65.4 million shares outstanding, $1.7 billion in total assets and $0.7 billion in total liabilities (all figures correspond to actual data as of December 31, 2018). The current net asset value and net asset value per share are thus $1.1 billion and $16.25 per share. The chart illustrates the dilutive effect on Stockholder A of (a) an offering of 3.3 million shares of common stock (5% of the outstanding shares) at $15.44 per share after offering expenses and commissions (a 5% discount from net asset value per share), (b) an offering of 6.5 million shares of common stock (10% of the outstanding shares) at $14.63 per share after offering expenses and commissions (a 10% discount from net asset value per share), (c) an offering of 13.1 million shares of common stock (20% of the outstanding shares) at $13.00 per share after offering expenses and commissions (a 20% discount from net asset value per share), and (d) an offering of 16.4 million shares of common stock (25% of the outstanding shares) at $12.19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 These examples are provided for illustrative purposes only.</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Example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Example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5% Offering at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10%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10%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25% Discount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Following</w:t>
            </w:r>
          </w:p>
        </w:tc>
        <w:tc>
          <w:tcPr>
            <w:tcW w:w="58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Sale Below</w:t>
            </w: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NAV</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65,412,817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78,495,380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16.11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(0.89%)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Total Net Asset Value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1,060,662</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1,053,519</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(0.91%)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1,027,732</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(3.34%)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1,010,008</w:t>
            </w:r>
          </w:p>
        </w:tc>
        <w:tc>
          <w:tcPr>
            <w:tcW w:w="20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Total Investment by Stockholder 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(Assumed to be $16.25 per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Total Dilution to Stockholder A (Total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420"/>
              <w:spacing w:after="0" w:line="149" w:lineRule="exact"/>
              <w:rPr>
                <w:sz w:val="20"/>
                <w:szCs w:val="20"/>
                <w:color w:val="auto"/>
              </w:rPr>
            </w:pPr>
            <w:r>
              <w:rPr>
                <w:rFonts w:ascii="Arial" w:cs="Arial" w:eastAsia="Arial" w:hAnsi="Arial"/>
                <w:sz w:val="14"/>
                <w:szCs w:val="14"/>
                <w:color w:val="auto"/>
              </w:rPr>
              <w:t>Net Asset Value Less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Investment)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(2,539)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(9,682)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(35,470)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(53,194)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Investment per Share Held by</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Stockholder A (Assumed to be $16.25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2"/>
              </w:rPr>
              <w:t>per Share on Shares Held Prior to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 per Share Held by Stockholder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 (Net Asset Value per Share Less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420"/>
              <w:spacing w:after="0" w:line="149" w:lineRule="exact"/>
              <w:rPr>
                <w:sz w:val="20"/>
                <w:szCs w:val="20"/>
                <w:color w:val="auto"/>
              </w:rPr>
            </w:pPr>
            <w:r>
              <w:rPr>
                <w:rFonts w:ascii="Arial" w:cs="Arial" w:eastAsia="Arial" w:hAnsi="Arial"/>
                <w:sz w:val="14"/>
                <w:szCs w:val="14"/>
                <w:color w:val="auto"/>
              </w:rPr>
              <w:t>(Dilution per Share Divided by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24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9"/>
              </w:rPr>
              <w:t>Prior to 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50% Participation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150% Participation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Following Sale</w:t>
            </w:r>
          </w:p>
        </w:tc>
        <w:tc>
          <w:tcPr>
            <w:tcW w:w="6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Following Sale</w:t>
            </w:r>
          </w:p>
        </w:tc>
        <w:tc>
          <w:tcPr>
            <w:tcW w:w="6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Below NAV</w:t>
            </w:r>
          </w:p>
        </w:tc>
        <w:tc>
          <w:tcPr>
            <w:tcW w:w="1440" w:type="dxa"/>
            <w:vAlign w:val="bottom"/>
            <w:gridSpan w:val="4"/>
            <w:vMerge w:val="continue"/>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40" w:type="dxa"/>
            <w:vAlign w:val="bottom"/>
            <w:gridSpan w:val="4"/>
            <w:vMerge w:val="continue"/>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per Share to Issuer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65,412,817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78,495,380</w:t>
            </w:r>
          </w:p>
        </w:tc>
        <w:tc>
          <w:tcPr>
            <w:tcW w:w="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78,495,380</w:t>
            </w: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16.25</w:t>
            </w: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(3.31%)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Held by Stockholder A</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65,413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71,954</w:t>
            </w: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85,037</w:t>
            </w:r>
          </w:p>
        </w:tc>
        <w:tc>
          <w:tcPr>
            <w:tcW w:w="3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rPr>
              <w:t>Total Net Asset Value Held by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Stockholder 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1,130,505</w:t>
            </w:r>
          </w:p>
        </w:tc>
        <w:tc>
          <w:tcPr>
            <w:tcW w:w="34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6.33%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1,336,051</w:t>
            </w:r>
          </w:p>
        </w:tc>
        <w:tc>
          <w:tcPr>
            <w:tcW w:w="34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$16.25 per Share on Shares Held Prior to 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1,152,714</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1,331,739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Asset Value Less Total Investment)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(22,209)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Investment per Share Held by Stockholder A (Assumed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to be $16.25 per Share on Shares Held Prior to 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3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3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Asset Value per Share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Dilution/Accretion per Share Held by Stockholder A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 Value per Share Less Investment per Share)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w w:val="97"/>
              </w:rPr>
              <w:t>Percentage Dilution/Accretion to Stockholder A (Dilution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per Share Divided by Investment per Share)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Example 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5% Offering at 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10% Offering at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Sale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0"/>
              </w:rPr>
              <w:t>Discount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10%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Below</w:t>
            </w:r>
          </w:p>
        </w:tc>
        <w:tc>
          <w:tcPr>
            <w:tcW w:w="8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NAV</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line="126" w:lineRule="exact"/>
              <w:rPr>
                <w:sz w:val="20"/>
                <w:szCs w:val="20"/>
                <w:color w:val="auto"/>
              </w:rPr>
            </w:pPr>
            <w:r>
              <w:rPr>
                <w:rFonts w:ascii="Arial" w:cs="Arial" w:eastAsia="Arial" w:hAnsi="Arial"/>
                <w:sz w:val="14"/>
                <w:szCs w:val="14"/>
                <w:b w:val="1"/>
                <w:bCs w:val="1"/>
                <w:color w:val="auto"/>
              </w:rPr>
              <w:t>Decrease/Increase to Net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b w:val="1"/>
                <w:bCs w:val="1"/>
                <w:color w:val="auto"/>
              </w:rPr>
              <w:t>Asset Value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65,412,817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78,495,380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Shares Offered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3,270,641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6,541,282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8"/>
              </w:rPr>
              <w:t>13,082,563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16,353,204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w:t>
            </w:r>
          </w:p>
        </w:tc>
        <w:tc>
          <w:tcPr>
            <w:tcW w:w="2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(0.89%)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Investor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3,271</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53,033</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105,352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205,546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Total Investment by Investor A (At Price to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Public)</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53,148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100,701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179,025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209,794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Total Dilution/Accretion to Investor A (Total</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Asset Value Less Total Investment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Net Asset Value per Share Held by Investor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Dilution/Accretion per Share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120"/>
              <w:spacing w:after="0" w:line="149" w:lineRule="exact"/>
              <w:rPr>
                <w:sz w:val="20"/>
                <w:szCs w:val="20"/>
                <w:color w:val="auto"/>
              </w:rPr>
            </w:pPr>
            <w:r>
              <w:rPr>
                <w:rFonts w:ascii="Arial" w:cs="Arial" w:eastAsia="Arial" w:hAnsi="Arial"/>
                <w:sz w:val="14"/>
                <w:szCs w:val="14"/>
                <w:color w:val="auto"/>
              </w:rPr>
              <w:t>Investor A (Net Asset Value per Share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Less Investment per Share)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0.71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Percentage Dilution/Accretion to Investor 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(Dilution per Share Divided by Investment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per Share)</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information under the heading “Dividend Reinvestment Plan” in Part I, Item I of our 2018 Annual Report is incorporated herein by reference.</w:t>
      </w:r>
    </w:p>
    <w:p>
      <w:pPr>
        <w:spacing w:after="0" w:line="24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9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maintain diversified holdings so that, subject to certain exceptions and cure periods, at the end of each quarter of our taxable year:</w:t>
      </w:r>
    </w:p>
    <w:p>
      <w:pPr>
        <w:spacing w:after="0" w:line="142" w:lineRule="exact"/>
        <w:rPr>
          <w:rFonts w:ascii="Arial" w:cs="Arial" w:eastAsia="Arial" w:hAnsi="Arial"/>
          <w:sz w:val="17"/>
          <w:szCs w:val="17"/>
          <w:color w:val="auto"/>
        </w:rPr>
      </w:pPr>
    </w:p>
    <w:p>
      <w:pPr>
        <w:ind w:left="1620" w:right="60" w:hanging="322"/>
        <w:spacing w:after="0" w:line="259" w:lineRule="auto"/>
        <w:tabs>
          <w:tab w:leader="none" w:pos="16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92" w:lineRule="exact"/>
        <w:rPr>
          <w:rFonts w:ascii="Arial" w:cs="Arial" w:eastAsia="Arial" w:hAnsi="Arial"/>
          <w:sz w:val="18"/>
          <w:szCs w:val="18"/>
          <w:color w:val="auto"/>
        </w:rPr>
      </w:pPr>
    </w:p>
    <w:p>
      <w:pPr>
        <w:jc w:val="both"/>
        <w:ind w:left="1620" w:hanging="322"/>
        <w:spacing w:after="0" w:line="286" w:lineRule="auto"/>
        <w:tabs>
          <w:tab w:leader="none" w:pos="16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6" w:lineRule="exact"/>
        <w:rPr>
          <w:sz w:val="20"/>
          <w:szCs w:val="20"/>
          <w:color w:val="auto"/>
        </w:rPr>
      </w:pPr>
    </w:p>
    <w:p>
      <w:pPr>
        <w:jc w:val="both"/>
        <w:ind w:left="200" w:right="260" w:firstLine="441"/>
        <w:spacing w:after="0" w:line="288"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w:t>
      </w:r>
    </w:p>
    <w:p>
      <w:pPr>
        <w:ind w:left="200"/>
        <w:spacing w:after="0" w:line="302" w:lineRule="auto"/>
        <w:rPr>
          <w:sz w:val="20"/>
          <w:szCs w:val="20"/>
          <w:color w:val="auto"/>
        </w:rPr>
      </w:pPr>
      <w:r>
        <w:rPr>
          <w:rFonts w:ascii="Arial" w:cs="Arial" w:eastAsia="Arial" w:hAnsi="Arial"/>
          <w:sz w:val="16"/>
          <w:szCs w:val="16"/>
          <w:color w:val="auto"/>
        </w:rPr>
        <w:t>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61" w:lineRule="exact"/>
        <w:rPr>
          <w:sz w:val="20"/>
          <w:szCs w:val="20"/>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1180" w:right="160" w:hanging="436"/>
        <w:spacing w:after="0" w:line="259"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92" w:lineRule="exact"/>
        <w:rPr>
          <w:rFonts w:ascii="Arial" w:cs="Arial" w:eastAsia="Arial" w:hAnsi="Arial"/>
          <w:sz w:val="18"/>
          <w:szCs w:val="18"/>
          <w:color w:val="auto"/>
        </w:rPr>
      </w:pPr>
    </w:p>
    <w:p>
      <w:pPr>
        <w:ind w:left="1180" w:right="680" w:hanging="436"/>
        <w:spacing w:after="0" w:line="342" w:lineRule="auto"/>
        <w:tabs>
          <w:tab w:leader="none" w:pos="11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24"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6"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1180" w:right="44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4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w:t>
      </w:r>
    </w:p>
    <w:p>
      <w:pPr>
        <w:ind w:left="200" w:right="100"/>
        <w:spacing w:after="0" w:line="255" w:lineRule="auto"/>
        <w:rPr>
          <w:sz w:val="20"/>
          <w:szCs w:val="20"/>
          <w:color w:val="auto"/>
        </w:rPr>
      </w:pPr>
      <w:r>
        <w:rPr>
          <w:rFonts w:ascii="Arial" w:cs="Arial" w:eastAsia="Arial" w:hAnsi="Arial"/>
          <w:sz w:val="18"/>
          <w:szCs w:val="18"/>
          <w:color w:val="auto"/>
        </w:rPr>
        <w:t>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90"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applicable U.S. Treasury regulations, if a U.S. stockholder recognizes a loss with respect to our common stock or preferred stock of</w:t>
      </w:r>
    </w:p>
    <w:p>
      <w:pPr>
        <w:spacing w:after="0" w:line="23"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6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93"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240" w:top="459" w:right="5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66,031,076 shares are outstanding as of May 6, 2019, and 100,000,000 shares of preferred stock, par value $0.01 per share, of which no shares are outstanding as of May 6, 2019.</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presents our outstanding classes of securities as of May 6, 2019:</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Held by Us or for Our</w:t>
            </w:r>
          </w:p>
        </w:tc>
        <w:tc>
          <w:tcPr>
            <w:tcW w:w="3220" w:type="dxa"/>
            <w:vAlign w:val="bottom"/>
            <w:gridSpan w:val="3"/>
          </w:tcPr>
          <w:p>
            <w:pPr>
              <w:jc w:val="center"/>
              <w:ind w:left="948"/>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9"/>
        </w:trPr>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Authorized</w:t>
            </w:r>
          </w:p>
        </w:tc>
        <w:tc>
          <w:tcPr>
            <w:tcW w:w="29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2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Amount Held by Us or for Our</w:t>
            </w:r>
          </w:p>
        </w:tc>
        <w:tc>
          <w:tcPr>
            <w:tcW w:w="0" w:type="dxa"/>
            <w:vAlign w:val="bottom"/>
          </w:tcPr>
          <w:p>
            <w:pPr>
              <w:spacing w:after="0"/>
              <w:rPr>
                <w:sz w:val="1"/>
                <w:szCs w:val="1"/>
                <w:color w:val="auto"/>
              </w:rPr>
            </w:pPr>
          </w:p>
        </w:tc>
      </w:tr>
      <w:tr>
        <w:trPr>
          <w:trHeight w:val="158"/>
        </w:trPr>
        <w:tc>
          <w:tcPr>
            <w:tcW w:w="192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900" w:type="dxa"/>
            <w:vAlign w:val="bottom"/>
          </w:tcPr>
          <w:p>
            <w:pPr>
              <w:jc w:val="right"/>
              <w:ind w:right="619"/>
              <w:spacing w:after="0" w:line="158" w:lineRule="exact"/>
              <w:rPr>
                <w:sz w:val="20"/>
                <w:szCs w:val="20"/>
                <w:color w:val="auto"/>
              </w:rPr>
            </w:pPr>
            <w:r>
              <w:rPr>
                <w:rFonts w:ascii="Arial" w:cs="Arial" w:eastAsia="Arial" w:hAnsi="Arial"/>
                <w:sz w:val="14"/>
                <w:szCs w:val="14"/>
                <w:b w:val="1"/>
                <w:bCs w:val="1"/>
                <w:color w:val="auto"/>
              </w:rPr>
              <w:t>Account</w:t>
            </w:r>
          </w:p>
        </w:tc>
        <w:tc>
          <w:tcPr>
            <w:tcW w:w="1080" w:type="dxa"/>
            <w:vAlign w:val="bottom"/>
          </w:tcPr>
          <w:p>
            <w:pPr>
              <w:spacing w:after="0"/>
              <w:rPr>
                <w:sz w:val="13"/>
                <w:szCs w:val="13"/>
                <w:color w:val="auto"/>
              </w:rPr>
            </w:pPr>
          </w:p>
        </w:tc>
        <w:tc>
          <w:tcPr>
            <w:tcW w:w="21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Account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400,000,000</w:t>
            </w:r>
          </w:p>
        </w:tc>
        <w:tc>
          <w:tcPr>
            <w:tcW w:w="10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89,080</w:t>
            </w:r>
          </w:p>
        </w:tc>
        <w:tc>
          <w:tcPr>
            <w:tcW w:w="10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66,031,076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640" w:right="100" w:hanging="436"/>
        <w:spacing w:after="0" w:line="277"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66"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70"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Under the Investment Advisory Agreement, we have, to the extent permitted by applicable law, indemnified the Adviser and certain of its affiliates, as described under “Management Agreements—Indemnification” in Part I, Item 1 of our 2018 Annual Report.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6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1180" w:right="28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1180" w:hanging="436"/>
        <w:spacing w:after="0" w:line="277"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1180" w:hanging="436"/>
        <w:spacing w:after="0"/>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ind w:left="1180" w:right="120" w:hanging="436"/>
        <w:spacing w:after="0" w:line="312" w:lineRule="auto"/>
        <w:tabs>
          <w:tab w:leader="none" w:pos="11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52" w:lineRule="exact"/>
        <w:rPr>
          <w:rFonts w:ascii="Arial" w:cs="Arial" w:eastAsia="Arial" w:hAnsi="Arial"/>
          <w:sz w:val="16"/>
          <w:szCs w:val="16"/>
          <w:color w:val="auto"/>
        </w:rPr>
      </w:pPr>
    </w:p>
    <w:p>
      <w:pPr>
        <w:ind w:left="1180" w:right="60" w:hanging="436"/>
        <w:spacing w:after="0" w:line="264"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hanging="436"/>
        <w:spacing w:after="0" w:line="286" w:lineRule="auto"/>
        <w:tabs>
          <w:tab w:leader="none" w:pos="1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1180" w:right="60" w:hanging="436"/>
        <w:spacing w:after="0" w:line="277"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65"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64" w:lineRule="exact"/>
        <w:rPr>
          <w:sz w:val="20"/>
          <w:szCs w:val="20"/>
          <w:color w:val="auto"/>
        </w:rPr>
      </w:pPr>
    </w:p>
    <w:p>
      <w:pPr>
        <w:ind w:left="1180" w:hanging="436"/>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75" w:lineRule="exact"/>
        <w:rPr>
          <w:rFonts w:ascii="Arial" w:cs="Arial" w:eastAsia="Arial" w:hAnsi="Arial"/>
          <w:sz w:val="18"/>
          <w:szCs w:val="18"/>
          <w:color w:val="auto"/>
        </w:rPr>
      </w:pPr>
    </w:p>
    <w:p>
      <w:pPr>
        <w:jc w:val="both"/>
        <w:ind w:left="1180" w:right="120" w:hanging="436"/>
        <w:spacing w:after="0" w:line="342" w:lineRule="auto"/>
        <w:tabs>
          <w:tab w:leader="none" w:pos="11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8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240" w:top="459" w:right="7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180" w:right="14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 and the market on which they may be traded if they are transferable;</w:t>
      </w:r>
    </w:p>
    <w:p>
      <w:pPr>
        <w:spacing w:after="0" w:line="142" w:lineRule="exact"/>
        <w:rPr>
          <w:rFonts w:ascii="Arial" w:cs="Arial" w:eastAsia="Arial" w:hAnsi="Arial"/>
          <w:sz w:val="17"/>
          <w:szCs w:val="17"/>
          <w:color w:val="auto"/>
        </w:rPr>
      </w:pPr>
    </w:p>
    <w:p>
      <w:pPr>
        <w:ind w:left="1180" w:right="38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58"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5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U.S. federal income tax considerations relating to original issue discount;</w:t>
      </w:r>
    </w:p>
    <w:p>
      <w:pPr>
        <w:spacing w:after="0" w:line="75" w:lineRule="exact"/>
        <w:rPr>
          <w:rFonts w:ascii="Arial" w:cs="Arial" w:eastAsia="Arial" w:hAnsi="Arial"/>
          <w:sz w:val="18"/>
          <w:szCs w:val="18"/>
          <w:color w:val="auto"/>
        </w:rPr>
      </w:pPr>
    </w:p>
    <w:p>
      <w:pPr>
        <w:ind w:left="1180" w:right="40" w:hanging="436"/>
        <w:spacing w:after="0" w:line="342" w:lineRule="auto"/>
        <w:tabs>
          <w:tab w:leader="none" w:pos="11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2019 Q1 Quarterly Report.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jc w:val="both"/>
        <w:ind w:left="200" w:right="380" w:firstLine="441"/>
        <w:spacing w:after="0" w:line="312" w:lineRule="auto"/>
        <w:rPr>
          <w:sz w:val="20"/>
          <w:szCs w:val="20"/>
          <w:color w:val="auto"/>
        </w:rPr>
      </w:pPr>
      <w:r>
        <w:rPr>
          <w:rFonts w:ascii="Arial" w:cs="Arial" w:eastAsia="Arial" w:hAnsi="Arial"/>
          <w:sz w:val="16"/>
          <w:szCs w:val="16"/>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1"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1180" w:right="34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 including upon any redemption date or required repurchase 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1180" w:right="60" w:hanging="436"/>
        <w:spacing w:after="0" w:line="25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57" w:lineRule="auto"/>
        <w:rPr>
          <w:sz w:val="20"/>
          <w:szCs w:val="20"/>
          <w:color w:val="auto"/>
        </w:rPr>
      </w:pPr>
      <w:r>
        <w:rPr>
          <w:rFonts w:ascii="Arial" w:cs="Arial" w:eastAsia="Arial" w:hAnsi="Arial"/>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4" w:lineRule="exact"/>
        <w:rPr>
          <w:sz w:val="20"/>
          <w:szCs w:val="20"/>
          <w:color w:val="auto"/>
        </w:rPr>
      </w:pPr>
    </w:p>
    <w:p>
      <w:pPr>
        <w:ind w:left="1180" w:hanging="436"/>
        <w:spacing w:after="0" w:line="342" w:lineRule="auto"/>
        <w:tabs>
          <w:tab w:leader="none" w:pos="1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other Event of Default in respect of debt securities of the series described in the applicable prospectus supplement occurs.</w:t>
      </w:r>
    </w:p>
    <w:p>
      <w:pPr>
        <w:spacing w:after="0" w:line="23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 75</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1180" w:right="80" w:hanging="436"/>
        <w:spacing w:after="0" w:line="308" w:lineRule="auto"/>
        <w:tabs>
          <w:tab w:leader="none" w:pos="1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51" w:lineRule="exact"/>
        <w:rPr>
          <w:rFonts w:ascii="Arial" w:cs="Arial" w:eastAsia="Arial" w:hAnsi="Arial"/>
          <w:sz w:val="17"/>
          <w:szCs w:val="17"/>
          <w:color w:val="auto"/>
        </w:rPr>
      </w:pPr>
    </w:p>
    <w:p>
      <w:pPr>
        <w:ind w:left="1180" w:right="300" w:hanging="436"/>
        <w:spacing w:after="0" w:line="277"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no Default or Event of Default shall have happened and be continuing.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80" w:hanging="436"/>
        <w:spacing w:after="0" w:line="264" w:lineRule="auto"/>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6" w:lineRule="exact"/>
        <w:rPr>
          <w:rFonts w:ascii="Arial" w:cs="Arial" w:eastAsia="Arial" w:hAnsi="Arial"/>
          <w:sz w:val="18"/>
          <w:szCs w:val="18"/>
          <w:color w:val="auto"/>
        </w:rPr>
      </w:pPr>
    </w:p>
    <w:p>
      <w:pPr>
        <w:ind w:left="1180" w:right="60" w:hanging="436"/>
        <w:spacing w:after="0" w:line="276" w:lineRule="auto"/>
        <w:tabs>
          <w:tab w:leader="none" w:pos="11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620" w:right="4640" w:hanging="4876"/>
        <w:spacing w:after="0" w:line="490" w:lineRule="auto"/>
        <w:tabs>
          <w:tab w:leader="none" w:pos="1172" w:val="left"/>
        </w:tabs>
        <w:numPr>
          <w:ilvl w:val="0"/>
          <w:numId w:val="9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76</w:t>
      </w:r>
    </w:p>
    <w:p>
      <w:pPr>
        <w:sectPr>
          <w:pgSz w:w="11900" w:h="16838" w:orient="portrait"/>
          <w:cols w:equalWidth="0" w:num="1">
            <w:col w:w="11180"/>
          </w:cols>
          <w:pgMar w:left="24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change the place (except as otherwise described in the prospectus or prospectus supplement) or currency of payment on a debt security;</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180" w:hanging="436"/>
        <w:spacing w:after="0"/>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53" w:lineRule="exact"/>
        <w:rPr>
          <w:rFonts w:ascii="Arial" w:cs="Arial" w:eastAsia="Arial" w:hAnsi="Arial"/>
          <w:sz w:val="16"/>
          <w:szCs w:val="16"/>
          <w:color w:val="auto"/>
        </w:rPr>
      </w:pPr>
    </w:p>
    <w:p>
      <w:pPr>
        <w:ind w:left="1180" w:right="20" w:hanging="436"/>
        <w:spacing w:after="0" w:line="342" w:lineRule="auto"/>
        <w:tabs>
          <w:tab w:leader="none" w:pos="11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180" w:right="120" w:hanging="436"/>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436"/>
        <w:spacing w:after="0" w:line="277"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1180" w:right="160" w:hanging="436"/>
        <w:spacing w:after="0" w:line="286" w:lineRule="auto"/>
        <w:tabs>
          <w:tab w:leader="none" w:pos="11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1180" w:right="40" w:hanging="436"/>
        <w:spacing w:after="0" w:line="264"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180" w:right="160" w:hanging="436"/>
        <w:spacing w:after="0" w:line="286" w:lineRule="auto"/>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180" w:hanging="436"/>
        <w:spacing w:after="0" w:line="297" w:lineRule="auto"/>
        <w:tabs>
          <w:tab w:leader="none" w:pos="1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63" w:lineRule="exact"/>
        <w:rPr>
          <w:rFonts w:ascii="Arial" w:cs="Arial" w:eastAsia="Arial" w:hAnsi="Arial"/>
          <w:sz w:val="16"/>
          <w:szCs w:val="16"/>
          <w:color w:val="auto"/>
        </w:rPr>
      </w:pPr>
    </w:p>
    <w:p>
      <w:pPr>
        <w:ind w:left="1180" w:right="660" w:hanging="436"/>
        <w:spacing w:after="0" w:line="277"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180" w:right="360" w:hanging="436"/>
        <w:spacing w:after="0" w:line="279" w:lineRule="auto"/>
        <w:tabs>
          <w:tab w:leader="none" w:pos="11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93"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8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58"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information in the section entitled “Regulation as a Business Development Company” in Part I, Item 1 of our 2018 Annual Report is incorporated herein by reference.</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“Available Information” below for more information regarding where you can obtain a copy of our codes of ethics and the Proxy Voting Policies and Procedures of our Advisor.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760"/>
          </w:cols>
          <w:pgMar w:left="240" w:top="459" w:right="8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amount of brokerage commissions paid by us during the three most recent fiscal years is $118,545.27.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66"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2018 and 2017, and for each of the years in the three-year period ended December 31, 2018 and the Senior Securities table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and appearing elsewhere herein, respectively, and upon the authority of said firm as experts in accounting and auditing.</w:t>
      </w: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84" w:lineRule="exact"/>
        <w:rPr>
          <w:sz w:val="20"/>
          <w:szCs w:val="20"/>
          <w:color w:val="auto"/>
        </w:rPr>
      </w:pPr>
    </w:p>
    <w:p>
      <w:pPr>
        <w:jc w:val="both"/>
        <w:ind w:left="1180" w:right="180" w:hanging="436"/>
        <w:spacing w:after="0" w:line="264"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filed with the SEC on </w:t>
      </w:r>
      <w:hyperlink r:id="rId18">
        <w:r>
          <w:rPr>
            <w:rFonts w:ascii="Arial" w:cs="Arial" w:eastAsia="Arial" w:hAnsi="Arial"/>
            <w:sz w:val="18"/>
            <w:szCs w:val="18"/>
            <w:u w:val="single" w:color="auto"/>
            <w:color w:val="0000EE"/>
          </w:rPr>
          <w:t>February 20, 2019</w:t>
        </w:r>
      </w:hyperlink>
      <w:r>
        <w:rPr>
          <w:rFonts w:ascii="Arial" w:cs="Arial" w:eastAsia="Arial" w:hAnsi="Arial"/>
          <w:sz w:val="18"/>
          <w:szCs w:val="18"/>
          <w:color w:val="auto"/>
        </w:rPr>
        <w:t xml:space="preserve">, including the information specifically incorporated by reference into the Form 10-K from our Definitive Proxy Statement on Schedule 14A relating to our 2019 Annual Meeting of Stockholders, filed with the SEC on </w:t>
      </w:r>
      <w:hyperlink r:id="rId19">
        <w:r>
          <w:rPr>
            <w:rFonts w:ascii="Arial" w:cs="Arial" w:eastAsia="Arial" w:hAnsi="Arial"/>
            <w:sz w:val="18"/>
            <w:szCs w:val="18"/>
            <w:u w:val="single" w:color="auto"/>
            <w:color w:val="0000EE"/>
          </w:rPr>
          <w:t>April 5,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2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March 31, 2019, filed with the SEC on May 2, 2019;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16">
        <w:r>
          <w:rPr>
            <w:rFonts w:ascii="Arial" w:cs="Arial" w:eastAsia="Arial" w:hAnsi="Arial"/>
            <w:sz w:val="18"/>
            <w:szCs w:val="18"/>
            <w:u w:val="single" w:color="auto"/>
            <w:color w:val="0000EE"/>
          </w:rPr>
          <w:t>February 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7">
        <w:r>
          <w:rPr>
            <w:rFonts w:ascii="Arial" w:cs="Arial" w:eastAsia="Arial" w:hAnsi="Arial"/>
            <w:sz w:val="18"/>
            <w:szCs w:val="18"/>
            <w:u w:val="single" w:color="auto"/>
            <w:color w:val="0000EE"/>
          </w:rPr>
          <w:t>February 14,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78" w:lineRule="exact"/>
        <w:rPr>
          <w:rFonts w:ascii="Arial" w:cs="Arial" w:eastAsia="Arial" w:hAnsi="Arial"/>
          <w:sz w:val="18"/>
          <w:szCs w:val="18"/>
          <w:color w:val="auto"/>
        </w:rPr>
      </w:pPr>
    </w:p>
    <w:p>
      <w:pPr>
        <w:jc w:val="both"/>
        <w:ind w:left="200" w:right="380" w:firstLine="441"/>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47"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IRTSL@tpg.com.</w:t>
      </w:r>
    </w:p>
    <w:p>
      <w:pPr>
        <w:spacing w:after="0" w:line="211" w:lineRule="exact"/>
        <w:rPr>
          <w:rFonts w:ascii="Arial" w:cs="Arial" w:eastAsia="Arial" w:hAnsi="Arial"/>
          <w:sz w:val="18"/>
          <w:szCs w:val="18"/>
          <w:color w:val="auto"/>
        </w:rPr>
      </w:pPr>
    </w:p>
    <w:p>
      <w:pPr>
        <w:ind w:left="20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7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803275</wp:posOffset>
            </wp:positionV>
            <wp:extent cx="1337945" cy="5657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3.875%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869950</wp:posOffset>
            </wp:positionV>
            <wp:extent cx="14662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165735</wp:posOffset>
            </wp:positionV>
            <wp:extent cx="14662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i w:val="1"/>
          <w:iCs w:val="1"/>
          <w:color w:val="auto"/>
        </w:rPr>
        <w:t>Joint Book-Running Managers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BofA Securities</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281"/>
        </w:trPr>
        <w:tc>
          <w:tcPr>
            <w:tcW w:w="1040" w:type="dxa"/>
            <w:vAlign w:val="bottom"/>
          </w:tcPr>
          <w:p>
            <w:pPr>
              <w:spacing w:after="0"/>
              <w:rPr>
                <w:sz w:val="24"/>
                <w:szCs w:val="24"/>
                <w:color w:val="auto"/>
              </w:rPr>
            </w:pPr>
          </w:p>
        </w:tc>
        <w:tc>
          <w:tcPr>
            <w:tcW w:w="2360" w:type="dxa"/>
            <w:vAlign w:val="bottom"/>
          </w:tcPr>
          <w:p>
            <w:pPr>
              <w:ind w:left="280"/>
              <w:spacing w:after="0"/>
              <w:rPr>
                <w:sz w:val="20"/>
                <w:szCs w:val="20"/>
                <w:color w:val="auto"/>
              </w:rPr>
            </w:pPr>
            <w:r>
              <w:rPr>
                <w:rFonts w:ascii="Arial" w:cs="Arial" w:eastAsia="Arial" w:hAnsi="Arial"/>
                <w:sz w:val="22"/>
                <w:szCs w:val="22"/>
                <w:b w:val="1"/>
                <w:bCs w:val="1"/>
                <w:color w:val="auto"/>
              </w:rPr>
              <w:t>J.P. Morgan</w:t>
            </w:r>
          </w:p>
        </w:tc>
        <w:tc>
          <w:tcPr>
            <w:tcW w:w="1600" w:type="dxa"/>
            <w:vAlign w:val="bottom"/>
          </w:tcPr>
          <w:p>
            <w:pPr>
              <w:spacing w:after="0"/>
              <w:rPr>
                <w:sz w:val="24"/>
                <w:szCs w:val="24"/>
                <w:color w:val="auto"/>
              </w:rPr>
            </w:pPr>
          </w:p>
        </w:tc>
        <w:tc>
          <w:tcPr>
            <w:tcW w:w="1480" w:type="dxa"/>
            <w:vAlign w:val="bottom"/>
          </w:tcPr>
          <w:p>
            <w:pPr>
              <w:ind w:left="180"/>
              <w:spacing w:after="0"/>
              <w:rPr>
                <w:sz w:val="20"/>
                <w:szCs w:val="20"/>
                <w:color w:val="auto"/>
              </w:rPr>
            </w:pPr>
            <w:r>
              <w:rPr>
                <w:rFonts w:ascii="Arial" w:cs="Arial" w:eastAsia="Arial" w:hAnsi="Arial"/>
                <w:sz w:val="22"/>
                <w:szCs w:val="22"/>
                <w:b w:val="1"/>
                <w:bCs w:val="1"/>
                <w:color w:val="auto"/>
              </w:rPr>
              <w:t>Citigroup</w:t>
            </w:r>
          </w:p>
        </w:tc>
        <w:tc>
          <w:tcPr>
            <w:tcW w:w="1220" w:type="dxa"/>
            <w:vAlign w:val="bottom"/>
          </w:tcPr>
          <w:p>
            <w:pPr>
              <w:spacing w:after="0"/>
              <w:rPr>
                <w:sz w:val="24"/>
                <w:szCs w:val="24"/>
                <w:color w:val="auto"/>
              </w:rPr>
            </w:pPr>
          </w:p>
        </w:tc>
        <w:tc>
          <w:tcPr>
            <w:tcW w:w="3320" w:type="dxa"/>
            <w:vAlign w:val="bottom"/>
            <w:gridSpan w:val="3"/>
          </w:tcPr>
          <w:p>
            <w:pPr>
              <w:jc w:val="right"/>
              <w:ind w:right="250"/>
              <w:spacing w:after="0"/>
              <w:rPr>
                <w:sz w:val="20"/>
                <w:szCs w:val="20"/>
                <w:color w:val="auto"/>
              </w:rPr>
            </w:pPr>
            <w:r>
              <w:rPr>
                <w:rFonts w:ascii="Arial" w:cs="Arial" w:eastAsia="Arial" w:hAnsi="Arial"/>
                <w:sz w:val="22"/>
                <w:szCs w:val="22"/>
                <w:b w:val="1"/>
                <w:bCs w:val="1"/>
                <w:color w:val="auto"/>
                <w:w w:val="92"/>
              </w:rPr>
              <w:t>SunTrust Robinson Humphrey</w:t>
            </w:r>
          </w:p>
        </w:tc>
      </w:tr>
      <w:tr>
        <w:trPr>
          <w:trHeight w:val="449"/>
        </w:trPr>
        <w:tc>
          <w:tcPr>
            <w:tcW w:w="1040" w:type="dxa"/>
            <w:vAlign w:val="bottom"/>
          </w:tcPr>
          <w:p>
            <w:pPr>
              <w:spacing w:after="0"/>
              <w:rPr>
                <w:sz w:val="20"/>
                <w:szCs w:val="20"/>
                <w:color w:val="auto"/>
              </w:rPr>
            </w:pPr>
            <w:r>
              <w:rPr>
                <w:rFonts w:ascii="Arial" w:cs="Arial" w:eastAsia="Arial" w:hAnsi="Arial"/>
                <w:sz w:val="22"/>
                <w:szCs w:val="22"/>
                <w:b w:val="1"/>
                <w:bCs w:val="1"/>
                <w:color w:val="auto"/>
              </w:rPr>
              <w:t>Mizuho</w:t>
            </w:r>
          </w:p>
        </w:tc>
        <w:tc>
          <w:tcPr>
            <w:tcW w:w="2360" w:type="dxa"/>
            <w:vAlign w:val="bottom"/>
          </w:tcPr>
          <w:p>
            <w:pPr>
              <w:jc w:val="center"/>
              <w:ind w:left="303"/>
              <w:spacing w:after="0"/>
              <w:rPr>
                <w:sz w:val="20"/>
                <w:szCs w:val="20"/>
                <w:color w:val="auto"/>
              </w:rPr>
            </w:pPr>
            <w:r>
              <w:rPr>
                <w:rFonts w:ascii="Arial" w:cs="Arial" w:eastAsia="Arial" w:hAnsi="Arial"/>
                <w:sz w:val="22"/>
                <w:szCs w:val="22"/>
                <w:b w:val="1"/>
                <w:bCs w:val="1"/>
                <w:color w:val="auto"/>
                <w:w w:val="89"/>
              </w:rPr>
              <w:t>Goldman Sachs &amp;</w:t>
            </w:r>
          </w:p>
        </w:tc>
        <w:tc>
          <w:tcPr>
            <w:tcW w:w="1600" w:type="dxa"/>
            <w:vAlign w:val="bottom"/>
          </w:tcPr>
          <w:p>
            <w:pPr>
              <w:ind w:left="800"/>
              <w:spacing w:after="0"/>
              <w:rPr>
                <w:sz w:val="20"/>
                <w:szCs w:val="20"/>
                <w:color w:val="auto"/>
              </w:rPr>
            </w:pPr>
            <w:r>
              <w:rPr>
                <w:rFonts w:ascii="Arial" w:cs="Arial" w:eastAsia="Arial" w:hAnsi="Arial"/>
                <w:sz w:val="22"/>
                <w:szCs w:val="22"/>
                <w:b w:val="1"/>
                <w:bCs w:val="1"/>
                <w:color w:val="auto"/>
                <w:w w:val="98"/>
              </w:rPr>
              <w:t>Morgan</w:t>
            </w:r>
          </w:p>
        </w:tc>
        <w:tc>
          <w:tcPr>
            <w:tcW w:w="2700" w:type="dxa"/>
            <w:vAlign w:val="bottom"/>
            <w:gridSpan w:val="2"/>
          </w:tcPr>
          <w:p>
            <w:pPr>
              <w:jc w:val="center"/>
              <w:ind w:left="403"/>
              <w:spacing w:after="0"/>
              <w:rPr>
                <w:sz w:val="20"/>
                <w:szCs w:val="20"/>
                <w:color w:val="auto"/>
              </w:rPr>
            </w:pPr>
            <w:r>
              <w:rPr>
                <w:rFonts w:ascii="Arial" w:cs="Arial" w:eastAsia="Arial" w:hAnsi="Arial"/>
                <w:sz w:val="22"/>
                <w:szCs w:val="22"/>
                <w:b w:val="1"/>
                <w:bCs w:val="1"/>
                <w:color w:val="auto"/>
                <w:w w:val="94"/>
              </w:rPr>
              <w:t>RBC Capital</w:t>
            </w:r>
          </w:p>
        </w:tc>
        <w:tc>
          <w:tcPr>
            <w:tcW w:w="1540" w:type="dxa"/>
            <w:vAlign w:val="bottom"/>
          </w:tcPr>
          <w:p>
            <w:pPr>
              <w:ind w:left="200"/>
              <w:spacing w:after="0"/>
              <w:rPr>
                <w:sz w:val="20"/>
                <w:szCs w:val="20"/>
                <w:color w:val="auto"/>
              </w:rPr>
            </w:pPr>
            <w:r>
              <w:rPr>
                <w:rFonts w:ascii="Arial" w:cs="Arial" w:eastAsia="Arial" w:hAnsi="Arial"/>
                <w:sz w:val="22"/>
                <w:szCs w:val="22"/>
                <w:b w:val="1"/>
                <w:bCs w:val="1"/>
                <w:color w:val="auto"/>
              </w:rPr>
              <w:t>SMBC Nikko</w:t>
            </w:r>
          </w:p>
        </w:tc>
        <w:tc>
          <w:tcPr>
            <w:tcW w:w="1040" w:type="dxa"/>
            <w:vAlign w:val="bottom"/>
          </w:tcPr>
          <w:p>
            <w:pPr>
              <w:ind w:left="320"/>
              <w:spacing w:after="0"/>
              <w:rPr>
                <w:sz w:val="20"/>
                <w:szCs w:val="20"/>
                <w:color w:val="auto"/>
              </w:rPr>
            </w:pPr>
            <w:r>
              <w:rPr>
                <w:rFonts w:ascii="Arial" w:cs="Arial" w:eastAsia="Arial" w:hAnsi="Arial"/>
                <w:sz w:val="22"/>
                <w:szCs w:val="22"/>
                <w:b w:val="1"/>
                <w:bCs w:val="1"/>
                <w:color w:val="auto"/>
              </w:rPr>
              <w:t>MUFG</w:t>
            </w:r>
          </w:p>
        </w:tc>
        <w:tc>
          <w:tcPr>
            <w:tcW w:w="740" w:type="dxa"/>
            <w:vAlign w:val="bottom"/>
          </w:tcPr>
          <w:p>
            <w:pPr>
              <w:jc w:val="right"/>
              <w:spacing w:after="0"/>
              <w:rPr>
                <w:sz w:val="20"/>
                <w:szCs w:val="20"/>
                <w:color w:val="auto"/>
              </w:rPr>
            </w:pPr>
            <w:r>
              <w:rPr>
                <w:rFonts w:ascii="Arial" w:cs="Arial" w:eastAsia="Arial" w:hAnsi="Arial"/>
                <w:sz w:val="22"/>
                <w:szCs w:val="22"/>
                <w:b w:val="1"/>
                <w:bCs w:val="1"/>
                <w:color w:val="auto"/>
              </w:rPr>
              <w:t>HSBC</w:t>
            </w:r>
          </w:p>
        </w:tc>
      </w:tr>
      <w:tr>
        <w:trPr>
          <w:trHeight w:val="281"/>
        </w:trPr>
        <w:tc>
          <w:tcPr>
            <w:tcW w:w="1040" w:type="dxa"/>
            <w:vAlign w:val="bottom"/>
          </w:tcPr>
          <w:p>
            <w:pPr>
              <w:spacing w:after="0"/>
              <w:rPr>
                <w:sz w:val="20"/>
                <w:szCs w:val="20"/>
                <w:color w:val="auto"/>
              </w:rPr>
            </w:pPr>
            <w:r>
              <w:rPr>
                <w:rFonts w:ascii="Arial" w:cs="Arial" w:eastAsia="Arial" w:hAnsi="Arial"/>
                <w:sz w:val="22"/>
                <w:szCs w:val="22"/>
                <w:b w:val="1"/>
                <w:bCs w:val="1"/>
                <w:color w:val="auto"/>
                <w:w w:val="96"/>
              </w:rPr>
              <w:t>Securities</w:t>
            </w:r>
          </w:p>
        </w:tc>
        <w:tc>
          <w:tcPr>
            <w:tcW w:w="2360" w:type="dxa"/>
            <w:vAlign w:val="bottom"/>
          </w:tcPr>
          <w:p>
            <w:pPr>
              <w:jc w:val="center"/>
              <w:ind w:left="323"/>
              <w:spacing w:after="0"/>
              <w:rPr>
                <w:sz w:val="20"/>
                <w:szCs w:val="20"/>
                <w:color w:val="auto"/>
              </w:rPr>
            </w:pPr>
            <w:r>
              <w:rPr>
                <w:rFonts w:ascii="Arial" w:cs="Arial" w:eastAsia="Arial" w:hAnsi="Arial"/>
                <w:sz w:val="22"/>
                <w:szCs w:val="22"/>
                <w:b w:val="1"/>
                <w:bCs w:val="1"/>
                <w:color w:val="auto"/>
                <w:w w:val="97"/>
              </w:rPr>
              <w:t>Co. LLC</w:t>
            </w:r>
          </w:p>
        </w:tc>
        <w:tc>
          <w:tcPr>
            <w:tcW w:w="1600" w:type="dxa"/>
            <w:vAlign w:val="bottom"/>
          </w:tcPr>
          <w:p>
            <w:pPr>
              <w:ind w:left="820"/>
              <w:spacing w:after="0"/>
              <w:rPr>
                <w:sz w:val="20"/>
                <w:szCs w:val="20"/>
                <w:color w:val="auto"/>
              </w:rPr>
            </w:pPr>
            <w:r>
              <w:rPr>
                <w:rFonts w:ascii="Arial" w:cs="Arial" w:eastAsia="Arial" w:hAnsi="Arial"/>
                <w:sz w:val="22"/>
                <w:szCs w:val="22"/>
                <w:b w:val="1"/>
                <w:bCs w:val="1"/>
                <w:color w:val="auto"/>
                <w:w w:val="97"/>
              </w:rPr>
              <w:t>Stanley</w:t>
            </w:r>
          </w:p>
        </w:tc>
        <w:tc>
          <w:tcPr>
            <w:tcW w:w="2700" w:type="dxa"/>
            <w:vAlign w:val="bottom"/>
            <w:gridSpan w:val="2"/>
          </w:tcPr>
          <w:p>
            <w:pPr>
              <w:jc w:val="center"/>
              <w:ind w:left="383"/>
              <w:spacing w:after="0"/>
              <w:rPr>
                <w:sz w:val="20"/>
                <w:szCs w:val="20"/>
                <w:color w:val="auto"/>
              </w:rPr>
            </w:pPr>
            <w:r>
              <w:rPr>
                <w:rFonts w:ascii="Arial" w:cs="Arial" w:eastAsia="Arial" w:hAnsi="Arial"/>
                <w:sz w:val="22"/>
                <w:szCs w:val="22"/>
                <w:b w:val="1"/>
                <w:bCs w:val="1"/>
                <w:color w:val="auto"/>
                <w:w w:val="93"/>
              </w:rPr>
              <w:t>Markets</w:t>
            </w: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16"/>
        </w:trPr>
        <w:tc>
          <w:tcPr>
            <w:tcW w:w="10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Co-Managers</w:t>
            </w: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6"/>
        </w:trPr>
        <w:tc>
          <w:tcPr>
            <w:tcW w:w="1040" w:type="dxa"/>
            <w:vAlign w:val="bottom"/>
          </w:tcPr>
          <w:p>
            <w:pPr>
              <w:jc w:val="center"/>
              <w:ind w:right="108"/>
              <w:spacing w:after="0"/>
              <w:rPr>
                <w:sz w:val="20"/>
                <w:szCs w:val="20"/>
                <w:color w:val="auto"/>
              </w:rPr>
            </w:pPr>
            <w:r>
              <w:rPr>
                <w:rFonts w:ascii="Arial" w:cs="Arial" w:eastAsia="Arial" w:hAnsi="Arial"/>
                <w:sz w:val="16"/>
                <w:szCs w:val="16"/>
                <w:b w:val="1"/>
                <w:bCs w:val="1"/>
                <w:color w:val="auto"/>
              </w:rPr>
              <w:t>ICBC</w:t>
            </w:r>
          </w:p>
        </w:tc>
        <w:tc>
          <w:tcPr>
            <w:tcW w:w="2360" w:type="dxa"/>
            <w:vAlign w:val="bottom"/>
          </w:tcPr>
          <w:p>
            <w:pPr>
              <w:ind w:left="140"/>
              <w:spacing w:after="0"/>
              <w:rPr>
                <w:sz w:val="20"/>
                <w:szCs w:val="20"/>
                <w:color w:val="auto"/>
              </w:rPr>
            </w:pPr>
            <w:r>
              <w:rPr>
                <w:rFonts w:ascii="Arial" w:cs="Arial" w:eastAsia="Arial" w:hAnsi="Arial"/>
                <w:sz w:val="16"/>
                <w:szCs w:val="16"/>
                <w:b w:val="1"/>
                <w:bCs w:val="1"/>
                <w:color w:val="auto"/>
              </w:rPr>
              <w:t>Keefe, Bruyette &amp; Woods</w:t>
            </w:r>
          </w:p>
        </w:tc>
        <w:tc>
          <w:tcPr>
            <w:tcW w:w="1600" w:type="dxa"/>
            <w:vAlign w:val="bottom"/>
          </w:tcPr>
          <w:p>
            <w:pPr>
              <w:ind w:left="140"/>
              <w:spacing w:after="0"/>
              <w:rPr>
                <w:sz w:val="20"/>
                <w:szCs w:val="20"/>
                <w:color w:val="auto"/>
              </w:rPr>
            </w:pPr>
            <w:r>
              <w:rPr>
                <w:rFonts w:ascii="Arial" w:cs="Arial" w:eastAsia="Arial" w:hAnsi="Arial"/>
                <w:sz w:val="16"/>
                <w:szCs w:val="16"/>
                <w:b w:val="1"/>
                <w:bCs w:val="1"/>
                <w:color w:val="auto"/>
              </w:rPr>
              <w:t>JMP Securities</w:t>
            </w:r>
          </w:p>
        </w:tc>
        <w:tc>
          <w:tcPr>
            <w:tcW w:w="1480" w:type="dxa"/>
            <w:vAlign w:val="bottom"/>
          </w:tcPr>
          <w:p>
            <w:pPr>
              <w:ind w:left="100"/>
              <w:spacing w:after="0"/>
              <w:rPr>
                <w:sz w:val="20"/>
                <w:szCs w:val="20"/>
                <w:color w:val="auto"/>
              </w:rPr>
            </w:pPr>
            <w:r>
              <w:rPr>
                <w:rFonts w:ascii="Arial" w:cs="Arial" w:eastAsia="Arial" w:hAnsi="Arial"/>
                <w:sz w:val="16"/>
                <w:szCs w:val="16"/>
                <w:b w:val="1"/>
                <w:bCs w:val="1"/>
                <w:color w:val="auto"/>
              </w:rPr>
              <w:t>Raymond James</w:t>
            </w:r>
          </w:p>
        </w:tc>
        <w:tc>
          <w:tcPr>
            <w:tcW w:w="12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Wells Fargo</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0"/>
              </w:rPr>
              <w:t>Janney</w:t>
            </w:r>
          </w:p>
        </w:tc>
        <w:tc>
          <w:tcPr>
            <w:tcW w:w="1040" w:type="dxa"/>
            <w:vAlign w:val="bottom"/>
          </w:tcPr>
          <w:p>
            <w:pPr>
              <w:ind w:left="120"/>
              <w:spacing w:after="0"/>
              <w:rPr>
                <w:sz w:val="20"/>
                <w:szCs w:val="20"/>
                <w:color w:val="auto"/>
              </w:rPr>
            </w:pPr>
            <w:r>
              <w:rPr>
                <w:rFonts w:ascii="Arial" w:cs="Arial" w:eastAsia="Arial" w:hAnsi="Arial"/>
                <w:sz w:val="16"/>
                <w:szCs w:val="16"/>
                <w:b w:val="1"/>
                <w:bCs w:val="1"/>
                <w:color w:val="auto"/>
              </w:rPr>
              <w:t>Santander</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8"/>
              </w:rPr>
              <w:t>Comerica</w:t>
            </w:r>
          </w:p>
        </w:tc>
      </w:tr>
      <w:tr>
        <w:trPr>
          <w:trHeight w:val="203"/>
        </w:trPr>
        <w:tc>
          <w:tcPr>
            <w:tcW w:w="1040" w:type="dxa"/>
            <w:vAlign w:val="bottom"/>
          </w:tcPr>
          <w:p>
            <w:pPr>
              <w:jc w:val="center"/>
              <w:ind w:right="108"/>
              <w:spacing w:after="0"/>
              <w:rPr>
                <w:sz w:val="20"/>
                <w:szCs w:val="20"/>
                <w:color w:val="auto"/>
              </w:rPr>
            </w:pPr>
            <w:r>
              <w:rPr>
                <w:rFonts w:ascii="Arial" w:cs="Arial" w:eastAsia="Arial" w:hAnsi="Arial"/>
                <w:sz w:val="16"/>
                <w:szCs w:val="16"/>
                <w:b w:val="1"/>
                <w:bCs w:val="1"/>
                <w:color w:val="auto"/>
                <w:w w:val="92"/>
              </w:rPr>
              <w:t>Standard</w:t>
            </w:r>
          </w:p>
        </w:tc>
        <w:tc>
          <w:tcPr>
            <w:tcW w:w="2360" w:type="dxa"/>
            <w:vAlign w:val="bottom"/>
          </w:tcPr>
          <w:p>
            <w:pPr>
              <w:ind w:left="480"/>
              <w:spacing w:after="0"/>
              <w:rPr>
                <w:sz w:val="20"/>
                <w:szCs w:val="20"/>
                <w:color w:val="auto"/>
              </w:rPr>
            </w:pPr>
            <w:r>
              <w:rPr>
                <w:rFonts w:ascii="Arial" w:cs="Arial" w:eastAsia="Arial" w:hAnsi="Arial"/>
                <w:sz w:val="16"/>
                <w:szCs w:val="16"/>
                <w:b w:val="1"/>
                <w:bCs w:val="1"/>
                <w:i w:val="1"/>
                <w:iCs w:val="1"/>
                <w:color w:val="auto"/>
              </w:rPr>
              <w:t>A Stifel Company</w:t>
            </w:r>
          </w:p>
        </w:tc>
        <w:tc>
          <w:tcPr>
            <w:tcW w:w="1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Securities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3"/>
              </w:rPr>
              <w:t>Montgomery</w:t>
            </w: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4"/>
              </w:rPr>
              <w:t>Securities</w:t>
            </w:r>
          </w:p>
        </w:tc>
      </w:tr>
      <w:tr>
        <w:trPr>
          <w:trHeight w:val="210"/>
        </w:trPr>
        <w:tc>
          <w:tcPr>
            <w:tcW w:w="1040" w:type="dxa"/>
            <w:vAlign w:val="bottom"/>
          </w:tcPr>
          <w:p>
            <w:pPr>
              <w:jc w:val="center"/>
              <w:ind w:right="108"/>
              <w:spacing w:after="0"/>
              <w:rPr>
                <w:sz w:val="20"/>
                <w:szCs w:val="20"/>
                <w:color w:val="auto"/>
              </w:rPr>
            </w:pPr>
            <w:r>
              <w:rPr>
                <w:rFonts w:ascii="Arial" w:cs="Arial" w:eastAsia="Arial" w:hAnsi="Arial"/>
                <w:sz w:val="16"/>
                <w:szCs w:val="16"/>
                <w:b w:val="1"/>
                <w:bCs w:val="1"/>
                <w:color w:val="auto"/>
                <w:w w:val="91"/>
              </w:rPr>
              <w:t>Bank</w:t>
            </w:r>
          </w:p>
        </w:tc>
        <w:tc>
          <w:tcPr>
            <w:tcW w:w="2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4"/>
              </w:rPr>
              <w:t>Scott</w:t>
            </w: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1659255</wp:posOffset>
            </wp:positionV>
            <wp:extent cx="14662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January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6997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403225</wp:posOffset>
            </wp:positionV>
            <wp:extent cx="699770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7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1)"/>
      <w:numFmt w:val="decimal"/>
      <w:start w:val="1"/>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1)"/>
      <w:numFmt w:val="decimal"/>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decimal"/>
      <w:start w:val="3"/>
    </w:lvl>
  </w:abstractNum>
  <w:abstractNum w:abstractNumId="20">
    <w:nsid w:val="741226BB"/>
    <w:multiLevelType w:val="hybridMultilevel"/>
    <w:lvl w:ilvl="0">
      <w:lvlJc w:val="left"/>
      <w:lvlText w:val="(%1)"/>
      <w:numFmt w:val="lowerRoman"/>
      <w:start w:val="1"/>
    </w:lvl>
  </w:abstractNum>
  <w:abstractNum w:abstractNumId="21">
    <w:nsid w:val="D34B6A8"/>
    <w:multiLevelType w:val="hybridMultilevel"/>
    <w:lvl w:ilvl="0">
      <w:lvlJc w:val="left"/>
      <w:lvlText w:val="(%1)"/>
      <w:numFmt w:val="lowerRoman"/>
      <w:start w:val="2"/>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1)"/>
      <w:numFmt w:val="decimal"/>
      <w:start w:val="10"/>
    </w:lvl>
  </w:abstractNum>
  <w:abstractNum w:abstractNumId="30">
    <w:nsid w:val="2F305DEF"/>
    <w:multiLevelType w:val="hybridMultilevel"/>
    <w:lvl w:ilvl="0">
      <w:lvlJc w:val="left"/>
      <w:lvlText w:val="%1."/>
      <w:numFmt w:val="upperLetter"/>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lvl w:ilvl="1">
      <w:lvlJc w:val="left"/>
      <w:lvlText w:val="•"/>
      <w:numFmt w:val="bullet"/>
      <w:start w:val="1"/>
    </w:lvl>
  </w:abstractNum>
  <w:abstractNum w:abstractNumId="34">
    <w:nsid w:val="1F48EAA1"/>
    <w:multiLevelType w:val="hybridMultilevel"/>
    <w:lvl w:ilvl="0">
      <w:lvlJc w:val="left"/>
      <w:lvlText w:val="•"/>
      <w:numFmt w:val="bullet"/>
      <w:start w:val="1"/>
    </w:lvl>
    <w:lvl w:ilvl="1">
      <w:lvlJc w:val="left"/>
      <w:lvlText w:val="•"/>
      <w:numFmt w:val="bullet"/>
      <w:start w:val="1"/>
    </w:lvl>
  </w:abstractNum>
  <w:abstractNum w:abstractNumId="35">
    <w:nsid w:val="1381823A"/>
    <w:multiLevelType w:val="hybridMultilevel"/>
    <w:lvl w:ilvl="0">
      <w:lvlJc w:val="left"/>
      <w:lvlText w:val="•"/>
      <w:numFmt w:val="bullet"/>
      <w:start w:val="1"/>
    </w:lvl>
    <w:lvl w:ilvl="1">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1)"/>
      <w:numFmt w:val="decimal"/>
      <w:start w:val="817"/>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decimal"/>
      <w:start w:val="6"/>
    </w:lvl>
  </w:abstractNum>
  <w:abstractNum w:abstractNumId="43">
    <w:nsid w:val="6B94764"/>
    <w:multiLevelType w:val="hybridMultilevel"/>
    <w:lvl w:ilvl="0">
      <w:lvlJc w:val="left"/>
      <w:lvlText w:val="(%1)"/>
      <w:numFmt w:val="decimal"/>
      <w:start w:val="8"/>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1)"/>
      <w:numFmt w:val="decimal"/>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1)"/>
      <w:numFmt w:val="decimal"/>
      <w:start w:val="1"/>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decimal"/>
      <w:start w:val="1"/>
    </w:lvl>
    <w:lvl w:ilvl="1">
      <w:lvlJc w:val="left"/>
      <w:lvlText w:val="(%2)"/>
      <w:numFmt w:val="lowerLetter"/>
      <w:start w:val="2"/>
    </w:lvl>
  </w:abstractNum>
  <w:abstractNum w:abstractNumId="57">
    <w:nsid w:val="8F2B15E"/>
    <w:multiLevelType w:val="hybridMultilevel"/>
    <w:lvl w:ilvl="0">
      <w:lvlJc w:val="left"/>
      <w:lvlText w:val="(%1)"/>
      <w:numFmt w:val="decimal"/>
      <w:start w:val="7"/>
    </w:lvl>
    <w:lvl w:ilvl="1">
      <w:lvlJc w:val="left"/>
      <w:lvlText w:val="%2"/>
      <w:numFmt w:val="lowerLetter"/>
      <w:start w:val="1"/>
    </w:lvl>
  </w:abstractNum>
  <w:abstractNum w:abstractNumId="58">
    <w:nsid w:val="1A32234B"/>
    <w:multiLevelType w:val="hybridMultilevel"/>
    <w:lvl w:ilvl="0">
      <w:lvlJc w:val="left"/>
      <w:lvlText w:val="%1"/>
      <w:numFmt w:val="decimal"/>
      <w:start w:val="1"/>
    </w:lvl>
    <w:lvl w:ilvl="1">
      <w:lvlJc w:val="left"/>
      <w:lvlText w:val="(%2)"/>
      <w:numFmt w:val="lowerLetter"/>
      <w:start w:val="1"/>
    </w:lvl>
  </w:abstractNum>
  <w:abstractNum w:abstractNumId="59">
    <w:nsid w:val="3B0FD379"/>
    <w:multiLevelType w:val="hybridMultilevel"/>
    <w:lvl w:ilvl="0">
      <w:lvlJc w:val="left"/>
      <w:lvlText w:val="(%1)"/>
      <w:numFmt w:val="decimal"/>
      <w:start w:val="8"/>
    </w:lvl>
    <w:lvl w:ilvl="1">
      <w:lvlJc w:val="left"/>
      <w:lvlText w:val="%2"/>
      <w:numFmt w:val="lowerLetter"/>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lvl w:ilvl="1">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lowerRoman"/>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jpe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jpe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18" Type="http://schemas.openxmlformats.org/officeDocument/2006/relationships/hyperlink" Target="http://www.sec.gov/Archives/edgar/data/1508655/000156459019003442/tslx-10k_20181231.htm" TargetMode="External"/><Relationship Id="rId19" Type="http://schemas.openxmlformats.org/officeDocument/2006/relationships/hyperlink" Target="http://www.sec.gov/Archives/edgar/data/1508655/000119312519099195/d928549ddef14a.htm" TargetMode="External"/><Relationship Id="rId20" Type="http://schemas.openxmlformats.org/officeDocument/2006/relationships/hyperlink" Target="http://www.sec.gov/Archives/edgar/data/1508655/000156459019015321/tslx-10q_20190331.htm" TargetMode="External"/><Relationship Id="rId21" Type="http://schemas.openxmlformats.org/officeDocument/2006/relationships/hyperlink" Target="http://www.sec.gov/Archives/edgar/data/1508655/000156459019027468/tslx-10q_20190630.htm" TargetMode="External"/><Relationship Id="rId22" Type="http://schemas.openxmlformats.org/officeDocument/2006/relationships/hyperlink" Target="http://www.sec.gov/Archives/edgar/data/1508655/000156459019040349/tslx-10q_20190930.htm" TargetMode="External"/><Relationship Id="rId23" Type="http://schemas.openxmlformats.org/officeDocument/2006/relationships/hyperlink" Target="http://www.sec.gov/Archives/edgar/data/1508655/000119312519173659/d724881d8k.htm" TargetMode="External"/><Relationship Id="rId24" Type="http://schemas.openxmlformats.org/officeDocument/2006/relationships/hyperlink" Target="http://www.sec.gov/Archives/edgar/data/1508655/000119312519244854/d794786d8k.htm" TargetMode="External"/><Relationship Id="rId25" Type="http://schemas.openxmlformats.org/officeDocument/2006/relationships/hyperlink" Target="http://www.sec.gov/Archives/edgar/data/1508655/000119312519280506/d814003d8k.htm" TargetMode="External"/><Relationship Id="rId26" Type="http://schemas.openxmlformats.org/officeDocument/2006/relationships/hyperlink" Target="http://www.sec.gov/Archives/edgar/data/1508655/000119312519281943/d828545d8k.htm" TargetMode="External"/><Relationship Id="rId216" Type="http://schemas.openxmlformats.org/officeDocument/2006/relationships/hyperlink" Target="http://www.sec.gov/Archives/edgar/data/1508655/000119312519025867/d642257d8k.htm" TargetMode="External"/><Relationship Id="rId217" Type="http://schemas.openxmlformats.org/officeDocument/2006/relationships/hyperlink" Target="http://www.sec.gov/Archives/edgar/data/1508655/000119312519041197/d71069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2020-01-30T16:03:50Z</dcterms:created>
  <dcterms:modified xsi:type="dcterms:W3CDTF">2020-01-30T16:03:50Z</dcterms:modified>
</cp:coreProperties>
</file>