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Stiepleman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10/15/2014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8"/>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00" w:type="dxa"/>
            <w:vAlign w:val="bottom"/>
            <w:gridSpan w:val="3"/>
            <w:vMerge w:val="restart"/>
          </w:tcPr>
          <w:p>
            <w:pPr>
              <w:ind w:left="600"/>
              <w:spacing w:after="0"/>
              <w:rPr>
                <w:sz w:val="20"/>
                <w:szCs w:val="20"/>
                <w:color w:val="auto"/>
              </w:rPr>
            </w:pPr>
            <w:r>
              <w:rPr>
                <w:rFonts w:ascii="Arial" w:cs="Arial" w:eastAsia="Arial" w:hAnsi="Arial"/>
                <w:sz w:val="18"/>
                <w:szCs w:val="18"/>
                <w:color w:val="0000FF"/>
              </w:rPr>
              <w:t>10/15/2014</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80" w:type="dxa"/>
            <w:vAlign w:val="bottom"/>
            <w:vMerge w:val="restart"/>
          </w:tcPr>
          <w:p>
            <w:pPr>
              <w:ind w:left="240"/>
              <w:spacing w:after="0"/>
              <w:rPr>
                <w:sz w:val="20"/>
                <w:szCs w:val="20"/>
                <w:color w:val="auto"/>
              </w:rPr>
            </w:pPr>
            <w:r>
              <w:rPr>
                <w:rFonts w:ascii="Arial" w:cs="Arial" w:eastAsia="Arial" w:hAnsi="Arial"/>
                <w:sz w:val="18"/>
                <w:szCs w:val="18"/>
                <w:color w:val="0000FF"/>
              </w:rPr>
              <w:t>0.3</w:t>
            </w:r>
          </w:p>
        </w:tc>
        <w:tc>
          <w:tcPr>
            <w:tcW w:w="52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4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15.66</w:t>
            </w:r>
            <w:r>
              <w:rPr>
                <w:rFonts w:ascii="Arial" w:cs="Arial" w:eastAsia="Arial" w:hAnsi="Arial"/>
                <w:sz w:val="22"/>
                <w:szCs w:val="22"/>
                <w:color w:val="008000"/>
                <w:w w:val="82"/>
                <w:vertAlign w:val="superscript"/>
              </w:rPr>
              <w:t>(2)</w:t>
            </w:r>
          </w:p>
        </w:tc>
        <w:tc>
          <w:tcPr>
            <w:tcW w:w="1320" w:type="dxa"/>
            <w:vAlign w:val="bottom"/>
            <w:gridSpan w:val="3"/>
            <w:vMerge w:val="restart"/>
          </w:tcPr>
          <w:p>
            <w:pPr>
              <w:ind w:left="360"/>
              <w:spacing w:after="0"/>
              <w:rPr>
                <w:sz w:val="20"/>
                <w:szCs w:val="20"/>
                <w:color w:val="auto"/>
              </w:rPr>
            </w:pPr>
            <w:r>
              <w:rPr>
                <w:rFonts w:ascii="Arial" w:cs="Arial" w:eastAsia="Arial" w:hAnsi="Arial"/>
                <w:sz w:val="18"/>
                <w:szCs w:val="18"/>
                <w:color w:val="0000FF"/>
              </w:rPr>
              <w:t>2,799.11</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purchases reported in this Form 4 were effected pursuant to a Rule 10b5-1 trading plan adopted by TSL Advisers, LLC ("TSL Advisers"), dated as of March 11, 2014.</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$15.65 to $15.69,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directly holds 2,799,817 shares of Common Stock of the Issuer, including 2,799.11 shares of Common Stock of the Issuer indirectly beneficially owned by Mr. Stiepleman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8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Stiepleman pursuant to the authorization and designation letter dated March 10, 2014, which was previously filed with the Securities and Exchange Commission as an exhibit to a Form 4 filed by Mr. Stiepleman on March 27, 2014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10/17/2014</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David Stiepleman (4)</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4"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2019-12-16T08:37:51Z</dcterms:created>
  <dcterms:modified xsi:type="dcterms:W3CDTF">2019-12-16T08:37:51Z</dcterms:modified>
</cp:coreProperties>
</file>