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57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57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Viola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Chief Financial Oficer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color w:val="auto"/>
              </w:rPr>
              <w:t>Person</w:t>
            </w: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4"/>
          </w:tcPr>
          <w:p>
            <w:pPr>
              <w:jc w:val="center"/>
              <w:ind w:left="20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700"/>
              <w:spacing w:after="0"/>
              <w:rPr>
                <w:sz w:val="20"/>
                <w:szCs w:val="20"/>
                <w:color w:val="auto"/>
              </w:rPr>
            </w:pPr>
            <w:r>
              <w:rPr>
                <w:rFonts w:ascii="Arial" w:cs="Arial" w:eastAsia="Arial" w:hAnsi="Arial"/>
                <w:sz w:val="18"/>
                <w:szCs w:val="18"/>
                <w:color w:val="0000FF"/>
              </w:rPr>
              <w:t>08/01/2011</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240"/>
              <w:spacing w:after="0"/>
              <w:rPr>
                <w:sz w:val="20"/>
                <w:szCs w:val="20"/>
                <w:color w:val="auto"/>
              </w:rPr>
            </w:pPr>
            <w:r>
              <w:rPr>
                <w:rFonts w:ascii="Arial" w:cs="Arial" w:eastAsia="Arial" w:hAnsi="Arial"/>
                <w:sz w:val="18"/>
                <w:szCs w:val="18"/>
                <w:color w:val="0000FF"/>
              </w:rPr>
              <w:t>13.1</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1,000</w:t>
            </w:r>
          </w:p>
        </w:tc>
        <w:tc>
          <w:tcPr>
            <w:tcW w:w="13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18.4</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0000FF"/>
                <w:w w:val="85"/>
              </w:rPr>
              <w:t>Responses</w:t>
            </w:r>
            <w:r>
              <w:rPr>
                <w:rFonts w:ascii="Arial" w:cs="Arial" w:eastAsia="Arial" w:hAnsi="Arial"/>
                <w:sz w:val="22"/>
                <w:szCs w:val="22"/>
                <w:color w:val="008000"/>
                <w:w w:val="85"/>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700"/>
              <w:spacing w:after="0"/>
              <w:rPr>
                <w:sz w:val="20"/>
                <w:szCs w:val="20"/>
                <w:color w:val="auto"/>
              </w:rPr>
            </w:pPr>
            <w:r>
              <w:rPr>
                <w:rFonts w:ascii="Arial" w:cs="Arial" w:eastAsia="Arial" w:hAnsi="Arial"/>
                <w:sz w:val="18"/>
                <w:szCs w:val="18"/>
                <w:color w:val="0000FF"/>
              </w:rPr>
              <w:t>08/01/2011</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240"/>
              <w:spacing w:after="0"/>
              <w:rPr>
                <w:sz w:val="20"/>
                <w:szCs w:val="20"/>
                <w:color w:val="auto"/>
              </w:rPr>
            </w:pPr>
            <w:r>
              <w:rPr>
                <w:rFonts w:ascii="Arial" w:cs="Arial" w:eastAsia="Arial" w:hAnsi="Arial"/>
                <w:sz w:val="18"/>
                <w:szCs w:val="18"/>
                <w:color w:val="0000FF"/>
              </w:rPr>
              <w:t>29.1</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960.3</w:t>
            </w:r>
          </w:p>
        </w:tc>
        <w:tc>
          <w:tcPr>
            <w:tcW w:w="13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47.5</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August 1, 2011, Mr. Viola acquired additional partnership interests in TSL Equity Partners, L.P. ("TSL Equity") from other limited partners of TSL Equity. TSL Equity is a member of TSL Advisers, LLC ("TSL Advisers"), which directly holds shares of the Issuer. As a result, Mr. Viola increased his indirect beneficial ownership of shares of the Issuer held directly by TSL Advisers.</w:t>
      </w: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directly holds 7,402 shares of Common Stock of the Issuer (the "TSL Shares"), including 47.5 shares of Common Stock of the Issuer indirectly beneficially owned by Mr. Viola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3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Viola pursuant to the authorization and designation letter dated March 10, 2011, which was previously filed with the Securities and Exchange Commission as an exhibit to a Form 3 filed by Mr. Viola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08/03/2011</w:t>
            </w:r>
          </w:p>
        </w:tc>
        <w:tc>
          <w:tcPr>
            <w:tcW w:w="0" w:type="dxa"/>
            <w:vAlign w:val="bottom"/>
          </w:tcPr>
          <w:p>
            <w:pPr>
              <w:spacing w:after="0"/>
              <w:rPr>
                <w:sz w:val="1"/>
                <w:szCs w:val="1"/>
                <w:color w:val="auto"/>
              </w:rPr>
            </w:pPr>
          </w:p>
        </w:tc>
      </w:tr>
      <w:tr>
        <w:trPr>
          <w:trHeight w:val="88"/>
        </w:trPr>
        <w:tc>
          <w:tcPr>
            <w:tcW w:w="10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John Viola (3)</w:t>
            </w:r>
          </w:p>
        </w:tc>
        <w:tc>
          <w:tcPr>
            <w:tcW w:w="10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20" w:type="dxa"/>
            <w:vAlign w:val="bottom"/>
            <w:tcBorders>
              <w:top w:val="single" w:sz="8" w:color="auto"/>
              <w:bottom w:val="single" w:sz="8" w:color="auto"/>
            </w:tcBorders>
            <w:vMerge w:val="continue"/>
          </w:tcPr>
          <w:p>
            <w:pPr>
              <w:spacing w:after="0"/>
              <w:rPr>
                <w:sz w:val="7"/>
                <w:szCs w:val="7"/>
                <w:color w:val="auto"/>
              </w:rPr>
            </w:pPr>
          </w:p>
        </w:tc>
        <w:tc>
          <w:tcPr>
            <w:tcW w:w="10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25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2019-12-17T04:54:58Z</dcterms:created>
  <dcterms:modified xsi:type="dcterms:W3CDTF">2019-12-17T04:54:58Z</dcterms:modified>
</cp:coreProperties>
</file>