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497(h)</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333-193986</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8" w:lineRule="exact"/>
        <w:rPr>
          <w:sz w:val="24"/>
          <w:szCs w:val="24"/>
          <w:color w:val="auto"/>
        </w:rPr>
      </w:pPr>
    </w:p>
    <w:p>
      <w:pPr>
        <w:ind w:right="40" w:firstLine="342"/>
        <w:spacing w:after="0" w:line="318" w:lineRule="auto"/>
        <w:rPr>
          <w:sz w:val="20"/>
          <w:szCs w:val="20"/>
          <w:color w:val="auto"/>
        </w:rPr>
      </w:pPr>
      <w:r>
        <w:rPr>
          <w:rFonts w:ascii="Arial" w:cs="Arial" w:eastAsia="Arial" w:hAnsi="Arial"/>
          <w:sz w:val="12"/>
          <w:szCs w:val="12"/>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2" w:lineRule="exact"/>
        <w:rPr>
          <w:sz w:val="24"/>
          <w:szCs w:val="24"/>
          <w:color w:val="auto"/>
        </w:rPr>
      </w:pPr>
    </w:p>
    <w:p>
      <w:pPr>
        <w:ind w:right="40" w:firstLine="342"/>
        <w:spacing w:after="0" w:line="239" w:lineRule="auto"/>
        <w:rPr>
          <w:sz w:val="20"/>
          <w:szCs w:val="20"/>
          <w:color w:val="auto"/>
        </w:rPr>
      </w:pPr>
      <w:r>
        <w:rPr>
          <w:rFonts w:ascii="Arial" w:cs="Arial" w:eastAsia="Arial" w:hAnsi="Arial"/>
          <w:sz w:val="14"/>
          <w:szCs w:val="14"/>
          <w:color w:val="auto"/>
        </w:rPr>
        <w:t>As of December 31, 2013, our investment portfolio consisted of 30 investments in 27 portfolio companies with an aggregate fair value of $1,016.5 million. Following this offering, we intend to continue to pursue an investment strategy focused on direct origination of loans to middle-market companies principally domiciled in the United States.</w:t>
      </w:r>
    </w:p>
    <w:p>
      <w:pPr>
        <w:spacing w:after="0" w:line="58" w:lineRule="exact"/>
        <w:rPr>
          <w:sz w:val="24"/>
          <w:szCs w:val="24"/>
          <w:color w:val="auto"/>
        </w:rPr>
      </w:pPr>
    </w:p>
    <w:p>
      <w:pPr>
        <w:ind w:right="40" w:firstLine="342"/>
        <w:spacing w:after="0" w:line="230"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$8.5 billion of assets under management as of December 31, 2013, as adjusted for commitments accepted on January 2, 2014. TPG Special Situations Partners is the special situations and credit platform of TPG, a leading global private investment firm founded in 1992 with over $59 billion of assets under management as of December 31, 2013, as adjusted for commitments accepted on January 2, 2014.</w:t>
      </w:r>
    </w:p>
    <w:p>
      <w:pPr>
        <w:spacing w:after="0" w:line="58" w:lineRule="exact"/>
        <w:rPr>
          <w:sz w:val="24"/>
          <w:szCs w:val="24"/>
          <w:color w:val="auto"/>
        </w:rPr>
      </w:pPr>
    </w:p>
    <w:p>
      <w:pPr>
        <w:ind w:right="40" w:firstLine="342"/>
        <w:spacing w:after="0" w:line="318" w:lineRule="auto"/>
        <w:rPr>
          <w:sz w:val="20"/>
          <w:szCs w:val="20"/>
          <w:color w:val="auto"/>
        </w:rPr>
      </w:pPr>
      <w:r>
        <w:rPr>
          <w:rFonts w:ascii="Arial" w:cs="Arial" w:eastAsia="Arial" w:hAnsi="Arial"/>
          <w:sz w:val="12"/>
          <w:szCs w:val="12"/>
          <w:color w:val="auto"/>
        </w:rPr>
        <w:t>Certain of our existing investors, including our Adviser, have agreed to purchase $50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2" w:lineRule="exact"/>
        <w:rPr>
          <w:sz w:val="24"/>
          <w:szCs w:val="24"/>
          <w:color w:val="auto"/>
        </w:rPr>
      </w:pPr>
    </w:p>
    <w:p>
      <w:pPr>
        <w:jc w:val="both"/>
        <w:ind w:right="120" w:firstLine="342"/>
        <w:spacing w:after="0" w:line="288" w:lineRule="auto"/>
        <w:rPr>
          <w:sz w:val="20"/>
          <w:szCs w:val="20"/>
          <w:color w:val="auto"/>
        </w:rPr>
      </w:pPr>
      <w:r>
        <w:rPr>
          <w:rFonts w:ascii="Arial" w:cs="Arial" w:eastAsia="Arial" w:hAnsi="Arial"/>
          <w:sz w:val="12"/>
          <w:szCs w:val="12"/>
          <w:color w:val="auto"/>
        </w:rPr>
        <w:t>The Adviser has also entered into an agreement with Goldman, Sachs &amp; Co. in accordance with Rules 10b5-1 and 10b-18 under the Securities Exchange Act of 1934, as amended,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30" w:lineRule="exact"/>
        <w:rPr>
          <w:sz w:val="24"/>
          <w:szCs w:val="24"/>
          <w:color w:val="auto"/>
        </w:rPr>
      </w:pPr>
    </w:p>
    <w:p>
      <w:pPr>
        <w:ind w:right="200" w:firstLine="342"/>
        <w:spacing w:after="0" w:line="278" w:lineRule="auto"/>
        <w:rPr>
          <w:sz w:val="20"/>
          <w:szCs w:val="20"/>
          <w:color w:val="auto"/>
        </w:rPr>
      </w:pPr>
      <w:r>
        <w:rPr>
          <w:rFonts w:ascii="Arial" w:cs="Arial" w:eastAsia="Arial" w:hAnsi="Arial"/>
          <w:sz w:val="12"/>
          <w:szCs w:val="12"/>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6" w:lineRule="exact"/>
        <w:rPr>
          <w:sz w:val="24"/>
          <w:szCs w:val="24"/>
          <w:color w:val="auto"/>
        </w:rPr>
      </w:pPr>
    </w:p>
    <w:p>
      <w:pPr>
        <w:ind w:right="200" w:firstLine="342"/>
        <w:spacing w:after="0" w:line="233"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This is our initial public offering of our shares of common stock. All of the shares of common stock offered by this prospectus are being sold by us.</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We are an “emerging growth company,” as defined in Section 2(a) of the U.S. Securities Act of 1933, and will be subject to reduced public company reporting requirements.</w:t>
      </w:r>
    </w:p>
    <w:p>
      <w:pPr>
        <w:spacing w:after="0" w:line="67" w:lineRule="exact"/>
        <w:rPr>
          <w:sz w:val="24"/>
          <w:szCs w:val="24"/>
          <w:color w:val="auto"/>
        </w:rPr>
      </w:pPr>
    </w:p>
    <w:p>
      <w:pPr>
        <w:ind w:right="140" w:firstLine="342"/>
        <w:spacing w:after="0" w:line="241" w:lineRule="auto"/>
        <w:rPr>
          <w:sz w:val="20"/>
          <w:szCs w:val="20"/>
          <w:color w:val="auto"/>
        </w:rPr>
      </w:pPr>
      <w:r>
        <w:rPr>
          <w:rFonts w:ascii="Arial" w:cs="Arial" w:eastAsia="Arial" w:hAnsi="Arial"/>
          <w:sz w:val="14"/>
          <w:szCs w:val="14"/>
          <w:b w:val="1"/>
          <w:bCs w:val="1"/>
          <w:color w:val="auto"/>
        </w:rPr>
        <w:t xml:space="preserve">Our shares of common stock have no history of public trading. </w:t>
      </w:r>
      <w:r>
        <w:rPr>
          <w:rFonts w:ascii="Arial" w:cs="Arial" w:eastAsia="Arial" w:hAnsi="Arial"/>
          <w:sz w:val="14"/>
          <w:szCs w:val="14"/>
          <w:color w:val="auto"/>
        </w:rPr>
        <w:t>The initial public offering price per share of our common stock is $16.00. Our common stock has been approved for listing on the New</w:t>
      </w:r>
      <w:r>
        <w:rPr>
          <w:rFonts w:ascii="Arial" w:cs="Arial" w:eastAsia="Arial" w:hAnsi="Arial"/>
          <w:sz w:val="14"/>
          <w:szCs w:val="14"/>
          <w:b w:val="1"/>
          <w:bCs w:val="1"/>
          <w:color w:val="auto"/>
        </w:rPr>
        <w:t xml:space="preserve"> </w:t>
      </w:r>
      <w:r>
        <w:rPr>
          <w:rFonts w:ascii="Arial" w:cs="Arial" w:eastAsia="Arial" w:hAnsi="Arial"/>
          <w:sz w:val="14"/>
          <w:szCs w:val="14"/>
          <w:color w:val="auto"/>
        </w:rPr>
        <w:t>York Stock Exchange under the symbol “TSLX.”</w:t>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At the initial public offering price of $16.00 per share, purchasers in this offering will experience dilution of approximately $0.59 per share. See “Dilution” for more information.</w:t>
      </w:r>
    </w:p>
    <w:p>
      <w:pPr>
        <w:spacing w:after="0" w:line="67" w:lineRule="exact"/>
        <w:rPr>
          <w:sz w:val="24"/>
          <w:szCs w:val="24"/>
          <w:color w:val="auto"/>
        </w:rPr>
      </w:pPr>
    </w:p>
    <w:p>
      <w:pPr>
        <w:ind w:right="60" w:firstLine="342"/>
        <w:spacing w:after="0" w:line="23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22 of this prospectus.</w:t>
      </w:r>
    </w:p>
    <w:p>
      <w:pPr>
        <w:spacing w:after="0" w:line="57" w:lineRule="exact"/>
        <w:rPr>
          <w:sz w:val="24"/>
          <w:szCs w:val="24"/>
          <w:color w:val="auto"/>
        </w:rPr>
      </w:pPr>
    </w:p>
    <w:p>
      <w:pPr>
        <w:ind w:right="80" w:firstLine="342"/>
        <w:spacing w:after="0" w:line="228" w:lineRule="auto"/>
        <w:rPr>
          <w:sz w:val="20"/>
          <w:szCs w:val="20"/>
          <w:color w:val="auto"/>
        </w:rPr>
      </w:pPr>
      <w:r>
        <w:rPr>
          <w:rFonts w:ascii="Arial" w:cs="Arial" w:eastAsia="Arial" w:hAnsi="Arial"/>
          <w:sz w:val="14"/>
          <w:szCs w:val="14"/>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57" w:lineRule="exact"/>
        <w:rPr>
          <w:sz w:val="24"/>
          <w:szCs w:val="24"/>
          <w:color w:val="auto"/>
        </w:rPr>
      </w:pPr>
    </w:p>
    <w:p>
      <w:pPr>
        <w:ind w:right="320" w:firstLine="342"/>
        <w:spacing w:after="0" w:line="241" w:lineRule="auto"/>
        <w:rPr>
          <w:sz w:val="20"/>
          <w:szCs w:val="20"/>
          <w:color w:val="auto"/>
        </w:rPr>
      </w:pPr>
      <w:r>
        <w:rPr>
          <w:rFonts w:ascii="Arial" w:cs="Arial" w:eastAsia="Arial" w:hAnsi="Arial"/>
          <w:sz w:val="14"/>
          <w:szCs w:val="14"/>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42"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Per</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Share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16.00</w:t>
            </w: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112,000,000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Sales load (underwriting discount)(1)</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0.96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6,720,000</w:t>
            </w:r>
          </w:p>
        </w:tc>
        <w:tc>
          <w:tcPr>
            <w:tcW w:w="80" w:type="dxa"/>
            <w:vAlign w:val="bottom"/>
          </w:tcPr>
          <w:p>
            <w:pPr>
              <w:spacing w:after="0"/>
              <w:rPr>
                <w:sz w:val="12"/>
                <w:szCs w:val="12"/>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15.04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105,280,000</w:t>
            </w:r>
          </w:p>
        </w:tc>
        <w:tc>
          <w:tcPr>
            <w:tcW w:w="8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more complete description of underwriting compensation.</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estimate that we will incur offering expenses of approximately $3.0 million, or approximately $0.43 per share, in connection with this offering.</w:t>
      </w:r>
    </w:p>
    <w:p>
      <w:pPr>
        <w:spacing w:after="0" w:line="57" w:lineRule="exact"/>
        <w:rPr>
          <w:sz w:val="24"/>
          <w:szCs w:val="24"/>
          <w:color w:val="auto"/>
        </w:rPr>
      </w:pPr>
    </w:p>
    <w:p>
      <w:pPr>
        <w:jc w:val="both"/>
        <w:ind w:right="220" w:firstLine="342"/>
        <w:spacing w:after="0" w:line="233" w:lineRule="auto"/>
        <w:rPr>
          <w:sz w:val="20"/>
          <w:szCs w:val="20"/>
          <w:color w:val="auto"/>
        </w:rPr>
      </w:pPr>
      <w:r>
        <w:rPr>
          <w:rFonts w:ascii="Arial" w:cs="Arial" w:eastAsia="Arial" w:hAnsi="Arial"/>
          <w:sz w:val="14"/>
          <w:szCs w:val="14"/>
          <w:color w:val="auto"/>
        </w:rPr>
        <w:t>We have granted the underwriters an over-allotment option to purchase up to an additional 1,050,000 shares of our common stock from us, at the public offering price, less the sales load payable by us, within 30 days from the date of this prospectus. If the underwriters exercise their over-allotment option in full, the total sales load will be $7.7 million and total proceeds to us, before expenses, will be $121.1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shares of our common stock will be ready for delivery on or about March 26, 2014.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sectPr>
      </w:pPr>
    </w:p>
    <w:p>
      <w:pPr>
        <w:spacing w:after="0" w:line="13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BofA Merrill Lynch</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Goldman, Sachs &amp; Co.</w:t>
      </w:r>
    </w:p>
    <w:p>
      <w:pPr>
        <w:spacing w:after="0" w:line="63" w:lineRule="exact"/>
        <w:rPr>
          <w:sz w:val="24"/>
          <w:szCs w:val="24"/>
          <w:color w:val="auto"/>
        </w:rPr>
      </w:pPr>
    </w:p>
    <w:p>
      <w:pPr>
        <w:sectPr>
          <w:pgSz w:w="11900" w:h="16838" w:orient="portrait"/>
          <w:cols w:equalWidth="0" w:num="3">
            <w:col w:w="4660" w:space="720"/>
            <w:col w:w="2940" w:space="720"/>
            <w:col w:w="2380"/>
          </w:cols>
          <w:pgMar w:left="240" w:top="230" w:right="239" w:bottom="1440" w:gutter="0" w:footer="0" w:header="0"/>
          <w:type w:val="continuous"/>
        </w:sectPr>
      </w:pPr>
    </w:p>
    <w:p>
      <w:pPr>
        <w:ind w:left="44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Wells Fargo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Barclays</w:t>
      </w:r>
    </w:p>
    <w:p>
      <w:pPr>
        <w:spacing w:after="0" w:line="39" w:lineRule="exact"/>
        <w:rPr>
          <w:sz w:val="24"/>
          <w:szCs w:val="24"/>
          <w:color w:val="auto"/>
        </w:rPr>
      </w:pPr>
    </w:p>
    <w:p>
      <w:pPr>
        <w:sectPr>
          <w:pgSz w:w="11900" w:h="16838" w:orient="portrait"/>
          <w:cols w:equalWidth="0" w:num="3">
            <w:col w:w="3400" w:space="720"/>
            <w:col w:w="5240" w:space="720"/>
            <w:col w:w="13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230" w:right="239" w:bottom="1440" w:gutter="0" w:footer="0" w:header="0"/>
          <w:type w:val="continuous"/>
        </w:sectPr>
      </w:pPr>
    </w:p>
    <w:p>
      <w:pPr>
        <w:spacing w:after="0" w:line="94"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TPG Capital BD, LLC</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JMP Securities</w:t>
      </w:r>
    </w:p>
    <w:p>
      <w:pPr>
        <w:spacing w:after="0" w:line="124" w:lineRule="exact"/>
        <w:rPr>
          <w:sz w:val="24"/>
          <w:szCs w:val="24"/>
          <w:color w:val="auto"/>
        </w:rPr>
      </w:pPr>
    </w:p>
    <w:p>
      <w:pPr>
        <w:sectPr>
          <w:pgSz w:w="11900" w:h="16838" w:orient="portrait"/>
          <w:cols w:equalWidth="0" w:num="3">
            <w:col w:w="3840" w:space="720"/>
            <w:col w:w="4740" w:space="720"/>
            <w:col w:w="14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The date of this prospectus is March 20,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MANAGEMENT AND OTHER AGREEMENTS</w:t>
              </w:r>
            </w:hyperlink>
          </w:p>
        </w:tc>
        <w:tc>
          <w:tcPr>
            <w:tcW w:w="632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3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34">
              <w:r>
                <w:rPr>
                  <w:rFonts w:ascii="Arial" w:cs="Arial" w:eastAsia="Arial" w:hAnsi="Arial"/>
                  <w:sz w:val="18"/>
                  <w:szCs w:val="18"/>
                  <w:color w:val="0000EE"/>
                  <w:w w:val="94"/>
                </w:rPr>
                <w:t>DETERMINATION OF NET ASSET VALUE</w:t>
              </w:r>
            </w:hyperlink>
          </w:p>
        </w:tc>
        <w:tc>
          <w:tcPr>
            <w:tcW w:w="658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35">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7">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DESCRIPTION OF OUR CAPITAL STOCK</w:t>
              </w:r>
            </w:hyperlink>
          </w:p>
        </w:tc>
        <w:tc>
          <w:tcPr>
            <w:tcW w:w="666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3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UNDERWRITING</w:t>
              </w:r>
            </w:hyperlink>
          </w:p>
        </w:tc>
        <w:tc>
          <w:tcPr>
            <w:tcW w:w="678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42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8"/>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323" w:lineRule="auto"/>
        <w:rPr>
          <w:sz w:val="20"/>
          <w:szCs w:val="20"/>
          <w:color w:val="auto"/>
        </w:rPr>
      </w:pPr>
      <w:r>
        <w:rPr>
          <w:rFonts w:ascii="Arial" w:cs="Arial" w:eastAsia="Arial" w:hAnsi="Arial"/>
          <w:sz w:val="15"/>
          <w:szCs w:val="15"/>
          <w:color w:val="auto"/>
        </w:rPr>
        <w:t>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w:t>
      </w:r>
    </w:p>
    <w:p>
      <w:pPr>
        <w:spacing w:after="0" w:line="98" w:lineRule="exact"/>
        <w:rPr>
          <w:sz w:val="20"/>
          <w:szCs w:val="20"/>
          <w:color w:val="auto"/>
        </w:rPr>
      </w:pPr>
    </w:p>
    <w:p>
      <w:pPr>
        <w:ind w:left="200" w:right="260" w:firstLine="443"/>
        <w:spacing w:after="0" w:line="298" w:lineRule="auto"/>
        <w:rPr>
          <w:sz w:val="20"/>
          <w:szCs w:val="20"/>
          <w:color w:val="auto"/>
        </w:rPr>
      </w:pPr>
      <w:r>
        <w:rPr>
          <w:rFonts w:ascii="Arial" w:cs="Arial" w:eastAsia="Arial" w:hAnsi="Arial"/>
          <w:sz w:val="16"/>
          <w:szCs w:val="16"/>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1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2013, we had 30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approximately 17.6% (based on cash invested of approximately $359 million and total proceeds from these exited investments of approximately $405 million). Eighty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17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143"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$50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The following chart depicts our ownership structure after giving effect to this offering and the concurrent private placement (based on the assumptions of the as adjusted pro forma column under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42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the preliminary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2,799,517 shares, or 5.4%, of our common stock. See “Management,” “Related-Party Transactions and Certain Relationships” and “Control Persons and Principal Stockholders.”</w:t>
      </w:r>
    </w:p>
    <w:p>
      <w:pPr>
        <w:spacing w:after="0" w:line="120"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The Adviser has also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43"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 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40" w:firstLine="443"/>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6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2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620" w:hanging="437"/>
        <w:spacing w:after="0" w:line="332"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New York Stock Exchange, NYSE Amex Equities and The NASDAQ Global Market) or registered under the Exchange Act; and</w:t>
      </w:r>
    </w:p>
    <w:p>
      <w:pPr>
        <w:spacing w:after="0" w:line="4" w:lineRule="exact"/>
        <w:rPr>
          <w:rFonts w:ascii="Arial" w:cs="Arial" w:eastAsia="Arial" w:hAnsi="Arial"/>
          <w:sz w:val="16"/>
          <w:szCs w:val="16"/>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20"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20" w:hanging="323"/>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900" w:firstLine="443"/>
        <w:spacing w:after="0" w:line="268" w:lineRule="auto"/>
        <w:rPr>
          <w:sz w:val="20"/>
          <w:szCs w:val="20"/>
          <w:color w:val="auto"/>
        </w:rPr>
      </w:pPr>
      <w:r>
        <w:rPr>
          <w:rFonts w:ascii="Arial" w:cs="Arial" w:eastAsia="Arial" w:hAnsi="Arial"/>
          <w:sz w:val="18"/>
          <w:szCs w:val="18"/>
          <w:color w:val="auto"/>
        </w:rPr>
        <w:t>On February 24, 2014, we filed a definitive proxy statement with the SEC to solicit consents from our stockholders to effect the following amendments to our amended and restated certificate of incorporation:</w:t>
      </w:r>
    </w:p>
    <w:p>
      <w:pPr>
        <w:spacing w:after="0" w:line="5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common stock to 400,000,000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received the requisite consents for both of these proposed amendments on March 7, 2014 and filed a certificate of amendment to our certificate of incorporation effecting the approved amendments on March 10, 2014. See “Description of Our Capital Stock.”</w:t>
      </w:r>
    </w:p>
    <w:p>
      <w:pPr>
        <w:spacing w:after="0" w:line="132"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On February 13, 2014, we issued 502,200 shares of our common stock through our dividend reinvestment plan for $7.8 million. Neither of these issuances of our common stock are reflected in the number of shares issued for the year ended December 31, 2013 as disclosed in this prospectus or the consolidated financial statements for the year ended December 31, 2013.</w:t>
      </w:r>
    </w:p>
    <w:p>
      <w:pPr>
        <w:spacing w:after="0" w:line="11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On January 21, 2014, we amended the Revolving Credit Facility (Natixis) to, among other things, increase the size of the facility to $175 million. We also modified pricing under the Revolving Credit Facility (Natixis) to allow TPG SL SPV, at its option, to borrow at an interest rate equal to the lenders’ cost of funds plus a margin, thereby lowering the interest rate currently applicable on our borrowings under the facility. On February 27, 2014, we amended the Revolving Credit Facility (SunTrust) to, among other things, increase the size of the facility to $581.3 million. On February 27, 2014, we terminated the Revolving Credit Facility (DBTCA), effective March 4, 2014. The outstanding balance under the Revolving Credit Facility (DBTCA) was paid down prior to terminating the facility. For more information, see “Management’s Discussion and Analysis of Financial Condition and Results of Operations—Financial Condition, Liquidity and Capital Resources.”</w:t>
      </w:r>
    </w:p>
    <w:p>
      <w:pPr>
        <w:spacing w:after="0" w:line="118"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From January 1, 2014 through March 11, 2014, we have funded investments of $276.1 million, have had $102.6 million in exits and repayments and have had net drawdowns of $100.2 million from our revolving credit facilities.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0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9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THE OFFERING SUMMARY</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7,000,000 shares, or 8,050,000 shares if the underwriters exercise their option to purchase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additional shares of our common stock to cover over-allotments in full.</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Common Stock to be Outstanding after this Offering</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51,887,708 shares, or 52,937,708 shares if the underwriters exercise their option to purchase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additional shares of our common stock to cover over-allotments in full. This includes 3,124,984</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shares issued in the private placement to certain of our existing investors, including our Adviser.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Our net proceeds from this offering will be approximately $102.3 million, or approximately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$118.1 million if the underwriters exercise their option to purchase additional shares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common stock to cover over-allotments in full, after deducting the underwriting discounts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commissions and estimated offering expenses of approximately $9.7 million payable by us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$10.7 million if the underwriters exercise their option to purchase additional shares of our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common stock to cover over-allotments in full).</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Our proceeds from the sale of shares of our common stock in the concurrent private placement</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will be $50 million.</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We intend to use 100% of the net proceeds of this offering and the concurrent private placement,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together with our cash and cash equivalents, to pay down approximately $152.3 million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approximately $168.1 million if the underwriters exercise their option to purchase additional</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shares of our common stock to cover over-allotments in full) of outstanding indebtedness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incurred under our second amended and restated senior secured revolving credit agreement with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SunTrust Bank, as administrative agent, and certain lenders, which we refer to as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Credit Facility (SunTrust), on or about the date of the closing of this offering. After giving effect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to the use of proceeds to pay down a portion of the outstanding balance under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Credit Facility (SunTrust), approximately $280.2 million (or approximately $264.4 million if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underwriters exercise their option to purchase additional shares of our common stock to cover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over-allotments in full) will remain outstanding under the facility. We do not intend to terminate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facility and may reborrow the amount we repay, subject to certain conditions. As of</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December 31, 2013, amounts outstanding under our Revolving Credit Facility (SunTrust) bore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interest at a rate of LIBOR plus 225 basis points. The facility matures in full on February 27,</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2019.</w:t>
            </w:r>
          </w:p>
        </w:tc>
      </w:tr>
      <w:tr>
        <w:trPr>
          <w:trHeight w:val="419"/>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See “Use of Proceeds.”</w:t>
            </w:r>
          </w:p>
        </w:tc>
      </w:tr>
      <w:tr>
        <w:trPr>
          <w:trHeight w:val="41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Symbol on the New York Stock Exchange</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“TSLX”</w:t>
            </w:r>
          </w:p>
        </w:tc>
      </w:tr>
      <w:tr>
        <w:trPr>
          <w:trHeight w:val="174"/>
        </w:trPr>
        <w:tc>
          <w:tcPr>
            <w:tcW w:w="4140" w:type="dxa"/>
            <w:vAlign w:val="bottom"/>
            <w:tcBorders>
              <w:left w:val="single" w:sz="8" w:color="auto"/>
              <w:bottom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7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70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quarterly dividends to our stockholders.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Our Board has declared a dividend of $0.38 per share for the quarter ending March 31, 2014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stockholders of record as of March 31, 2014. Shares offered in this prospectus will be entitled to</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receive this dividend payment. The dividend is expected to be paid on April 30, 2014.</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We anticipate that this dividend will be paid from income generated primarily by interest earned</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on our investment portfolio.</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The specific tax characteristics of our distributions will be reported to stockholders after the end</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of the calendar year. Future quarterly dividends, if any, will be determined by our Board. See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“Distributions.”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Federal Income Tax Considerations —Regulated Investment Company Classification.”</w:t>
            </w:r>
          </w:p>
        </w:tc>
      </w:tr>
      <w:tr>
        <w:trPr>
          <w:trHeight w:val="412"/>
        </w:trPr>
        <w:tc>
          <w:tcPr>
            <w:tcW w:w="27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distribute.</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investment income; and</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carry forward investment company taxable income in excess of current year distributions into the</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next tax year and pay a 4% excise tax on such income. We elected to retain a small portion of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income and capital gains for the calendar years ended December 31, 2013 and 2012 and we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recorded a net expense of $0.2 million and $0.1 million,</w:t>
            </w:r>
          </w:p>
        </w:tc>
      </w:tr>
      <w:tr>
        <w:trPr>
          <w:trHeight w:val="161"/>
        </w:trPr>
        <w:tc>
          <w:tcPr>
            <w:tcW w:w="2760" w:type="dxa"/>
            <w:vAlign w:val="bottom"/>
            <w:tcBorders>
              <w:left w:val="single" w:sz="8" w:color="auto"/>
              <w:bottom w:val="single" w:sz="8" w:color="auto"/>
            </w:tcBorders>
          </w:tcPr>
          <w:p>
            <w:pPr>
              <w:spacing w:after="0"/>
              <w:rPr>
                <w:sz w:val="13"/>
                <w:szCs w:val="13"/>
                <w:color w:val="auto"/>
              </w:rPr>
            </w:pPr>
          </w:p>
        </w:tc>
        <w:tc>
          <w:tcPr>
            <w:tcW w:w="8700" w:type="dxa"/>
            <w:vAlign w:val="bottom"/>
            <w:tcBorders>
              <w:bottom w:val="single" w:sz="8" w:color="auto"/>
              <w:right w:val="single" w:sz="8" w:color="auto"/>
            </w:tcBorders>
          </w:tcPr>
          <w:p>
            <w:pPr>
              <w:spacing w:after="0"/>
              <w:rPr>
                <w:sz w:val="13"/>
                <w:szCs w:val="13"/>
                <w:color w:val="auto"/>
              </w:rPr>
            </w:pPr>
          </w:p>
        </w:tc>
      </w:tr>
      <w:tr>
        <w:trPr>
          <w:trHeight w:val="359"/>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0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0"/>
              </w:rPr>
              <w:t>respectively, for U.S. federal excise tax as a result. Any carryover of investment company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“Material U.S. Federal Income Tax Considerations.”</w:t>
            </w:r>
          </w:p>
        </w:tc>
      </w:tr>
      <w:tr>
        <w:trPr>
          <w:trHeight w:val="426"/>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may be considered a speculative investment technique.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89"/>
              </w:rPr>
              <w:t>Leverage increases the potential for gain and loss on amounts invested and, as a result, increases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 risks associated with investing in our securities. With certain limited exceptions, we currently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are only allowed to borrow amounts, including by issuing debt securities or preferred stock,</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where our asset coverage, as defined in the 1940 Act, equals at least 200% after the borrowing.</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The costs associated with our borrowings, including any increase in the fees payable to the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Adviser, are borne by our stockholders. See “Regulation.”</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As of December 31, 2013 and 2012, our asset coverage was 232.9% and 244.6%, respectively.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Following this IPO and the repayment of indebtedness as contemplated under “Use of Proceeds,”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and based on the value of our total assets as of December 31, 2013 after giving effect to the pro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forma as adjusted assumptions under “Capitalization”, our asset coverage ratio would be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approximately 310.4%.</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dividend reinvestment plan. Under this plan, if we declare a cash dividend or other distribution,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our stockholders who have not elected to “opt out” of our dividend reinvestment plan will have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their cash distribution automatically reinvested in additional shares of our common stock, rather</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than receiving the cash distribution. If a stockholder elects to “opt out”, that stockholder will</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receive cash dividends or other distributions.</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stock generally are subject to the same U.S. federal tax consequences as stockholders who elect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to receive their distributions in cash; however, since their cash dividends will be reinvested, those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stockholders will not receive cash with which to pay any applicable taxes on reinvested</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dividends. See “Dividend Reinvestment Plan.”</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We pay the Adviser a fee for its services under an advisory agreement, which we refer to as the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Investment Advisory Agreement, consisting of two components—a base management fee,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we refer to as the Management Fee, and an incentive fee, which we refer to as the Incentive Fee.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Management Fee paid to the Adviser, payable at the end of each quarter in arrears, is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calculated at an annual rate of 1.5% of our gross assets, or total assets before deduction of any</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liabilities under generally accepted accounting principles in the United States, which</w:t>
            </w:r>
          </w:p>
        </w:tc>
      </w:tr>
      <w:tr>
        <w:trPr>
          <w:trHeight w:val="161"/>
        </w:trPr>
        <w:tc>
          <w:tcPr>
            <w:tcW w:w="3300" w:type="dxa"/>
            <w:vAlign w:val="bottom"/>
            <w:tcBorders>
              <w:left w:val="single" w:sz="8" w:color="auto"/>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rPr>
                <w:sz w:val="13"/>
                <w:szCs w:val="13"/>
                <w:color w:val="auto"/>
              </w:rPr>
            </w:pPr>
          </w:p>
        </w:tc>
      </w:tr>
      <w:tr>
        <w:trPr>
          <w:trHeight w:val="359"/>
        </w:trPr>
        <w:tc>
          <w:tcPr>
            <w:tcW w:w="3300" w:type="dxa"/>
            <w:vAlign w:val="bottom"/>
          </w:tcPr>
          <w:p>
            <w:pPr>
              <w:spacing w:after="0"/>
              <w:rPr>
                <w:sz w:val="24"/>
                <w:szCs w:val="24"/>
                <w:color w:val="auto"/>
              </w:rPr>
            </w:pPr>
          </w:p>
        </w:tc>
        <w:tc>
          <w:tcPr>
            <w:tcW w:w="8160" w:type="dxa"/>
            <w:vAlign w:val="bottom"/>
          </w:tcPr>
          <w:p>
            <w:pPr>
              <w:ind w:left="2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3" w:lineRule="auto"/>
        <w:rPr>
          <w:sz w:val="20"/>
          <w:szCs w:val="20"/>
          <w:color w:val="auto"/>
        </w:rPr>
      </w:pPr>
      <w:r>
        <w:rPr>
          <w:rFonts w:ascii="Arial" w:cs="Arial" w:eastAsia="Arial" w:hAnsi="Arial"/>
          <w:sz w:val="18"/>
          <w:szCs w:val="18"/>
          <w:color w:val="auto"/>
        </w:rPr>
        <w:t>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 of market and other factors at the time of any proposed borrowing. See “Risk Factors—Risks Related to Our Business and Structure— We borrow money, which magnifies the potential for gain or loss and increases the risk of investing in us.”</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jc w:val="both"/>
        <w:ind w:left="4820" w:right="40"/>
        <w:spacing w:after="0" w:line="259"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800"/>
        <w:spacing w:after="0" w:line="268" w:lineRule="auto"/>
        <w:rPr>
          <w:sz w:val="20"/>
          <w:szCs w:val="20"/>
          <w:color w:val="auto"/>
        </w:rPr>
      </w:pPr>
      <w:r>
        <w:rPr>
          <w:rFonts w:ascii="Arial" w:cs="Arial" w:eastAsia="Arial" w:hAnsi="Arial"/>
          <w:sz w:val="18"/>
          <w:szCs w:val="18"/>
          <w:color w:val="auto"/>
        </w:rPr>
        <w:t>rate of return on the value of our net assets at the end of the immediately preceding calendar quarter.</w:t>
      </w:r>
    </w:p>
    <w:p>
      <w:pPr>
        <w:spacing w:after="0" w:line="64" w:lineRule="exact"/>
        <w:rPr>
          <w:sz w:val="20"/>
          <w:szCs w:val="20"/>
          <w:color w:val="auto"/>
        </w:rPr>
      </w:pPr>
    </w:p>
    <w:p>
      <w:pPr>
        <w:jc w:val="both"/>
        <w:ind w:left="4820" w:right="300" w:hanging="159"/>
        <w:spacing w:after="0" w:line="305" w:lineRule="auto"/>
        <w:tabs>
          <w:tab w:leader="none" w:pos="4800" w:val="left"/>
        </w:tabs>
        <w:rPr>
          <w:sz w:val="20"/>
          <w:szCs w:val="20"/>
          <w:color w:val="auto"/>
        </w:rPr>
      </w:pPr>
      <w:r>
        <w:rPr>
          <w:rFonts w:ascii="Arial" w:cs="Arial" w:eastAsia="Arial" w:hAnsi="Arial"/>
          <w:sz w:val="15"/>
          <w:szCs w:val="15"/>
          <w:color w:val="auto"/>
        </w:rPr>
        <w:t>•</w:t>
        <w:tab/>
        <w:t>The second component, referred to as the Capital Gains Fee, is determined and payable in arrears as of the end of each calendar year in an amount equal to a weighted percentage of</w:t>
      </w: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our realized capital gains, if any, on a cumulative basis as between our inception to the end</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of the quarter in which this IPO is completed at 15% and thereafter at 17.5%, less</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cumulative realized capital losses, unrealized capital depreciation and net of the aggregate</w:t>
            </w:r>
          </w:p>
        </w:tc>
      </w:tr>
      <w:tr>
        <w:trPr>
          <w:trHeight w:val="222"/>
        </w:trPr>
        <w:tc>
          <w:tcPr>
            <w:tcW w:w="3400" w:type="dxa"/>
            <w:vAlign w:val="bottom"/>
          </w:tcPr>
          <w:p>
            <w:pPr>
              <w:spacing w:after="0"/>
              <w:rPr>
                <w:sz w:val="19"/>
                <w:szCs w:val="19"/>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amount of any previously paid capital gains Incentive Fee for prior periods.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See “Management and Other Agreements—Investment Advisory Agreement; Administration</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Administration Agreement</w:t>
            </w:r>
          </w:p>
        </w:tc>
        <w:tc>
          <w:tcPr>
            <w:tcW w:w="8060" w:type="dxa"/>
            <w:vAlign w:val="bottom"/>
          </w:tcPr>
          <w:p>
            <w:pPr>
              <w:ind w:left="100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 payment of expenses and the performance of administrative and professional services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9"/>
              </w:rPr>
              <w:t>Agreement to affiliates or third parties and we will pay or reimburse the Adviser expenses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Adviser Purchase Commitment</w:t>
            </w: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The Adviser has entered into the 10b5-1 Plan under which Goldman, Sachs &amp; Co., as agent for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the Adviser, will buy up to $25 million in the aggregate of our common stock during the period</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beginning after four full calendar weeks after the closing of this offering and ending on the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3"/>
              </w:rPr>
              <w:t>earlier of the date on which all the capital committed to the 10b5-1 Plan has been exhausted 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December 31, 2014, subject to certain conditions. The 10b5-1 Plan will require Goldman, Sachs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&amp; Co. to purchase for the Adviser shares of common stock (i) through the date we announce our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earnings for the second quarter of 2014, when the market price per share is below the initial</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public offering price per share and, (ii) from and after that date, when the market price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is below our most recently reported net asset value per share (including any updates, corrections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or adjustments publicly announced by us to any previously announced net asset value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The purchase of shares by Goldman, Sachs &amp; Co. pursuant to the 10b5-1 Plan is intended to</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satisfy the conditions of Rules 10b5-1 and 10b-18 under the Exchange Act, and will otherwise be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subject to applicable law, including Regulation M, which may prohibit</w:t>
            </w:r>
          </w:p>
        </w:tc>
      </w:tr>
      <w:tr>
        <w:trPr>
          <w:trHeight w:val="161"/>
        </w:trPr>
        <w:tc>
          <w:tcPr>
            <w:tcW w:w="34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2"/>
              </w:rPr>
              <w:t>purchases under certain circumstances. Any shares of common stock purchased by the Adviser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pursuant to the 10b5-1 Plan will be subject to the lock-up agreement between the Adviser and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underwriters, meaning the shares purchased will be locked-up until 365 days after the date of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prospectus. Under the 10b5-1 Plan, Goldman, Sachs &amp; Co. will increase the volume of purchases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made as the price of our common stock declines, subject to volume restrictions. Purchases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common stock by the Adviser under the 10b5-1 Plan may result in the price of our common stock</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being higher than the price that otherwise might exist in the open market. See “Risk Factors—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Purchases of our common stock by the Adviser under the 10b5-1 Plan may result in the price of</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our common stock being higher than the price that otherwise might exist in the open market.”</w:t>
            </w:r>
          </w:p>
        </w:tc>
      </w:tr>
      <w:tr>
        <w:trPr>
          <w:trHeight w:val="426"/>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Street, Suite 3300, San Francisco, CA 94104, Attention: TSL Investor Relations, or by emailing</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xml:space="preserve">us at </w:t>
            </w: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-452755</wp:posOffset>
            </wp:positionV>
            <wp:extent cx="77470" cy="7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and assume that we issue 10,124,984 shares of common stock in the offering and the concurrent private placement at the offering price and that the underwriters do not exercise their option to purchase any additional shares to cover over-allotments. In addition, the expenses in the table are based on the assumption that we borrow amounts under our credit facilities in an amount so that our total borrowings are 0.68x our total net assets, which was the ratio of daily average borrowings under our revolving credit facilities to our daily average estimated total net assets during the quarter ended December 31, 2013. Daily estimated average net assets is calculated by starting with the prior quarter end net asset value and adjusting for capital activity during the quarter, for example, by adding amounts to reflect dividend reinvestment plan share issuances.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you will indirectly bear these fees or expenses as an investor in TPG Specialty Lending.</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6.00%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2.68%</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2.19%</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r>
              <w:rPr>
                <w:rFonts w:ascii="Arial" w:cs="Arial" w:eastAsia="Arial" w:hAnsi="Arial"/>
                <w:sz w:val="11"/>
                <w:szCs w:val="11"/>
                <w:color w:val="auto"/>
                <w:w w:val="97"/>
              </w:rPr>
              <w:t>(7)(8)</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Total annual expenses</w:t>
            </w: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160" w:type="dxa"/>
            <w:vAlign w:val="bottom"/>
            <w:gridSpan w:val="2"/>
            <w:vMerge w:val="continue"/>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8.54%</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620" w:hanging="423"/>
        <w:spacing w:after="0" w:line="268"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of our common stock sold in this offering, which is a one-time fee paid to the underwriters, is the only sales load paid in connection with this offering.</w:t>
      </w:r>
    </w:p>
    <w:p>
      <w:pPr>
        <w:spacing w:after="0" w:line="50" w:lineRule="exact"/>
        <w:rPr>
          <w:rFonts w:ascii="Arial" w:cs="Arial" w:eastAsia="Arial" w:hAnsi="Arial"/>
          <w:sz w:val="18"/>
          <w:szCs w:val="18"/>
          <w:color w:val="auto"/>
        </w:rPr>
      </w:pPr>
    </w:p>
    <w:p>
      <w:pPr>
        <w:ind w:left="620" w:hanging="42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 million.</w:t>
      </w:r>
    </w:p>
    <w:p>
      <w:pPr>
        <w:spacing w:after="0" w:line="90" w:lineRule="exact"/>
        <w:rPr>
          <w:rFonts w:ascii="Arial" w:cs="Arial" w:eastAsia="Arial" w:hAnsi="Arial"/>
          <w:sz w:val="18"/>
          <w:szCs w:val="18"/>
          <w:color w:val="auto"/>
        </w:rPr>
      </w:pPr>
    </w:p>
    <w:p>
      <w:pPr>
        <w:ind w:left="620" w:right="620" w:hanging="423"/>
        <w:spacing w:after="0" w:line="268"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ind w:left="620" w:right="120"/>
        <w:spacing w:after="0" w:line="306" w:lineRule="auto"/>
        <w:rPr>
          <w:rFonts w:ascii="Arial" w:cs="Arial" w:eastAsia="Arial" w:hAnsi="Arial"/>
          <w:sz w:val="18"/>
          <w:szCs w:val="18"/>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money) as of December 31, 2013 and further assumes that we issue</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620" w:right="600"/>
        <w:spacing w:after="0" w:line="259" w:lineRule="auto"/>
        <w:rPr>
          <w:sz w:val="20"/>
          <w:szCs w:val="20"/>
          <w:color w:val="auto"/>
        </w:rPr>
      </w:pPr>
      <w:r>
        <w:rPr>
          <w:rFonts w:ascii="Arial" w:cs="Arial" w:eastAsia="Arial" w:hAnsi="Arial"/>
          <w:sz w:val="18"/>
          <w:szCs w:val="18"/>
          <w:color w:val="auto"/>
        </w:rPr>
        <w:t>10,124,984 shares of common stock in the offering and the concurrent private placement and make additional investment purchases funded with assumed borrowings under our credit facilities so that our total borrowings outstanding are 0.68x our total net assets (on a weighted average basis annually).</w:t>
      </w:r>
    </w:p>
    <w:p>
      <w:pPr>
        <w:spacing w:after="0" w:line="59" w:lineRule="exact"/>
        <w:rPr>
          <w:sz w:val="20"/>
          <w:szCs w:val="20"/>
          <w:color w:val="auto"/>
        </w:rPr>
      </w:pPr>
    </w:p>
    <w:p>
      <w:pPr>
        <w:ind w:left="620" w:right="260" w:hanging="423"/>
        <w:spacing w:after="0" w:line="29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first year after completion of this offering. The Incentive Fee payable in the example below is 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90" w:lineRule="exact"/>
        <w:rPr>
          <w:rFonts w:ascii="Arial" w:cs="Arial" w:eastAsia="Arial" w:hAnsi="Arial"/>
          <w:sz w:val="16"/>
          <w:szCs w:val="16"/>
          <w:color w:val="auto"/>
        </w:rPr>
      </w:pPr>
    </w:p>
    <w:p>
      <w:pPr>
        <w:ind w:left="620" w:right="380"/>
        <w:spacing w:after="0" w:line="255"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1" w:lineRule="exact"/>
        <w:rPr>
          <w:rFonts w:ascii="Arial" w:cs="Arial" w:eastAsia="Arial" w:hAnsi="Arial"/>
          <w:sz w:val="16"/>
          <w:szCs w:val="16"/>
          <w:color w:val="auto"/>
        </w:rPr>
      </w:pPr>
    </w:p>
    <w:p>
      <w:pPr>
        <w:ind w:left="620" w:right="280"/>
        <w:spacing w:after="0" w:line="294" w:lineRule="auto"/>
        <w:rPr>
          <w:rFonts w:ascii="Arial" w:cs="Arial" w:eastAsia="Arial" w:hAnsi="Arial"/>
          <w:sz w:val="16"/>
          <w:szCs w:val="16"/>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rFonts w:ascii="Arial" w:cs="Arial" w:eastAsia="Arial" w:hAnsi="Arial"/>
          <w:sz w:val="16"/>
          <w:szCs w:val="16"/>
          <w:color w:val="auto"/>
        </w:rPr>
      </w:pPr>
    </w:p>
    <w:p>
      <w:pPr>
        <w:ind w:left="620" w:right="320" w:hanging="423"/>
        <w:spacing w:after="0" w:line="256"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on borrowed funds represents an estimate of our annualized interest expenses under our credit facilities based on assumed total borrowings outstanding equal to 0.68x our total net assets (on a weighted average basis annually).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62" w:lineRule="exact"/>
        <w:rPr>
          <w:rFonts w:ascii="Arial" w:cs="Arial" w:eastAsia="Arial" w:hAnsi="Arial"/>
          <w:sz w:val="18"/>
          <w:szCs w:val="18"/>
          <w:color w:val="auto"/>
        </w:rPr>
      </w:pPr>
    </w:p>
    <w:p>
      <w:pPr>
        <w:ind w:left="620" w:right="320" w:hanging="423"/>
        <w:spacing w:after="0" w:line="259"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8"/>
        </w:trPr>
        <w:tc>
          <w:tcPr>
            <w:tcW w:w="200" w:type="dxa"/>
            <w:vAlign w:val="bottom"/>
          </w:tcPr>
          <w:p>
            <w:pPr>
              <w:spacing w:after="0"/>
              <w:rPr>
                <w:sz w:val="16"/>
                <w:szCs w:val="16"/>
                <w:color w:val="auto"/>
              </w:rPr>
            </w:pPr>
          </w:p>
        </w:tc>
        <w:tc>
          <w:tcPr>
            <w:tcW w:w="8060" w:type="dxa"/>
            <w:vAlign w:val="bottom"/>
            <w:tcBorders>
              <w:top w:val="single" w:sz="8" w:color="CCEEFF"/>
            </w:tcBorders>
            <w:shd w:val="clear" w:color="auto" w:fill="CCEEFF"/>
          </w:tcPr>
          <w:p>
            <w:pPr>
              <w:jc w:val="right"/>
              <w:ind w:right="452"/>
              <w:spacing w:after="0" w:line="188" w:lineRule="exact"/>
              <w:rPr>
                <w:sz w:val="20"/>
                <w:szCs w:val="20"/>
                <w:color w:val="auto"/>
              </w:rPr>
            </w:pPr>
            <w:r>
              <w:rPr>
                <w:rFonts w:ascii="Arial" w:cs="Arial" w:eastAsia="Arial" w:hAnsi="Arial"/>
                <w:sz w:val="18"/>
                <w:szCs w:val="18"/>
                <w:color w:val="auto"/>
                <w:w w:val="88"/>
              </w:rPr>
              <w:t>You would pay the following expenses on a $1,000 investment, assuming a 5% annual return from realized</w:t>
            </w: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r>
      <w:tr>
        <w:trPr>
          <w:trHeight w:val="224"/>
        </w:trPr>
        <w:tc>
          <w:tcPr>
            <w:tcW w:w="200" w:type="dxa"/>
            <w:vAlign w:val="bottom"/>
          </w:tcPr>
          <w:p>
            <w:pPr>
              <w:spacing w:after="0"/>
              <w:rPr>
                <w:sz w:val="19"/>
                <w:szCs w:val="19"/>
                <w:color w:val="auto"/>
              </w:rPr>
            </w:pPr>
          </w:p>
        </w:tc>
        <w:tc>
          <w:tcPr>
            <w:tcW w:w="806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rPr>
              <w:t>capital gains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$ 313</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$ 451</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756</w:t>
            </w:r>
          </w:p>
        </w:tc>
        <w:tc>
          <w:tcPr>
            <w:tcW w:w="200" w:type="dxa"/>
            <w:vAlign w:val="bottom"/>
          </w:tcPr>
          <w:p>
            <w:pPr>
              <w:spacing w:after="0"/>
              <w:rPr>
                <w:sz w:val="19"/>
                <w:szCs w:val="19"/>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8260" w:type="dxa"/>
            <w:vAlign w:val="bottom"/>
            <w:gridSpan w:val="2"/>
          </w:tcPr>
          <w:p>
            <w:pPr>
              <w:jc w:val="right"/>
              <w:ind w:right="2372"/>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221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21221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27"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 See “Regulation.”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December 31,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2013, we had $432.3 million of outstanding indebtedness, which would have an annualized interest cost of 2.5% under the terms of our credit facilities, excluding fees (such as fees on undrawn amounts and amortization of upfront fees), to the extent the amount remains outstanding. For us to cover these annualized interest payments on indebtedness, we must achieve annual returns on our investments of at least 1.0%. Since we generally pay interest at a floating rate on our credit facilities, an increase in interest rates will generally increase our borrowing costs.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Assumed Return on Our Portfolio</w:t>
      </w:r>
    </w:p>
    <w:p>
      <w:pPr>
        <w:spacing w:after="0" w:line="21"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(net of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-5%</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0%</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1"/>
                <w:szCs w:val="11"/>
                <w:color w:val="auto"/>
              </w:rPr>
              <w:t>(1)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(19.74%)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(10.70%)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(1.65%)</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as of December 31, 2013, (i) $1,039.2 million in total assets, (ii) $432.3 million in outstanding indebtedness, (iii) $574.7 million in net assets and (iv) average cost of funds of 2.2% under our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will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calendar years ended December 31, 2013 and December 31, 2012, we retained $3.0 million and $2.8 million of income and capital gains, respectively, in order to provide us with additional liquidity and we recorded a net expense of $0.2 million and $0.1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we will be liable for the tax on the amount by which we do not meet the foregoing distribution requirement. See “Material U.S. Federal Income Tax Considerations—Regulated Investment Company Classification.”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financial stability could have a significant adverse effect on our business, results of operations and financial condition.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43"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Revolving Credit Facility (Natixis), to form a CLO or other securitization vehicle in the future.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56" w:lineRule="auto"/>
        <w:rPr>
          <w:sz w:val="20"/>
          <w:szCs w:val="20"/>
          <w:color w:val="auto"/>
        </w:rPr>
      </w:pPr>
      <w:r>
        <w:rPr>
          <w:rFonts w:ascii="Arial" w:cs="Arial" w:eastAsia="Arial" w:hAnsi="Arial"/>
          <w:sz w:val="18"/>
          <w:szCs w:val="18"/>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113"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8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the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the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common stock has been approved for listing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this offering and the concurrent private placement, we will have 51,887,708 shares of common stock outstanding (or 52,937,708 shares of common stock if the underwriters’ over-allotment option is fully exercised). The shares of common stock sold in this offering (but not the concurrent private placement) will be freely tradable without restriction or limitation under the Securities Act, unless owned by an affiliate, as defined in the Securities Act, in which case sales will be subject to the public information, manner of sale and volume limitations of Rule 144 under the Securities Act. Shares of our common stock acquired pursuant to subscription agreements with our existing investors or in the concurrent private placement are “restricted securities,” as defined in Rule 144,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8"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after four full calendar weeks after the closing of this offering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we will receive from the sale of 7,000,000 shares of our common stock in this offering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$102.3 million (or approximately $118.1 million if the underwriters exercise their option to purchase additional shares of our common stock to cover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allotments in full), after deducting the underwriting discounts and commissions and estimated offering expenses of approximately $9.7 million payable by us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 million if the underwriters exercise their option to purchase additional shares of our common stock to cover over-allotments in full). Our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of shares of our common stock in the concurrent private placement will be $50 million.</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use 100% of the net proceeds of this offering and the concurrent private placement, together with our cash and cash equivalents, to pay down approximately $152.3 million (or approximately $168.1 million if the underwriters exercise their option to purchase additional shares of our common stock to cover over-allotments in full) of outstanding indebtedness under the Revolving Credit Facility (SunTrust), which matures in full on February 27, 2019, on or about the date of the closing of this offering. After giving effect to the use of proceeds to pay down a portion of the outstanding balance under the Revolving Credit Facility (SunTrust), approximately $280.2 million (or approximately $264.4 million if the underwriters exercise their option to purchase additional shares of our common stock to cover over-allotments in full) will remain outstanding under the facility. We do not intend to terminate the facility and may reborrow the amount we repay, subject to certain conditions. As of December 31,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Board has declared a dividend of $0.38 per share for the quarter ending March 31, 2014 to stockholders of record as of March 31, 2014. Shares offered by this prospectus will be entitled to receive this dividend payment. The dividend is expected to be paid on April 30, 2014. We anticipate that this dividend will be paid from income generated primarily by interest earned on our investment portfolio.</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for purposes of additional liquidity and we recorded a net expense of $0.2 million and $0.1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2013</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2013</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2013</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30, 2014</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2012</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2012</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2012</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capital gains, determined on a tax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consolidated capitalization of TPG Specialty Lending, Inc. at December 31, 2013;</w:t>
      </w:r>
    </w:p>
    <w:p>
      <w:pPr>
        <w:spacing w:after="0" w:line="9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consolidated capitalization of TPG Specialty Lending, Inc. on a pro forma basis at December 31, 2013 to give effect to (i) our December 31, 2013 capital call for $65.0 million (4,234,501 shares issued at the September 30, 2013 net asset value per share of $15.35, which closed on January 15, 2014); (ii) our February 13, 2014 dividend reinvestment plan issuance for $7.8 million (502,200 shares issued at the December 31, 2013 net asset value per share of $15.52); (iii) $276.1 million of investments funded and $102.6 million in exits and repayments from January 1, 2014 through March 11, 2014; and (iv) $100.2 million of net drawdowns from our revolving credit facilities from January 1, 2014 through March 11, 2014; and</w:t>
      </w:r>
    </w:p>
    <w:p>
      <w:pPr>
        <w:spacing w:after="0" w:line="34"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consolidated capitalization of TPG Specialty Lending, Inc. on a pro forma basis at December 31, 2013, as further adjusted to reflect (i) the sale of 7,000,000 shares of our common stock in this offering at the initial public offering price of $16.00 per share after deducting the underwriting discounts and commissions and estimated offering expenses of approximately $9.7 million payable by us; (ii) the sale of $50 million of our common stock in the concurrent private placement at the same offering price per share; and (iii) application of the net proceeds as discussed in more detail under “Use of Proceeds.”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1180" w:type="dxa"/>
            <w:vAlign w:val="bottom"/>
            <w:gridSpan w:val="4"/>
            <w:vMerge w:val="continue"/>
          </w:tcPr>
          <w:p>
            <w:pPr>
              <w:spacing w:after="0"/>
              <w:rPr>
                <w:sz w:val="15"/>
                <w:szCs w:val="15"/>
                <w:color w:val="auto"/>
              </w:rPr>
            </w:pPr>
          </w:p>
        </w:tc>
        <w:tc>
          <w:tcPr>
            <w:tcW w:w="10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1,016,451</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1,189,451</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1,189,451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r>
              <w:rPr>
                <w:rFonts w:ascii="Arial" w:cs="Arial" w:eastAsia="Arial" w:hAnsi="Arial"/>
                <w:sz w:val="11"/>
                <w:szCs w:val="11"/>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432,267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464,454</w:t>
            </w:r>
          </w:p>
        </w:tc>
        <w:tc>
          <w:tcPr>
            <w:tcW w:w="16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564,659</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440"/>
              <w:spacing w:after="0"/>
              <w:rPr>
                <w:sz w:val="20"/>
                <w:szCs w:val="20"/>
                <w:color w:val="auto"/>
              </w:rPr>
            </w:pPr>
            <w:r>
              <w:rPr>
                <w:rFonts w:ascii="Arial" w:cs="Arial" w:eastAsia="Arial" w:hAnsi="Arial"/>
                <w:sz w:val="18"/>
                <w:szCs w:val="18"/>
                <w:color w:val="auto"/>
                <w:w w:val="89"/>
              </w:rPr>
              <w:t>Preferred stock, $0.01 par value; 100,000,000 shares authorized; no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640"/>
              <w:spacing w:after="0"/>
              <w:rPr>
                <w:sz w:val="20"/>
                <w:szCs w:val="20"/>
                <w:color w:val="auto"/>
              </w:rPr>
            </w:pPr>
            <w:r>
              <w:rPr>
                <w:rFonts w:ascii="Arial" w:cs="Arial" w:eastAsia="Arial" w:hAnsi="Arial"/>
                <w:sz w:val="18"/>
                <w:szCs w:val="18"/>
                <w:color w:val="auto"/>
              </w:rPr>
              <w:t>shares issued and outstanding</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$0.01 par value; 400,000,000 shares authorized</w:t>
            </w:r>
            <w:r>
              <w:rPr>
                <w:rFonts w:ascii="Arial" w:cs="Arial" w:eastAsia="Arial" w:hAnsi="Arial"/>
                <w:sz w:val="11"/>
                <w:szCs w:val="11"/>
                <w:color w:val="auto"/>
                <w:w w:val="91"/>
              </w:rPr>
              <w:t>(2)</w:t>
            </w:r>
            <w:r>
              <w:rPr>
                <w:rFonts w:ascii="Arial" w:cs="Arial" w:eastAsia="Arial" w:hAnsi="Arial"/>
                <w:sz w:val="18"/>
                <w:szCs w:val="18"/>
                <w:color w:val="auto"/>
                <w:w w:val="91"/>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37,027,022 shares issued and 37,026,023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 41,763,723 shares issued and 41,762,724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pro forma; 51,888,707 shares issued 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51,887,708 shares outstanding, as adjusted pro forma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realized gains on investments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the effect of investments funded and drawdowns from our revolving credit facilities from January 1, 2014 through March 11, 2014; does not include pipeline investments that may occur subsequent to March 11, 2014 prior to the closing of our private placement and IPO. Excludes approximately $44 million of funded investments, which were sold down after March 11, 2014.</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March 10, 2014, we amended our certificate of incorporation to increase the number of authorized shares of common stock from 100,000,000 shares to 400,000,000 shares.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net asset value as of December 31, 2013 was $574.7 million for a net asset value per common share of $15.52. After giving effect to our December 31, 2013 capital call for $65.0 million, our February 13, 2014 dividend reinvestment plan issuance for $7.8 million, investments funded of $276.1 million and exits and repayments of $102.6 million from January 1, 2014 through March 11, 2014 and $100.2 million in net drawdowns from our revolving credit facilities from January 1, 2014 through March 11, 2014, our pro forma net asset value before completion of this offering as of December 31, 2013 would have been $647.5 million or $15.50 per share. We refer to these items as the “pro forma items” in the table below.</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giving effect to the sale of shares to be sold in this offering and the concurrent private placement at the initial public offering price of $16.00 per share, the deduction of the underwriting discount and estimated expenses of this offering payable by us, and the application of the net proceeds as discussed in more detail under “Use of Proceeds,” our net asset value would have been approximately $799.8 million, or $15.41 per share. That net asset value represents an immediate dilution of $0.59 per share, or 3.7%, to new investors who purchase our common stock in the offering at the initial public offering price. The foregoing assumes no exercise of the underwriters’ option to purchase additional shares to cover over-allotments. If the underwriters’ option to purchase additional shares to cover over-allotments is exercised in full, the immediate dilution to shares sold in this offering would also be $0.59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Net asset value per share as of December 31, 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 value per share attributable to pro forma items described above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without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 value per share giving effect to this offering and the concurrent private placement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Dilution per share to new stockholders (without exercise of the underwriters’ option to purchase additional shares of our common stock to cover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over-allotments)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table summarizes, as of December 31, 2013, on the pro forma basis as described above, the total cash consideration paid to us and the average price per share paid by our existing stockholders prior to this offering and the concurrent private placement, by certain of our existing investors and our Adviser in the concurrent private placement at the initial public offering price of $16.00 per share, and by the new investors in this offering at an initial public offering price of $16.00 per share and prior to deducting the estimated underwriting discount and offering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3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Total Consideration</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Avg. Price</w:t>
            </w: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2"/>
              </w:rPr>
              <w:t>Percentage</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41,762,724</w:t>
            </w:r>
          </w:p>
        </w:tc>
        <w:tc>
          <w:tcPr>
            <w:tcW w:w="4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48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Shares to be sold in the concurrent private placement</w:t>
            </w:r>
            <w:r>
              <w:rPr>
                <w:rFonts w:ascii="Arial" w:cs="Arial" w:eastAsia="Arial" w:hAnsi="Arial"/>
                <w:sz w:val="11"/>
                <w:szCs w:val="11"/>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3,124,984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51,877,708</w:t>
            </w:r>
          </w:p>
        </w:tc>
        <w:tc>
          <w:tcPr>
            <w:tcW w:w="4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787.6</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the private placement, we will sell shares to certain existing investors, including the Adviser. See “Related-Party Transactions and Certain Relationships” and “Control Persons and Principal Stockholders” for information about the Adviser.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20" w:type="dxa"/>
            <w:vAlign w:val="bottom"/>
            <w:tcBorders>
              <w:bottom w:val="single" w:sz="8" w:color="auto"/>
            </w:tcBorders>
            <w:vMerge w:val="continue"/>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r>
              <w:rPr>
                <w:rFonts w:ascii="Arial" w:cs="Arial" w:eastAsia="Arial" w:hAnsi="Arial"/>
                <w:sz w:val="11"/>
                <w:szCs w:val="11"/>
                <w:b w:val="1"/>
                <w:bCs w:val="1"/>
                <w:color w:val="auto"/>
              </w:rPr>
              <w:t>(1)</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vMerge w:val="restart"/>
          </w:tcPr>
          <w:p>
            <w:pPr>
              <w:jc w:val="right"/>
              <w:ind w:right="1972"/>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640" w:type="dxa"/>
            <w:vAlign w:val="bottom"/>
            <w:vMerge w:val="restart"/>
          </w:tcPr>
          <w:p>
            <w:pPr>
              <w:jc w:val="right"/>
              <w:ind w:right="4562"/>
              <w:spacing w:after="0"/>
              <w:rPr>
                <w:sz w:val="20"/>
                <w:szCs w:val="20"/>
                <w:color w:val="auto"/>
              </w:rPr>
            </w:pPr>
            <w:r>
              <w:rPr>
                <w:rFonts w:ascii="Arial" w:cs="Arial" w:eastAsia="Arial" w:hAnsi="Arial"/>
                <w:sz w:val="8"/>
                <w:szCs w:val="8"/>
                <w:b w:val="1"/>
                <w:bCs w:val="1"/>
                <w:color w:val="auto"/>
                <w:w w:val="73"/>
              </w:rPr>
              <w:t>:</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7"/>
                <w:szCs w:val="7"/>
                <w:color w:val="auto"/>
              </w:rPr>
            </w:pPr>
          </w:p>
        </w:tc>
        <w:tc>
          <w:tcPr>
            <w:tcW w:w="2480" w:type="dxa"/>
            <w:vAlign w:val="bottom"/>
            <w:tcBorders>
              <w:bottom w:val="single" w:sz="8" w:color="auto"/>
            </w:tcBorders>
            <w:vMerge w:val="continue"/>
          </w:tcPr>
          <w:p>
            <w:pPr>
              <w:spacing w:after="0"/>
              <w:rPr>
                <w:sz w:val="7"/>
                <w:szCs w:val="7"/>
                <w:color w:val="auto"/>
              </w:rPr>
            </w:pPr>
          </w:p>
        </w:tc>
        <w:tc>
          <w:tcPr>
            <w:tcW w:w="46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39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7"/>
                <w:szCs w:val="7"/>
                <w:color w:val="auto"/>
              </w:rPr>
            </w:pPr>
          </w:p>
        </w:tc>
        <w:tc>
          <w:tcPr>
            <w:tcW w:w="400" w:type="dxa"/>
            <w:vAlign w:val="bottom"/>
            <w:vMerge w:val="restart"/>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480" w:type="dxa"/>
            <w:vAlign w:val="bottom"/>
          </w:tcPr>
          <w:p>
            <w:pPr>
              <w:spacing w:after="0"/>
              <w:rPr>
                <w:sz w:val="2"/>
                <w:szCs w:val="2"/>
                <w:color w:val="auto"/>
              </w:rPr>
            </w:pPr>
          </w:p>
        </w:tc>
        <w:tc>
          <w:tcPr>
            <w:tcW w:w="464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in millions, except per share amounts)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161.8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653.9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1,039.2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833.1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331.8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353.3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479.8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1"/>
                <w:szCs w:val="11"/>
                <w:color w:val="auto"/>
              </w:rPr>
              <w:t>(1)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 securities at amortized cost</w:t>
            </w:r>
            <w:r>
              <w:rPr>
                <w:rFonts w:ascii="Arial" w:cs="Arial" w:eastAsia="Arial" w:hAnsi="Arial"/>
                <w:sz w:val="11"/>
                <w:szCs w:val="11"/>
                <w:color w:val="auto"/>
              </w:rPr>
              <w:t>(3)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prospectus.</w:t>
      </w:r>
    </w:p>
    <w:p>
      <w:pPr>
        <w:spacing w:after="0" w:line="50"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$13.4 million, $8.9 million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$1.6 million for the years ended December 31, 2013, December 31, 2012 and December 31, 2011, respectively.</w:t>
      </w:r>
    </w:p>
    <w:p>
      <w:pPr>
        <w:spacing w:after="0" w:line="83"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2013, based on fair value, our borrowers had weighted average annual revenue of $202 million and weighted average annual EBITDA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average investment based on fair value in each of our portfolio companies was $38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 which is often referred to as “junk”).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no industry represented more than 17% of our portfolio based on fair value.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86.3% in first-lien debt investments. We carefully diligence and structure investments to include strong investor covenants. As a result, we structure investments with a view to creating opportunities for early intervention in the event of non-performance or stress. As of December 31, 2013, the credit agreements underlying our debt investments had a weighted average of 3.0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December 31, 2013, we had effective voting control in 92% of the debt investments in our portfolio by fair value, and we held an agency or lead position in 60% of our portfolio investments by fair value. We also aim for our loans to mature on a medium term, between two to six years after origination. For the year ended December 31, 2013, the weighted average term on new investment commitments in new portfolio companies was 5.0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a substantial majority of our portfolio investments were sourced through our direct or proprietary relationships.</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Based on fair value as of December 31, 2013, we had call protection on 94.4% of our debt investments, with weighted average call prices based on fair value of 106.7% for one year, 103.5% for two years and 101.4% for the third year, in each case from the date of the initial investment. Based on fair value as of December 31, 2013, 98.8% of our debt investments bore interest at floating rates, subject to interest rate floors, which we believe helps act as a portfolio-wide hedge against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securities and various loan origination and other fees. Our debt investments typically have a term of two to six years, and, based on fair value as of December 31, 2013, 98.8% bear interest at a floating rate, subject to interest rate floors.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fair value as of December 31, 2012, our portfolio consisted of 89.0% first-lien debt investments, 10.7% second-lien debt investments, and 0.3% equity investments. As of December 31, 2013 and December 31, 2012, our weighted average total yield on investments at fair value (which includes interest income and amortization of fees and discounts) was 10.4% and 10.6%, respectively, and our weighted average total yield on investments at amortized cost (which includes interest income and amortization of fees and discounts) was 10.6% and 10.7%, respectively.</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2013 and December 31, 2012, we had investments in 27 and 21 portfolio companies, respectively, with an aggregate fair value of $1,016.5 million and $653.9 million, respectively.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the year ended December 31, 2011, we made new investment commitments of $197.2 million in seven new portfolio companies and had no repayments.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investment activity for the years ended December 31, 2013, 2012 and 2011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1,071.7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714.2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603.9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680.6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161.0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193.1</w:t>
            </w:r>
          </w:p>
        </w:tc>
        <w:tc>
          <w:tcPr>
            <w:tcW w:w="5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term for new investment commitments 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new portfolio companies (in years)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 floating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investment commitments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on investments sold or paid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down</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our investments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December 31, 2013</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December 31, 2013 and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weighted average yields and interest rates of our debt investments at fair value as of December 31, 2013 and December 31,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2"/>
              </w:rPr>
              <w:t>December 31, 2012</w:t>
            </w: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of debt and income producing securities</w:t>
            </w:r>
          </w:p>
        </w:tc>
        <w:tc>
          <w:tcPr>
            <w:tcW w:w="8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 producing securities</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 investments</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5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ind w:left="460"/>
              <w:spacing w:after="0"/>
              <w:rPr>
                <w:sz w:val="20"/>
                <w:szCs w:val="20"/>
                <w:color w:val="auto"/>
              </w:rPr>
            </w:pPr>
            <w:r>
              <w:rPr>
                <w:rFonts w:ascii="Arial" w:cs="Arial" w:eastAsia="Arial" w:hAnsi="Arial"/>
                <w:sz w:val="18"/>
                <w:szCs w:val="18"/>
                <w:color w:val="auto"/>
                <w:w w:val="99"/>
              </w:rPr>
              <w:t>Operating results for the years ended December 31, 2013, 2012 and 2011 were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our portfolio. The average size of our total investment portfolio at fair value increased from $57 million during the year ended December 31, 2011 to $417 million during the year ended December 31, 2012. In addition, prepayment fees increased from zero for the year ended December 31, 2011 to $0.9 million for the year ended December 31, 2012. These prepayment fees resulted from full paydowns on two portfolio investments. There was no dividend income in the year ended December 31, 2011. Dividend income was $1.2 million for the year ended December 31, 2012 due to the receipt of a dividend in the fourth quarter of 2012 from a non-controlled, affiliated investment. There was no other income in the year ended December 31, 2011. Other income for the year ended December 31, 2012 was $0.7 million primarily due to higher amendment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2013, 2012 and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2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gridSpan w:val="3"/>
          </w:tcPr>
          <w:p>
            <w:pPr>
              <w:jc w:val="center"/>
              <w:ind w:left="344"/>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Initial organization</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Incentive fees related to Pre-incentive fee net investment income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Professional fees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20" w:type="dxa"/>
            <w:vAlign w:val="bottom"/>
            <w:vMerge w:val="restart"/>
          </w:tcPr>
          <w:p>
            <w:pPr>
              <w:jc w:val="right"/>
              <w:ind w:right="3432"/>
              <w:spacing w:after="0"/>
              <w:rPr>
                <w:sz w:val="20"/>
                <w:szCs w:val="20"/>
                <w:color w:val="auto"/>
              </w:rPr>
            </w:pPr>
            <w:r>
              <w:rPr>
                <w:rFonts w:ascii="Arial" w:cs="Arial" w:eastAsia="Arial" w:hAnsi="Arial"/>
                <w:sz w:val="18"/>
                <w:szCs w:val="18"/>
                <w:color w:val="auto"/>
              </w:rPr>
              <w:t>66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$0.8 million for the year ended December 31, 2011 to $6.0 million for the year ended December 31, 2012. This increase was primarily due to the addition of our Revolving Credit Facility (Natixis) in May 2012 and our Revolving Credit Facility (SunTrust) in August 2012 and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 as described below.</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$1.5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each of the calendar years ended December 31, 2013 and 2012 we recorded a net expense of $0.2 million and $0.1 million, respectively,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realized gains and losses on investments during the years ended December 31, 2013, 2012 and 2011 consisted of the following (certain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have been rounded to zero):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17.6% (based on cash invested of $359 million and total proceeds from these exited investments of $405 million). Eighty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capital invested for an investment is the sum of capital invested and realized losses on hedging activity, with respect to the investment.</w:t>
      </w:r>
    </w:p>
    <w:p>
      <w:pPr>
        <w:spacing w:after="0" w:line="113" w:lineRule="exact"/>
        <w:rPr>
          <w:rFonts w:ascii="Arial" w:cs="Arial" w:eastAsia="Arial" w:hAnsi="Arial"/>
          <w:sz w:val="16"/>
          <w:szCs w:val="16"/>
          <w:color w:val="auto"/>
        </w:rPr>
      </w:pPr>
    </w:p>
    <w:p>
      <w:pPr>
        <w:ind w:left="1480" w:right="48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realized returns from an investment is the sum of realized returns and realized gains on hedging activity, with respect to the investment.</w:t>
      </w:r>
    </w:p>
    <w:p>
      <w:pPr>
        <w:spacing w:after="0" w:line="113"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w:t>
      </w:r>
    </w:p>
    <w:p>
      <w:pPr>
        <w:spacing w:after="0" w:line="25" w:lineRule="exact"/>
        <w:rPr>
          <w:rFonts w:ascii="Arial" w:cs="Arial" w:eastAsia="Arial" w:hAnsi="Arial"/>
          <w:sz w:val="16"/>
          <w:szCs w:val="16"/>
          <w:color w:val="auto"/>
        </w:rPr>
      </w:pPr>
    </w:p>
    <w:p>
      <w:pPr>
        <w:ind w:left="1480" w:right="6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Realized gains on hedging activity, with respect to an investment, represents any inception-to-date realized gains on foreign currency forward contracts allocable to the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net change in unrealized gains (losses) on our investment portfolio, including losses on foreign currency forward contracts,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020" w:type="dxa"/>
            <w:vAlign w:val="bottom"/>
            <w:vMerge w:val="restart"/>
          </w:tcPr>
          <w:p>
            <w:pPr>
              <w:jc w:val="right"/>
              <w:ind w:right="2372"/>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net change in unrealized gains (losses) for the years ended December 31, 2013,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Centaur, LLC.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eResearch Technology,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Global Geophysical</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Infogix,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Kewill,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Metalico,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Network Merchants,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 Group,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Soho House Bond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SRS Software, LLC.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Vivint, Inc.</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company investments, excluding unrealized losses on foreign currency forward contracts.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year ended December 31, 2012, we had $9.2 million in unrealized appreciation on 13 portfolio company investments, which was partially offset by $2.0 million in unrealized depreciation on five portfolio company investments.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2013, 2012 and 2011, our asset coverage ratio was 232.9%, 244.6% and 211.7%, respectively.</w:t>
      </w:r>
    </w:p>
    <w:p>
      <w:pPr>
        <w:spacing w:after="0" w:line="14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and cash equivalents as of December 31, 2013, taken together with cash available under our credit facilities and proceeds from this offering, is expected to be sufficient for our investing activities and to conduct our operations in the near term. On February 27, 2014, we terminated the Revolving Credit Facility (DBTCA), effective March 4, 2014. The outstanding balance under the Revolving Credit Facility (DBTCA) was paid down prior to terminating the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2013, we had $6.3 million of restricted cash in our wholly owned subsidiary TPG SL SPV, an increase of $2.0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December 31, 2013, we have drawn down a total of $0.5 billion of capital and issued 34.7 million shares, excluding equity and shares issued through our dividend reinvestment plan. As of December 31, 2013, $1.0 billion of capital commitments remained unfunded.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2013, 2012 and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This capital drawdown notice is not reflected in the number of shares issued for the year ended December 31, 2013 in the prior paragraph or the consolidated financial statements for the year ended December 31, 2013.</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drawdowns noted above, during the years ended December 31, 2013 and 2012, we issued 1,730,042 and 613,020 shares of our common stock, respectively, to investors who have not opted out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dividend reinvestment plan for proceeds of $26.4 million and $9.2 million, respectively. We did not issue any shares to investors through our dividend reinvestment plan for the year ended December 31, 2011. On February 13, 2014, we issued 502,200 shares of our common stock through our dividend reinvestment plan for $7.8 million, which is not reflected in the number of shares issued for the year ended December 31, 2013 in this section or the consolidated financial statements for the year ended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ind w:left="460" w:right="1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intend to use the net proceeds of this offering (assuming no exercise of the underwriters’ over-allotment option) and the concurrent private placement, together with our cash and cash equivalents, to pay down approximately $152.3 million of outstanding indebtedness under the Revolving Credit Facility (SunTrust). See “Use of Proceeds.”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(SunTrust) to increase the size of the facility to $581.3 million.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2013, 2012 and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certain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(SunTrust). The second amended and restated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of our domestic subsidiaries that are formed or acquired by us in the future. The Revolving Credit Facility (SunTrust)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a credit and security agreement with Natixis, New York Branch. Also on May 8, 2012, we contributed certain investments to TPG SL SPV pursuant to the terms of a Master Sale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our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On September 28, 2011, we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which we refer to as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July 2013, we reduced the capacity of the Revolving Credit Facility (DBTCA) from $250 million to $100 million. The elective reduction did not have a significant effect on our liquidity as (i) our borrowings are limited by the 1940 Act’s asset coverage requirement; and (ii) there was adequate availability under our other credit facilities.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November 5, 2013, we entered into an agreement to amend the Revolving Credit Facility (DBTCA) by extending the stated maturity date from December 22, 2013 to June 30, 2014. The Revolving Credit Facility (DBTCA) would have matured upon the earlier of June 30, 2014 and 25 days prior to this offering. On February 27, 2014, we terminated the Revolving Credit Facility (DBTCA), effective March 4, 2014. The outstanding balance under the Revolving Credit Facility (DBTCA) was paid down prior to terminating the facility. We did not incur any fees or penalties in conjunction with the termination.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our existing investors.</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We could have elected either the LIBOR or prime rate at the time of draw-down, and loans could have been converted from one rate to another at any time, subject to certain conditions. We also paid a fee of 0.375% on undrawn amounts of the Revolving Credit Facility (DBTCA). In respect of each letter of credit, we paid a fee and a fixed rate while the letter of credit was outstanding.</w:t>
      </w:r>
    </w:p>
    <w:p>
      <w:pPr>
        <w:spacing w:after="0" w:line="11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us and our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2013, 2012 and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2013</w:t>
            </w:r>
          </w:p>
        </w:tc>
        <w:tc>
          <w:tcPr>
            <w:tcW w:w="1140" w:type="dxa"/>
            <w:vAlign w:val="bottom"/>
          </w:tcPr>
          <w:p>
            <w:pPr>
              <w:spacing w:after="0"/>
              <w:rPr>
                <w:sz w:val="14"/>
                <w:szCs w:val="14"/>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December 31, 2012</w:t>
            </w:r>
          </w:p>
        </w:tc>
        <w:tc>
          <w:tcPr>
            <w:tcW w:w="5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1660" w:type="dxa"/>
            <w:vAlign w:val="bottom"/>
            <w:gridSpan w:val="2"/>
          </w:tcPr>
          <w:p>
            <w:pPr>
              <w:jc w:val="right"/>
              <w:ind w:right="299"/>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2013, 2012 and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2013, 2012 and 2011, we had outstanding commitments to fund investments totaling $55.0 million, $32.0 million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32.0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32.0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$ 77.8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Adviser’s agreement to purchase approximately $3.1 million of our common stock in the concurrent private placement at the initial public offering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interest rate risk and currency risk. See “—Results of Operations—Hedging.”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annual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98.8% of our debt investments at fair value in our portfolio bore interest at floating rates, subject to interest rate floors.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that our consolidated balance sheet as of December 31, 2013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Basis Point Change</w:t>
            </w:r>
          </w:p>
        </w:tc>
        <w:tc>
          <w:tcPr>
            <w:tcW w:w="1700" w:type="dxa"/>
            <w:vAlign w:val="bottom"/>
          </w:tcPr>
          <w:p>
            <w:pPr>
              <w:spacing w:after="0"/>
              <w:rPr>
                <w:sz w:val="14"/>
                <w:szCs w:val="14"/>
                <w:color w:val="auto"/>
              </w:rPr>
            </w:pPr>
          </w:p>
        </w:tc>
        <w:tc>
          <w:tcPr>
            <w:tcW w:w="19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Income</w:t>
            </w:r>
          </w:p>
        </w:tc>
        <w:tc>
          <w:tcPr>
            <w:tcW w:w="14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Expense</w:t>
            </w:r>
          </w:p>
        </w:tc>
        <w:tc>
          <w:tcPr>
            <w:tcW w:w="460" w:type="dxa"/>
            <w:vAlign w:val="bottom"/>
          </w:tcPr>
          <w:p>
            <w:pPr>
              <w:spacing w:after="0"/>
              <w:rPr>
                <w:sz w:val="14"/>
                <w:szCs w:val="14"/>
                <w:color w:val="auto"/>
              </w:rPr>
            </w:pPr>
          </w:p>
        </w:tc>
        <w:tc>
          <w:tcPr>
            <w:tcW w:w="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6 to our consolidated financial statements included elsewhere in this prospectus for more information on the fair value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The report of our independent registered public accounting firm, KPMG LLP, on the senior securities table as of December 31, 2013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2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28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$2,329.5</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$2,445.9</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 As of December 31, 2013 and 2012, we had debt and equity investments in 27 and 21 portfolio companies, respectively. As of December 31, 2013, our average investment in each of our portfolio companies was $37.6 million.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$50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in the aggregate of our common stock during the period beginning after four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the preliminary prospectus, our Adviser owned 6.2% of our common stock and had committed $100 million in equity capital under a subscription agreement like those entered into with our existing investors. Immediately after the concurrent private placement and this offering, the Adviser will hold 5.4% of our common stock. See “Management,” “Related-Party Transactions and Certain Relationships” and “Control Persons and Principal Stockholders.”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114935</wp:posOffset>
            </wp:positionV>
            <wp:extent cx="2975610" cy="2135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756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139700</wp:posOffset>
            </wp:positionV>
            <wp:extent cx="2915920" cy="2032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1592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40"/>
        <w:spacing w:after="0"/>
        <w:rPr>
          <w:sz w:val="20"/>
          <w:szCs w:val="20"/>
          <w:color w:val="auto"/>
        </w:rPr>
      </w:pPr>
      <w:r>
        <w:rPr>
          <w:rFonts w:ascii="Arial" w:cs="Arial" w:eastAsia="Arial" w:hAnsi="Arial"/>
          <w:sz w:val="14"/>
          <w:szCs w:val="14"/>
          <w:i w:val="1"/>
          <w:iCs w:val="1"/>
          <w:color w:val="auto"/>
        </w:rPr>
        <w:t>Source: Preqin as of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54"/>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1" w:lineRule="exact"/>
        <w:rPr>
          <w:rFonts w:ascii="Arial" w:cs="Arial" w:eastAsia="Arial" w:hAnsi="Arial"/>
          <w:sz w:val="21"/>
          <w:szCs w:val="21"/>
          <w:color w:val="auto"/>
          <w:vertAlign w:val="superscript"/>
        </w:rPr>
      </w:pPr>
    </w:p>
    <w:p>
      <w:pPr>
        <w:ind w:left="1480" w:right="180" w:hanging="446"/>
        <w:spacing w:after="0" w:line="277" w:lineRule="auto"/>
        <w:tabs>
          <w:tab w:leader="none" w:pos="1480" w:val="left"/>
        </w:tabs>
        <w:numPr>
          <w:ilvl w:val="1"/>
          <w:numId w:val="54"/>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46" w:lineRule="exact"/>
        <w:rPr>
          <w:rFonts w:ascii="Arial" w:cs="Arial" w:eastAsia="Arial" w:hAnsi="Arial"/>
          <w:sz w:val="20"/>
          <w:szCs w:val="20"/>
          <w:color w:val="auto"/>
          <w:vertAlign w:val="superscript"/>
        </w:rPr>
      </w:pPr>
    </w:p>
    <w:p>
      <w:pPr>
        <w:jc w:val="both"/>
        <w:ind w:left="1480" w:right="460" w:hanging="446"/>
        <w:spacing w:after="0" w:line="272" w:lineRule="auto"/>
        <w:tabs>
          <w:tab w:leader="none" w:pos="1480" w:val="left"/>
        </w:tabs>
        <w:numPr>
          <w:ilvl w:val="1"/>
          <w:numId w:val="54"/>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1" w:lineRule="exact"/>
        <w:rPr>
          <w:rFonts w:ascii="Arial" w:cs="Arial" w:eastAsia="Arial" w:hAnsi="Arial"/>
          <w:sz w:val="20"/>
          <w:szCs w:val="20"/>
          <w:color w:val="auto"/>
          <w:vertAlign w:val="superscript"/>
        </w:rPr>
      </w:pPr>
    </w:p>
    <w:p>
      <w:pPr>
        <w:ind w:left="1480" w:right="20" w:hanging="446"/>
        <w:spacing w:after="0" w:line="235" w:lineRule="auto"/>
        <w:tabs>
          <w:tab w:leader="none" w:pos="1480" w:val="left"/>
        </w:tabs>
        <w:numPr>
          <w:ilvl w:val="1"/>
          <w:numId w:val="54"/>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76" w:lineRule="exact"/>
        <w:rPr>
          <w:rFonts w:ascii="Arial" w:cs="Arial" w:eastAsia="Arial" w:hAnsi="Arial"/>
          <w:sz w:val="22"/>
          <w:szCs w:val="22"/>
          <w:color w:val="auto"/>
          <w:vertAlign w:val="superscript"/>
        </w:rPr>
      </w:pPr>
    </w:p>
    <w:p>
      <w:pPr>
        <w:ind w:left="900" w:right="12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Investment performance ratings are accurate only as of that date and may change due to subsequent developments relating to a portfolio company’s business or financial condition, market conditions or developments, and other factors.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4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 at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in millions)</w:t>
            </w:r>
          </w:p>
        </w:tc>
        <w:tc>
          <w:tcPr>
            <w:tcW w:w="2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jc w:val="center"/>
              <w:ind w:left="1452"/>
              <w:spacing w:after="0"/>
              <w:rPr>
                <w:sz w:val="20"/>
                <w:szCs w:val="20"/>
                <w:color w:val="auto"/>
              </w:rPr>
            </w:pPr>
            <w:r>
              <w:rPr>
                <w:rFonts w:ascii="Arial" w:cs="Arial" w:eastAsia="Arial" w:hAnsi="Arial"/>
                <w:sz w:val="18"/>
                <w:szCs w:val="18"/>
                <w:color w:val="auto"/>
                <w:w w:val="79"/>
              </w:rPr>
              <w:t>1</w:t>
            </w:r>
          </w:p>
        </w:tc>
        <w:tc>
          <w:tcPr>
            <w:tcW w:w="250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859.4</w:t>
            </w:r>
          </w:p>
        </w:tc>
        <w:tc>
          <w:tcPr>
            <w:tcW w:w="102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580" w:type="dxa"/>
            <w:vAlign w:val="bottom"/>
            <w:gridSpan w:val="3"/>
          </w:tcPr>
          <w:p>
            <w:pPr>
              <w:ind w:left="24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that is subject to the first-priority security interest.</w:t>
      </w:r>
    </w:p>
    <w:p>
      <w:pPr>
        <w:spacing w:after="0" w:line="38" w:lineRule="exact"/>
        <w:rPr>
          <w:rFonts w:ascii="Arial" w:cs="Arial" w:eastAsia="Arial" w:hAnsi="Arial"/>
          <w:sz w:val="18"/>
          <w:szCs w:val="18"/>
          <w:color w:val="auto"/>
        </w:rPr>
      </w:pPr>
    </w:p>
    <w:p>
      <w:pPr>
        <w:ind w:left="1480" w:hanging="446"/>
        <w:spacing w:after="0" w:line="296"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20" w:lineRule="exact"/>
        <w:rPr>
          <w:sz w:val="20"/>
          <w:szCs w:val="20"/>
          <w:color w:val="auto"/>
        </w:rPr>
      </w:pPr>
    </w:p>
    <w:p>
      <w:pPr>
        <w:ind w:left="1480" w:right="100" w:hanging="446"/>
        <w:spacing w:after="0" w:line="310"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and December 31, 2012, we had made investments with an aggregate fair value of $1,016.5 million and $653.9 million, respectively, in 27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877.2</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137.5</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w:t>
            </w:r>
            <w:r>
              <w:rPr>
                <w:rFonts w:ascii="Arial" w:cs="Arial" w:eastAsia="Arial" w:hAnsi="Arial"/>
                <w:sz w:val="18"/>
                <w:szCs w:val="18"/>
                <w:u w:val="single" w:color="auto"/>
                <w:color w:val="auto"/>
              </w:rPr>
              <w:t>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w:t>
            </w:r>
            <w:r>
              <w:rPr>
                <w:rFonts w:ascii="Arial" w:cs="Arial" w:eastAsia="Arial" w:hAnsi="Arial"/>
                <w:sz w:val="18"/>
                <w:szCs w:val="18"/>
                <w:u w:val="single" w:color="auto"/>
                <w:color w:val="auto"/>
                <w:w w:val="97"/>
              </w:rPr>
              <w:t>9</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6.1%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16.5%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Education</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Financial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Metals and mining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60" w:type="dxa"/>
            <w:vAlign w:val="bottom"/>
            <w:vMerge w:val="restart"/>
          </w:tcPr>
          <w:p>
            <w:pPr>
              <w:jc w:val="right"/>
              <w:ind w:right="453"/>
              <w:spacing w:after="0"/>
              <w:rPr>
                <w:sz w:val="20"/>
                <w:szCs w:val="20"/>
                <w:color w:val="auto"/>
              </w:rPr>
            </w:pPr>
            <w:r>
              <w:rPr>
                <w:rFonts w:ascii="Arial" w:cs="Arial" w:eastAsia="Arial" w:hAnsi="Arial"/>
                <w:sz w:val="18"/>
                <w:szCs w:val="18"/>
                <w:color w:val="auto"/>
              </w:rPr>
              <w:t>97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14.2%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South</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19.7%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19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9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Portfolio Company Commitments</w:t>
            </w:r>
          </w:p>
        </w:tc>
        <w:tc>
          <w:tcPr>
            <w:tcW w:w="13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of December 31, 2013 and 2012, we had $1.5 billion and $1.4 billion, respectively, in total capital commitments from investors ($1.0 billion and $0.9 billion unfunded, respectively), of which $117.1 million and $114.1 million, respectively, is from the Adviser and its affiliates ($76.7 million and $76.6 million unfunded, respectively). The obligations under these capital commitments will terminate upon completion of this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December 31,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December 31, 2013,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Investment</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8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79"/>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3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(Par amounts 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($53,452</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11/2017)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12/23/2011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$ 52,828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$ 53,720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($36,733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6/2017)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($4,611 par, due 6/2017)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($21,553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12/2016)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12/31/2012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($44,394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8/2015)</w:t>
            </w: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45,837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($67,933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4/2018)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66,405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 xml:space="preserve">Aptean Holdings, Inc. f/k/a Consona Holdings, Inc. </w:t>
            </w:r>
            <w:r>
              <w:rPr>
                <w:rFonts w:ascii="Arial" w:cs="Arial" w:eastAsia="Arial" w:hAnsi="Arial"/>
                <w:sz w:val="11"/>
                <w:szCs w:val="11"/>
                <w:color w:val="auto"/>
                <w:w w:val="97"/>
              </w:rPr>
              <w:t>(3)(4)</w:t>
            </w:r>
            <w:r>
              <w:rPr>
                <w:rFonts w:ascii="Arial" w:cs="Arial" w:eastAsia="Arial" w:hAnsi="Arial"/>
                <w:sz w:val="18"/>
                <w:szCs w:val="18"/>
                <w:color w:val="auto"/>
                <w:w w:val="97"/>
              </w:rPr>
              <w:t xml:space="preserve">  First-lien loan ($29,625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8/2018)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29,477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($42,500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12/2019)</w:t>
            </w: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12/18/2013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41,437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($29,659</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Second-lien loan ($47,430</w:t>
            </w: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3/2017)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PIK)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51,817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($46,560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2/2018)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47,142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($29,625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2240"/>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Investment</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5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($42,479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($76,337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118,136</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($71,634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($35,625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($2,000 par, 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($14,813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6/2018)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loan ($10,000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par, due 2/2020)</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($34,886 par,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3/2017)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bond (GBP</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7,000 par, due 10/2018)</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($34,737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loan ($7,483 par,</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11/2018)</w:t>
            </w: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Second-lien loan ($12,000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par, due 5/2019)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($31,888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6/2017)</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($850 par, due 6/2017)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w w:val="86"/>
              </w:rPr>
              <w:t>101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Initial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340" w:type="dxa"/>
            <w:vAlign w:val="bottom"/>
            <w:gridSpan w:val="2"/>
            <w:vMerge w:val="restart"/>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1"/>
        </w:trPr>
        <w:tc>
          <w:tcPr>
            <w:tcW w:w="760" w:type="dxa"/>
            <w:vAlign w:val="bottom"/>
            <w:tcBorders>
              <w:bottom w:val="single" w:sz="8" w:color="auto"/>
            </w:tcBorders>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(Par amounts in thousands)</w:t>
            </w:r>
          </w:p>
        </w:tc>
        <w:tc>
          <w:tcPr>
            <w:tcW w:w="2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Interest</w:t>
            </w: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3"/>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Manufacturing</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Jeeves Information</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(SEK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177,161 par, due 6/2018)</w:t>
            </w: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($35,650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11/2019)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($19,936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10/2016)</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($40,883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9/2016)</w:t>
            </w:r>
          </w:p>
        </w:tc>
        <w:tc>
          <w:tcPr>
            <w:tcW w:w="8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6"/>
              </w:rPr>
              <w:t>Second-lien loan ($52,500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Network Merchants, Inc</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Non-Voting Preferred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Units (774,099 units)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w w:val="95"/>
              </w:rPr>
              <w:t>Healthcare and pharmaceuticals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SRS Parent Corp.</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Common Shares Class 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(1,980 shares)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Common Shares Class B</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(2,953,020 shares)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3"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December 31, 2013, we do not “control” any of the portfolio companies nor are any of our portfolio companies considered to be “affiliates” (see Note 4 to our consolidated financial statements). Certain portfolio company investments are subject to contractual restrictions on sales.</w:t>
      </w:r>
    </w:p>
    <w:p>
      <w:pPr>
        <w:ind w:left="460" w:right="50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20" w:hanging="452"/>
        <w:spacing w:after="0" w:line="323"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us and is pledged as collateral supporting the amounts outstanding under the Revolving Credit Facility (Natixis) (see Note 7 to our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120" w:hanging="452"/>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table, we may be entitled to receive additional interest as a result of an arrangement with other lenders in the syndication.</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connection with this IPO, we are forming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Bankruptcy Institute. He holds a degree in Finance from Rochester Institute of Technology. Mr. Fishman’s extensive experience in the credit markets provides the Board with valuable industry-specific knowledge.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7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75"/>
              </w:rPr>
              <w:t>Age</w:t>
            </w:r>
          </w:p>
        </w:tc>
        <w:tc>
          <w:tcPr>
            <w:tcW w:w="322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46</w:t>
            </w:r>
          </w:p>
        </w:tc>
        <w:tc>
          <w:tcPr>
            <w:tcW w:w="5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Meagher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Chief Compliance 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Vice President and Secretary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Alan Kirshenbaum </w:t>
      </w:r>
      <w:r>
        <w:rPr>
          <w:rFonts w:ascii="Arial" w:cs="Arial" w:eastAsia="Arial" w:hAnsi="Arial"/>
          <w:sz w:val="16"/>
          <w:szCs w:val="16"/>
          <w:color w:val="auto"/>
        </w:rPr>
        <w:t>is Chief Financial Officer of TSL. Prior to being named Chief Financial Officer, Mr. Kirshenbaum was a Vice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1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Justin Meagher </w:t>
      </w:r>
      <w:r>
        <w:rPr>
          <w:rFonts w:ascii="Arial" w:cs="Arial" w:eastAsia="Arial" w:hAnsi="Arial"/>
          <w:sz w:val="18"/>
          <w:szCs w:val="18"/>
          <w:color w:val="auto"/>
        </w:rPr>
        <w:t>is the Chief Compliance Officer of TSL. Since 2013, he has been a Principal and Deputy Chief Compliance Officer of TSSP. From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2013, Mr. Meagher held multiple senior legal and compliance positions at Lehman Brothers Holdings, Inc. following its bankruptcy filing. During 2008, 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pacing w:after="0" w:line="1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and Secretary of TSL. Since 2012, Ms. Mello has been the General Counsel and Principal of TSSP and,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TSSP, she was Deputy General Counsel of TPG. Prior to joining TPG, she was a senior attorney at the law firm of Cleary Gottlieb Steen &amp; Hamilton LLP.</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Ms. Mello received her J.D. from Northwestern University School of Law and her B.S. from the Edmund A. Walsh School of Foreign Service at Georgetown University.</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 He is also a TPG and TSSP Partner and has been the Global Chief Financial Officer and Chief Risk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TSSP since 2013. Prior to joining TSSP, Mr. Pluss was a Managing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3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Board has met once in 2014,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the NYSE corporate governance rules and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Audit Committee has the sole authority to approve the engagement, and review the performance of, our independent registered public accounting firm.</w:t>
      </w:r>
    </w:p>
    <w:p>
      <w:pPr>
        <w:spacing w:after="0" w:line="2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twice in 2014, held eight meetings in 2013 and acted on various occasions by written consent.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Messrs. Easterly, Fishman and Tanemura are members of the IPO Committee. Mr. Easterly serves as Chairman. The IPO Committee has held one meeting in 2014 and one meeting in 2013.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Resources”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TSL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$98,000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the preliminary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2,799,517 shares, or 5.4%, of common stock. See “Related-Party Transactions and Certain Relationships” and “Control Persons and Principal Stockholders.”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also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91"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6" w:lineRule="exact"/>
        <w:rPr>
          <w:sz w:val="20"/>
          <w:szCs w:val="20"/>
          <w:color w:val="auto"/>
        </w:rPr>
      </w:pPr>
    </w:p>
    <w:p>
      <w:pPr>
        <w:ind w:left="90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5"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the IPO occurs for the same reason.</w:t>
      </w:r>
    </w:p>
    <w:p>
      <w:pPr>
        <w:spacing w:after="0" w:line="12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 The Adviser does not intend to continue forgoing its right to this fee following the completion of this IPO.</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9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Following the IPO, the base against which the hurdle rate is calculated will be determined as described above in this section.</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60"/>
          </w:cols>
          <w:pgMar w:left="240" w:top="459" w:right="3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2,604,620 shares, or 6.2%, of our common stock as of the date of the preliminary prospectus. The Adviser has agreed to purchase approximately $3.1 million of our common stock in the concurrent private placement. Immediately after the private placement and this offering, the Adviser will hold 2,799,517 shares, or 5.4%, of our common stock.</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Adviser has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The 10b5-1 Plan will require Goldman, Sachs &amp; Co. to purchase for the 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 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meaning the shares purchased will be locked-up until 365 days after the date of this prospectus. Under the 10b5-1 Plan, Goldman, Sachs &amp; Co. will increase the volume of purchases made as the price of our common stock declines, subject to volume restrictions. See “Shares Eligible for Future Sale—Lock-Up Agreements.”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members of the Adviser’s senior management and Investment Review Committee are and will continue to be active in other investment funds affiliated with TSSP and TPG that pursue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Immediately prior to the completion of this offering and the concurrent private placement there will be 41,762,724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88"/>
              </w:rPr>
              <w:t>Percentage of Common Stock Outstanding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Immediately Prior to This</w:t>
            </w:r>
          </w:p>
        </w:tc>
        <w:tc>
          <w:tcPr>
            <w:tcW w:w="1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Immediately After This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21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21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Placement</w:t>
            </w:r>
          </w:p>
        </w:tc>
        <w:tc>
          <w:tcPr>
            <w:tcW w:w="2100" w:type="dxa"/>
            <w:vAlign w:val="bottom"/>
            <w:gridSpan w:val="4"/>
          </w:tcPr>
          <w:p>
            <w:pPr>
              <w:jc w:val="center"/>
              <w:ind w:right="200"/>
              <w:spacing w:after="0" w:line="176" w:lineRule="exact"/>
              <w:rPr>
                <w:sz w:val="20"/>
                <w:szCs w:val="20"/>
                <w:color w:val="auto"/>
              </w:rPr>
            </w:pPr>
            <w:r>
              <w:rPr>
                <w:rFonts w:ascii="Arial" w:cs="Arial" w:eastAsia="Arial" w:hAnsi="Arial"/>
                <w:sz w:val="13"/>
                <w:szCs w:val="13"/>
                <w:b w:val="1"/>
                <w:bCs w:val="1"/>
                <w:color w:val="auto"/>
                <w:w w:val="90"/>
              </w:rPr>
              <w:t>Placement</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3220" w:type="dxa"/>
            <w:vAlign w:val="bottom"/>
            <w:vMerge w:val="restart"/>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Type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1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Ownership</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Owned</w:t>
            </w:r>
          </w:p>
        </w:tc>
        <w:tc>
          <w:tcPr>
            <w:tcW w:w="380" w:type="dxa"/>
            <w:vAlign w:val="bottom"/>
          </w:tcPr>
          <w:p>
            <w:pPr>
              <w:spacing w:after="0"/>
              <w:rPr>
                <w:sz w:val="14"/>
                <w:szCs w:val="14"/>
                <w:color w:val="auto"/>
              </w:rPr>
            </w:pPr>
          </w:p>
        </w:tc>
        <w:tc>
          <w:tcPr>
            <w:tcW w:w="12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2"/>
              </w:rPr>
              <w:t>Percentage</w:t>
            </w:r>
          </w:p>
        </w:tc>
        <w:tc>
          <w:tcPr>
            <w:tcW w:w="12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90"/>
        </w:trPr>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(2)</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6,995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(3)</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33,834</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36,362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Richard Higginbotham</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John Ross</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Ronald Tanemura</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25,491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31,091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(4)</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4,181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1"/>
                <w:szCs w:val="11"/>
                <w:color w:val="auto"/>
              </w:rPr>
              <w:t>(5)(6)</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2,690,673</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2,897,520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Funds</w:t>
            </w:r>
            <w:r>
              <w:rPr>
                <w:rFonts w:ascii="Arial" w:cs="Arial" w:eastAsia="Arial" w:hAnsi="Arial"/>
                <w:sz w:val="11"/>
                <w:szCs w:val="11"/>
                <w:color w:val="auto"/>
              </w:rPr>
              <w:t>(7)</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6,028,765</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7,102,217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(8)</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5,994,646</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5,994,646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(9)</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3,911,472</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3,911,472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(6)</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3,040,032</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3,234,929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(10)</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3,013,977</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3,013,977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(11)</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3,000,158</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3,571,124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(12)</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2,664,184</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3,178,051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(13)</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2,218,555</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2,218,555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16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Assumes the issuance of (i) 3,124,984 shares in connection with the private placement and (ii) 7,000,000 shares offered by this prospectus (excluding any shares to be sold pursuant to the underwriters’ over-allotment option).</w:t>
      </w:r>
    </w:p>
    <w:p>
      <w:pPr>
        <w:ind w:left="460" w:right="320" w:hanging="452"/>
        <w:spacing w:after="0" w:line="28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5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 1933 Act.</w:t>
      </w:r>
    </w:p>
    <w:p>
      <w:pPr>
        <w:spacing w:after="0" w:line="32"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2,799,517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35"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Messrs. Bonderman and Coulter are officers and sole stockholders of each of Tarrant Capital and Group Advisors. As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3"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shares owned by the State of New Jersey Common Pension Fund B and the State of New Jersey Common Pension Fund E. The address of the State of New Jersey Common Pension Fund B and the State of New Jersey Common Pension Fund E is New Jersey Division of Investment 50 West State Street, 9th Floor Trenton, NJ 08608.</w:t>
      </w:r>
    </w:p>
    <w:p>
      <w:pPr>
        <w:ind w:left="460" w:hanging="452"/>
        <w:spacing w:after="0" w:line="281"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 and other information known to us.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December 31, 2013, multiplied by our net asset value per share as of December 31,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2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will set up an account for shares acquired through the plan for each stockholder who has not elected to receive cash dividends or distributions in cash and hold the shares in non-certificated form.</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 – TPG Specialty Lending, Box 5493, Boston, Massachusetts, 02206-5433.</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us and to an investment in shares of our common stock. This summary also includes a description of our distribution policy and certain risks related thereto.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3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unearned income Medicare contribution tax pursuant to the Health Care and Education Reconciliation Act of 2010.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after December 31, 2013 may be eligible for look-through tax treatment if Congress extends certain rules to apply to such taxable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0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w:t>
      </w:r>
      <w:r>
        <w:rPr>
          <w:rFonts w:ascii="Arial" w:cs="Arial" w:eastAsia="Arial" w:hAnsi="Arial"/>
          <w:sz w:val="16"/>
          <w:szCs w:val="16"/>
          <w:b w:val="1"/>
          <w:bCs w:val="1"/>
          <w:color w:val="auto"/>
        </w:rPr>
        <w:t>We cannot assure you that Congress will enact an extension or that any such</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will apply to all dividends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1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our certificate of incorporation, which was adopted on March 8, 2011 and amended on March 10, 2014, our authorized capital stock consists of 400,000,000 shares of common stock, par value $0.01 per share, of which 51,887,708 shares will be outstanding after giving effect to this offering and the concurrent private placement, and 100,000,000 shares of preferred stock, par value $0.01 per share, of which no shares are outstanding as of the date of this prospectus.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common stock has been approved for listing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Immediately prior to this offering and our concurrent private placement, our only securities outstanding were 41,762,724 shares of our common stock, as adjusted to reflect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March 11,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41,762,724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 date, we have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As of the date of this prospectus, we have drawn $582.5 million of these capital commitments,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$50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will no longer apply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election of directors, voting together as a single class, to amend certain specified provisions of the certificate relating to our Board, limitation of liability, indemnification procedures, and amendments to our certificate of incorporation.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2013 and 2012, our asset coverage was 232.9% and 244.6%, respectively. Following this IPO and the repayment of indebtedness as contemplated under “Use of Proceeds,” and based on the value of our total assets as of December 31, 2013 after giving effect to the pro forma as adjusted assumptions under “Capitalization”, our asset coverage ratio would be approximately 310.4%.</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51" w:lineRule="exact"/>
        <w:rPr>
          <w:sz w:val="20"/>
          <w:szCs w:val="20"/>
          <w:color w:val="auto"/>
        </w:rPr>
      </w:pPr>
    </w:p>
    <w:p>
      <w:pPr>
        <w:ind w:left="900" w:right="4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however, when or whether the SEC will grant our exemptive relief request or that, if granted, it will be on the terms set forth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60" w:hanging="325"/>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40" w:hanging="325"/>
        <w:spacing w:after="0" w:line="306"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25" w:lineRule="exact"/>
        <w:rPr>
          <w:rFonts w:ascii="Arial" w:cs="Arial" w:eastAsia="Arial" w:hAnsi="Arial"/>
          <w:sz w:val="16"/>
          <w:szCs w:val="16"/>
          <w:color w:val="auto"/>
        </w:rPr>
      </w:pPr>
    </w:p>
    <w:p>
      <w:pPr>
        <w:ind w:left="900" w:right="180" w:hanging="325"/>
        <w:spacing w:after="0" w:line="306"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Upon completion of this offering and the concurrent private placement, 51,887,708 shares of our common stock will be issued and outstanding. If the underwriters exercise their over-allotment option to purchase additional shares in full, 52,937,708 shares of our common stock will be issued and outstanding immediately after the completion of this offering and the concurrent private placement.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this offering and the concurrent private placement, assuming no exercise of the underwriters’ option to purchase additional shares to cover over-allotments, 41,912,660 shares of our common stock outstanding will not be considered “restricted” securities under the meaning of Rule 144 and will be freely tradeable without restriction under the Securities Act (subject to any lock-up agreements as described below) and 9,975,048 shares of our common stock outstanding will be “restricted” securities under 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the Adviser, our directors, executive officers and substantially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will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case of the Company, the lock-up period in the previous paragraph is the period ending 180 days after the date of this prospectus. In the case of our Adviser, including shares of common stock beneficially owned by our executive officers through the Adviser, the lock-up period is the period ending 365 days after the date of this prospectus. In the case of our directors, executive officers and existing stockholders, the lock-up period in the previous paragraph is 180 days after the date of this prospectus for all shares of common stock held by those stockholders and 270 days after the date of this prospectus for 50% of the shares of common stock held by those stockholders. Each lock-up period is subject to extension in certain circumstances.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300" w:type="dxa"/>
            <w:vAlign w:val="bottom"/>
          </w:tcPr>
          <w:p>
            <w:pPr>
              <w:spacing w:after="0"/>
              <w:rPr>
                <w:sz w:val="15"/>
                <w:szCs w:val="15"/>
                <w:color w:val="auto"/>
              </w:rPr>
            </w:pPr>
          </w:p>
        </w:tc>
        <w:tc>
          <w:tcPr>
            <w:tcW w:w="3100" w:type="dxa"/>
            <w:vAlign w:val="bottom"/>
            <w:gridSpan w:val="3"/>
          </w:tcPr>
          <w:p>
            <w:pPr>
              <w:ind w:left="1940"/>
              <w:spacing w:after="0"/>
              <w:rPr>
                <w:sz w:val="20"/>
                <w:szCs w:val="20"/>
                <w:color w:val="auto"/>
              </w:rPr>
            </w:pPr>
            <w:r>
              <w:rPr>
                <w:rFonts w:ascii="Arial" w:cs="Arial" w:eastAsia="Arial" w:hAnsi="Arial"/>
                <w:sz w:val="14"/>
                <w:szCs w:val="14"/>
                <w:b w:val="1"/>
                <w:bCs w:val="1"/>
                <w:color w:val="auto"/>
                <w:w w:val="94"/>
              </w:rPr>
              <w:t>Number of Shares</w:t>
            </w: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9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1,450,400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60" w:type="dxa"/>
            <w:vAlign w:val="bottom"/>
          </w:tcPr>
          <w:p>
            <w:pPr>
              <w:spacing w:after="0"/>
              <w:rPr>
                <w:sz w:val="20"/>
                <w:szCs w:val="20"/>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Incorporated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1,450,400</w:t>
            </w:r>
          </w:p>
        </w:tc>
        <w:tc>
          <w:tcPr>
            <w:tcW w:w="100" w:type="dxa"/>
            <w:vAlign w:val="bottom"/>
          </w:tcPr>
          <w:p>
            <w:pPr>
              <w:spacing w:after="0"/>
              <w:rPr>
                <w:sz w:val="20"/>
                <w:szCs w:val="20"/>
                <w:color w:val="auto"/>
              </w:rPr>
            </w:pPr>
          </w:p>
        </w:tc>
      </w:tr>
      <w:tr>
        <w:trPr>
          <w:trHeight w:val="218"/>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1,450,400</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684,600</w:t>
            </w:r>
          </w:p>
        </w:tc>
        <w:tc>
          <w:tcPr>
            <w:tcW w:w="10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684,600</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684,600</w:t>
            </w:r>
          </w:p>
        </w:tc>
        <w:tc>
          <w:tcPr>
            <w:tcW w:w="10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Capital BD, LLC</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285,600</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154,700</w:t>
            </w:r>
          </w:p>
        </w:tc>
        <w:tc>
          <w:tcPr>
            <w:tcW w:w="10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9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154,700</w:t>
            </w:r>
          </w:p>
        </w:tc>
        <w:tc>
          <w:tcPr>
            <w:tcW w:w="100" w:type="dxa"/>
            <w:vAlign w:val="bottom"/>
            <w:shd w:val="clear" w:color="auto" w:fill="CCEEFF"/>
          </w:tcPr>
          <w:p>
            <w:pPr>
              <w:spacing w:after="0"/>
              <w:rPr>
                <w:sz w:val="18"/>
                <w:szCs w:val="18"/>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propose to offer the common shares directly to the public at the initial public offering price set forth on the cover page of this prospectus and to certain dealers at that price less a concession not in excess of $0.528 per share. After the initial public offering of the shares, the offering price and other selling terms may be changed by the underwriters.</w:t>
      </w:r>
    </w:p>
    <w:p>
      <w:pPr>
        <w:spacing w:after="0" w:line="140" w:lineRule="exact"/>
        <w:rPr>
          <w:sz w:val="20"/>
          <w:szCs w:val="20"/>
          <w:color w:val="auto"/>
        </w:rPr>
      </w:pPr>
    </w:p>
    <w:p>
      <w:pPr>
        <w:jc w:val="both"/>
        <w:ind w:right="100" w:firstLine="456"/>
        <w:spacing w:after="0" w:line="290" w:lineRule="auto"/>
        <w:rPr>
          <w:sz w:val="20"/>
          <w:szCs w:val="20"/>
          <w:color w:val="auto"/>
        </w:rPr>
      </w:pPr>
      <w:r>
        <w:rPr>
          <w:rFonts w:ascii="Arial" w:cs="Arial" w:eastAsia="Arial" w:hAnsi="Arial"/>
          <w:sz w:val="16"/>
          <w:szCs w:val="16"/>
          <w:color w:val="auto"/>
        </w:rPr>
        <w:t>The underwriters have an option to buy, within 30 days from the date of this prospectus, up to 1,050,000 additional shares of common stock from us to cover sales of shares by the underwriters which exceed the number of shares specified in the table above. The purchase price the underwriters will pay for the shares is the public offering price, less the sales load payable by us (and less any dividends or distributions declared by us and payable on the shares offered by this prospectus that are not payable on any shares issued pursuant to the option being exercised due to the record date for the dividend or distribution preceding that exercise).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 stock. The underwriting fee is $0.96 per share. The following table shows the per share and total underwriting discounts and commissions to be paid to the underwriters assuming both no exercise and full exercise of the underwriters’ option to purchase additional shares.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4"/>
                <w:szCs w:val="14"/>
                <w:b w:val="1"/>
                <w:bCs w:val="1"/>
                <w:color w:val="auto"/>
                <w:w w:val="99"/>
              </w:rPr>
              <w:t>Without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2440" w:type="dxa"/>
            <w:vAlign w:val="bottom"/>
          </w:tcPr>
          <w:p>
            <w:pPr>
              <w:spacing w:after="0"/>
              <w:rPr>
                <w:sz w:val="12"/>
                <w:szCs w:val="12"/>
                <w:color w:val="auto"/>
              </w:rPr>
            </w:pPr>
          </w:p>
        </w:tc>
        <w:tc>
          <w:tcPr>
            <w:tcW w:w="4480" w:type="dxa"/>
            <w:vAlign w:val="bottom"/>
            <w:gridSpan w:val="3"/>
          </w:tcPr>
          <w:p>
            <w:pPr>
              <w:ind w:left="3620"/>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7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over-allotment</w:t>
            </w:r>
          </w:p>
        </w:tc>
      </w:tr>
      <w:tr>
        <w:trPr>
          <w:trHeight w:val="161"/>
        </w:trPr>
        <w:tc>
          <w:tcPr>
            <w:tcW w:w="2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exercise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6,720,000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7,728,000</w:t>
            </w:r>
          </w:p>
        </w:tc>
        <w:tc>
          <w:tcPr>
            <w:tcW w:w="120" w:type="dxa"/>
            <w:vAlign w:val="bottom"/>
          </w:tcPr>
          <w:p>
            <w:pPr>
              <w:spacing w:after="0"/>
              <w:rPr>
                <w:sz w:val="19"/>
                <w:szCs w:val="19"/>
                <w:color w:val="auto"/>
              </w:rPr>
            </w:pPr>
          </w:p>
        </w:tc>
      </w:tr>
      <w:tr>
        <w:trPr>
          <w:trHeight w:val="356"/>
        </w:trPr>
        <w:tc>
          <w:tcPr>
            <w:tcW w:w="2440" w:type="dxa"/>
            <w:vAlign w:val="bottom"/>
          </w:tcPr>
          <w:p>
            <w:pPr>
              <w:spacing w:after="0"/>
              <w:rPr>
                <w:sz w:val="24"/>
                <w:szCs w:val="24"/>
                <w:color w:val="auto"/>
              </w:rPr>
            </w:pPr>
          </w:p>
        </w:tc>
        <w:tc>
          <w:tcPr>
            <w:tcW w:w="3620" w:type="dxa"/>
            <w:vAlign w:val="bottom"/>
          </w:tcPr>
          <w:p>
            <w:pPr>
              <w:jc w:val="right"/>
              <w:ind w:right="1519"/>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legal and accounting expenses, and up to $35,000 reimbursement of underwriter’s counsel fees, but excluding the underwriting discounts, will be approximately $3.0 million.</w:t>
      </w:r>
    </w:p>
    <w:p>
      <w:pPr>
        <w:spacing w:after="0" w:line="85"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 Sachs &amp; Co. for a period of 180 days after the date of this prospectus, other than the shares of our common stock to be sold hereunder. Notwithstanding the foregoing, to the extent we are not an emerging growth company,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Adviser, our directors, executive officers and substantially all of our existing stockholders have entered into lock-up agreements with the underwriters prior to the commencement of this offering pursuant to which each of these persons or entities, with limited exceptions, for a period of 365 days after the date of this prospectus in the case of our Adviser, and in the case of our directors, executive officers and existing shareholders, 180 days after the date of this prospectus for all shares of common stock held by those stockholders and 270 days after the date of this prospectus for 50% of the shares of common stock held by those stockholders, may not, subject to certain exceptions, without the prior written consent of J.P. Morgan Securities LLC, Merrill Lynch, Pierce, Fenner &amp; Smith Incorporated and Goldman, Sachs &amp; Co.,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Notwithstanding the foregoing, to the extent we are not an emerging growth company, if (1) during the last 17 days of the applicable restricted period, we issue an earnings release or material news or a material event relating to our company occurs; or (2) prior to the expiration of the applicable restricted period, we announce that we will release earnings results during the 16-day period beginning on the last day of the applicable period, the restrictions described above shall continue to apply until the expiration of the 18-day period beginning on the issuance of the earnings release or the occurrence of the material news or material event.</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40"/>
          </w:cols>
          <w:pgMar w:left="240" w:top="460" w:right="3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lock-ups will apply to all shares of our common stock acquired as of the date of the IPO, including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listing/quotation on the NYSE under the symbol “TSLX”.</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w:t>
      </w:r>
      <w:r>
        <w:rPr>
          <w:rFonts w:ascii="Arial" w:cs="Arial" w:eastAsia="Arial" w:hAnsi="Arial"/>
          <w:sz w:val="16"/>
          <w:szCs w:val="16"/>
          <w:i w:val="1"/>
          <w:iCs w:val="1"/>
          <w:color w:val="auto"/>
        </w:rPr>
        <w:t xml:space="preserve">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80">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59" w:right="29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20" w:firstLine="8"/>
        <w:spacing w:after="0" w:line="347" w:lineRule="auto"/>
        <w:tabs>
          <w:tab w:leader="none" w:pos="176"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18" w:lineRule="exact"/>
        <w:rPr>
          <w:sz w:val="20"/>
          <w:szCs w:val="20"/>
          <w:color w:val="auto"/>
        </w:rPr>
      </w:pPr>
    </w:p>
    <w:p>
      <w:pPr>
        <w:ind w:right="8840" w:firstLine="8"/>
        <w:spacing w:after="0" w:line="347" w:lineRule="auto"/>
        <w:tabs>
          <w:tab w:leader="none" w:pos="176"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The Company currently conducts this valuation process on a quarterly basis.</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80" w:hanging="446"/>
        <w:spacing w:after="0" w:line="291"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0"/>
        <w:spacing w:after="0" w:line="332" w:lineRule="auto"/>
        <w:rPr>
          <w:sz w:val="20"/>
          <w:szCs w:val="20"/>
          <w:color w:val="auto"/>
        </w:rPr>
      </w:pPr>
      <w:r>
        <w:rPr>
          <w:rFonts w:ascii="Arial" w:cs="Arial" w:eastAsia="Arial" w:hAnsi="Arial"/>
          <w:sz w:val="16"/>
          <w:szCs w:val="16"/>
          <w:color w:val="auto"/>
        </w:rPr>
        <w:t>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4"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20" w:hanging="446"/>
        <w:spacing w:after="0" w:line="287"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payment terms. Expenses incurred by the Adviser on behalf of the Company for the years ended December 31, 2013, 2012 and 2011, were $5.0 million, $3.8 million and $2.3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180" w:hanging="567"/>
        <w:spacing w:after="0" w:line="268" w:lineRule="auto"/>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460"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December 31, 2013</w:t>
            </w:r>
          </w:p>
        </w:tc>
        <w:tc>
          <w:tcPr>
            <w:tcW w:w="1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85"/>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 — 13.12%(9.81%)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9.32% —9.87%(9.59%)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Weighted Average</w:t>
            </w: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1,805</w:t>
            </w:r>
          </w:p>
        </w:tc>
        <w:tc>
          <w:tcPr>
            <w:tcW w:w="1920" w:type="dxa"/>
            <w:vAlign w:val="bottom"/>
            <w:gridSpan w:val="2"/>
          </w:tcPr>
          <w:p>
            <w:pPr>
              <w:ind w:left="400"/>
              <w:spacing w:after="0"/>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rPr>
                <w:sz w:val="20"/>
                <w:szCs w:val="20"/>
                <w:color w:val="auto"/>
              </w:rPr>
            </w:pPr>
            <w:r>
              <w:rPr>
                <w:rFonts w:ascii="Arial" w:cs="Arial" w:eastAsia="Arial" w:hAnsi="Arial"/>
                <w:sz w:val="14"/>
                <w:szCs w:val="14"/>
                <w:color w:val="auto"/>
              </w:rPr>
              <w:t>Cost of Capital (WACC)</w:t>
            </w:r>
          </w:p>
        </w:tc>
        <w:tc>
          <w:tcPr>
            <w:tcW w:w="2160" w:type="dxa"/>
            <w:vAlign w:val="bottom"/>
            <w:gridSpan w:val="2"/>
          </w:tcPr>
          <w:p>
            <w:pPr>
              <w:jc w:val="right"/>
              <w:ind w:right="420"/>
              <w:spacing w:after="0"/>
              <w:rPr>
                <w:sz w:val="20"/>
                <w:szCs w:val="20"/>
                <w:color w:val="auto"/>
              </w:rPr>
            </w:pPr>
            <w:r>
              <w:rPr>
                <w:rFonts w:ascii="Arial" w:cs="Arial" w:eastAsia="Arial" w:hAnsi="Arial"/>
                <w:sz w:val="14"/>
                <w:szCs w:val="14"/>
                <w:color w:val="auto"/>
              </w:rPr>
              <w:t>12.1% — 15.3%(14.0%)</w:t>
            </w:r>
          </w:p>
        </w:tc>
        <w:tc>
          <w:tcPr>
            <w:tcW w:w="1440" w:type="dxa"/>
            <w:vAlign w:val="bottom"/>
            <w:gridSpan w:val="2"/>
          </w:tcPr>
          <w:p>
            <w:pPr>
              <w:ind w:left="860"/>
              <w:spacing w:after="0"/>
              <w:rPr>
                <w:sz w:val="20"/>
                <w:szCs w:val="20"/>
                <w:color w:val="auto"/>
              </w:rPr>
            </w:pPr>
            <w:r>
              <w:rPr>
                <w:rFonts w:ascii="Arial" w:cs="Arial" w:eastAsia="Arial" w:hAnsi="Arial"/>
                <w:sz w:val="14"/>
                <w:szCs w:val="14"/>
                <w:color w:val="auto"/>
                <w:w w:val="93"/>
              </w:rPr>
              <w:t>Decrease</w:t>
            </w:r>
          </w:p>
        </w:tc>
      </w:tr>
      <w:tr>
        <w:trPr>
          <w:trHeight w:val="203"/>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3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December 31, 2012</w:t>
            </w:r>
          </w:p>
        </w:tc>
        <w:tc>
          <w:tcPr>
            <w:tcW w:w="1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Unobservable 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9"/>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308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20" w:type="dxa"/>
            <w:vAlign w:val="bottom"/>
            <w:gridSpan w:val="2"/>
          </w:tcPr>
          <w:p>
            <w:pPr>
              <w:ind w:left="380"/>
              <w:spacing w:after="0" w:line="154" w:lineRule="exact"/>
              <w:rPr>
                <w:sz w:val="20"/>
                <w:szCs w:val="20"/>
                <w:color w:val="auto"/>
              </w:rPr>
            </w:pPr>
            <w:r>
              <w:rPr>
                <w:rFonts w:ascii="Arial" w:cs="Arial" w:eastAsia="Arial" w:hAnsi="Arial"/>
                <w:sz w:val="14"/>
                <w:szCs w:val="14"/>
                <w:color w:val="auto"/>
              </w:rPr>
              <w:t>Market Approach (2)</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ind w:left="460" w:right="220" w:hanging="452"/>
        <w:spacing w:after="0" w:line="246"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Level 3 equity investments, multiples of similar companies’ revenues, earnings before income taxes, depreciation and amortization (“EBITDA”) or some combination thereof and comparable market transactions are typically used.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500" w:firstLine="453"/>
        <w:spacing w:after="0" w:line="516" w:lineRule="auto"/>
        <w:tabs>
          <w:tab w:leader="none" w:pos="147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amount available considers any limitations related to the respective debt facilities’ borrowing bases. For the years ended December 31, 2013, 2012 and 2011, the components of interest expense were as follows:</w:t>
      </w:r>
    </w:p>
    <w:tbl>
      <w:tblPr>
        <w:tblLayout w:type="fixed"/>
        <w:tblInd w:w="92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20"/>
              <w:spacing w:after="0" w:line="150" w:lineRule="exact"/>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right"/>
              <w:ind w:right="1260"/>
              <w:spacing w:after="0" w:line="15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line="150"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356"/>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20" w:firstLine="8"/>
        <w:spacing w:after="0" w:line="417" w:lineRule="auto"/>
        <w:tabs>
          <w:tab w:leader="none" w:pos="176"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 These unfunded commitments will no longer remain in effect following the completion of an initial public offering of the Company’s common stock. See Note 1.</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4"/>
                <w:szCs w:val="14"/>
                <w:b w:val="1"/>
                <w:bCs w:val="1"/>
                <w:color w:val="auto"/>
                <w:w w:val="91"/>
              </w:rPr>
              <w:t>December 31, 2013</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gridSpan w:val="3"/>
          </w:tcPr>
          <w:p>
            <w:pPr>
              <w:jc w:val="center"/>
              <w:ind w:right="92"/>
              <w:spacing w:after="0" w:line="115" w:lineRule="exact"/>
              <w:rPr>
                <w:sz w:val="20"/>
                <w:szCs w:val="20"/>
                <w:color w:val="auto"/>
              </w:rPr>
            </w:pPr>
            <w:r>
              <w:rPr>
                <w:rFonts w:ascii="Arial" w:cs="Arial" w:eastAsia="Arial" w:hAnsi="Arial"/>
                <w:sz w:val="12"/>
                <w:szCs w:val="12"/>
                <w:b w:val="1"/>
                <w:bCs w:val="1"/>
                <w:color w:val="auto"/>
                <w:w w:val="95"/>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2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4"/>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4"/>
              </w:rPr>
              <w:t>1,633,829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3,713,053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248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February 22,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May 31,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September 26,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248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480" w:type="dxa"/>
            <w:vAlign w:val="bottom"/>
            <w:gridSpan w:val="2"/>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320" w:type="dxa"/>
            <w:vAlign w:val="bottom"/>
            <w:gridSpan w:val="4"/>
          </w:tcPr>
          <w:p>
            <w:pPr>
              <w:jc w:val="right"/>
              <w:ind w:right="2012"/>
              <w:spacing w:after="0"/>
              <w:rPr>
                <w:sz w:val="20"/>
                <w:szCs w:val="20"/>
                <w:color w:val="auto"/>
              </w:rPr>
            </w:pPr>
            <w:r>
              <w:rPr>
                <w:rFonts w:ascii="Arial" w:cs="Arial" w:eastAsia="Arial" w:hAnsi="Arial"/>
                <w:sz w:val="18"/>
                <w:szCs w:val="18"/>
                <w:color w:val="auto"/>
              </w:rPr>
              <w:t>F-31</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280" w:hanging="440"/>
        <w:spacing w:after="0" w:line="254" w:lineRule="auto"/>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right="40" w:hanging="567"/>
        <w:spacing w:after="0" w:line="261"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60"/>
          </w:cols>
          <w:pgMar w:left="240" w:top="460" w:right="6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58"/>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00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680" w:type="dxa"/>
            <w:vAlign w:val="bottom"/>
          </w:tcPr>
          <w:p>
            <w:pPr>
              <w:jc w:val="right"/>
              <w:ind w:right="458"/>
              <w:spacing w:after="0"/>
              <w:rPr>
                <w:sz w:val="20"/>
                <w:szCs w:val="20"/>
                <w:color w:val="auto"/>
              </w:rPr>
            </w:pPr>
            <w:r>
              <w:rPr>
                <w:rFonts w:ascii="Arial" w:cs="Arial" w:eastAsia="Arial" w:hAnsi="Arial"/>
                <w:sz w:val="32"/>
                <w:szCs w:val="32"/>
                <w:b w:val="1"/>
                <w:bCs w:val="1"/>
                <w:color w:val="auto"/>
              </w:rPr>
              <w:t>BofA Merrill Lynch</w:t>
            </w:r>
          </w:p>
        </w:tc>
        <w:tc>
          <w:tcPr>
            <w:tcW w:w="374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454"/>
        </w:trPr>
        <w:tc>
          <w:tcPr>
            <w:tcW w:w="3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680" w:type="dxa"/>
            <w:vAlign w:val="bottom"/>
          </w:tcPr>
          <w:p>
            <w:pPr>
              <w:jc w:val="right"/>
              <w:ind w:right="1598"/>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jc w:val="right"/>
              <w:ind w:right="414"/>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3000" w:type="dxa"/>
            <w:vAlign w:val="bottom"/>
          </w:tcPr>
          <w:p>
            <w:pPr>
              <w:spacing w:after="0"/>
              <w:rPr>
                <w:sz w:val="24"/>
                <w:szCs w:val="24"/>
                <w:color w:val="auto"/>
              </w:rPr>
            </w:pPr>
          </w:p>
        </w:tc>
        <w:tc>
          <w:tcPr>
            <w:tcW w:w="4680" w:type="dxa"/>
            <w:vAlign w:val="bottom"/>
          </w:tcPr>
          <w:p>
            <w:pPr>
              <w:jc w:val="right"/>
              <w:ind w:right="1238"/>
              <w:spacing w:after="0"/>
              <w:rPr>
                <w:sz w:val="20"/>
                <w:szCs w:val="20"/>
                <w:color w:val="auto"/>
              </w:rPr>
            </w:pPr>
            <w:r>
              <w:rPr>
                <w:rFonts w:ascii="Arial" w:cs="Arial" w:eastAsia="Arial" w:hAnsi="Arial"/>
                <w:sz w:val="22"/>
                <w:szCs w:val="22"/>
                <w:b w:val="1"/>
                <w:bCs w:val="1"/>
                <w:i w:val="1"/>
                <w:iCs w:val="1"/>
                <w:color w:val="auto"/>
              </w:rPr>
              <w:t>Co-Managers</w:t>
            </w:r>
          </w:p>
        </w:tc>
        <w:tc>
          <w:tcPr>
            <w:tcW w:w="3740" w:type="dxa"/>
            <w:vAlign w:val="bottom"/>
          </w:tcPr>
          <w:p>
            <w:pPr>
              <w:spacing w:after="0"/>
              <w:rPr>
                <w:sz w:val="24"/>
                <w:szCs w:val="24"/>
                <w:color w:val="auto"/>
              </w:rPr>
            </w:pPr>
          </w:p>
        </w:tc>
      </w:tr>
      <w:tr>
        <w:trPr>
          <w:trHeight w:val="446"/>
        </w:trPr>
        <w:tc>
          <w:tcPr>
            <w:tcW w:w="3000" w:type="dxa"/>
            <w:vAlign w:val="bottom"/>
          </w:tcPr>
          <w:p>
            <w:pPr>
              <w:spacing w:after="0"/>
              <w:rPr>
                <w:sz w:val="20"/>
                <w:szCs w:val="20"/>
                <w:color w:val="auto"/>
              </w:rPr>
            </w:pPr>
            <w:r>
              <w:rPr>
                <w:rFonts w:ascii="Arial" w:cs="Arial" w:eastAsia="Arial" w:hAnsi="Arial"/>
                <w:sz w:val="22"/>
                <w:szCs w:val="22"/>
                <w:b w:val="1"/>
                <w:bCs w:val="1"/>
                <w:color w:val="auto"/>
              </w:rPr>
              <w:t>TPG Capital BD, LLC</w:t>
            </w:r>
          </w:p>
        </w:tc>
        <w:tc>
          <w:tcPr>
            <w:tcW w:w="4680" w:type="dxa"/>
            <w:vAlign w:val="bottom"/>
          </w:tcPr>
          <w:p>
            <w:pPr>
              <w:jc w:val="right"/>
              <w:ind w:right="458"/>
              <w:spacing w:after="0"/>
              <w:rPr>
                <w:sz w:val="20"/>
                <w:szCs w:val="20"/>
                <w:color w:val="auto"/>
              </w:rPr>
            </w:pPr>
            <w:r>
              <w:rPr>
                <w:rFonts w:ascii="Arial" w:cs="Arial" w:eastAsia="Arial" w:hAnsi="Arial"/>
                <w:sz w:val="22"/>
                <w:szCs w:val="22"/>
                <w:b w:val="1"/>
                <w:bCs w:val="1"/>
                <w:color w:val="auto"/>
              </w:rPr>
              <w:t>Janney Montgomery Scott</w:t>
            </w:r>
          </w:p>
        </w:tc>
        <w:tc>
          <w:tcPr>
            <w:tcW w:w="374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2056"/>
        </w:trPr>
        <w:tc>
          <w:tcPr>
            <w:tcW w:w="3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300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lvl w:ilvl="1">
      <w:lvlJc w:val="left"/>
      <w:lvlText w:val="•"/>
      <w:numFmt w:val="bullet"/>
      <w:start w:val="1"/>
    </w:lvl>
  </w:abstractNum>
  <w:abstractNum w:abstractNumId="3">
    <w:nsid w:val="7FFFCA11"/>
    <w:multiLevelType w:val="hybridMultilevel"/>
    <w:lvl w:ilvl="0">
      <w:lvlJc w:val="left"/>
      <w:lvlText w:val="•"/>
      <w:numFmt w:val="bullet"/>
      <w:start w:val="1"/>
    </w:lvl>
    <w:lvl w:ilvl="1">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1)"/>
      <w:numFmt w:val="decimal"/>
      <w:start w:val="1"/>
    </w:lvl>
  </w:abstractNum>
  <w:abstractNum w:abstractNumId="12">
    <w:nsid w:val="76272110"/>
    <w:multiLevelType w:val="hybridMultilevel"/>
    <w:lvl w:ilvl="0">
      <w:lvlJc w:val="left"/>
      <w:lvlText w:val="(%1)"/>
      <w:numFmt w:val="decimal"/>
      <w:start w:val="5"/>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
      <w:numFmt w:val="bullet"/>
      <w:start w:val="1"/>
    </w:lvl>
    <w:lvl w:ilvl="1">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1)"/>
      <w:numFmt w:val="lowerRoman"/>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1)"/>
      <w:numFmt w:val="decimal"/>
      <w:start w:val="1"/>
    </w:lvl>
  </w:abstractNum>
  <w:abstractNum w:abstractNumId="31">
    <w:nsid w:val="5FB8370B"/>
    <w:multiLevelType w:val="hybridMultilevel"/>
    <w:lvl w:ilvl="0">
      <w:lvlJc w:val="left"/>
      <w:lvlText w:val="(%1)"/>
      <w:numFmt w:val="decimal"/>
      <w:start w:val="1"/>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1)"/>
      <w:numFmt w:val="decimal"/>
      <w:start w:val="1"/>
    </w:lvl>
  </w:abstractNum>
  <w:abstractNum w:abstractNumId="37">
    <w:nsid w:val="6FC75AF8"/>
    <w:multiLevelType w:val="hybridMultilevel"/>
    <w:lvl w:ilvl="0">
      <w:lvlJc w:val="left"/>
      <w:lvlText w:val="•"/>
      <w:numFmt w:val="bullet"/>
      <w:start w:val="1"/>
    </w:lvl>
    <w:lvl w:ilvl="1">
      <w:lvlJc w:val="left"/>
      <w:lvlText w:val="º"/>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1)"/>
      <w:numFmt w:val="decimal"/>
      <w:start w:val="1"/>
    </w:lvl>
  </w:abstractNum>
  <w:abstractNum w:abstractNumId="40">
    <w:nsid w:val="5F3534A4"/>
    <w:multiLevelType w:val="hybridMultilevel"/>
    <w:lvl w:ilvl="0">
      <w:lvlJc w:val="left"/>
      <w:lvlText w:val="•"/>
      <w:numFmt w:val="bullet"/>
      <w:start w:val="1"/>
    </w:lvl>
    <w:lvl w:ilvl="1">
      <w:lvlJc w:val="left"/>
      <w:lvlText w:val="º"/>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lvl w:ilvl="1">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lvl w:ilvl="1">
      <w:lvlJc w:val="left"/>
      <w:lvlText w:val="•"/>
      <w:numFmt w:val="bullet"/>
      <w:start w:val="1"/>
    </w:lvl>
  </w:abstractNum>
  <w:abstractNum w:abstractNumId="60">
    <w:nsid w:val="53584BCB"/>
    <w:multiLevelType w:val="hybridMultilevel"/>
    <w:lvl w:ilvl="0">
      <w:lvlJc w:val="left"/>
      <w:lvlText w:val="•"/>
      <w:numFmt w:val="bullet"/>
      <w:start w:val="1"/>
    </w:lvl>
    <w:lvl w:ilvl="1">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1)"/>
      <w:numFmt w:val="decimal"/>
      <w:start w:val="1"/>
    </w:lvl>
  </w:abstractNum>
  <w:abstractNum w:abstractNumId="64">
    <w:nsid w:val="45E6D486"/>
    <w:multiLevelType w:val="hybridMultilevel"/>
    <w:lvl w:ilvl="0">
      <w:lvlJc w:val="left"/>
      <w:lvlText w:val="(%1)"/>
      <w:numFmt w:val="decimal"/>
      <w:start w:val="5"/>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1)"/>
      <w:numFmt w:val="lowerRoman"/>
      <w:start w:val="1"/>
    </w:lvl>
  </w:abstractNum>
  <w:abstractNum w:abstractNumId="75">
    <w:nsid w:val="2C27173B"/>
    <w:multiLevelType w:val="hybridMultilevel"/>
    <w:lvl w:ilvl="0">
      <w:lvlJc w:val="left"/>
      <w:lvlText w:val="(%1)"/>
      <w:numFmt w:val="lowerRoman"/>
      <w:start w:val="2"/>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1)"/>
      <w:numFmt w:val="decimal"/>
    </w:lvl>
    <w:lvl w:ilvl="1">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4"/>
    </w:lvl>
  </w:abstractNum>
  <w:abstractNum w:abstractNumId="95">
    <w:nsid w:val="5D888A08"/>
    <w:multiLevelType w:val="hybridMultilevel"/>
    <w:lvl w:ilvl="0">
      <w:lvlJc w:val="left"/>
      <w:lvlText w:val="(%1)"/>
      <w:numFmt w:val="decimal"/>
      <w:start w:val="7"/>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lvl w:ilvl="1">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lowerRoman"/>
      <w:start w:val="1"/>
    </w:lvl>
  </w:abstractNum>
  <w:abstractNum w:abstractNumId="107">
    <w:nsid w:val="57D2F10E"/>
    <w:multiLevelType w:val="hybridMultilevel"/>
    <w:lvl w:ilvl="0">
      <w:lvlJc w:val="left"/>
      <w:lvlText w:val="•"/>
      <w:numFmt w:val="bullet"/>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1)"/>
      <w:numFmt w:val="decimal"/>
      <w:start w:val="1"/>
    </w:lvl>
  </w:abstractNum>
  <w:abstractNum w:abstractNumId="120">
    <w:nsid w:val="754342"/>
    <w:multiLevelType w:val="hybridMultilevel"/>
    <w:lvl w:ilvl="0">
      <w:lvlJc w:val="left"/>
      <w:lvlText w:val="(%1)"/>
      <w:numFmt w:val="decimal"/>
      <w:start w:val="1"/>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3"/>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decimal"/>
      <w:start w:val="1"/>
    </w:lvl>
  </w:abstractNum>
  <w:abstractNum w:abstractNumId="125">
    <w:nsid w:val="7AB49DAF"/>
    <w:multiLevelType w:val="hybridMultilevel"/>
    <w:lvl w:ilvl="0">
      <w:lvlJc w:val="left"/>
      <w:lvlText w:val="%1."/>
      <w:numFmt w:val="decimal"/>
      <w:start w:val="2"/>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1."/>
      <w:numFmt w:val="decimal"/>
      <w:start w:val="3"/>
    </w:lvl>
  </w:abstractNum>
  <w:abstractNum w:abstractNumId="130">
    <w:nsid w:val="57C7D42D"/>
    <w:multiLevelType w:val="hybridMultilevel"/>
    <w:lvl w:ilvl="0">
      <w:lvlJc w:val="left"/>
      <w:lvlText w:val="(%1)"/>
      <w:numFmt w:val="lowerRoman"/>
      <w:start w:val="1"/>
    </w:lvl>
  </w:abstractNum>
  <w:abstractNum w:abstractNumId="131">
    <w:nsid w:val="312167AD"/>
    <w:multiLevelType w:val="hybridMultilevel"/>
    <w:lvl w:ilvl="0">
      <w:lvlJc w:val="left"/>
      <w:lvlText w:val="(%1)"/>
      <w:numFmt w:val="lowerRoman"/>
      <w:start w:val="2"/>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5"/>
    </w:lvl>
  </w:abstractNum>
  <w:abstractNum w:abstractNumId="134">
    <w:nsid w:val="75486E47"/>
    <w:multiLevelType w:val="hybridMultilevel"/>
    <w:lvl w:ilvl="0">
      <w:lvlJc w:val="left"/>
      <w:lvlText w:val="%1."/>
      <w:numFmt w:val="decimal"/>
      <w:start w:val="6"/>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1)"/>
      <w:numFmt w:val="decimal"/>
      <w:start w:val="1"/>
    </w:lvl>
  </w:abstractNum>
  <w:abstractNum w:abstractNumId="137">
    <w:nsid w:val="65968C1C"/>
    <w:multiLevelType w:val="hybridMultilevel"/>
    <w:lvl w:ilvl="0">
      <w:lvlJc w:val="left"/>
      <w:lvlText w:val="•"/>
      <w:numFmt w:val="bullet"/>
      <w:start w:val="1"/>
    </w:lvl>
    <w:lvl w:ilvl="1">
      <w:lvlJc w:val="left"/>
      <w:lvlText w:val="•"/>
      <w:numFmt w:val="bullet"/>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1."/>
      <w:numFmt w:val="decimal"/>
      <w:start w:val="8"/>
    </w:lvl>
  </w:abstractNum>
  <w:abstractNum w:abstractNumId="141">
    <w:nsid w:val="746F2E30"/>
    <w:multiLevelType w:val="hybridMultilevel"/>
    <w:lvl w:ilvl="0">
      <w:lvlJc w:val="left"/>
      <w:lvlText w:val="(%1)"/>
      <w:numFmt w:val="decimal"/>
      <w:start w:val="1"/>
    </w:lvl>
  </w:abstractNum>
  <w:abstractNum w:abstractNumId="142">
    <w:nsid w:val="6FDE8AF6"/>
    <w:multiLevelType w:val="hybridMultilevel"/>
    <w:lvl w:ilvl="0">
      <w:lvlJc w:val="left"/>
      <w:lvlText w:val="(%1)"/>
      <w:numFmt w:val="decimal"/>
      <w:start w:val="1"/>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1)"/>
      <w:numFmt w:val="decimal"/>
      <w:start w:val="1"/>
    </w:lvl>
  </w:abstractNum>
  <w:abstractNum w:abstractNumId="145">
    <w:nsid w:val="14D53685"/>
    <w:multiLevelType w:val="hybridMultilevel"/>
    <w:lvl w:ilvl="0">
      <w:lvlJc w:val="left"/>
      <w:lvlText w:val="(%1)"/>
      <w:numFmt w:val="decimal"/>
      <w:start w:val="1"/>
    </w:lvl>
  </w:abstractNum>
  <w:abstractNum w:abstractNumId="146">
    <w:nsid w:val="230F856C"/>
    <w:multiLevelType w:val="hybridMultilevel"/>
    <w:lvl w:ilvl="0">
      <w:lvlJc w:val="left"/>
      <w:lvlText w:val="(%1)"/>
      <w:numFmt w:val="decimal"/>
      <w:start w:val="1"/>
    </w:lvl>
  </w:abstractNum>
  <w:abstractNum w:abstractNumId="147">
    <w:nsid w:val="6EAA85FB"/>
    <w:multiLevelType w:val="hybridMultilevel"/>
    <w:lvl w:ilvl="0">
      <w:lvlJc w:val="left"/>
      <w:lvlText w:val="(%1)"/>
      <w:numFmt w:val="decimal"/>
      <w:start w:val="1"/>
    </w:lvl>
  </w:abstractNum>
  <w:abstractNum w:abstractNumId="148">
    <w:nsid w:val="3F06ECB2"/>
    <w:multiLevelType w:val="hybridMultilevel"/>
    <w:lvl w:ilvl="0">
      <w:lvlJc w:val="left"/>
      <w:lvlText w:val="(%1)"/>
      <w:numFmt w:val="decimal"/>
      <w:start w:val="1"/>
    </w:lvl>
  </w:abstractNum>
  <w:abstractNum w:abstractNumId="149">
    <w:nsid w:val="3B594807"/>
    <w:multiLevelType w:val="hybridMultilevel"/>
    <w:lvl w:ilvl="0">
      <w:lvlJc w:val="left"/>
      <w:lvlText w:val="%1"/>
      <w:numFmt w:val="upperLetter"/>
      <w:start w:val="53"/>
    </w:lvl>
  </w:abstractNum>
  <w:abstractNum w:abstractNumId="150">
    <w:nsid w:val="6CAA2304"/>
    <w:multiLevelType w:val="hybridMultilevel"/>
    <w:lvl w:ilvl="0">
      <w:lvlJc w:val="left"/>
      <w:lvlText w:val="%1"/>
      <w:numFmt w:val="upperLetter"/>
      <w:start w:val="27"/>
    </w:lvl>
  </w:abstractNum>
  <w:abstractNum w:abstractNumId="151">
    <w:nsid w:val="3F7C2FF4"/>
    <w:multiLevelType w:val="hybridMultilevel"/>
    <w:lvl w:ilvl="0">
      <w:lvlJc w:val="left"/>
      <w:lvlText w:val="%1"/>
      <w:numFmt w:val="upperLetter"/>
      <w:start w:val="54"/>
    </w:lvl>
  </w:abstractNum>
  <w:abstractNum w:abstractNumId="152">
    <w:nsid w:val="25413BEC"/>
    <w:multiLevelType w:val="hybridMultilevel"/>
    <w:lvl w:ilvl="0">
      <w:lvlJc w:val="left"/>
      <w:lvlText w:val="%1"/>
      <w:numFmt w:val="upperLetter"/>
      <w:start w:val="28"/>
    </w:lvl>
  </w:abstractNum>
  <w:abstractNum w:abstractNumId="153">
    <w:nsid w:val="17180B0B"/>
    <w:multiLevelType w:val="hybridMultilevel"/>
    <w:lvl w:ilvl="0">
      <w:lvlJc w:val="left"/>
      <w:lvlText w:val="%1"/>
      <w:numFmt w:val="upperLetter"/>
      <w:start w:val="55"/>
    </w:lvl>
  </w:abstractNum>
  <w:abstractNum w:abstractNumId="154">
    <w:nsid w:val="579328B9"/>
    <w:multiLevelType w:val="hybridMultilevel"/>
    <w:lvl w:ilvl="0">
      <w:lvlJc w:val="left"/>
      <w:lvlText w:val="%1"/>
      <w:numFmt w:val="upperLetter"/>
      <w:start w:val="29"/>
    </w:lvl>
  </w:abstractNum>
  <w:abstractNum w:abstractNumId="155">
    <w:nsid w:val="5D205E20"/>
    <w:multiLevelType w:val="hybridMultilevel"/>
    <w:lvl w:ilvl="0">
      <w:lvlJc w:val="left"/>
      <w:lvlText w:val="%1"/>
      <w:numFmt w:val="upperLetter"/>
      <w:start w:val="53"/>
    </w:lvl>
  </w:abstractNum>
  <w:abstractNum w:abstractNumId="156">
    <w:nsid w:val="11CCA8BA"/>
    <w:multiLevelType w:val="hybridMultilevel"/>
    <w:lvl w:ilvl="0">
      <w:lvlJc w:val="left"/>
      <w:lvlText w:val="%1"/>
      <w:numFmt w:val="upperLetter"/>
      <w:start w:val="27"/>
    </w:lvl>
  </w:abstractNum>
  <w:abstractNum w:abstractNumId="157">
    <w:nsid w:val="4D32AB86"/>
    <w:multiLevelType w:val="hybridMultilevel"/>
    <w:lvl w:ilvl="0">
      <w:lvlJc w:val="left"/>
      <w:lvlText w:val="%1"/>
      <w:numFmt w:val="upperLetter"/>
      <w:start w:val="54"/>
    </w:lvl>
  </w:abstractNum>
  <w:abstractNum w:abstractNumId="158">
    <w:nsid w:val="3F07ACC3"/>
    <w:multiLevelType w:val="hybridMultilevel"/>
    <w:lvl w:ilvl="0">
      <w:lvlJc w:val="left"/>
      <w:lvlText w:val="%1"/>
      <w:numFmt w:val="upperLetter"/>
      <w:start w:val="28"/>
    </w:lvl>
  </w:abstractNum>
  <w:abstractNum w:abstractNumId="159">
    <w:nsid w:val="6B47F63E"/>
    <w:multiLevelType w:val="hybridMultilevel"/>
    <w:lvl w:ilvl="0">
      <w:lvlJc w:val="left"/>
      <w:lvlText w:val="%1"/>
      <w:numFmt w:val="upperLetter"/>
      <w:start w:val="55"/>
    </w:lvl>
  </w:abstractNum>
  <w:abstractNum w:abstractNumId="160">
    <w:nsid w:val="5CB44A05"/>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2019-12-08T00:10:48Z</dcterms:created>
  <dcterms:modified xsi:type="dcterms:W3CDTF">2019-12-08T00:10:48Z</dcterms:modified>
</cp:coreProperties>
</file>