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tcPr>
          <w:p>
            <w:pPr>
              <w:spacing w:after="0"/>
              <w:rPr>
                <w:sz w:val="22"/>
                <w:szCs w:val="22"/>
                <w:color w:val="auto"/>
              </w:rPr>
            </w:pPr>
          </w:p>
        </w:tc>
      </w:tr>
      <w:tr>
        <w:trPr>
          <w:trHeight w:val="212"/>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7" w:right="339" w:bottom="1440" w:gutter="0" w:footer="0" w:header="0"/>
        </w:sectPr>
      </w:pPr>
    </w:p>
    <w:p>
      <w:pPr>
        <w:spacing w:after="0" w:line="92"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49"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Emerging growth company</w:t>
      </w:r>
    </w:p>
    <w:p>
      <w:pPr>
        <w:spacing w:after="0" w:line="5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306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November 2, 2021 was 73,103,668.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80"/>
            <w:col w:w="480"/>
          </w:cols>
          <w:pgMar w:left="320" w:top="6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INDEX</w:t>
            </w:r>
          </w:p>
        </w:tc>
        <w:tc>
          <w:tcPr>
            <w:tcW w:w="10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2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0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4"/>
                <w:szCs w:val="24"/>
                <w:color w:val="auto"/>
              </w:rPr>
            </w:pPr>
          </w:p>
        </w:tc>
        <w:tc>
          <w:tcPr>
            <w:tcW w:w="65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as of September 30, 2021 (Unaudited) and December 31, 2020</w:t>
              </w:r>
            </w:hyperlink>
          </w:p>
        </w:tc>
        <w:tc>
          <w:tcPr>
            <w:tcW w:w="266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85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nine months ended September 30, 2021 and 2020 (Unaudited)</w:t>
              </w:r>
            </w:hyperlink>
          </w:p>
        </w:tc>
        <w:tc>
          <w:tcPr>
            <w:tcW w:w="7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4"/>
                <w:szCs w:val="24"/>
                <w:color w:val="auto"/>
              </w:rPr>
            </w:pPr>
          </w:p>
        </w:tc>
        <w:tc>
          <w:tcPr>
            <w:tcW w:w="924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September 30, 2021 (Unaudited) and December 31,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4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Consolidated Statements of Changes in Net Assets for the three and nine months ended September 30, 2021 and 2020</w:t>
              </w:r>
            </w:hyperlink>
          </w:p>
        </w:tc>
        <w:tc>
          <w:tcPr>
            <w:tcW w:w="82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(Unaudited)</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00" w:type="dxa"/>
            <w:vAlign w:val="bottom"/>
          </w:tcPr>
          <w:p>
            <w:pPr>
              <w:spacing w:after="0"/>
              <w:rPr>
                <w:sz w:val="24"/>
                <w:szCs w:val="24"/>
                <w:color w:val="auto"/>
              </w:rPr>
            </w:pPr>
          </w:p>
        </w:tc>
        <w:tc>
          <w:tcPr>
            <w:tcW w:w="78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Consolidated Statements of Cash Flows for the nine months ended September 30, 2021 and 2020 (Unaudited)</w:t>
              </w:r>
            </w:hyperlink>
          </w:p>
        </w:tc>
        <w:tc>
          <w:tcPr>
            <w:tcW w:w="14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Notes to Consolidated Financial Statements (Unaudited)</w:t>
              </w:r>
            </w:hyperlink>
          </w:p>
        </w:tc>
        <w:tc>
          <w:tcPr>
            <w:tcW w:w="524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Quantitative and Qualitative Disclosures About Market Risk</w:t>
              </w:r>
            </w:hyperlink>
          </w:p>
        </w:tc>
        <w:tc>
          <w:tcPr>
            <w:tcW w:w="494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Controls and Procedures</w:t>
              </w:r>
            </w:hyperlink>
          </w:p>
        </w:tc>
        <w:tc>
          <w:tcPr>
            <w:tcW w:w="75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OTHER INFORMATION</w:t>
              </w:r>
            </w:hyperlink>
          </w:p>
        </w:tc>
        <w:tc>
          <w:tcPr>
            <w:tcW w:w="74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1"/>
              </w:rPr>
            </w:pPr>
            <w:hyperlink w:anchor="page75">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4"/>
                <w:szCs w:val="24"/>
                <w:color w:val="auto"/>
              </w:rPr>
            </w:pPr>
          </w:p>
        </w:tc>
        <w:tc>
          <w:tcPr>
            <w:tcW w:w="798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96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79">
              <w:r>
                <w:rPr>
                  <w:rFonts w:ascii="Arial" w:cs="Arial" w:eastAsia="Arial" w:hAnsi="Arial"/>
                  <w:sz w:val="18"/>
                  <w:szCs w:val="18"/>
                  <w:color w:val="0000EE"/>
                  <w:w w:val="82"/>
                </w:rPr>
                <w:t>Exhibits</w:t>
              </w:r>
            </w:hyperlink>
          </w:p>
        </w:tc>
        <w:tc>
          <w:tcPr>
            <w:tcW w:w="700" w:type="dxa"/>
            <w:vAlign w:val="bottom"/>
            <w:tcBorders>
              <w:top w:val="single" w:sz="8" w:color="0000EE"/>
            </w:tcBorders>
            <w:gridSpan w:val="3"/>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90"/>
        </w:trPr>
        <w:tc>
          <w:tcPr>
            <w:tcW w:w="10340" w:type="dxa"/>
            <w:vAlign w:val="bottom"/>
            <w:gridSpan w:val="2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00" w:right="52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8" w:lineRule="exact"/>
        <w:rPr>
          <w:rFonts w:ascii="Arial" w:cs="Arial" w:eastAsia="Arial" w:hAnsi="Arial"/>
          <w:sz w:val="17"/>
          <w:szCs w:val="17"/>
          <w:color w:val="auto"/>
        </w:rPr>
      </w:pPr>
    </w:p>
    <w:p>
      <w:pPr>
        <w:ind w:left="500" w:right="220" w:hanging="249"/>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00" w:right="100" w:hanging="249"/>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in our Annual Report on Form 10-K for the year ended December 31, 2020, filed with the SEC on February 17, 2021, in our Quarterly Report on Form 10-Q for the quarter ending June 30, 2021, filed with the SEC on August 3, 2021, and elsewhere in our filings with the SEC.</w:t>
      </w:r>
    </w:p>
    <w:p>
      <w:pPr>
        <w:spacing w:after="0" w:line="184"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“TSLX” and “TAO” marks are marks of Sixth Street.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$2,222,335 and $2,187,427,</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2,327,321</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$12,723 and $12,892,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$63,332 and $58,709, respectively)</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$2,298,390 and $2,259,028,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2,406,465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$12,815 and $10,815, respectively)</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2,438,474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$20,813 and $17,246, respectively)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1,103,114</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1,186,629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73,145,021 and</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67,980,253 shares issued, respectively; and 72,848,977 and 67,684,209 shares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1,134,015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1,251,845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2,438,474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September 30, 2020</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3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640" w:type="dxa"/>
            <w:vAlign w:val="bottom"/>
            <w:gridSpan w:val="2"/>
            <w:shd w:val="clear" w:color="auto" w:fill="CFF0FC"/>
          </w:tcPr>
          <w:p>
            <w:pPr>
              <w:jc w:val="right"/>
              <w:ind w:right="203"/>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67,369</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59,786</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188,852</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8,080</w:t>
            </w:r>
          </w:p>
        </w:tc>
        <w:tc>
          <w:tcPr>
            <w:tcW w:w="2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5,191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69,950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68,329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196,124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200,312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3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2,091</w:t>
            </w:r>
          </w:p>
        </w:tc>
        <w:tc>
          <w:tcPr>
            <w:tcW w:w="2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4,610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896</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71,200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71,316</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200,269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207,819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8,399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28,999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7,839</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8,719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13,548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Professional fees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34,686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28,212</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103,563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89,575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fees waived (Note 3)</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34,626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28,212</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103,373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89,575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36,574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43,104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96,896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118,244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32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2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36,470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41,104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96,167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114,234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39,106</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43,111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(3,607)</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15,048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(14,392)</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(4,557)</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(1,498)</w:t>
            </w: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(4,775)</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3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29,046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29,775</w:t>
            </w:r>
          </w:p>
        </w:tc>
        <w:tc>
          <w:tcPr>
            <w:tcW w:w="2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67,747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(10,512)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(265)</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11,819</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(498)</w:t>
            </w:r>
          </w:p>
        </w:tc>
        <w:tc>
          <w:tcPr>
            <w:tcW w:w="3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(4,133)</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Extinguishment of debt</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3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(10,560)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10,978</w:t>
            </w:r>
          </w:p>
        </w:tc>
        <w:tc>
          <w:tcPr>
            <w:tcW w:w="2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6,048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8,065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18,486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40,753</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73,795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10,394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3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54,956</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81,857</w:t>
            </w:r>
          </w:p>
        </w:tc>
        <w:tc>
          <w:tcPr>
            <w:tcW w:w="2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169,962</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124,628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6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tcBorders>
              <w:bottom w:val="single" w:sz="8" w:color="CFF0FC"/>
            </w:tcBorders>
            <w:vMerge w:val="continue"/>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0.75</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2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1.21</w:t>
            </w:r>
          </w:p>
        </w:tc>
        <w:tc>
          <w:tcPr>
            <w:tcW w:w="260" w:type="dxa"/>
            <w:vAlign w:val="bottom"/>
            <w:tcBorders>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2.37</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0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1.86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72,808,730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67,584,660</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71,696,874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67,068,166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80,515,411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67,584,660</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79,403,555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67,068,166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September 30,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Reference</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Rate and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64"/>
              <w:spacing w:after="0" w:line="135" w:lineRule="exact"/>
              <w:rPr>
                <w:sz w:val="20"/>
                <w:szCs w:val="20"/>
                <w:color w:val="auto"/>
              </w:rPr>
            </w:pPr>
            <w:r>
              <w:rPr>
                <w:rFonts w:ascii="Arial" w:cs="Arial" w:eastAsia="Arial" w:hAnsi="Arial"/>
                <w:sz w:val="13"/>
                <w:szCs w:val="13"/>
                <w:b w:val="1"/>
                <w:bCs w:val="1"/>
                <w:color w:val="auto"/>
                <w:w w:val="91"/>
              </w:rPr>
              <w:t>Percentage</w:t>
            </w:r>
          </w:p>
        </w:tc>
      </w:tr>
      <w:tr>
        <w:trPr>
          <w:trHeight w:val="15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620" w:type="dxa"/>
            <w:vAlign w:val="bottom"/>
            <w:gridSpan w:val="2"/>
          </w:tcPr>
          <w:p>
            <w:pPr>
              <w:ind w:left="94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Spread</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1"/>
              </w:rPr>
              <w:t>Interest Rate</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 xml:space="preserve">Fair Value </w:t>
            </w:r>
            <w:r>
              <w:rPr>
                <w:rFonts w:ascii="Arial" w:cs="Arial" w:eastAsia="Arial" w:hAnsi="Arial"/>
                <w:sz w:val="10"/>
                <w:szCs w:val="10"/>
                <w:b w:val="1"/>
                <w:bCs w:val="1"/>
                <w:color w:val="auto"/>
                <w:w w:val="90"/>
              </w:rPr>
              <w:t>(10)</w:t>
            </w:r>
          </w:p>
        </w:tc>
        <w:tc>
          <w:tcPr>
            <w:tcW w:w="90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w w:val="84"/>
              </w:rPr>
              <w:t>of Net Assets</w:t>
            </w:r>
          </w:p>
        </w:tc>
      </w:tr>
      <w:tr>
        <w:trPr>
          <w:trHeight w:val="209"/>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74,250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55,825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$60,222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r>
      <w:tr>
        <w:trPr>
          <w:trHeight w:val="206"/>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10/2025)</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76,292)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($63,954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62,776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65,160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ExtraHop Networks, Inc.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($48,838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7/22/2021</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47,464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47,767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7/2027)</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ForeScout Technologies, Inc.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($5,005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8/17/2020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+ 9.50%</w:t>
            </w:r>
          </w:p>
        </w:tc>
        <w:tc>
          <w:tcPr>
            <w:tcW w:w="780" w:type="dxa"/>
            <w:vAlign w:val="bottom"/>
          </w:tcPr>
          <w:p>
            <w:pPr>
              <w:jc w:val="right"/>
              <w:spacing w:after="0"/>
              <w:rPr>
                <w:sz w:val="20"/>
                <w:szCs w:val="20"/>
                <w:color w:val="auto"/>
              </w:rPr>
            </w:pPr>
            <w:r>
              <w:rPr>
                <w:rFonts w:ascii="Arial" w:cs="Arial" w:eastAsia="Arial" w:hAnsi="Arial"/>
                <w:sz w:val="16"/>
                <w:szCs w:val="16"/>
                <w:color w:val="auto"/>
              </w:rPr>
              <w:t>10.50%</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5,047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3"/>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8/2026)</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($61,321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60,633</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61,321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Netwrix Corp.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($66,528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9/30/2020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65,238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66,714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9/2026)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($79,096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78,050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80,296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ReliaQuest Holdings,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($41,544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10/8/2020</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40,580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42,228</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4"/>
                <w:szCs w:val="24"/>
                <w:color w:val="auto"/>
                <w:vertAlign w:val="superscript"/>
              </w:rPr>
              <w:t>(3)</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($59,491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7/8/2020</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58,722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61,739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7/2025)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474,187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490,494</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39.2%</w:t>
            </w:r>
          </w:p>
        </w:tc>
      </w:tr>
      <w:tr>
        <w:trPr>
          <w:trHeight w:val="213"/>
        </w:trPr>
        <w:tc>
          <w:tcPr>
            <w:tcW w:w="2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25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IntelePeer Holdings, Inc.</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($44,321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800" w:type="dxa"/>
            <w:vAlign w:val="bottom"/>
          </w:tcPr>
          <w:p>
            <w:pPr>
              <w:jc w:val="right"/>
              <w:spacing w:after="0"/>
              <w:rPr>
                <w:sz w:val="20"/>
                <w:szCs w:val="20"/>
                <w:color w:val="auto"/>
              </w:rPr>
            </w:pPr>
            <w:r>
              <w:rPr>
                <w:rFonts w:ascii="Arial" w:cs="Arial" w:eastAsia="Arial" w:hAnsi="Arial"/>
                <w:sz w:val="16"/>
                <w:szCs w:val="16"/>
                <w:color w:val="auto"/>
              </w:rPr>
              <w:t>44,220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44,084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Convertible note ($4,061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5/12/2021</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6.00%</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6.00% PIK</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4,023</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4,041</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5/2028)</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5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5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48,243</w:t>
            </w:r>
          </w:p>
        </w:tc>
        <w:tc>
          <w:tcPr>
            <w:tcW w:w="22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48,125</w:t>
            </w:r>
          </w:p>
        </w:tc>
        <w:tc>
          <w:tcPr>
            <w:tcW w:w="2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4"/>
              </w:rPr>
              <w:t>%</w:t>
            </w:r>
          </w:p>
        </w:tc>
      </w:tr>
      <w:tr>
        <w:trPr>
          <w:trHeight w:val="212"/>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Education</w:t>
            </w:r>
          </w:p>
        </w:tc>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Destiny Solutions Parent</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($43,267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6/8/2021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6.75%</w:t>
            </w:r>
          </w:p>
        </w:tc>
        <w:tc>
          <w:tcPr>
            <w:tcW w:w="800" w:type="dxa"/>
            <w:vAlign w:val="bottom"/>
          </w:tcPr>
          <w:p>
            <w:pPr>
              <w:jc w:val="right"/>
              <w:spacing w:after="0"/>
              <w:rPr>
                <w:sz w:val="20"/>
                <w:szCs w:val="20"/>
                <w:color w:val="auto"/>
              </w:rPr>
            </w:pPr>
            <w:r>
              <w:rPr>
                <w:rFonts w:ascii="Arial" w:cs="Arial" w:eastAsia="Arial" w:hAnsi="Arial"/>
                <w:sz w:val="16"/>
                <w:szCs w:val="16"/>
                <w:color w:val="auto"/>
              </w:rPr>
              <w:t>42,115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42,304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Holding Company </w:t>
            </w:r>
            <w:r>
              <w:rPr>
                <w:rFonts w:ascii="Arial" w:cs="Arial" w:eastAsia="Arial" w:hAnsi="Arial"/>
                <w:sz w:val="25"/>
                <w:szCs w:val="25"/>
                <w:color w:val="auto"/>
                <w:vertAlign w:val="superscript"/>
              </w:rPr>
              <w:t>(3)(5)</w:t>
            </w:r>
          </w:p>
        </w:tc>
        <w:tc>
          <w:tcPr>
            <w:tcW w:w="2500" w:type="dxa"/>
            <w:vAlign w:val="bottom"/>
          </w:tcPr>
          <w:p>
            <w:pPr>
              <w:spacing w:after="0"/>
              <w:rPr>
                <w:sz w:val="20"/>
                <w:szCs w:val="20"/>
                <w:color w:val="auto"/>
              </w:rPr>
            </w:pPr>
            <w:r>
              <w:rPr>
                <w:rFonts w:ascii="Arial" w:cs="Arial" w:eastAsia="Arial" w:hAnsi="Arial"/>
                <w:sz w:val="16"/>
                <w:szCs w:val="16"/>
                <w:color w:val="auto"/>
              </w:rPr>
              <w:t>6/2026)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60" w:type="dxa"/>
            <w:vAlign w:val="bottom"/>
            <w:gridSpan w:val="2"/>
            <w:shd w:val="clear" w:color="auto" w:fill="CFF0FC"/>
          </w:tcPr>
          <w:p>
            <w:pPr>
              <w:spacing w:after="0" w:line="207" w:lineRule="exact"/>
              <w:rPr>
                <w:sz w:val="20"/>
                <w:szCs w:val="20"/>
                <w:color w:val="auto"/>
              </w:rPr>
            </w:pPr>
            <w:r>
              <w:rPr>
                <w:rFonts w:ascii="Arial" w:cs="Arial" w:eastAsia="Arial" w:hAnsi="Arial"/>
                <w:sz w:val="14"/>
                <w:szCs w:val="14"/>
                <w:color w:val="auto"/>
              </w:rPr>
              <w:t xml:space="preserve">EMS Linq, Inc. </w:t>
            </w:r>
            <w:r>
              <w:rPr>
                <w:rFonts w:ascii="Arial" w:cs="Arial" w:eastAsia="Arial" w:hAnsi="Arial"/>
                <w:sz w:val="23"/>
                <w:szCs w:val="23"/>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($34,650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9/17/2020</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+ 7.75%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33,778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35,603</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9/2025)</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60" w:type="dxa"/>
            <w:vAlign w:val="bottom"/>
            <w:gridSpan w:val="2"/>
          </w:tcPr>
          <w:p>
            <w:pPr>
              <w:spacing w:after="0"/>
              <w:rPr>
                <w:sz w:val="20"/>
                <w:szCs w:val="20"/>
                <w:color w:val="auto"/>
              </w:rPr>
            </w:pPr>
            <w:r>
              <w:rPr>
                <w:rFonts w:ascii="Arial" w:cs="Arial" w:eastAsia="Arial" w:hAnsi="Arial"/>
                <w:sz w:val="16"/>
                <w:szCs w:val="16"/>
                <w:color w:val="auto"/>
              </w:rPr>
              <w:t>Frontline Technologies</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($86,686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+ 5.75%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6.75%</w:t>
            </w:r>
          </w:p>
        </w:tc>
        <w:tc>
          <w:tcPr>
            <w:tcW w:w="800" w:type="dxa"/>
            <w:vAlign w:val="bottom"/>
          </w:tcPr>
          <w:p>
            <w:pPr>
              <w:jc w:val="right"/>
              <w:spacing w:after="0"/>
              <w:rPr>
                <w:sz w:val="20"/>
                <w:szCs w:val="20"/>
                <w:color w:val="auto"/>
              </w:rPr>
            </w:pPr>
            <w:r>
              <w:rPr>
                <w:rFonts w:ascii="Arial" w:cs="Arial" w:eastAsia="Arial" w:hAnsi="Arial"/>
                <w:sz w:val="16"/>
                <w:szCs w:val="16"/>
                <w:color w:val="auto"/>
              </w:rPr>
              <w:t>86,425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86,686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500" w:type="dxa"/>
            <w:vAlign w:val="bottom"/>
          </w:tcPr>
          <w:p>
            <w:pPr>
              <w:spacing w:after="0"/>
              <w:rPr>
                <w:sz w:val="20"/>
                <w:szCs w:val="20"/>
                <w:color w:val="auto"/>
              </w:rPr>
            </w:pPr>
            <w:r>
              <w:rPr>
                <w:rFonts w:ascii="Arial" w:cs="Arial" w:eastAsia="Arial" w:hAnsi="Arial"/>
                <w:sz w:val="16"/>
                <w:szCs w:val="16"/>
                <w:color w:val="auto"/>
              </w:rPr>
              <w:t>9/2023)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Illuminate Education,</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($62,888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62,603</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63,045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26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8/2022)</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224,921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227,638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2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5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AvidXchange, Inc.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($11,077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9.00%</w:t>
            </w:r>
          </w:p>
        </w:tc>
        <w:tc>
          <w:tcPr>
            <w:tcW w:w="800" w:type="dxa"/>
            <w:vAlign w:val="bottom"/>
          </w:tcPr>
          <w:p>
            <w:pPr>
              <w:jc w:val="right"/>
              <w:spacing w:after="0"/>
              <w:rPr>
                <w:sz w:val="20"/>
                <w:szCs w:val="20"/>
                <w:color w:val="auto"/>
              </w:rPr>
            </w:pPr>
            <w:r>
              <w:rPr>
                <w:rFonts w:ascii="Arial" w:cs="Arial" w:eastAsia="Arial" w:hAnsi="Arial"/>
                <w:sz w:val="16"/>
                <w:szCs w:val="16"/>
                <w:color w:val="auto"/>
              </w:rPr>
              <w:t>10,994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11,239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4/2024)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Bear OpCo, LLC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($19,625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19,269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19,527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BlueSnap, Inc.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($35,000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+ 7.00%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800" w:type="dxa"/>
            <w:vAlign w:val="bottom"/>
          </w:tcPr>
          <w:p>
            <w:pPr>
              <w:jc w:val="right"/>
              <w:spacing w:after="0"/>
              <w:rPr>
                <w:sz w:val="20"/>
                <w:szCs w:val="20"/>
                <w:color w:val="auto"/>
              </w:rPr>
            </w:pPr>
            <w:r>
              <w:rPr>
                <w:rFonts w:ascii="Arial" w:cs="Arial" w:eastAsia="Arial" w:hAnsi="Arial"/>
                <w:sz w:val="16"/>
                <w:szCs w:val="16"/>
                <w:color w:val="auto"/>
              </w:rPr>
              <w:t>34,537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35,350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10/2024)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($2,500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P + 6.00%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10/2024)</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($47,907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4/9/2018</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47,387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48,991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4/2023)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6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Ibis Intermediate Co. </w:t>
            </w:r>
            <w:r>
              <w:rPr>
                <w:rFonts w:ascii="Arial" w:cs="Arial" w:eastAsia="Arial" w:hAnsi="Arial"/>
                <w:sz w:val="24"/>
                <w:szCs w:val="24"/>
                <w:color w:val="auto"/>
                <w:vertAlign w:val="superscript"/>
              </w:rPr>
              <w:t>(3)(5)</w:t>
            </w:r>
          </w:p>
        </w:tc>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($1,545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5/28/2021</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5/2027)</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6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Ibis US Blocker Co. </w:t>
            </w:r>
            <w:r>
              <w:rPr>
                <w:rFonts w:ascii="Arial" w:cs="Arial" w:eastAsia="Arial" w:hAnsi="Arial"/>
                <w:sz w:val="23"/>
                <w:szCs w:val="23"/>
                <w:color w:val="auto"/>
                <w:vertAlign w:val="superscript"/>
              </w:rPr>
              <w:t>(3)</w:t>
            </w:r>
          </w:p>
        </w:tc>
        <w:tc>
          <w:tcPr>
            <w:tcW w:w="2620" w:type="dxa"/>
            <w:vAlign w:val="bottom"/>
            <w:gridSpan w:val="2"/>
          </w:tcPr>
          <w:p>
            <w:pPr>
              <w:spacing w:after="0"/>
              <w:rPr>
                <w:sz w:val="20"/>
                <w:szCs w:val="20"/>
                <w:color w:val="auto"/>
              </w:rPr>
            </w:pPr>
            <w:r>
              <w:rPr>
                <w:rFonts w:ascii="Arial" w:cs="Arial" w:eastAsia="Arial" w:hAnsi="Arial"/>
                <w:sz w:val="16"/>
                <w:szCs w:val="16"/>
                <w:color w:val="auto"/>
              </w:rPr>
              <w:t>First-lien loan ($12,395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5/28/2021</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8.75% PIK</w:t>
            </w:r>
          </w:p>
        </w:tc>
        <w:tc>
          <w:tcPr>
            <w:tcW w:w="800" w:type="dxa"/>
            <w:vAlign w:val="bottom"/>
          </w:tcPr>
          <w:p>
            <w:pPr>
              <w:jc w:val="right"/>
              <w:spacing w:after="0"/>
              <w:rPr>
                <w:sz w:val="20"/>
                <w:szCs w:val="20"/>
                <w:color w:val="auto"/>
              </w:rPr>
            </w:pPr>
            <w:r>
              <w:rPr>
                <w:rFonts w:ascii="Arial" w:cs="Arial" w:eastAsia="Arial" w:hAnsi="Arial"/>
                <w:sz w:val="16"/>
                <w:szCs w:val="16"/>
                <w:color w:val="auto"/>
              </w:rPr>
              <w:t>12,107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12,147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6"/>
                <w:szCs w:val="16"/>
                <w:color w:val="auto"/>
              </w:rPr>
              <w:t>5/2028)</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10"/>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InvMetrics Holdings, Inc. </w:t>
            </w:r>
            <w:r>
              <w:rPr>
                <w:rFonts w:ascii="Arial" w:cs="Arial" w:eastAsia="Arial" w:hAnsi="Arial"/>
                <w:sz w:val="27"/>
                <w:szCs w:val="27"/>
                <w:color w:val="auto"/>
                <w:vertAlign w:val="superscript"/>
              </w:rPr>
              <w:t>(3)(5)</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($52,801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12/30/2020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51,609</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52,801</w:t>
            </w: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w:t>
            </w: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12/2025)</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Jonas Collections and</w:t>
            </w: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($27,438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6/21/2021</w:t>
            </w:r>
          </w:p>
        </w:tc>
        <w:tc>
          <w:tcPr>
            <w:tcW w:w="940" w:type="dxa"/>
            <w:vAlign w:val="bottom"/>
          </w:tcPr>
          <w:p>
            <w:pPr>
              <w:jc w:val="right"/>
              <w:spacing w:after="0"/>
              <w:rPr>
                <w:sz w:val="20"/>
                <w:szCs w:val="20"/>
                <w:color w:val="auto"/>
              </w:rPr>
            </w:pPr>
            <w:r>
              <w:rPr>
                <w:rFonts w:ascii="Arial" w:cs="Arial" w:eastAsia="Arial" w:hAnsi="Arial"/>
                <w:sz w:val="16"/>
                <w:szCs w:val="16"/>
                <w:color w:val="auto"/>
              </w:rPr>
              <w:t>L + 5.75%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800" w:type="dxa"/>
            <w:vAlign w:val="bottom"/>
          </w:tcPr>
          <w:p>
            <w:pPr>
              <w:jc w:val="right"/>
              <w:spacing w:after="0"/>
              <w:rPr>
                <w:sz w:val="20"/>
                <w:szCs w:val="20"/>
                <w:color w:val="auto"/>
              </w:rPr>
            </w:pPr>
            <w:r>
              <w:rPr>
                <w:rFonts w:ascii="Arial" w:cs="Arial" w:eastAsia="Arial" w:hAnsi="Arial"/>
                <w:sz w:val="16"/>
                <w:szCs w:val="16"/>
                <w:color w:val="auto"/>
              </w:rPr>
              <w:t>26,891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26,957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16"/>
        </w:trPr>
        <w:tc>
          <w:tcPr>
            <w:tcW w:w="254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Recovery, Inc. </w:t>
            </w:r>
            <w:r>
              <w:rPr>
                <w:rFonts w:ascii="Arial" w:cs="Arial" w:eastAsia="Arial" w:hAnsi="Arial"/>
                <w:sz w:val="25"/>
                <w:szCs w:val="25"/>
                <w:color w:val="auto"/>
                <w:vertAlign w:val="superscript"/>
              </w:rPr>
              <w:t>(3)(5)</w:t>
            </w:r>
          </w:p>
        </w:tc>
        <w:tc>
          <w:tcPr>
            <w:tcW w:w="2720" w:type="dxa"/>
            <w:vAlign w:val="bottom"/>
          </w:tcPr>
          <w:p>
            <w:pPr>
              <w:ind w:left="120"/>
              <w:spacing w:after="0"/>
              <w:rPr>
                <w:sz w:val="20"/>
                <w:szCs w:val="20"/>
                <w:color w:val="auto"/>
              </w:rPr>
            </w:pPr>
            <w:r>
              <w:rPr>
                <w:rFonts w:ascii="Arial" w:cs="Arial" w:eastAsia="Arial" w:hAnsi="Arial"/>
                <w:sz w:val="16"/>
                <w:szCs w:val="16"/>
                <w:color w:val="auto"/>
              </w:rPr>
              <w:t>6/2026)</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4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($14,893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+ 9.00%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15,297</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r>
      <w:tr>
        <w:trPr>
          <w:trHeight w:val="203"/>
        </w:trPr>
        <w:tc>
          <w:tcPr>
            <w:tcW w:w="2540" w:type="dxa"/>
            <w:vAlign w:val="bottom"/>
            <w:shd w:val="clear" w:color="auto" w:fill="CFF0FC"/>
          </w:tcPr>
          <w:p>
            <w:pPr>
              <w:spacing w:after="0"/>
              <w:rPr>
                <w:sz w:val="17"/>
                <w:szCs w:val="17"/>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4/2025)</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40" w:type="dxa"/>
            <w:vAlign w:val="bottom"/>
            <w:shd w:val="clear" w:color="auto" w:fill="CFF0FC"/>
          </w:tcPr>
          <w:p>
            <w:pPr>
              <w:spacing w:after="0"/>
              <w:rPr>
                <w:sz w:val="17"/>
                <w:szCs w:val="17"/>
                <w:color w:val="auto"/>
              </w:rPr>
            </w:pPr>
          </w:p>
        </w:tc>
        <w:tc>
          <w:tcPr>
            <w:tcW w:w="27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(EUR 8,866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E + 9.00%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9.00% PIK</w:t>
            </w:r>
          </w:p>
        </w:tc>
        <w:tc>
          <w:tcPr>
            <w:tcW w:w="800" w:type="dxa"/>
            <w:vAlign w:val="bottom"/>
          </w:tcPr>
          <w:p>
            <w:pPr>
              <w:jc w:val="right"/>
              <w:spacing w:after="0"/>
              <w:rPr>
                <w:sz w:val="20"/>
                <w:szCs w:val="20"/>
                <w:color w:val="auto"/>
              </w:rPr>
            </w:pPr>
            <w:r>
              <w:rPr>
                <w:rFonts w:ascii="Arial" w:cs="Arial" w:eastAsia="Arial" w:hAnsi="Arial"/>
                <w:sz w:val="16"/>
                <w:szCs w:val="16"/>
                <w:color w:val="auto"/>
              </w:rPr>
              <w:t>9,828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10,507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203"/>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4/2025)</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9,066)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revolving loan ($1,411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4/2025)</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revolving loan (EUR 336</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E + 7.25%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9"/>
        </w:trPr>
        <w:tc>
          <w:tcPr>
            <w:tcW w:w="254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par, due 4/2025)</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(EUR 336)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Passport Labs, Inc. </w:t>
            </w:r>
            <w:r>
              <w:rPr>
                <w:rFonts w:ascii="Arial" w:cs="Arial" w:eastAsia="Arial" w:hAnsi="Arial"/>
                <w:sz w:val="24"/>
                <w:szCs w:val="24"/>
                <w:color w:val="auto"/>
                <w:vertAlign w:val="superscript"/>
              </w:rPr>
              <w:t>(3)</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($16,840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4/28/2021</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+ 8.25%</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16,514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03"/>
        </w:trPr>
        <w:tc>
          <w:tcPr>
            <w:tcW w:w="2540" w:type="dxa"/>
            <w:vAlign w:val="bottom"/>
            <w:shd w:val="clear" w:color="auto" w:fill="CFF0FC"/>
          </w:tcPr>
          <w:p>
            <w:pPr>
              <w:spacing w:after="0"/>
              <w:rPr>
                <w:sz w:val="17"/>
                <w:szCs w:val="17"/>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4/2026)</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40" w:type="dxa"/>
            <w:vAlign w:val="bottom"/>
            <w:shd w:val="clear" w:color="auto" w:fill="CFF0FC"/>
          </w:tcPr>
          <w:p>
            <w:pPr>
              <w:spacing w:after="0"/>
              <w:rPr>
                <w:sz w:val="17"/>
                <w:szCs w:val="17"/>
                <w:color w:val="auto"/>
              </w:rPr>
            </w:pPr>
          </w:p>
        </w:tc>
        <w:tc>
          <w:tcPr>
            <w:tcW w:w="27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4.125%</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PrimeRevenue, Inc. </w:t>
            </w:r>
            <w:r>
              <w:rPr>
                <w:rFonts w:ascii="Arial" w:cs="Arial" w:eastAsia="Arial" w:hAnsi="Arial"/>
                <w:sz w:val="23"/>
                <w:szCs w:val="23"/>
                <w:color w:val="auto"/>
                <w:vertAlign w:val="superscript"/>
              </w:rPr>
              <w:t>(3)</w:t>
            </w: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($22,507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12/31/2018</w:t>
            </w:r>
          </w:p>
        </w:tc>
        <w:tc>
          <w:tcPr>
            <w:tcW w:w="940" w:type="dxa"/>
            <w:vAlign w:val="bottom"/>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22,349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23,232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209"/>
        </w:trPr>
        <w:tc>
          <w:tcPr>
            <w:tcW w:w="254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12/2023)</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TradingScreen, Inc. </w:t>
            </w:r>
            <w:r>
              <w:rPr>
                <w:rFonts w:ascii="Arial" w:cs="Arial" w:eastAsia="Arial" w:hAnsi="Arial"/>
                <w:sz w:val="24"/>
                <w:szCs w:val="24"/>
                <w:color w:val="auto"/>
                <w:vertAlign w:val="superscript"/>
              </w:rPr>
              <w:t>(3)(5)</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($45,000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4/30/2021</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43,719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r>
      <w:tr>
        <w:trPr>
          <w:trHeight w:val="209"/>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4/2027)</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315,489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322,782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25.7%</w:t>
            </w: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7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BCTO Ace Purchaser, Inc. </w:t>
            </w:r>
            <w:r>
              <w:rPr>
                <w:rFonts w:ascii="Arial" w:cs="Arial" w:eastAsia="Arial" w:hAnsi="Arial"/>
                <w:sz w:val="23"/>
                <w:szCs w:val="23"/>
                <w:color w:val="auto"/>
                <w:vertAlign w:val="superscript"/>
              </w:rPr>
              <w:t>(3)(5)</w:t>
            </w: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($53,228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11/23/2020</w:t>
            </w:r>
          </w:p>
        </w:tc>
        <w:tc>
          <w:tcPr>
            <w:tcW w:w="940" w:type="dxa"/>
            <w:vAlign w:val="bottom"/>
          </w:tcPr>
          <w:p>
            <w:pPr>
              <w:jc w:val="right"/>
              <w:spacing w:after="0"/>
              <w:rPr>
                <w:sz w:val="20"/>
                <w:szCs w:val="20"/>
                <w:color w:val="auto"/>
              </w:rPr>
            </w:pPr>
            <w:r>
              <w:rPr>
                <w:rFonts w:ascii="Arial" w:cs="Arial" w:eastAsia="Arial" w:hAnsi="Arial"/>
                <w:sz w:val="16"/>
                <w:szCs w:val="16"/>
                <w:color w:val="auto"/>
              </w:rPr>
              <w:t>L + 6.50%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51,892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53,628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09"/>
        </w:trPr>
        <w:tc>
          <w:tcPr>
            <w:tcW w:w="254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11/2026)</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Inc.</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($5,000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9/21/2018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9/2023)</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($3,750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4/2/2020</w:t>
            </w:r>
          </w:p>
        </w:tc>
        <w:tc>
          <w:tcPr>
            <w:tcW w:w="940" w:type="dxa"/>
            <w:vAlign w:val="bottom"/>
          </w:tcPr>
          <w:p>
            <w:pPr>
              <w:jc w:val="right"/>
              <w:spacing w:after="0"/>
              <w:rPr>
                <w:sz w:val="20"/>
                <w:szCs w:val="20"/>
                <w:color w:val="auto"/>
              </w:rPr>
            </w:pPr>
            <w:r>
              <w:rPr>
                <w:rFonts w:ascii="Arial" w:cs="Arial" w:eastAsia="Arial" w:hAnsi="Arial"/>
                <w:sz w:val="16"/>
                <w:szCs w:val="16"/>
                <w:color w:val="auto"/>
              </w:rPr>
              <w:t>11.30%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800" w:type="dxa"/>
            <w:vAlign w:val="bottom"/>
          </w:tcPr>
          <w:p>
            <w:pPr>
              <w:jc w:val="right"/>
              <w:spacing w:after="0"/>
              <w:rPr>
                <w:sz w:val="20"/>
                <w:szCs w:val="20"/>
                <w:color w:val="auto"/>
              </w:rPr>
            </w:pPr>
            <w:r>
              <w:rPr>
                <w:rFonts w:ascii="Arial" w:cs="Arial" w:eastAsia="Arial" w:hAnsi="Arial"/>
                <w:sz w:val="16"/>
                <w:szCs w:val="16"/>
                <w:color w:val="auto"/>
              </w:rPr>
              <w:t>3,534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9"/>
        </w:trPr>
        <w:tc>
          <w:tcPr>
            <w:tcW w:w="254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4/2025)</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Convertible note ($2,602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9/21/2018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9/2023)</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($15,000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14,912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15,150</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09"/>
        </w:trPr>
        <w:tc>
          <w:tcPr>
            <w:tcW w:w="254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5/2024)</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revolving loan ($2,400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5/2024)</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Integrated Practice</w:t>
            </w: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($49,000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6/30/2017</w:t>
            </w:r>
          </w:p>
        </w:tc>
        <w:tc>
          <w:tcPr>
            <w:tcW w:w="940" w:type="dxa"/>
            <w:vAlign w:val="bottom"/>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47,798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50,348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216"/>
        </w:trPr>
        <w:tc>
          <w:tcPr>
            <w:tcW w:w="254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720" w:type="dxa"/>
            <w:vAlign w:val="bottom"/>
          </w:tcPr>
          <w:p>
            <w:pPr>
              <w:ind w:left="120"/>
              <w:spacing w:after="0"/>
              <w:rPr>
                <w:sz w:val="20"/>
                <w:szCs w:val="20"/>
                <w:color w:val="auto"/>
              </w:rPr>
            </w:pPr>
            <w:r>
              <w:rPr>
                <w:rFonts w:ascii="Arial" w:cs="Arial" w:eastAsia="Arial" w:hAnsi="Arial"/>
                <w:sz w:val="16"/>
                <w:szCs w:val="16"/>
                <w:color w:val="auto"/>
              </w:rPr>
              <w:t>10/2024)</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($29,076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4/8/2019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+ 8.75%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28,575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29,457</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16"/>
        </w:trPr>
        <w:tc>
          <w:tcPr>
            <w:tcW w:w="254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4/2024)</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revolving loan ($1,500 par,</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4/8/2019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+ 8.75%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800" w:type="dxa"/>
            <w:vAlign w:val="bottom"/>
          </w:tcPr>
          <w:p>
            <w:pPr>
              <w:jc w:val="right"/>
              <w:spacing w:after="0"/>
              <w:rPr>
                <w:sz w:val="20"/>
                <w:szCs w:val="20"/>
                <w:color w:val="auto"/>
              </w:rPr>
            </w:pPr>
            <w:r>
              <w:rPr>
                <w:rFonts w:ascii="Arial" w:cs="Arial" w:eastAsia="Arial" w:hAnsi="Arial"/>
                <w:sz w:val="16"/>
                <w:szCs w:val="16"/>
                <w:color w:val="auto"/>
              </w:rPr>
              <w:t>1,480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1,525</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40" w:type="dxa"/>
            <w:vAlign w:val="bottom"/>
            <w:tcBorders>
              <w:bottom w:val="single" w:sz="8" w:color="CFF0FC"/>
            </w:tcBorders>
          </w:tcPr>
          <w:p>
            <w:pPr>
              <w:spacing w:after="0"/>
              <w:rPr>
                <w:sz w:val="18"/>
                <w:szCs w:val="18"/>
                <w:color w:val="auto"/>
              </w:rPr>
            </w:pPr>
          </w:p>
        </w:tc>
        <w:tc>
          <w:tcPr>
            <w:tcW w:w="27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due 4/2024)</w:t>
            </w:r>
          </w:p>
        </w:tc>
        <w:tc>
          <w:tcPr>
            <w:tcW w:w="104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158,087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174,211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13.9%</w:t>
            </w:r>
          </w:p>
        </w:tc>
      </w:tr>
      <w:tr>
        <w:trPr>
          <w:trHeight w:val="206"/>
        </w:trPr>
        <w:tc>
          <w:tcPr>
            <w:tcW w:w="254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Clubessential Holdings, LLC </w:t>
            </w:r>
            <w:r>
              <w:rPr>
                <w:rFonts w:ascii="Arial" w:cs="Arial" w:eastAsia="Arial" w:hAnsi="Arial"/>
                <w:sz w:val="24"/>
                <w:szCs w:val="24"/>
                <w:color w:val="auto"/>
                <w:vertAlign w:val="superscript"/>
              </w:rPr>
              <w:t>(3)</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($10,614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5/25/2021</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1/2024)</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(EUR 24,047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5/25/2021</w:t>
            </w:r>
          </w:p>
        </w:tc>
        <w:tc>
          <w:tcPr>
            <w:tcW w:w="940" w:type="dxa"/>
            <w:vAlign w:val="bottom"/>
          </w:tcPr>
          <w:p>
            <w:pPr>
              <w:jc w:val="right"/>
              <w:spacing w:after="0"/>
              <w:rPr>
                <w:sz w:val="20"/>
                <w:szCs w:val="20"/>
                <w:color w:val="auto"/>
              </w:rPr>
            </w:pPr>
            <w:r>
              <w:rPr>
                <w:rFonts w:ascii="Arial" w:cs="Arial" w:eastAsia="Arial" w:hAnsi="Arial"/>
                <w:sz w:val="16"/>
                <w:szCs w:val="16"/>
                <w:color w:val="auto"/>
              </w:rPr>
              <w:t>E + 6.25%</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28,926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27,869</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03"/>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1/2024)</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24,047)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($30,261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9/29/2015</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30,261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6/2022)</w:t>
            </w: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rPr>
                <w:sz w:val="17"/>
                <w:szCs w:val="17"/>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w w:val="97"/>
              </w:rPr>
              <w:t>First-lien revolving loan ($11,297 par,</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9/29/2015</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11,298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11,297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r>
      <w:tr>
        <w:trPr>
          <w:trHeight w:val="209"/>
        </w:trPr>
        <w:tc>
          <w:tcPr>
            <w:tcW w:w="2540" w:type="dxa"/>
            <w:vAlign w:val="bottom"/>
            <w:tcBorders>
              <w:bottom w:val="single" w:sz="8" w:color="CFF0FC"/>
            </w:tcBorders>
          </w:tcPr>
          <w:p>
            <w:pPr>
              <w:spacing w:after="0"/>
              <w:rPr>
                <w:sz w:val="18"/>
                <w:szCs w:val="18"/>
                <w:color w:val="auto"/>
              </w:rPr>
            </w:pPr>
          </w:p>
        </w:tc>
        <w:tc>
          <w:tcPr>
            <w:tcW w:w="27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due 6/2022)</w:t>
            </w:r>
          </w:p>
        </w:tc>
        <w:tc>
          <w:tcPr>
            <w:tcW w:w="104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0"/>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79,246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r>
      <w:tr>
        <w:trPr>
          <w:trHeight w:val="213"/>
        </w:trPr>
        <w:tc>
          <w:tcPr>
            <w:tcW w:w="2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4"/>
              </w:rPr>
              <w:t>Human Resource Support Services</w:t>
            </w:r>
          </w:p>
        </w:tc>
        <w:tc>
          <w:tcPr>
            <w:tcW w:w="2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Axonify, Inc. </w:t>
            </w:r>
            <w:r>
              <w:rPr>
                <w:rFonts w:ascii="Arial" w:cs="Arial" w:eastAsia="Arial" w:hAnsi="Arial"/>
                <w:sz w:val="23"/>
                <w:szCs w:val="23"/>
                <w:color w:val="auto"/>
                <w:vertAlign w:val="superscript"/>
              </w:rPr>
              <w:t>(3)(4)(5)</w:t>
            </w:r>
          </w:p>
        </w:tc>
        <w:tc>
          <w:tcPr>
            <w:tcW w:w="2720" w:type="dxa"/>
            <w:vAlign w:val="bottom"/>
          </w:tcPr>
          <w:p>
            <w:pPr>
              <w:ind w:left="120"/>
              <w:spacing w:after="0"/>
              <w:rPr>
                <w:sz w:val="20"/>
                <w:szCs w:val="20"/>
                <w:color w:val="auto"/>
              </w:rPr>
            </w:pPr>
            <w:r>
              <w:rPr>
                <w:rFonts w:ascii="Arial" w:cs="Arial" w:eastAsia="Arial" w:hAnsi="Arial"/>
                <w:sz w:val="16"/>
                <w:szCs w:val="16"/>
                <w:color w:val="auto"/>
              </w:rPr>
              <w:t>First-lien loan ($30,746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5/5/2021</w:t>
            </w:r>
          </w:p>
        </w:tc>
        <w:tc>
          <w:tcPr>
            <w:tcW w:w="940" w:type="dxa"/>
            <w:vAlign w:val="bottom"/>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29,937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30,075</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9"/>
        </w:trPr>
        <w:tc>
          <w:tcPr>
            <w:tcW w:w="254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5/2026)</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(3)</w:t>
            </w: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($20,438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7/23/2018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20,332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20,489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r>
      <w:tr>
        <w:trPr>
          <w:trHeight w:val="202"/>
        </w:trPr>
        <w:tc>
          <w:tcPr>
            <w:tcW w:w="2540" w:type="dxa"/>
            <w:vAlign w:val="bottom"/>
            <w:shd w:val="clear" w:color="auto" w:fill="CFF0FC"/>
          </w:tcPr>
          <w:p>
            <w:pPr>
              <w:spacing w:after="0"/>
              <w:rPr>
                <w:sz w:val="17"/>
                <w:szCs w:val="17"/>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7/2023)</w:t>
            </w: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540" w:type="dxa"/>
            <w:vAlign w:val="bottom"/>
            <w:shd w:val="clear" w:color="auto" w:fill="CFF0FC"/>
          </w:tcPr>
          <w:p>
            <w:pPr>
              <w:spacing w:after="0"/>
              <w:rPr>
                <w:sz w:val="17"/>
                <w:szCs w:val="17"/>
                <w:color w:val="auto"/>
              </w:rPr>
            </w:pPr>
          </w:p>
        </w:tc>
        <w:tc>
          <w:tcPr>
            <w:tcW w:w="27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2.50%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10"/>
        </w:trPr>
        <w:tc>
          <w:tcPr>
            <w:tcW w:w="2380" w:type="dxa"/>
            <w:vAlign w:val="bottom"/>
          </w:tcPr>
          <w:p>
            <w:pPr>
              <w:spacing w:after="0"/>
              <w:rPr>
                <w:sz w:val="20"/>
                <w:szCs w:val="20"/>
                <w:color w:val="auto"/>
              </w:rPr>
            </w:pPr>
            <w:r>
              <w:rPr>
                <w:rFonts w:ascii="Arial" w:cs="Arial" w:eastAsia="Arial" w:hAnsi="Arial"/>
                <w:sz w:val="16"/>
                <w:szCs w:val="16"/>
                <w:color w:val="auto"/>
              </w:rPr>
              <w:t xml:space="preserve">DaySmart Holdings, LLC </w:t>
            </w:r>
            <w:r>
              <w:rPr>
                <w:rFonts w:ascii="Arial" w:cs="Arial" w:eastAsia="Arial" w:hAnsi="Arial"/>
                <w:sz w:val="27"/>
                <w:szCs w:val="27"/>
                <w:color w:val="auto"/>
                <w:vertAlign w:val="superscript"/>
              </w:rPr>
              <w:t>(3)(5)</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($47,353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12/18/2020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47,238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47,616</w:t>
            </w:r>
          </w:p>
        </w:tc>
        <w:tc>
          <w:tcPr>
            <w:tcW w:w="2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09"/>
        </w:trPr>
        <w:tc>
          <w:tcPr>
            <w:tcW w:w="238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10/2025)</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8"/>
              </w:rPr>
              <w:t>First-lien revolving loan ($3,000 par,</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12"/>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due 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PageUp People, Ltd. </w:t>
            </w:r>
            <w:r>
              <w:rPr>
                <w:rFonts w:ascii="Arial" w:cs="Arial" w:eastAsia="Arial" w:hAnsi="Arial"/>
                <w:sz w:val="23"/>
                <w:szCs w:val="23"/>
                <w:color w:val="auto"/>
                <w:vertAlign w:val="superscript"/>
              </w:rPr>
              <w:t>(3)(4)</w:t>
            </w:r>
          </w:p>
        </w:tc>
        <w:tc>
          <w:tcPr>
            <w:tcW w:w="2740" w:type="dxa"/>
            <w:vAlign w:val="bottom"/>
          </w:tcPr>
          <w:p>
            <w:pPr>
              <w:ind w:left="200"/>
              <w:spacing w:after="0"/>
              <w:rPr>
                <w:sz w:val="20"/>
                <w:szCs w:val="20"/>
                <w:color w:val="auto"/>
              </w:rPr>
            </w:pPr>
            <w:r>
              <w:rPr>
                <w:rFonts w:ascii="Arial" w:cs="Arial" w:eastAsia="Arial" w:hAnsi="Arial"/>
                <w:sz w:val="16"/>
                <w:szCs w:val="16"/>
                <w:color w:val="auto"/>
                <w:w w:val="98"/>
              </w:rPr>
              <w:t>First-lien loan (AUD 50,860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B + 6.25%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39,167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36,839</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r>
      <w:tr>
        <w:trPr>
          <w:trHeight w:val="209"/>
        </w:trPr>
        <w:tc>
          <w:tcPr>
            <w:tcW w:w="238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12/2022)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(AUD 50,999)</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($69,650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68,568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69,998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w:t>
            </w:r>
          </w:p>
        </w:tc>
      </w:tr>
      <w:tr>
        <w:trPr>
          <w:trHeight w:val="212"/>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5/2024)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Modern Hire, Inc. </w:t>
            </w:r>
            <w:r>
              <w:rPr>
                <w:rFonts w:ascii="Arial" w:cs="Arial" w:eastAsia="Arial" w:hAnsi="Arial"/>
                <w:sz w:val="23"/>
                <w:szCs w:val="23"/>
                <w:color w:val="auto"/>
                <w:vertAlign w:val="superscript"/>
              </w:rPr>
              <w:t>(3)(5)</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($29,800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5/15/2019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29,324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30,470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9"/>
        </w:trPr>
        <w:tc>
          <w:tcPr>
            <w:tcW w:w="238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5/2024)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Workwell Acquisition Co. </w:t>
            </w:r>
            <w:r>
              <w:rPr>
                <w:rFonts w:ascii="Arial" w:cs="Arial" w:eastAsia="Arial" w:hAnsi="Arial"/>
                <w:sz w:val="24"/>
                <w:szCs w:val="24"/>
                <w:color w:val="auto"/>
                <w:vertAlign w:val="superscript"/>
              </w:rPr>
              <w:t>(3)(5)</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($19,800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10/19/2020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19,233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20,024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r>
      <w:tr>
        <w:trPr>
          <w:trHeight w:val="209"/>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256,802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258,526</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20.5%</w:t>
            </w:r>
          </w:p>
        </w:tc>
      </w:tr>
      <w:tr>
        <w:trPr>
          <w:trHeight w:val="21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7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(3)(5)</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($50,185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49,898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50,687</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r>
        <w:trPr>
          <w:trHeight w:val="209"/>
        </w:trPr>
        <w:tc>
          <w:tcPr>
            <w:tcW w:w="238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10/2023)</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23"/>
                <w:szCs w:val="23"/>
                <w:color w:val="auto"/>
                <w:vertAlign w:val="superscript"/>
              </w:rPr>
              <w:t>(3)(5)</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($53,588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6/18/2018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53,127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54,258</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209"/>
        </w:trPr>
        <w:tc>
          <w:tcPr>
            <w:tcW w:w="238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1/2024)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($54,700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10/3/2017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54,389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53,975</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r>
      <w:tr>
        <w:trPr>
          <w:trHeight w:val="216"/>
        </w:trPr>
        <w:tc>
          <w:tcPr>
            <w:tcW w:w="23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10/2022)</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($13,603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12.00%</w:t>
            </w:r>
          </w:p>
        </w:tc>
        <w:tc>
          <w:tcPr>
            <w:tcW w:w="800" w:type="dxa"/>
            <w:vAlign w:val="bottom"/>
          </w:tcPr>
          <w:p>
            <w:pPr>
              <w:jc w:val="right"/>
              <w:spacing w:after="0"/>
              <w:rPr>
                <w:sz w:val="20"/>
                <w:szCs w:val="20"/>
                <w:color w:val="auto"/>
              </w:rPr>
            </w:pPr>
            <w:r>
              <w:rPr>
                <w:rFonts w:ascii="Arial" w:cs="Arial" w:eastAsia="Arial" w:hAnsi="Arial"/>
                <w:sz w:val="16"/>
                <w:szCs w:val="16"/>
                <w:color w:val="auto"/>
              </w:rPr>
              <w:t>13,514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13,773</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2"/>
        </w:trPr>
        <w:tc>
          <w:tcPr>
            <w:tcW w:w="2380" w:type="dxa"/>
            <w:vAlign w:val="bottom"/>
          </w:tcPr>
          <w:p>
            <w:pPr>
              <w:spacing w:after="0"/>
              <w:rPr>
                <w:sz w:val="17"/>
                <w:szCs w:val="17"/>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7/2024)</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7.00%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Piano Software, Inc. </w:t>
            </w:r>
            <w:r>
              <w:rPr>
                <w:rFonts w:ascii="Arial" w:cs="Arial" w:eastAsia="Arial" w:hAnsi="Arial"/>
                <w:sz w:val="24"/>
                <w:szCs w:val="24"/>
                <w:color w:val="auto"/>
                <w:vertAlign w:val="superscript"/>
              </w:rPr>
              <w:t>(3)(5)</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($38,211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2/25/2021</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37,389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37,638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r>
      <w:tr>
        <w:trPr>
          <w:trHeight w:val="209"/>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2/2026)</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158,419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159,644</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12.7%</w:t>
            </w:r>
          </w:p>
        </w:tc>
      </w:tr>
      <w:tr>
        <w:trPr>
          <w:trHeight w:val="21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7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note ($33,000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12/17/2019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32,495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31,350</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209"/>
        </w:trPr>
        <w:tc>
          <w:tcPr>
            <w:tcW w:w="238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6/2024)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740" w:type="dxa"/>
            <w:vAlign w:val="bottom"/>
          </w:tcPr>
          <w:p>
            <w:pPr>
              <w:ind w:left="200"/>
              <w:spacing w:after="0"/>
              <w:rPr>
                <w:sz w:val="20"/>
                <w:szCs w:val="20"/>
                <w:color w:val="auto"/>
              </w:rPr>
            </w:pPr>
            <w:r>
              <w:rPr>
                <w:rFonts w:ascii="Arial" w:cs="Arial" w:eastAsia="Arial" w:hAnsi="Arial"/>
                <w:sz w:val="16"/>
                <w:szCs w:val="16"/>
                <w:color w:val="auto"/>
              </w:rPr>
              <w:t>ABL FILO term loan ($6,232 par,</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9/12/2017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6,198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6,263</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r>
      <w:tr>
        <w:trPr>
          <w:trHeight w:val="209"/>
        </w:trPr>
        <w:tc>
          <w:tcPr>
            <w:tcW w:w="238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due 9/2022)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8"/>
              </w:rPr>
              <w:t>Oil, Gas and Consumable Fuels</w:t>
            </w:r>
          </w:p>
        </w:tc>
        <w:tc>
          <w:tcPr>
            <w:tcW w:w="2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MD America Energy,</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($8,831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11/14/2018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8,831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8,832</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740" w:type="dxa"/>
            <w:vAlign w:val="bottom"/>
          </w:tcPr>
          <w:p>
            <w:pPr>
              <w:ind w:left="200"/>
              <w:spacing w:after="0"/>
              <w:rPr>
                <w:sz w:val="20"/>
                <w:szCs w:val="20"/>
                <w:color w:val="auto"/>
              </w:rPr>
            </w:pPr>
            <w:r>
              <w:rPr>
                <w:rFonts w:ascii="Arial" w:cs="Arial" w:eastAsia="Arial" w:hAnsi="Arial"/>
                <w:sz w:val="16"/>
                <w:szCs w:val="16"/>
                <w:color w:val="auto"/>
              </w:rPr>
              <w:t>12/2024)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($1,500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6/29/2018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P + 8.00%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6"/>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12/2021)</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80" w:type="dxa"/>
            <w:vAlign w:val="bottom"/>
          </w:tcPr>
          <w:p>
            <w:pPr>
              <w:spacing w:after="0"/>
              <w:rPr>
                <w:sz w:val="20"/>
                <w:szCs w:val="20"/>
                <w:color w:val="auto"/>
              </w:rPr>
            </w:pPr>
            <w:r>
              <w:rPr>
                <w:rFonts w:ascii="Arial" w:cs="Arial" w:eastAsia="Arial" w:hAnsi="Arial"/>
                <w:sz w:val="16"/>
                <w:szCs w:val="16"/>
                <w:color w:val="auto"/>
              </w:rPr>
              <w:t>Verdad Resources Intermediate</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($25,233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4/10/2019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24,811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25,641</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216"/>
        </w:trPr>
        <w:tc>
          <w:tcPr>
            <w:tcW w:w="238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7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10/2024)</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09"/>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35,140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34,473</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r>
      <w:tr>
        <w:trPr>
          <w:trHeight w:val="207"/>
        </w:trPr>
        <w:tc>
          <w:tcPr>
            <w:tcW w:w="238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Lexipol, LLC </w:t>
            </w:r>
            <w:r>
              <w:rPr>
                <w:rFonts w:ascii="Arial" w:cs="Arial" w:eastAsia="Arial" w:hAnsi="Arial"/>
                <w:sz w:val="24"/>
                <w:szCs w:val="24"/>
                <w:color w:val="auto"/>
                <w:vertAlign w:val="superscript"/>
              </w:rPr>
              <w:t>(3)(5)</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($19,613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+ 5.75%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19,809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r>
      <w:tr>
        <w:trPr>
          <w:trHeight w:val="212"/>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line="207" w:lineRule="exact"/>
              <w:rPr>
                <w:sz w:val="20"/>
                <w:szCs w:val="20"/>
                <w:color w:val="auto"/>
              </w:rPr>
            </w:pPr>
            <w:r>
              <w:rPr>
                <w:rFonts w:ascii="Arial" w:cs="Arial" w:eastAsia="Arial" w:hAnsi="Arial"/>
                <w:sz w:val="14"/>
                <w:szCs w:val="14"/>
                <w:color w:val="auto"/>
              </w:rPr>
              <w:t xml:space="preserve">Omnigo Software, LLC </w:t>
            </w:r>
            <w:r>
              <w:rPr>
                <w:rFonts w:ascii="Arial" w:cs="Arial" w:eastAsia="Arial" w:hAnsi="Arial"/>
                <w:sz w:val="23"/>
                <w:szCs w:val="23"/>
                <w:color w:val="auto"/>
                <w:vertAlign w:val="superscript"/>
              </w:rPr>
              <w:t>(3)(5)</w:t>
            </w: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($33,830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3/31/2021</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800" w:type="dxa"/>
            <w:vAlign w:val="bottom"/>
          </w:tcPr>
          <w:p>
            <w:pPr>
              <w:jc w:val="right"/>
              <w:spacing w:after="0"/>
              <w:rPr>
                <w:sz w:val="20"/>
                <w:szCs w:val="20"/>
                <w:color w:val="auto"/>
              </w:rPr>
            </w:pPr>
            <w:r>
              <w:rPr>
                <w:rFonts w:ascii="Arial" w:cs="Arial" w:eastAsia="Arial" w:hAnsi="Arial"/>
                <w:sz w:val="16"/>
                <w:szCs w:val="16"/>
                <w:color w:val="auto"/>
              </w:rPr>
              <w:t>33,117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33,407</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09"/>
        </w:trPr>
        <w:tc>
          <w:tcPr>
            <w:tcW w:w="238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3/2026)</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52,447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53,216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r>
      <w:tr>
        <w:trPr>
          <w:trHeight w:val="206"/>
        </w:trPr>
        <w:tc>
          <w:tcPr>
            <w:tcW w:w="238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Biohaven Pharmaceuticals,</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($41,346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8/7/2020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40,366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42,379</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w:t>
            </w:r>
          </w:p>
        </w:tc>
      </w:tr>
      <w:tr>
        <w:trPr>
          <w:trHeight w:val="206"/>
        </w:trPr>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8/2025)</w:t>
            </w: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8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4.00%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80" w:type="dxa"/>
            <w:vAlign w:val="bottom"/>
          </w:tcPr>
          <w:p>
            <w:pPr>
              <w:spacing w:after="0"/>
              <w:rPr>
                <w:sz w:val="17"/>
                <w:szCs w:val="17"/>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First-lien loan ($22,500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9/30/2021</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+ 8.25%</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9.25%</w:t>
            </w:r>
          </w:p>
        </w:tc>
        <w:tc>
          <w:tcPr>
            <w:tcW w:w="800" w:type="dxa"/>
            <w:vAlign w:val="bottom"/>
          </w:tcPr>
          <w:p>
            <w:pPr>
              <w:jc w:val="right"/>
              <w:spacing w:after="0"/>
              <w:rPr>
                <w:sz w:val="20"/>
                <w:szCs w:val="20"/>
                <w:color w:val="auto"/>
              </w:rPr>
            </w:pPr>
            <w:r>
              <w:rPr>
                <w:rFonts w:ascii="Arial" w:cs="Arial" w:eastAsia="Arial" w:hAnsi="Arial"/>
                <w:sz w:val="16"/>
                <w:szCs w:val="16"/>
                <w:color w:val="auto"/>
              </w:rPr>
              <w:t>21,425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22,938</w:t>
            </w: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03"/>
        </w:trPr>
        <w:tc>
          <w:tcPr>
            <w:tcW w:w="2380" w:type="dxa"/>
            <w:vAlign w:val="bottom"/>
          </w:tcPr>
          <w:p>
            <w:pPr>
              <w:spacing w:after="0"/>
              <w:rPr>
                <w:sz w:val="17"/>
                <w:szCs w:val="17"/>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9/2026)</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4.00%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($30,000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4/24/2019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r>
      <w:tr>
        <w:trPr>
          <w:trHeight w:val="209"/>
        </w:trPr>
        <w:tc>
          <w:tcPr>
            <w:tcW w:w="2380" w:type="dxa"/>
            <w:vAlign w:val="bottom"/>
            <w:shd w:val="clear" w:color="auto" w:fill="CFF0FC"/>
          </w:tcPr>
          <w:p>
            <w:pPr>
              <w:spacing w:after="0"/>
              <w:rPr>
                <w:sz w:val="18"/>
                <w:szCs w:val="18"/>
                <w:color w:val="auto"/>
              </w:rPr>
            </w:pPr>
          </w:p>
        </w:tc>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3/2024)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90,765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95,317</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r>
      <w:tr>
        <w:trPr>
          <w:trHeight w:val="212"/>
        </w:trPr>
        <w:tc>
          <w:tcPr>
            <w:tcW w:w="2380" w:type="dxa"/>
            <w:vAlign w:val="bottom"/>
            <w:tcBorders>
              <w:top w:val="single" w:sz="8" w:color="CFF0FC"/>
            </w:tcBorders>
            <w:shd w:val="clear" w:color="auto" w:fill="CFF0FC"/>
          </w:tcPr>
          <w:p>
            <w:pPr>
              <w:spacing w:after="0"/>
              <w:rPr>
                <w:sz w:val="18"/>
                <w:szCs w:val="18"/>
                <w:color w:val="auto"/>
              </w:rPr>
            </w:pPr>
          </w:p>
        </w:tc>
        <w:tc>
          <w:tcPr>
            <w:tcW w:w="27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bl>
    <w:p>
      <w:pPr>
        <w:spacing w:after="0"/>
        <w:rPr>
          <w:sz w:val="20"/>
          <w:szCs w:val="20"/>
          <w:color w:val="auto"/>
        </w:rPr>
      </w:pPr>
      <w:r>
        <w:rPr>
          <w:rFonts w:ascii="Arial" w:cs="Arial" w:eastAsia="Arial" w:hAnsi="Arial"/>
          <w:sz w:val="16"/>
          <w:szCs w:val="16"/>
          <w:b w:val="1"/>
          <w:bCs w:val="1"/>
          <w:color w:val="auto"/>
        </w:rPr>
        <w:t>Retail and Consumer Products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99 Cents Only Stores</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ABL FILO term loan ($25,000 par,</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9/6/2017</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5/2025)</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American Achievement,</w:t>
            </w:r>
          </w:p>
        </w:tc>
        <w:tc>
          <w:tcPr>
            <w:tcW w:w="2700" w:type="dxa"/>
            <w:vAlign w:val="bottom"/>
          </w:tcPr>
          <w:p>
            <w:pPr>
              <w:ind w:left="120"/>
              <w:spacing w:after="0"/>
              <w:rPr>
                <w:sz w:val="20"/>
                <w:szCs w:val="20"/>
                <w:color w:val="auto"/>
              </w:rPr>
            </w:pPr>
            <w:r>
              <w:rPr>
                <w:rFonts w:ascii="Arial" w:cs="Arial" w:eastAsia="Arial" w:hAnsi="Arial"/>
                <w:sz w:val="16"/>
                <w:szCs w:val="16"/>
                <w:color w:val="auto"/>
              </w:rPr>
              <w:t>First-lien loan ($24,757 par, due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9/30/2015</w:t>
            </w:r>
          </w:p>
        </w:tc>
        <w:tc>
          <w:tcPr>
            <w:tcW w:w="980" w:type="dxa"/>
            <w:vAlign w:val="bottom"/>
          </w:tcPr>
          <w:p>
            <w:pPr>
              <w:jc w:val="right"/>
              <w:spacing w:after="0"/>
              <w:rPr>
                <w:sz w:val="20"/>
                <w:szCs w:val="20"/>
                <w:color w:val="auto"/>
              </w:rPr>
            </w:pPr>
            <w:r>
              <w:rPr>
                <w:rFonts w:ascii="Arial" w:cs="Arial" w:eastAsia="Arial" w:hAnsi="Arial"/>
                <w:sz w:val="16"/>
                <w:szCs w:val="16"/>
                <w:color w:val="auto"/>
              </w:rPr>
              <w:t>L + 6.25%</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7.25%</w:t>
            </w:r>
          </w:p>
        </w:tc>
        <w:tc>
          <w:tcPr>
            <w:tcW w:w="800" w:type="dxa"/>
            <w:vAlign w:val="bottom"/>
          </w:tcPr>
          <w:p>
            <w:pPr>
              <w:jc w:val="right"/>
              <w:spacing w:after="0"/>
              <w:rPr>
                <w:sz w:val="20"/>
                <w:szCs w:val="20"/>
                <w:color w:val="auto"/>
              </w:rPr>
            </w:pPr>
            <w:r>
              <w:rPr>
                <w:rFonts w:ascii="Arial" w:cs="Arial" w:eastAsia="Arial" w:hAnsi="Arial"/>
                <w:sz w:val="16"/>
                <w:szCs w:val="16"/>
                <w:color w:val="auto"/>
              </w:rPr>
              <w:t>23,808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21,477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2540" w:type="dxa"/>
            <w:vAlign w:val="bottom"/>
          </w:tcPr>
          <w:p>
            <w:pPr>
              <w:ind w:left="120"/>
              <w:spacing w:after="0" w:line="205" w:lineRule="exact"/>
              <w:rPr>
                <w:sz w:val="20"/>
                <w:szCs w:val="20"/>
                <w:color w:val="auto"/>
              </w:rPr>
            </w:pPr>
            <w:r>
              <w:rPr>
                <w:rFonts w:ascii="Arial" w:cs="Arial" w:eastAsia="Arial" w:hAnsi="Arial"/>
                <w:sz w:val="14"/>
                <w:szCs w:val="14"/>
                <w:color w:val="auto"/>
              </w:rPr>
              <w:t xml:space="preserve">Corp. </w:t>
            </w:r>
            <w:r>
              <w:rPr>
                <w:rFonts w:ascii="Arial" w:cs="Arial" w:eastAsia="Arial" w:hAnsi="Arial"/>
                <w:sz w:val="23"/>
                <w:szCs w:val="23"/>
                <w:color w:val="auto"/>
                <w:vertAlign w:val="superscript"/>
              </w:rPr>
              <w:t>(3)</w:t>
            </w:r>
          </w:p>
        </w:tc>
        <w:tc>
          <w:tcPr>
            <w:tcW w:w="2700" w:type="dxa"/>
            <w:vAlign w:val="bottom"/>
          </w:tcPr>
          <w:p>
            <w:pPr>
              <w:ind w:left="120"/>
              <w:spacing w:after="0"/>
              <w:rPr>
                <w:sz w:val="20"/>
                <w:szCs w:val="20"/>
                <w:color w:val="auto"/>
              </w:rPr>
            </w:pPr>
            <w:r>
              <w:rPr>
                <w:rFonts w:ascii="Arial" w:cs="Arial" w:eastAsia="Arial" w:hAnsi="Arial"/>
                <w:sz w:val="16"/>
                <w:szCs w:val="16"/>
                <w:color w:val="auto"/>
              </w:rPr>
              <w:t>9/2026)</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6.75%</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($1,419 par, due</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6/10/2021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+ 14.00%</w:t>
            </w: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15.00%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17"/>
                <w:szCs w:val="17"/>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9/2026)</w:t>
            </w:r>
          </w:p>
        </w:tc>
        <w:tc>
          <w:tcPr>
            <w:tcW w:w="10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14.50%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Subordinated note ($4,740 par, due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3/16/2021</w:t>
            </w:r>
          </w:p>
        </w:tc>
        <w:tc>
          <w:tcPr>
            <w:tcW w:w="980" w:type="dxa"/>
            <w:vAlign w:val="bottom"/>
          </w:tcPr>
          <w:p>
            <w:pPr>
              <w:jc w:val="right"/>
              <w:spacing w:after="0"/>
              <w:rPr>
                <w:sz w:val="20"/>
                <w:szCs w:val="20"/>
                <w:color w:val="auto"/>
              </w:rPr>
            </w:pPr>
            <w:r>
              <w:rPr>
                <w:rFonts w:ascii="Arial" w:cs="Arial" w:eastAsia="Arial" w:hAnsi="Arial"/>
                <w:sz w:val="16"/>
                <w:szCs w:val="16"/>
                <w:color w:val="auto"/>
              </w:rPr>
              <w:t>L + 1.00%</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2.00% PIK</w:t>
            </w:r>
          </w:p>
        </w:tc>
        <w:tc>
          <w:tcPr>
            <w:tcW w:w="800" w:type="dxa"/>
            <w:vAlign w:val="bottom"/>
          </w:tcPr>
          <w:p>
            <w:pPr>
              <w:jc w:val="right"/>
              <w:spacing w:after="0"/>
              <w:rPr>
                <w:sz w:val="20"/>
                <w:szCs w:val="20"/>
                <w:color w:val="auto"/>
              </w:rPr>
            </w:pPr>
            <w:r>
              <w:rPr>
                <w:rFonts w:ascii="Arial" w:cs="Arial" w:eastAsia="Arial" w:hAnsi="Arial"/>
                <w:sz w:val="16"/>
                <w:szCs w:val="16"/>
                <w:color w:val="auto"/>
              </w:rPr>
              <w:t>545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7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9/2026) </w:t>
            </w:r>
            <w:r>
              <w:rPr>
                <w:rFonts w:ascii="Arial" w:cs="Arial" w:eastAsia="Arial" w:hAnsi="Arial"/>
                <w:sz w:val="25"/>
                <w:szCs w:val="25"/>
                <w:color w:val="auto"/>
                <w:vertAlign w:val="superscript"/>
              </w:rPr>
              <w:t>(16)</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ABL First-lien loan ($47,500 par, due</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8/7/2020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46,535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48,925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8/2025)</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Moran Foods, LLC </w:t>
            </w:r>
            <w:r>
              <w:rPr>
                <w:rFonts w:ascii="Arial" w:cs="Arial" w:eastAsia="Arial" w:hAnsi="Arial"/>
                <w:sz w:val="23"/>
                <w:szCs w:val="23"/>
                <w:color w:val="auto"/>
                <w:vertAlign w:val="superscript"/>
              </w:rPr>
              <w:t>(3)</w:t>
            </w:r>
          </w:p>
        </w:tc>
        <w:tc>
          <w:tcPr>
            <w:tcW w:w="2700" w:type="dxa"/>
            <w:vAlign w:val="bottom"/>
          </w:tcPr>
          <w:p>
            <w:pPr>
              <w:ind w:left="120"/>
              <w:spacing w:after="0"/>
              <w:rPr>
                <w:sz w:val="20"/>
                <w:szCs w:val="20"/>
                <w:color w:val="auto"/>
              </w:rPr>
            </w:pPr>
            <w:r>
              <w:rPr>
                <w:rFonts w:ascii="Arial" w:cs="Arial" w:eastAsia="Arial" w:hAnsi="Arial"/>
                <w:sz w:val="16"/>
                <w:szCs w:val="16"/>
                <w:color w:val="auto"/>
              </w:rPr>
              <w:t>ABL FILO term loan ($33,767 par,</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4/1/2020</w:t>
            </w:r>
          </w:p>
        </w:tc>
        <w:tc>
          <w:tcPr>
            <w:tcW w:w="980" w:type="dxa"/>
            <w:vAlign w:val="bottom"/>
          </w:tcPr>
          <w:p>
            <w:pPr>
              <w:jc w:val="right"/>
              <w:spacing w:after="0"/>
              <w:rPr>
                <w:sz w:val="20"/>
                <w:szCs w:val="20"/>
                <w:color w:val="auto"/>
              </w:rPr>
            </w:pPr>
            <w:r>
              <w:rPr>
                <w:rFonts w:ascii="Arial" w:cs="Arial" w:eastAsia="Arial" w:hAnsi="Arial"/>
                <w:sz w:val="16"/>
                <w:szCs w:val="16"/>
                <w:color w:val="auto"/>
              </w:rPr>
              <w:t>L + 7.50%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800" w:type="dxa"/>
            <w:vAlign w:val="bottom"/>
          </w:tcPr>
          <w:p>
            <w:pPr>
              <w:jc w:val="right"/>
              <w:spacing w:after="0"/>
              <w:rPr>
                <w:sz w:val="20"/>
                <w:szCs w:val="20"/>
                <w:color w:val="auto"/>
              </w:rPr>
            </w:pPr>
            <w:r>
              <w:rPr>
                <w:rFonts w:ascii="Arial" w:cs="Arial" w:eastAsia="Arial" w:hAnsi="Arial"/>
                <w:sz w:val="16"/>
                <w:szCs w:val="16"/>
                <w:color w:val="auto"/>
              </w:rPr>
              <w:t>33,317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34,442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due 4/2024)</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Penney Borrower, LLC </w:t>
            </w:r>
            <w:r>
              <w:rPr>
                <w:rFonts w:ascii="Arial" w:cs="Arial" w:eastAsia="Arial" w:hAnsi="Arial"/>
                <w:sz w:val="24"/>
                <w:szCs w:val="24"/>
                <w:color w:val="auto"/>
                <w:vertAlign w:val="superscript"/>
              </w:rPr>
              <w:t>(3)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ABL FILO term loan ($70,200 par,</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12/7/2020</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68,776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70,902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12/2025)</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First-lien term loan ($6,797 par, due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12/7/2020</w:t>
            </w:r>
          </w:p>
        </w:tc>
        <w:tc>
          <w:tcPr>
            <w:tcW w:w="980" w:type="dxa"/>
            <w:vAlign w:val="bottom"/>
          </w:tcPr>
          <w:p>
            <w:pPr>
              <w:jc w:val="right"/>
              <w:spacing w:after="0"/>
              <w:rPr>
                <w:sz w:val="20"/>
                <w:szCs w:val="20"/>
                <w:color w:val="auto"/>
              </w:rPr>
            </w:pPr>
            <w:r>
              <w:rPr>
                <w:rFonts w:ascii="Arial" w:cs="Arial" w:eastAsia="Arial" w:hAnsi="Arial"/>
                <w:sz w:val="16"/>
                <w:szCs w:val="16"/>
                <w:color w:val="auto"/>
              </w:rPr>
              <w:t>L + 8.50%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800" w:type="dxa"/>
            <w:vAlign w:val="bottom"/>
          </w:tcPr>
          <w:p>
            <w:pPr>
              <w:jc w:val="right"/>
              <w:spacing w:after="0"/>
              <w:rPr>
                <w:sz w:val="20"/>
                <w:szCs w:val="20"/>
                <w:color w:val="auto"/>
              </w:rPr>
            </w:pPr>
            <w:r>
              <w:rPr>
                <w:rFonts w:ascii="Arial" w:cs="Arial" w:eastAsia="Arial" w:hAnsi="Arial"/>
                <w:sz w:val="16"/>
                <w:szCs w:val="16"/>
                <w:color w:val="auto"/>
              </w:rPr>
              <w:t>5,825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6,734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CFF0FC"/>
            </w:tcBorders>
          </w:tcPr>
          <w:p>
            <w:pPr>
              <w:spacing w:after="0"/>
              <w:rPr>
                <w:sz w:val="18"/>
                <w:szCs w:val="18"/>
                <w:color w:val="auto"/>
              </w:rPr>
            </w:pPr>
          </w:p>
        </w:tc>
        <w:tc>
          <w:tcPr>
            <w:tcW w:w="270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12/2026) </w:t>
            </w:r>
            <w:r>
              <w:rPr>
                <w:rFonts w:ascii="Arial" w:cs="Arial" w:eastAsia="Arial" w:hAnsi="Arial"/>
                <w:sz w:val="25"/>
                <w:szCs w:val="25"/>
                <w:color w:val="auto"/>
                <w:vertAlign w:val="superscript"/>
              </w:rPr>
              <w:t>(11)</w:t>
            </w:r>
          </w:p>
        </w:tc>
        <w:tc>
          <w:tcPr>
            <w:tcW w:w="102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204,910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209,717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b w:val="1"/>
                <w:bCs w:val="1"/>
                <w:color w:val="auto"/>
              </w:rPr>
              <w:t>Total Debt Investments</w:t>
            </w: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4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2,187,247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2,242,484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Equity and Other Investments</w:t>
            </w:r>
          </w:p>
        </w:tc>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Business Services</w:t>
            </w:r>
          </w:p>
        </w:tc>
        <w:tc>
          <w:tcPr>
            <w:tcW w:w="2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700" w:type="dxa"/>
            <w:vAlign w:val="bottom"/>
          </w:tcPr>
          <w:p>
            <w:pPr>
              <w:ind w:left="120"/>
              <w:spacing w:after="0"/>
              <w:rPr>
                <w:sz w:val="20"/>
                <w:szCs w:val="20"/>
                <w:color w:val="auto"/>
              </w:rPr>
            </w:pPr>
            <w:r>
              <w:rPr>
                <w:rFonts w:ascii="Arial" w:cs="Arial" w:eastAsia="Arial" w:hAnsi="Arial"/>
                <w:sz w:val="16"/>
                <w:szCs w:val="16"/>
                <w:color w:val="auto"/>
              </w:rPr>
              <w:t>Class A Units (1,262 units)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1/17/2018</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7,084</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B Units (517,020 units)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1/17/2018</w:t>
            </w: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700" w:type="dxa"/>
            <w:vAlign w:val="bottom"/>
          </w:tcPr>
          <w:p>
            <w:pPr>
              <w:ind w:left="120"/>
              <w:spacing w:after="0"/>
              <w:rPr>
                <w:sz w:val="20"/>
                <w:szCs w:val="20"/>
                <w:color w:val="auto"/>
              </w:rPr>
            </w:pPr>
            <w:r>
              <w:rPr>
                <w:rFonts w:ascii="Arial" w:cs="Arial" w:eastAsia="Arial" w:hAnsi="Arial"/>
                <w:sz w:val="16"/>
                <w:szCs w:val="16"/>
                <w:color w:val="auto"/>
              </w:rPr>
              <w:t>Class A Shares (1,197 shares)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3/30/2018</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7,291</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B Shares (398,557 shares)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3/30/2018</w:t>
            </w: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 xml:space="preserve">Sprinklr, Inc. </w:t>
            </w:r>
            <w:r>
              <w:rPr>
                <w:rFonts w:ascii="Arial" w:cs="Arial" w:eastAsia="Arial" w:hAnsi="Arial"/>
                <w:sz w:val="13"/>
                <w:szCs w:val="13"/>
                <w:color w:val="auto"/>
              </w:rPr>
              <w:t>(4)(11)(13)(14)</w:t>
            </w:r>
          </w:p>
        </w:tc>
        <w:tc>
          <w:tcPr>
            <w:tcW w:w="2700" w:type="dxa"/>
            <w:vAlign w:val="bottom"/>
          </w:tcPr>
          <w:p>
            <w:pPr>
              <w:ind w:left="120"/>
              <w:spacing w:after="0"/>
              <w:rPr>
                <w:sz w:val="20"/>
                <w:szCs w:val="20"/>
                <w:color w:val="auto"/>
              </w:rPr>
            </w:pPr>
            <w:r>
              <w:rPr>
                <w:rFonts w:ascii="Arial" w:cs="Arial" w:eastAsia="Arial" w:hAnsi="Arial"/>
                <w:sz w:val="16"/>
                <w:szCs w:val="16"/>
                <w:color w:val="auto"/>
              </w:rPr>
              <w:t>Common Shares (484,700 shares)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6/24/2021</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7,931</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1,567,807 Warrants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7/8/2020</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6,978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22,707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27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line="203" w:lineRule="exact"/>
              <w:rPr>
                <w:sz w:val="20"/>
                <w:szCs w:val="20"/>
                <w:color w:val="auto"/>
              </w:rPr>
            </w:pPr>
            <w:r>
              <w:rPr>
                <w:rFonts w:ascii="Arial" w:cs="Arial" w:eastAsia="Arial" w:hAnsi="Arial"/>
                <w:sz w:val="14"/>
                <w:szCs w:val="14"/>
                <w:color w:val="auto"/>
              </w:rPr>
              <w:t xml:space="preserve">IntelePeer Holdings, Inc. </w:t>
            </w:r>
            <w:r>
              <w:rPr>
                <w:rFonts w:ascii="Arial" w:cs="Arial" w:eastAsia="Arial" w:hAnsi="Arial"/>
                <w:sz w:val="23"/>
                <w:szCs w:val="23"/>
                <w:color w:val="auto"/>
                <w:vertAlign w:val="superscript"/>
              </w:rPr>
              <w:t>(13)</w:t>
            </w:r>
          </w:p>
        </w:tc>
        <w:tc>
          <w:tcPr>
            <w:tcW w:w="2700" w:type="dxa"/>
            <w:vAlign w:val="bottom"/>
          </w:tcPr>
          <w:p>
            <w:pPr>
              <w:ind w:left="120"/>
              <w:spacing w:after="0"/>
              <w:rPr>
                <w:sz w:val="20"/>
                <w:szCs w:val="20"/>
                <w:color w:val="auto"/>
              </w:rPr>
            </w:pPr>
            <w:r>
              <w:rPr>
                <w:rFonts w:ascii="Arial" w:cs="Arial" w:eastAsia="Arial" w:hAnsi="Arial"/>
                <w:sz w:val="16"/>
                <w:szCs w:val="16"/>
                <w:color w:val="auto"/>
                <w:w w:val="95"/>
              </w:rPr>
              <w:t>Series C Preferred Shares (1,816,295</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2,829</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7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17"/>
                <w:szCs w:val="17"/>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Series D Preferred Shares (1,065,916</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280,000 Warrants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2/28/2020</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19"/>
                <w:szCs w:val="19"/>
                <w:color w:val="auto"/>
              </w:rPr>
            </w:pPr>
          </w:p>
        </w:tc>
        <w:tc>
          <w:tcPr>
            <w:tcW w:w="2700" w:type="dxa"/>
            <w:vAlign w:val="bottom"/>
            <w:shd w:val="clear" w:color="auto" w:fill="CFF0FC"/>
          </w:tcPr>
          <w:p>
            <w:pPr>
              <w:ind w:left="120"/>
              <w:spacing w:after="0" w:line="218" w:lineRule="exact"/>
              <w:rPr>
                <w:sz w:val="20"/>
                <w:szCs w:val="20"/>
                <w:color w:val="auto"/>
              </w:rPr>
            </w:pPr>
            <w:r>
              <w:rPr>
                <w:rFonts w:ascii="Arial" w:cs="Arial" w:eastAsia="Arial" w:hAnsi="Arial"/>
                <w:sz w:val="15"/>
                <w:szCs w:val="15"/>
                <w:color w:val="auto"/>
              </w:rPr>
              <w:t xml:space="preserve">106,592 Warrants </w:t>
            </w:r>
            <w:r>
              <w:rPr>
                <w:rFonts w:ascii="Arial" w:cs="Arial" w:eastAsia="Arial" w:hAnsi="Arial"/>
                <w:sz w:val="25"/>
                <w:szCs w:val="25"/>
                <w:color w:val="auto"/>
                <w:vertAlign w:val="superscript"/>
              </w:rPr>
              <w:t>(14)</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4/8/2021</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5,112</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Education</w:t>
            </w:r>
          </w:p>
        </w:tc>
        <w:tc>
          <w:tcPr>
            <w:tcW w:w="27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700" w:type="dxa"/>
            <w:vAlign w:val="bottom"/>
          </w:tcPr>
          <w:p>
            <w:pPr>
              <w:ind w:left="120"/>
              <w:spacing w:after="0"/>
              <w:rPr>
                <w:sz w:val="20"/>
                <w:szCs w:val="20"/>
                <w:color w:val="auto"/>
              </w:rPr>
            </w:pPr>
            <w:r>
              <w:rPr>
                <w:rFonts w:ascii="Arial" w:cs="Arial" w:eastAsia="Arial" w:hAnsi="Arial"/>
                <w:sz w:val="16"/>
                <w:szCs w:val="16"/>
                <w:color w:val="auto"/>
              </w:rPr>
              <w:t>Common Units (577,608 units)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11/2/2020</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1,825</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RMCF IV CIV XXXV,</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Partnership Interest (16.72%</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6/8/2021</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LP. </w:t>
            </w:r>
            <w:r>
              <w:rPr>
                <w:rFonts w:ascii="Arial" w:cs="Arial" w:eastAsia="Arial" w:hAnsi="Arial"/>
                <w:sz w:val="13"/>
                <w:szCs w:val="13"/>
                <w:color w:val="auto"/>
              </w:rPr>
              <w:t>(4)(13)(14)</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ownership)</w:t>
            </w: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2,825</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7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6"/>
                <w:szCs w:val="16"/>
                <w:color w:val="auto"/>
              </w:rPr>
              <w:t>AvidXchange, Inc.</w:t>
            </w:r>
          </w:p>
        </w:tc>
        <w:tc>
          <w:tcPr>
            <w:tcW w:w="27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Common Shares (8,792 shares) </w:t>
            </w:r>
            <w:r>
              <w:rPr>
                <w:rFonts w:ascii="Arial" w:cs="Arial" w:eastAsia="Arial" w:hAnsi="Arial"/>
                <w:sz w:val="25"/>
                <w:szCs w:val="25"/>
                <w:color w:val="auto"/>
                <w:vertAlign w:val="superscript"/>
              </w:rPr>
              <w:t>(13)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4/7/2020</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Preferred Shares (293,232 shares)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10/1/2019</w:t>
            </w: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17,264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Arial" w:cs="Arial" w:eastAsia="Arial" w:hAnsi="Arial"/>
                <w:sz w:val="16"/>
                <w:szCs w:val="16"/>
                <w:color w:val="auto"/>
              </w:rPr>
              <w:t>Series F Preferred Shares (35,164</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4/7/2020</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546</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7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(13)</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300,065 Warrants </w:t>
            </w:r>
            <w:r>
              <w:rPr>
                <w:rFonts w:ascii="Arial" w:cs="Arial" w:eastAsia="Arial" w:hAnsi="Arial"/>
                <w:sz w:val="25"/>
                <w:szCs w:val="25"/>
                <w:color w:val="auto"/>
                <w:vertAlign w:val="superscript"/>
              </w:rPr>
              <w:t>(13)</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10/1/2019</w:t>
            </w: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w w:val="98"/>
              </w:rPr>
              <w:t xml:space="preserve">Newport Parent Holdings, LP </w:t>
            </w:r>
            <w:r>
              <w:rPr>
                <w:rFonts w:ascii="Arial" w:cs="Arial" w:eastAsia="Arial" w:hAnsi="Arial"/>
                <w:sz w:val="25"/>
                <w:szCs w:val="25"/>
                <w:color w:val="auto"/>
                <w:w w:val="98"/>
                <w:vertAlign w:val="superscript"/>
              </w:rPr>
              <w:t>(13)(14)</w:t>
            </w:r>
          </w:p>
        </w:tc>
        <w:tc>
          <w:tcPr>
            <w:tcW w:w="2700" w:type="dxa"/>
            <w:vAlign w:val="bottom"/>
          </w:tcPr>
          <w:p>
            <w:pPr>
              <w:ind w:left="120"/>
              <w:spacing w:after="0"/>
              <w:rPr>
                <w:sz w:val="20"/>
                <w:szCs w:val="20"/>
                <w:color w:val="auto"/>
              </w:rPr>
            </w:pPr>
            <w:r>
              <w:rPr>
                <w:rFonts w:ascii="Arial" w:cs="Arial" w:eastAsia="Arial" w:hAnsi="Arial"/>
                <w:sz w:val="16"/>
                <w:szCs w:val="16"/>
                <w:color w:val="auto"/>
              </w:rPr>
              <w:t>Class A-2 Units (131,569 units)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12/10/2020</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Oxford Square Capital</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Shares (1,620 shares)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8/5/2015</w:t>
            </w:r>
          </w:p>
        </w:tc>
        <w:tc>
          <w:tcPr>
            <w:tcW w:w="9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7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Passport Labs, Inc. </w:t>
            </w:r>
            <w:r>
              <w:rPr>
                <w:rFonts w:ascii="Arial" w:cs="Arial" w:eastAsia="Arial" w:hAnsi="Arial"/>
                <w:sz w:val="25"/>
                <w:szCs w:val="25"/>
                <w:color w:val="auto"/>
                <w:vertAlign w:val="superscript"/>
              </w:rPr>
              <w:t>(13)(14)</w:t>
            </w:r>
          </w:p>
        </w:tc>
        <w:tc>
          <w:tcPr>
            <w:tcW w:w="2700" w:type="dxa"/>
            <w:vAlign w:val="bottom"/>
          </w:tcPr>
          <w:p>
            <w:pPr>
              <w:ind w:left="120"/>
              <w:spacing w:after="0"/>
              <w:rPr>
                <w:sz w:val="20"/>
                <w:szCs w:val="20"/>
                <w:color w:val="auto"/>
              </w:rPr>
            </w:pPr>
            <w:r>
              <w:rPr>
                <w:rFonts w:ascii="Arial" w:cs="Arial" w:eastAsia="Arial" w:hAnsi="Arial"/>
                <w:sz w:val="16"/>
                <w:szCs w:val="16"/>
                <w:color w:val="auto"/>
              </w:rPr>
              <w:t>17,534 Warrants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4/28/2021</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TradingScreen, Inc. </w:t>
            </w:r>
            <w:r>
              <w:rPr>
                <w:rFonts w:ascii="Arial" w:cs="Arial" w:eastAsia="Arial" w:hAnsi="Arial"/>
                <w:sz w:val="25"/>
                <w:szCs w:val="25"/>
                <w:color w:val="auto"/>
                <w:vertAlign w:val="superscript"/>
              </w:rPr>
              <w:t>(13)(14)(15)</w:t>
            </w:r>
          </w:p>
        </w:tc>
        <w:tc>
          <w:tcPr>
            <w:tcW w:w="2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Units (600,000 units)</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5/14/2021</w:t>
            </w:r>
          </w:p>
        </w:tc>
        <w:tc>
          <w:tcPr>
            <w:tcW w:w="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23,261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24,708</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7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310"/>
        </w:trPr>
        <w:tc>
          <w:tcPr>
            <w:tcW w:w="2580" w:type="dxa"/>
            <w:vAlign w:val="bottom"/>
          </w:tcPr>
          <w:p>
            <w:pPr>
              <w:spacing w:after="0"/>
              <w:rPr>
                <w:sz w:val="20"/>
                <w:szCs w:val="20"/>
                <w:color w:val="auto"/>
              </w:rPr>
            </w:pPr>
            <w:r>
              <w:rPr>
                <w:rFonts w:ascii="Arial" w:cs="Arial" w:eastAsia="Arial" w:hAnsi="Arial"/>
                <w:sz w:val="16"/>
                <w:szCs w:val="16"/>
                <w:color w:val="auto"/>
              </w:rPr>
              <w:t xml:space="preserve">Caris Life Sciences, Inc. </w:t>
            </w:r>
            <w:r>
              <w:rPr>
                <w:rFonts w:ascii="Arial" w:cs="Arial" w:eastAsia="Arial" w:hAnsi="Arial"/>
                <w:sz w:val="27"/>
                <w:szCs w:val="27"/>
                <w:color w:val="auto"/>
                <w:vertAlign w:val="superscript"/>
              </w:rPr>
              <w:t>(13)</w:t>
            </w:r>
          </w:p>
        </w:tc>
        <w:tc>
          <w:tcPr>
            <w:tcW w:w="2680" w:type="dxa"/>
            <w:vAlign w:val="bottom"/>
          </w:tcPr>
          <w:p>
            <w:pPr>
              <w:ind w:left="80"/>
              <w:spacing w:after="0"/>
              <w:rPr>
                <w:sz w:val="20"/>
                <w:szCs w:val="20"/>
                <w:color w:val="auto"/>
              </w:rPr>
            </w:pPr>
            <w:r>
              <w:rPr>
                <w:rFonts w:ascii="Arial" w:cs="Arial" w:eastAsia="Arial" w:hAnsi="Arial"/>
                <w:sz w:val="16"/>
                <w:szCs w:val="16"/>
                <w:color w:val="auto"/>
              </w:rPr>
              <w:t>Series C Preferred Shares (362,319</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10/13/2020</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2,787</w:t>
            </w:r>
          </w:p>
        </w:tc>
        <w:tc>
          <w:tcPr>
            <w:tcW w:w="2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580" w:type="dxa"/>
            <w:vAlign w:val="bottom"/>
          </w:tcPr>
          <w:p>
            <w:pPr>
              <w:spacing w:after="0"/>
              <w:rPr>
                <w:sz w:val="18"/>
                <w:szCs w:val="18"/>
                <w:color w:val="auto"/>
              </w:rPr>
            </w:pPr>
          </w:p>
        </w:tc>
        <w:tc>
          <w:tcPr>
            <w:tcW w:w="2680" w:type="dxa"/>
            <w:vAlign w:val="bottom"/>
          </w:tcPr>
          <w:p>
            <w:pPr>
              <w:ind w:left="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580" w:type="dxa"/>
            <w:vAlign w:val="bottom"/>
            <w:shd w:val="clear" w:color="auto" w:fill="CFF0FC"/>
          </w:tcPr>
          <w:p>
            <w:pPr>
              <w:spacing w:after="0"/>
              <w:rPr>
                <w:sz w:val="17"/>
                <w:szCs w:val="17"/>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w w:val="96"/>
              </w:rPr>
              <w:t>Series D Preferred Shares (1,240,740</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5/11/2021</w:t>
            </w:r>
          </w:p>
        </w:tc>
        <w:tc>
          <w:tcPr>
            <w:tcW w:w="1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10,050</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r>
      <w:tr>
        <w:trPr>
          <w:trHeight w:val="216"/>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(14)</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633,376 Warrants</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9/21/2018</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19"/>
        </w:trPr>
        <w:tc>
          <w:tcPr>
            <w:tcW w:w="2580" w:type="dxa"/>
            <w:vAlign w:val="bottom"/>
            <w:shd w:val="clear" w:color="auto" w:fill="CFF0FC"/>
          </w:tcPr>
          <w:p>
            <w:pPr>
              <w:spacing w:after="0"/>
              <w:rPr>
                <w:sz w:val="19"/>
                <w:szCs w:val="19"/>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569,991 Warrants</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4/2/2020</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680" w:type="dxa"/>
            <w:vAlign w:val="bottom"/>
          </w:tcPr>
          <w:p>
            <w:pPr>
              <w:ind w:left="80"/>
              <w:spacing w:after="0" w:line="203" w:lineRule="exact"/>
              <w:rPr>
                <w:sz w:val="20"/>
                <w:szCs w:val="20"/>
                <w:color w:val="auto"/>
              </w:rPr>
            </w:pPr>
            <w:r>
              <w:rPr>
                <w:rFonts w:ascii="Arial" w:cs="Arial" w:eastAsia="Arial" w:hAnsi="Arial"/>
                <w:sz w:val="14"/>
                <w:szCs w:val="14"/>
                <w:color w:val="auto"/>
              </w:rPr>
              <w:t xml:space="preserve">Class A Units (77,144 units) </w:t>
            </w:r>
            <w:r>
              <w:rPr>
                <w:rFonts w:ascii="Arial" w:cs="Arial" w:eastAsia="Arial" w:hAnsi="Arial"/>
                <w:sz w:val="23"/>
                <w:szCs w:val="23"/>
                <w:color w:val="auto"/>
                <w:vertAlign w:val="superscript"/>
              </w:rPr>
              <w:t>(14)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3/10/2021</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58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954,478 Warrants</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4/8/2019</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11,850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19,967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1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580" w:type="dxa"/>
            <w:vAlign w:val="bottom"/>
          </w:tcPr>
          <w:p>
            <w:pPr>
              <w:spacing w:after="0" w:line="216"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5"/>
                <w:szCs w:val="25"/>
                <w:color w:val="auto"/>
                <w:vertAlign w:val="superscript"/>
              </w:rPr>
              <w:t>(7)(13)</w:t>
            </w:r>
          </w:p>
        </w:tc>
        <w:tc>
          <w:tcPr>
            <w:tcW w:w="2680" w:type="dxa"/>
            <w:vAlign w:val="bottom"/>
          </w:tcPr>
          <w:p>
            <w:pPr>
              <w:ind w:left="80"/>
              <w:spacing w:after="0"/>
              <w:rPr>
                <w:sz w:val="20"/>
                <w:szCs w:val="20"/>
                <w:color w:val="auto"/>
              </w:rPr>
            </w:pPr>
            <w:r>
              <w:rPr>
                <w:rFonts w:ascii="Arial" w:cs="Arial" w:eastAsia="Arial" w:hAnsi="Arial"/>
                <w:sz w:val="16"/>
                <w:szCs w:val="16"/>
                <w:color w:val="auto"/>
              </w:rPr>
              <w:t>Class A Units (33,790,171 units)</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12/21/2018</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21,842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14,614</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13"/>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Class C-1 Units (8,800,000 units)</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12/21/2018</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21,942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14,657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1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5"/>
              </w:rPr>
              <w:t>Human Resource Support Services</w:t>
            </w:r>
          </w:p>
        </w:tc>
        <w:tc>
          <w:tcPr>
            <w:tcW w:w="2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 xml:space="preserve">Axonify, Inc. </w:t>
            </w:r>
            <w:r>
              <w:rPr>
                <w:rFonts w:ascii="Arial" w:cs="Arial" w:eastAsia="Arial" w:hAnsi="Arial"/>
                <w:sz w:val="13"/>
                <w:szCs w:val="13"/>
                <w:color w:val="auto"/>
              </w:rPr>
              <w:t>(4)(13)(14)(15)</w:t>
            </w:r>
          </w:p>
        </w:tc>
        <w:tc>
          <w:tcPr>
            <w:tcW w:w="2680" w:type="dxa"/>
            <w:vAlign w:val="bottom"/>
          </w:tcPr>
          <w:p>
            <w:pPr>
              <w:ind w:left="80"/>
              <w:spacing w:after="0"/>
              <w:rPr>
                <w:sz w:val="20"/>
                <w:szCs w:val="20"/>
                <w:color w:val="auto"/>
              </w:rPr>
            </w:pPr>
            <w:r>
              <w:rPr>
                <w:rFonts w:ascii="Arial" w:cs="Arial" w:eastAsia="Arial" w:hAnsi="Arial"/>
                <w:sz w:val="16"/>
                <w:szCs w:val="16"/>
                <w:color w:val="auto"/>
              </w:rPr>
              <w:t>Class A-1 Units (3,780,000 units)</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5/5/2021</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(13)(15)</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Series A Preferred Units (1,429,228</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8/24/2018</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units)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580" w:type="dxa"/>
            <w:vAlign w:val="bottom"/>
          </w:tcPr>
          <w:p>
            <w:pPr>
              <w:spacing w:after="0" w:line="216" w:lineRule="exact"/>
              <w:rPr>
                <w:sz w:val="20"/>
                <w:szCs w:val="20"/>
                <w:color w:val="auto"/>
              </w:rPr>
            </w:pPr>
            <w:r>
              <w:rPr>
                <w:rFonts w:ascii="Arial" w:cs="Arial" w:eastAsia="Arial" w:hAnsi="Arial"/>
                <w:sz w:val="15"/>
                <w:szCs w:val="15"/>
                <w:color w:val="auto"/>
                <w:w w:val="99"/>
              </w:rPr>
              <w:t xml:space="preserve">DaySmart Holdings, LLC </w:t>
            </w:r>
            <w:r>
              <w:rPr>
                <w:rFonts w:ascii="Arial" w:cs="Arial" w:eastAsia="Arial" w:hAnsi="Arial"/>
                <w:sz w:val="25"/>
                <w:szCs w:val="25"/>
                <w:color w:val="auto"/>
                <w:w w:val="99"/>
                <w:vertAlign w:val="superscript"/>
              </w:rPr>
              <w:t>(13)(14)(15)</w:t>
            </w:r>
          </w:p>
        </w:tc>
        <w:tc>
          <w:tcPr>
            <w:tcW w:w="2680" w:type="dxa"/>
            <w:vAlign w:val="bottom"/>
          </w:tcPr>
          <w:p>
            <w:pPr>
              <w:ind w:left="80"/>
              <w:spacing w:after="0"/>
              <w:rPr>
                <w:sz w:val="20"/>
                <w:szCs w:val="20"/>
                <w:color w:val="auto"/>
              </w:rPr>
            </w:pPr>
            <w:r>
              <w:rPr>
                <w:rFonts w:ascii="Arial" w:cs="Arial" w:eastAsia="Arial" w:hAnsi="Arial"/>
                <w:sz w:val="16"/>
                <w:szCs w:val="16"/>
                <w:color w:val="auto"/>
              </w:rPr>
              <w:t>Class A Units (166,811 units)</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10/1/2019</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0"/>
        </w:trPr>
        <w:tc>
          <w:tcPr>
            <w:tcW w:w="258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06"/>
        </w:trPr>
        <w:tc>
          <w:tcPr>
            <w:tcW w:w="258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25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5"/>
                <w:szCs w:val="25"/>
                <w:color w:val="auto"/>
                <w:vertAlign w:val="superscript"/>
              </w:rPr>
              <w:t>(13)</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w w:val="94"/>
              </w:rPr>
              <w:t>Common Shares Class A (1,020 units)</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6/30/2017</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06"/>
        </w:trPr>
        <w:tc>
          <w:tcPr>
            <w:tcW w:w="2580" w:type="dxa"/>
            <w:vAlign w:val="bottom"/>
          </w:tcPr>
          <w:p>
            <w:pPr>
              <w:spacing w:after="0"/>
              <w:rPr>
                <w:sz w:val="17"/>
                <w:szCs w:val="17"/>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Common Shares Class B (987,929</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6/30/2017</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r>
      <w:tr>
        <w:trPr>
          <w:trHeight w:val="209"/>
        </w:trPr>
        <w:tc>
          <w:tcPr>
            <w:tcW w:w="2580" w:type="dxa"/>
            <w:vAlign w:val="bottom"/>
            <w:tcBorders>
              <w:bottom w:val="single" w:sz="8" w:color="CFF0FC"/>
            </w:tcBorders>
          </w:tcPr>
          <w:p>
            <w:pPr>
              <w:spacing w:after="0"/>
              <w:rPr>
                <w:sz w:val="18"/>
                <w:szCs w:val="18"/>
                <w:color w:val="auto"/>
              </w:rPr>
            </w:pPr>
          </w:p>
        </w:tc>
        <w:tc>
          <w:tcPr>
            <w:tcW w:w="268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units)</w:t>
            </w: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207"/>
        </w:trPr>
        <w:tc>
          <w:tcPr>
            <w:tcW w:w="258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Series F Preferred Shares (199,054</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8/2/2019</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12"/>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w w:val="96"/>
              </w:rPr>
              <w:t>Series A Preferred Shares (3,840,000</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5/31/2018</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r>
      <w:tr>
        <w:trPr>
          <w:trHeight w:val="212"/>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5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(6)(14)</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Common Units (15,000 units)</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12/24/2020</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5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712,817 Warrants</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8/5/2020</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5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w w:val="97"/>
              </w:rPr>
              <w:t xml:space="preserve">American Achievement, Corp. </w:t>
            </w:r>
            <w:r>
              <w:rPr>
                <w:rFonts w:ascii="Arial" w:cs="Arial" w:eastAsia="Arial" w:hAnsi="Arial"/>
                <w:sz w:val="25"/>
                <w:szCs w:val="25"/>
                <w:color w:val="auto"/>
                <w:w w:val="97"/>
                <w:vertAlign w:val="superscript"/>
              </w:rPr>
              <w:t>(13)(14)</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Class A Units (687 units)</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3/16/2021</w:t>
            </w:r>
          </w:p>
        </w:tc>
        <w:tc>
          <w:tcPr>
            <w:tcW w:w="1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Copper Bidco, LLC </w:t>
            </w:r>
            <w:r>
              <w:rPr>
                <w:rFonts w:ascii="Arial" w:cs="Arial" w:eastAsia="Arial" w:hAnsi="Arial"/>
                <w:sz w:val="23"/>
                <w:szCs w:val="23"/>
                <w:color w:val="auto"/>
                <w:vertAlign w:val="superscript"/>
              </w:rPr>
              <w:t>(11)(14)</w:t>
            </w:r>
          </w:p>
        </w:tc>
        <w:tc>
          <w:tcPr>
            <w:tcW w:w="2680" w:type="dxa"/>
            <w:vAlign w:val="bottom"/>
          </w:tcPr>
          <w:p>
            <w:pPr>
              <w:ind w:left="80"/>
              <w:spacing w:after="0"/>
              <w:rPr>
                <w:sz w:val="20"/>
                <w:szCs w:val="20"/>
                <w:color w:val="auto"/>
              </w:rPr>
            </w:pPr>
            <w:r>
              <w:rPr>
                <w:rFonts w:ascii="Arial" w:cs="Arial" w:eastAsia="Arial" w:hAnsi="Arial"/>
                <w:sz w:val="16"/>
                <w:szCs w:val="16"/>
                <w:color w:val="auto"/>
              </w:rPr>
              <w:t>Trust Certificates (132,928</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12/7/2020</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8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Arial" w:cs="Arial" w:eastAsia="Arial" w:hAnsi="Arial"/>
                <w:sz w:val="16"/>
                <w:szCs w:val="16"/>
                <w:color w:val="auto"/>
              </w:rPr>
              <w:t>Certificates)</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Trust Certificates (996,958</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1/30/2021</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19,628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r>
      <w:tr>
        <w:trPr>
          <w:trHeight w:val="209"/>
        </w:trPr>
        <w:tc>
          <w:tcPr>
            <w:tcW w:w="2580" w:type="dxa"/>
            <w:vAlign w:val="bottom"/>
            <w:shd w:val="clear" w:color="auto" w:fill="CFF0FC"/>
          </w:tcPr>
          <w:p>
            <w:pPr>
              <w:spacing w:after="0"/>
              <w:rPr>
                <w:sz w:val="18"/>
                <w:szCs w:val="18"/>
                <w:color w:val="auto"/>
              </w:rPr>
            </w:pP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Certificates)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15,527</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21,002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r>
      <w:tr>
        <w:trPr>
          <w:trHeight w:val="212"/>
        </w:trPr>
        <w:tc>
          <w:tcPr>
            <w:tcW w:w="2580" w:type="dxa"/>
            <w:vAlign w:val="bottom"/>
            <w:tcBorders>
              <w:top w:val="single" w:sz="8" w:color="CFF0FC"/>
            </w:tcBorders>
            <w:shd w:val="clear" w:color="auto" w:fill="CFF0FC"/>
          </w:tcPr>
          <w:p>
            <w:pPr>
              <w:spacing w:after="0"/>
              <w:rPr>
                <w:sz w:val="18"/>
                <w:szCs w:val="18"/>
                <w:color w:val="auto"/>
              </w:rPr>
            </w:pPr>
          </w:p>
        </w:tc>
        <w:tc>
          <w:tcPr>
            <w:tcW w:w="2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Other Investments</w:t>
            </w: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Bain Capital Credit CLO Ltd,</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Structured Product ($500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10/15/2020</w:t>
            </w:r>
          </w:p>
        </w:tc>
        <w:tc>
          <w:tcPr>
            <w:tcW w:w="11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+ 5.35%</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r>
      <w:tr>
        <w:trPr>
          <w:trHeight w:val="216"/>
        </w:trPr>
        <w:tc>
          <w:tcPr>
            <w:tcW w:w="25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4/2031)</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680" w:type="dxa"/>
            <w:vAlign w:val="bottom"/>
          </w:tcPr>
          <w:p>
            <w:pPr>
              <w:ind w:left="80"/>
              <w:spacing w:after="0"/>
              <w:rPr>
                <w:sz w:val="20"/>
                <w:szCs w:val="20"/>
                <w:color w:val="auto"/>
              </w:rPr>
            </w:pPr>
            <w:r>
              <w:rPr>
                <w:rFonts w:ascii="Arial" w:cs="Arial" w:eastAsia="Arial" w:hAnsi="Arial"/>
                <w:sz w:val="16"/>
                <w:szCs w:val="16"/>
                <w:color w:val="auto"/>
              </w:rPr>
              <w:t>Structured Product ($1,550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8/11/2020</w:t>
            </w:r>
          </w:p>
        </w:tc>
        <w:tc>
          <w:tcPr>
            <w:tcW w:w="1160" w:type="dxa"/>
            <w:vAlign w:val="bottom"/>
          </w:tcPr>
          <w:p>
            <w:pPr>
              <w:ind w:left="160"/>
              <w:spacing w:after="0"/>
              <w:rPr>
                <w:sz w:val="20"/>
                <w:szCs w:val="20"/>
                <w:color w:val="auto"/>
              </w:rPr>
            </w:pPr>
            <w:r>
              <w:rPr>
                <w:rFonts w:ascii="Arial" w:cs="Arial" w:eastAsia="Arial" w:hAnsi="Arial"/>
                <w:sz w:val="16"/>
                <w:szCs w:val="16"/>
                <w:color w:val="auto"/>
              </w:rPr>
              <w:t>L + 5.75%</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800" w:type="dxa"/>
            <w:vAlign w:val="bottom"/>
          </w:tcPr>
          <w:p>
            <w:pPr>
              <w:jc w:val="right"/>
              <w:spacing w:after="0"/>
              <w:rPr>
                <w:sz w:val="20"/>
                <w:szCs w:val="20"/>
                <w:color w:val="auto"/>
              </w:rPr>
            </w:pPr>
            <w:r>
              <w:rPr>
                <w:rFonts w:ascii="Arial" w:cs="Arial" w:eastAsia="Arial" w:hAnsi="Arial"/>
                <w:sz w:val="16"/>
                <w:szCs w:val="16"/>
                <w:color w:val="auto"/>
              </w:rPr>
              <w:t>1,218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1,466</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199"/>
        </w:trPr>
        <w:tc>
          <w:tcPr>
            <w:tcW w:w="2580" w:type="dxa"/>
            <w:vAlign w:val="bottom"/>
          </w:tcPr>
          <w:p>
            <w:pPr>
              <w:ind w:left="120"/>
              <w:spacing w:after="0"/>
              <w:rPr>
                <w:sz w:val="20"/>
                <w:szCs w:val="20"/>
                <w:color w:val="auto"/>
              </w:rPr>
            </w:pPr>
            <w:r>
              <w:rPr>
                <w:rFonts w:ascii="Arial" w:cs="Arial" w:eastAsia="Arial" w:hAnsi="Arial"/>
                <w:sz w:val="16"/>
                <w:szCs w:val="16"/>
                <w:color w:val="auto"/>
              </w:rPr>
              <w:t>CLO Ltd, Series 2018-1A</w:t>
            </w:r>
          </w:p>
        </w:tc>
        <w:tc>
          <w:tcPr>
            <w:tcW w:w="2680" w:type="dxa"/>
            <w:vAlign w:val="bottom"/>
          </w:tcPr>
          <w:p>
            <w:pPr>
              <w:ind w:left="80"/>
              <w:spacing w:after="0"/>
              <w:rPr>
                <w:sz w:val="20"/>
                <w:szCs w:val="20"/>
                <w:color w:val="auto"/>
              </w:rPr>
            </w:pPr>
            <w:r>
              <w:rPr>
                <w:rFonts w:ascii="Arial" w:cs="Arial" w:eastAsia="Arial" w:hAnsi="Arial"/>
                <w:sz w:val="16"/>
                <w:szCs w:val="16"/>
                <w:color w:val="auto"/>
              </w:rPr>
              <w:t>4/2031)</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5"/>
        </w:trPr>
        <w:tc>
          <w:tcPr>
            <w:tcW w:w="2580" w:type="dxa"/>
            <w:vAlign w:val="bottom"/>
          </w:tcPr>
          <w:p>
            <w:pPr>
              <w:ind w:left="120"/>
              <w:spacing w:after="0"/>
              <w:rPr>
                <w:sz w:val="20"/>
                <w:szCs w:val="20"/>
                <w:color w:val="auto"/>
              </w:rPr>
            </w:pPr>
            <w:r>
              <w:rPr>
                <w:rFonts w:ascii="Arial" w:cs="Arial" w:eastAsia="Arial" w:hAnsi="Arial"/>
                <w:sz w:val="14"/>
                <w:szCs w:val="14"/>
                <w:color w:val="auto"/>
              </w:rPr>
              <w:t>(3)(4)(11)</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41"/>
        </w:trPr>
        <w:tc>
          <w:tcPr>
            <w:tcW w:w="25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Structured Product ($4,150 par, due</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9/3/2020</w:t>
            </w:r>
          </w:p>
        </w:tc>
        <w:tc>
          <w:tcPr>
            <w:tcW w:w="11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+ 6.15%</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3,441</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3,893</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r>
      <w:tr>
        <w:trPr>
          <w:trHeight w:val="199"/>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2017-4A</w:t>
            </w:r>
          </w:p>
        </w:tc>
        <w:tc>
          <w:tcPr>
            <w:tcW w:w="2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1/2030)</w:t>
            </w: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6"/>
        </w:trPr>
        <w:tc>
          <w:tcPr>
            <w:tcW w:w="2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6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Madison Park Funding Ltd,</w:t>
            </w:r>
          </w:p>
        </w:tc>
        <w:tc>
          <w:tcPr>
            <w:tcW w:w="2680" w:type="dxa"/>
            <w:vAlign w:val="bottom"/>
          </w:tcPr>
          <w:p>
            <w:pPr>
              <w:ind w:left="80"/>
              <w:spacing w:after="0"/>
              <w:rPr>
                <w:sz w:val="20"/>
                <w:szCs w:val="20"/>
                <w:color w:val="auto"/>
              </w:rPr>
            </w:pPr>
            <w:r>
              <w:rPr>
                <w:rFonts w:ascii="Arial" w:cs="Arial" w:eastAsia="Arial" w:hAnsi="Arial"/>
                <w:sz w:val="16"/>
                <w:szCs w:val="16"/>
                <w:color w:val="auto"/>
              </w:rPr>
              <w:t>Structured Product ($2,400 par, due</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8/11/2020</w:t>
            </w:r>
          </w:p>
        </w:tc>
        <w:tc>
          <w:tcPr>
            <w:tcW w:w="1160" w:type="dxa"/>
            <w:vAlign w:val="bottom"/>
          </w:tcPr>
          <w:p>
            <w:pPr>
              <w:ind w:left="160"/>
              <w:spacing w:after="0"/>
              <w:rPr>
                <w:sz w:val="20"/>
                <w:szCs w:val="20"/>
                <w:color w:val="auto"/>
              </w:rPr>
            </w:pPr>
            <w:r>
              <w:rPr>
                <w:rFonts w:ascii="Arial" w:cs="Arial" w:eastAsia="Arial" w:hAnsi="Arial"/>
                <w:sz w:val="16"/>
                <w:szCs w:val="16"/>
                <w:color w:val="auto"/>
              </w:rPr>
              <w:t>L + 5.80%</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800" w:type="dxa"/>
            <w:vAlign w:val="bottom"/>
          </w:tcPr>
          <w:p>
            <w:pPr>
              <w:jc w:val="right"/>
              <w:spacing w:after="0"/>
              <w:rPr>
                <w:sz w:val="20"/>
                <w:szCs w:val="20"/>
                <w:color w:val="auto"/>
              </w:rPr>
            </w:pPr>
            <w:r>
              <w:rPr>
                <w:rFonts w:ascii="Arial" w:cs="Arial" w:eastAsia="Arial" w:hAnsi="Arial"/>
                <w:sz w:val="16"/>
                <w:szCs w:val="16"/>
                <w:color w:val="auto"/>
              </w:rPr>
              <w:t>2,004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2,334</w:t>
            </w:r>
          </w:p>
        </w:tc>
        <w:tc>
          <w:tcPr>
            <w:tcW w:w="2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16"/>
        </w:trPr>
        <w:tc>
          <w:tcPr>
            <w:tcW w:w="258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268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10/2030)</w:t>
            </w: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06"/>
        </w:trPr>
        <w:tc>
          <w:tcPr>
            <w:tcW w:w="258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7,079</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8,156</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r>
      <w:tr>
        <w:trPr>
          <w:trHeight w:val="20"/>
        </w:trPr>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
        </w:trPr>
        <w:tc>
          <w:tcPr>
            <w:tcW w:w="2120" w:type="dxa"/>
            <w:vAlign w:val="bottom"/>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6"/>
                <w:szCs w:val="16"/>
                <w:color w:val="auto"/>
                <w:w w:val="89"/>
              </w:rPr>
              <w:t>111,143</w:t>
            </w:r>
          </w:p>
        </w:tc>
        <w:tc>
          <w:tcPr>
            <w:tcW w:w="200" w:type="dxa"/>
            <w:vAlign w:val="bottom"/>
          </w:tcPr>
          <w:p>
            <w:pPr>
              <w:spacing w:after="0"/>
              <w:rPr>
                <w:sz w:val="15"/>
                <w:szCs w:val="15"/>
                <w:color w:val="auto"/>
              </w:rPr>
            </w:pPr>
          </w:p>
        </w:tc>
        <w:tc>
          <w:tcPr>
            <w:tcW w:w="800" w:type="dxa"/>
            <w:vAlign w:val="bottom"/>
            <w:gridSpan w:val="3"/>
          </w:tcPr>
          <w:p>
            <w:pPr>
              <w:jc w:val="right"/>
              <w:spacing w:after="0" w:line="182" w:lineRule="exact"/>
              <w:rPr>
                <w:sz w:val="20"/>
                <w:szCs w:val="20"/>
                <w:color w:val="auto"/>
              </w:rPr>
            </w:pPr>
            <w:r>
              <w:rPr>
                <w:rFonts w:ascii="Arial" w:cs="Arial" w:eastAsia="Arial" w:hAnsi="Arial"/>
                <w:sz w:val="16"/>
                <w:szCs w:val="16"/>
                <w:color w:val="auto"/>
              </w:rPr>
              <w:t>163,981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right"/>
              <w:ind w:right="40"/>
              <w:spacing w:after="0" w:line="182"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10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$ 2,298,390</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$ 2,406,465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192.2%</w:t>
            </w: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gridSpan w:val="2"/>
          </w:tcPr>
          <w:p>
            <w:pPr>
              <w:spacing w:after="0" w:line="20" w:lineRule="exact"/>
              <w:rPr>
                <w:sz w:val="1"/>
                <w:szCs w:val="1"/>
                <w:color w:val="auto"/>
              </w:rPr>
            </w:pPr>
          </w:p>
        </w:tc>
        <w:tc>
          <w:tcPr>
            <w:tcW w:w="1160" w:type="dxa"/>
            <w:vAlign w:val="bottom"/>
            <w:tcBorders>
              <w:top w:val="single" w:sz="8" w:color="CFF0FC"/>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1"/>
              </w:rPr>
              <w:t>Interest Rate Swaps as of September 30, 2021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Upfront</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2"/>
                <w:szCs w:val="12"/>
                <w:color w:val="auto"/>
              </w:rPr>
            </w:pPr>
          </w:p>
        </w:tc>
        <w:tc>
          <w:tcPr>
            <w:tcW w:w="13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(Payments)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Receives</w:t>
            </w:r>
          </w:p>
        </w:tc>
        <w:tc>
          <w:tcPr>
            <w:tcW w:w="2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Pays</w:t>
            </w:r>
          </w:p>
        </w:tc>
        <w:tc>
          <w:tcPr>
            <w:tcW w:w="2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Gains / (Losses)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0.16%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21"/>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(a)(e)</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L + 2.28%</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0.326%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368,131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7,094</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8,462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+ 2.46%</w:t>
            </w: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(7,038)</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(8,306)</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1,018,131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7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September 30, 2021.</w:t>
      </w:r>
    </w:p>
    <w:p>
      <w:pPr>
        <w:ind w:left="500" w:right="2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12.0% of total assets as of September 30, 2021.</w:t>
      </w:r>
    </w:p>
    <w:p>
      <w:pPr>
        <w:ind w:left="500" w:right="6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8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nine months ended September 30, 2021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nine months ended September 30,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Net Change</w:t>
            </w:r>
          </w:p>
        </w:tc>
        <w:tc>
          <w:tcPr>
            <w:tcW w:w="120" w:type="dxa"/>
            <w:vAlign w:val="bottom"/>
          </w:tcPr>
          <w:p>
            <w:pPr>
              <w:spacing w:after="0"/>
              <w:rPr>
                <w:sz w:val="12"/>
                <w:szCs w:val="12"/>
                <w:color w:val="auto"/>
              </w:rPr>
            </w:pPr>
          </w:p>
        </w:tc>
        <w:tc>
          <w:tcPr>
            <w:tcW w:w="7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Value at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September</w:t>
            </w:r>
          </w:p>
        </w:tc>
        <w:tc>
          <w:tcPr>
            <w:tcW w:w="20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w:t>
            </w:r>
          </w:p>
        </w:tc>
        <w:tc>
          <w:tcPr>
            <w:tcW w:w="2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42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Company</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Transfers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22"/>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Additions (a)</w:t>
            </w: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14"/>
                <w:szCs w:val="14"/>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MD America Energy,</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(169)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22,929</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76"/>
              </w:rPr>
              <w:t>(169)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90"/>
              </w:rPr>
              <w:t>22,929</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9" w:lineRule="exact"/>
        <w:rPr>
          <w:rFonts w:ascii="Arial" w:cs="Arial" w:eastAsia="Arial" w:hAnsi="Arial"/>
          <w:sz w:val="18"/>
          <w:szCs w:val="18"/>
          <w:color w:val="auto"/>
        </w:rPr>
      </w:pPr>
    </w:p>
    <w:p>
      <w:pPr>
        <w:ind w:left="1000" w:right="680" w:hanging="493"/>
        <w:spacing w:after="0" w:line="323"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consolidated statement of operations for the nine months ended September 30, 2021, there is a realized loss on non-controlled, affiliated investments of $33 related to an escrow receivable for an investment in AFS Technologies, Inc. that is no longer held.</w:t>
      </w:r>
    </w:p>
    <w:p>
      <w:pPr>
        <w:spacing w:after="0" w:line="30" w:lineRule="exact"/>
        <w:rPr>
          <w:rFonts w:ascii="Arial" w:cs="Arial" w:eastAsia="Arial" w:hAnsi="Arial"/>
          <w:sz w:val="16"/>
          <w:szCs w:val="16"/>
          <w:color w:val="auto"/>
        </w:rPr>
      </w:pPr>
    </w:p>
    <w:p>
      <w:pPr>
        <w:ind w:left="500" w:right="100" w:hanging="492"/>
        <w:spacing w:after="0" w:line="30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2021 in which the Company was an Affiliated Person of and was deemed to Control a portfolio company are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nine months ended September 30,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Net Change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Value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September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42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Company</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Transfers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Additions (a)</w:t>
            </w: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w w:val="89"/>
              </w:rPr>
              <w:t>Reductions (b)</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2,963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000" w:right="80" w:hanging="493"/>
        <w:spacing w:after="0" w:line="266" w:lineRule="auto"/>
        <w:tabs>
          <w:tab w:leader="none" w:pos="1000" w:val="left"/>
        </w:tabs>
        <w:numPr>
          <w:ilvl w:val="1"/>
          <w:numId w:val="8"/>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6"/>
          <w:szCs w:val="16"/>
          <w:color w:val="auto"/>
        </w:rPr>
      </w:pPr>
    </w:p>
    <w:p>
      <w:pPr>
        <w:ind w:left="1000" w:right="300" w:hanging="493"/>
        <w:spacing w:after="0" w:line="276" w:lineRule="auto"/>
        <w:tabs>
          <w:tab w:leader="none" w:pos="1000" w:val="left"/>
        </w:tabs>
        <w:numPr>
          <w:ilvl w:val="1"/>
          <w:numId w:val="8"/>
        </w:numPr>
        <w:rPr>
          <w:rFonts w:ascii="Arial" w:cs="Arial" w:eastAsia="Arial" w:hAnsi="Arial"/>
          <w:sz w:val="16"/>
          <w:szCs w:val="16"/>
          <w:color w:val="auto"/>
        </w:rPr>
      </w:pPr>
      <w:r>
        <w:rPr>
          <w:rFonts w:ascii="Arial" w:cs="Arial" w:eastAsia="Arial" w:hAnsi="Arial"/>
          <w:sz w:val="16"/>
          <w:szCs w:val="16"/>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76" w:lineRule="exact"/>
        <w:rPr>
          <w:rFonts w:ascii="Arial" w:cs="Arial" w:eastAsia="Arial" w:hAnsi="Arial"/>
          <w:sz w:val="16"/>
          <w:szCs w:val="16"/>
          <w:color w:val="auto"/>
        </w:rPr>
      </w:pPr>
    </w:p>
    <w:p>
      <w:pPr>
        <w:ind w:left="500" w:right="240" w:hanging="492"/>
        <w:spacing w:after="0" w:line="26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September 30, 2021, the estimated cost basis of investments for U.S. federal tax purposes was $2,320,668, resulting in estimated gross unrealized gains and losses of $169,781 and $73,788, respectively.</w:t>
      </w:r>
    </w:p>
    <w:p>
      <w:pPr>
        <w:spacing w:after="0" w:line="1" w:lineRule="exact"/>
        <w:rPr>
          <w:rFonts w:ascii="Arial" w:cs="Arial" w:eastAsia="Arial" w:hAnsi="Arial"/>
          <w:sz w:val="16"/>
          <w:szCs w:val="16"/>
          <w:color w:val="auto"/>
        </w:rPr>
      </w:pPr>
    </w:p>
    <w:p>
      <w:pPr>
        <w:ind w:left="500" w:right="300" w:hanging="492"/>
        <w:spacing w:after="0" w:line="264"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64"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accordance with Financial Accounting Standards Board Accounting Standards Codification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ind w:left="500" w:hanging="492"/>
        <w:spacing w:after="0"/>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This investment is valued using observable inputs and is considered a Level 2 investment. See Note 6 for further information related to investments at fair value.</w:t>
      </w:r>
    </w:p>
    <w:p>
      <w:pPr>
        <w:spacing w:after="0" w:line="30" w:lineRule="exact"/>
        <w:rPr>
          <w:rFonts w:ascii="Arial" w:cs="Arial" w:eastAsia="Arial" w:hAnsi="Arial"/>
          <w:sz w:val="15"/>
          <w:szCs w:val="15"/>
          <w:color w:val="auto"/>
        </w:rPr>
      </w:pPr>
    </w:p>
    <w:p>
      <w:pPr>
        <w:ind w:left="500" w:hanging="492"/>
        <w:spacing w:after="0"/>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This investment is valued using observable inputs and is considered a Level 1 investment. See Note 6 for further information related to investments at fair value.</w:t>
      </w:r>
    </w:p>
    <w:p>
      <w:pPr>
        <w:spacing w:after="0" w:line="30" w:lineRule="exact"/>
        <w:rPr>
          <w:rFonts w:ascii="Arial" w:cs="Arial" w:eastAsia="Arial" w:hAnsi="Arial"/>
          <w:sz w:val="15"/>
          <w:szCs w:val="15"/>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investment is non-income producing.</w:t>
      </w:r>
    </w:p>
    <w:p>
      <w:pPr>
        <w:spacing w:after="0" w:line="18" w:lineRule="exact"/>
        <w:rPr>
          <w:rFonts w:ascii="Arial" w:cs="Arial" w:eastAsia="Arial" w:hAnsi="Arial"/>
          <w:sz w:val="16"/>
          <w:szCs w:val="16"/>
          <w:color w:val="auto"/>
        </w:rPr>
      </w:pPr>
    </w:p>
    <w:p>
      <w:pPr>
        <w:ind w:left="500" w:right="560" w:hanging="492"/>
        <w:spacing w:after="0" w:line="30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or a portion of this security was acquired in a transaction exempt from registration under the Securities Act of 1933, and may be deemed to be “restricted securities” under the Securities Act. As of September 30, 2021, the aggregate fair value of these securities is $71,939, or 5.7% of the Company’s net assets.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Ownership of equity investments may occur through a holding company or partnership.</w:t>
      </w:r>
    </w:p>
    <w:p>
      <w:pPr>
        <w:spacing w:after="0" w:line="18"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 is on non-accrual status as of September 30, 2021.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Reference</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Rate and</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144"/>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53"/>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340" w:type="dxa"/>
            <w:vAlign w:val="bottom"/>
            <w:gridSpan w:val="2"/>
          </w:tcPr>
          <w:p>
            <w:pPr>
              <w:ind w:left="82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Spread</w:t>
            </w: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Interest Rate</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60" w:type="dxa"/>
            <w:vAlign w:val="bottom"/>
            <w:gridSpan w:val="2"/>
          </w:tcPr>
          <w:p>
            <w:pPr>
              <w:jc w:val="right"/>
              <w:ind w:right="84"/>
              <w:spacing w:after="0"/>
              <w:rPr>
                <w:sz w:val="20"/>
                <w:szCs w:val="20"/>
                <w:color w:val="auto"/>
              </w:rPr>
            </w:pPr>
            <w:r>
              <w:rPr>
                <w:rFonts w:ascii="Arial" w:cs="Arial" w:eastAsia="Arial" w:hAnsi="Arial"/>
                <w:sz w:val="13"/>
                <w:szCs w:val="13"/>
                <w:b w:val="1"/>
                <w:bCs w:val="1"/>
                <w:color w:val="auto"/>
                <w:w w:val="81"/>
              </w:rPr>
              <w:t>of Net Assets</w:t>
            </w:r>
          </w:p>
        </w:tc>
      </w:tr>
      <w:tr>
        <w:trPr>
          <w:trHeight w:val="209"/>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74,813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56,132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$59,603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w:t>
            </w:r>
          </w:p>
        </w:tc>
      </w:tr>
      <w:tr>
        <w:trPr>
          <w:trHeight w:val="20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10/2025)</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75,935)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($64,317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62,934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ForeScout Technologies,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($4,662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8/2026)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9.50% PIK)</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($71,500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70,857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72,215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8/2023)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revolving loan ($1,310</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par, due 8/2023)</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($61,800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1/17/2018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6.50%</w:t>
            </w:r>
          </w:p>
        </w:tc>
        <w:tc>
          <w:tcPr>
            <w:tcW w:w="760" w:type="dxa"/>
            <w:vAlign w:val="bottom"/>
          </w:tcPr>
          <w:p>
            <w:pPr>
              <w:jc w:val="right"/>
              <w:spacing w:after="0"/>
              <w:rPr>
                <w:sz w:val="20"/>
                <w:szCs w:val="20"/>
                <w:color w:val="auto"/>
              </w:rPr>
            </w:pPr>
            <w:r>
              <w:rPr>
                <w:rFonts w:ascii="Arial" w:cs="Arial" w:eastAsia="Arial" w:hAnsi="Arial"/>
                <w:sz w:val="16"/>
                <w:szCs w:val="16"/>
                <w:color w:val="auto"/>
              </w:rPr>
              <w:t>60,902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62,418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Netwrix Corp.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($50,792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49,381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49,391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($79,695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3/30/2018</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78,370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81,912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4/2024)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ReliaQuest Holdings, LLC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($36,511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35,450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10/2026)</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ServiceChannel Holdings, Inc. </w:t>
            </w:r>
            <w:r>
              <w:rPr>
                <w:rFonts w:ascii="Arial" w:cs="Arial" w:eastAsia="Arial" w:hAnsi="Arial"/>
                <w:sz w:val="23"/>
                <w:szCs w:val="23"/>
                <w:color w:val="auto"/>
                <w:vertAlign w:val="superscript"/>
              </w:rPr>
              <w:t>(9)</w:t>
            </w:r>
          </w:p>
        </w:tc>
        <w:tc>
          <w:tcPr>
            <w:tcW w:w="2340" w:type="dxa"/>
            <w:vAlign w:val="bottom"/>
            <w:gridSpan w:val="2"/>
          </w:tcPr>
          <w:p>
            <w:pPr>
              <w:spacing w:after="0"/>
              <w:rPr>
                <w:sz w:val="20"/>
                <w:szCs w:val="20"/>
                <w:color w:val="auto"/>
              </w:rPr>
            </w:pPr>
            <w:r>
              <w:rPr>
                <w:rFonts w:ascii="Arial" w:cs="Arial" w:eastAsia="Arial" w:hAnsi="Arial"/>
                <w:sz w:val="16"/>
                <w:szCs w:val="16"/>
                <w:color w:val="auto"/>
              </w:rPr>
              <w:t>Second-lien loan ($5,359 par,</w:t>
            </w:r>
          </w:p>
        </w:tc>
        <w:tc>
          <w:tcPr>
            <w:tcW w:w="820" w:type="dxa"/>
            <w:vAlign w:val="bottom"/>
          </w:tcPr>
          <w:p>
            <w:pPr>
              <w:jc w:val="right"/>
              <w:spacing w:after="0"/>
              <w:rPr>
                <w:sz w:val="20"/>
                <w:szCs w:val="20"/>
                <w:color w:val="auto"/>
              </w:rPr>
            </w:pPr>
            <w:r>
              <w:rPr>
                <w:rFonts w:ascii="Arial" w:cs="Arial" w:eastAsia="Arial" w:hAnsi="Arial"/>
                <w:sz w:val="16"/>
                <w:szCs w:val="16"/>
                <w:color w:val="auto"/>
              </w:rPr>
              <w:t>6/3/2020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12.00% PIK</w:t>
            </w:r>
          </w:p>
        </w:tc>
        <w:tc>
          <w:tcPr>
            <w:tcW w:w="760" w:type="dxa"/>
            <w:vAlign w:val="bottom"/>
          </w:tcPr>
          <w:p>
            <w:pPr>
              <w:jc w:val="right"/>
              <w:spacing w:after="0"/>
              <w:rPr>
                <w:sz w:val="20"/>
                <w:szCs w:val="20"/>
                <w:color w:val="auto"/>
              </w:rPr>
            </w:pPr>
            <w:r>
              <w:rPr>
                <w:rFonts w:ascii="Arial" w:cs="Arial" w:eastAsia="Arial" w:hAnsi="Arial"/>
                <w:sz w:val="16"/>
                <w:szCs w:val="16"/>
                <w:color w:val="auto"/>
              </w:rPr>
              <w:t>4,992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due 6/2025)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Sprinklr, Inc.</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7"/>
              </w:rPr>
              <w:t>Convertible note ($3,920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9.88%</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9.88% PIK</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5/2025)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WideOrbit,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($59,943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7/8/2020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+ 8.50%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59,044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2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7/2025)</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487,784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502,578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43.4%</w:t>
            </w: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IntelePeer Holdings, Inc.</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($43,324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43,220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w w:val="97"/>
              </w:rPr>
              <w:t>Convertible note ($1,750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2/28/2020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8.00% PIK</w:t>
            </w:r>
          </w:p>
        </w:tc>
        <w:tc>
          <w:tcPr>
            <w:tcW w:w="76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5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12/2024)</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44,951</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44,657</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($34,913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34,476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Follet Corp.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($75,000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11/25/2020</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+ 7.75%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73,341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73,500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11/2025)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($84,835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84,479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84,835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262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9/2023)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6"/>
                <w:szCs w:val="16"/>
                <w:color w:val="auto"/>
              </w:rPr>
              <w:t>Illuminate Education,</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($63,375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8/25/2017</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62,864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63,375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6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8/2022)</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254,587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256,186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22.1%</w:t>
            </w:r>
          </w:p>
        </w:tc>
      </w:tr>
      <w:tr>
        <w:trPr>
          <w:trHeight w:val="207"/>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Financial Services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($10,831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6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($19,775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10/10/2019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L + 6.50%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19,341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19,627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revolving loan ($2,500</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2,462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par, due 10/2024)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Factor Systems,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($29,775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1/17/2020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29,232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2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1/2025)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310"/>
        </w:trPr>
        <w:tc>
          <w:tcPr>
            <w:tcW w:w="2520" w:type="dxa"/>
            <w:vAlign w:val="bottom"/>
          </w:tcPr>
          <w:p>
            <w:pPr>
              <w:spacing w:after="0"/>
              <w:rPr>
                <w:sz w:val="20"/>
                <w:szCs w:val="20"/>
                <w:color w:val="auto"/>
              </w:rPr>
            </w:pPr>
            <w:r>
              <w:rPr>
                <w:rFonts w:ascii="Arial" w:cs="Arial" w:eastAsia="Arial" w:hAnsi="Arial"/>
                <w:sz w:val="16"/>
                <w:szCs w:val="16"/>
                <w:color w:val="auto"/>
              </w:rPr>
              <w:t xml:space="preserve">G Treasury SS, LLC </w:t>
            </w:r>
            <w:r>
              <w:rPr>
                <w:rFonts w:ascii="Arial" w:cs="Arial" w:eastAsia="Arial" w:hAnsi="Arial"/>
                <w:sz w:val="27"/>
                <w:szCs w:val="27"/>
                <w:color w:val="auto"/>
                <w:vertAlign w:val="superscript"/>
              </w:rPr>
              <w:t>(3)(5)</w:t>
            </w:r>
          </w:p>
        </w:tc>
        <w:tc>
          <w:tcPr>
            <w:tcW w:w="2320" w:type="dxa"/>
            <w:vAlign w:val="bottom"/>
          </w:tcPr>
          <w:p>
            <w:pPr>
              <w:ind w:left="80"/>
              <w:spacing w:after="0"/>
              <w:rPr>
                <w:sz w:val="20"/>
                <w:szCs w:val="20"/>
                <w:color w:val="auto"/>
              </w:rPr>
            </w:pPr>
            <w:r>
              <w:rPr>
                <w:rFonts w:ascii="Arial" w:cs="Arial" w:eastAsia="Arial" w:hAnsi="Arial"/>
                <w:sz w:val="16"/>
                <w:szCs w:val="16"/>
                <w:color w:val="auto"/>
                <w:w w:val="97"/>
              </w:rPr>
              <w:t>First-lien loan ($30,934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30,674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31,398</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4/2023)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($39,323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39,618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6/2025)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InvMetrics Holdings, Inc. </w:t>
            </w:r>
            <w:r>
              <w:rPr>
                <w:rFonts w:ascii="Arial" w:cs="Arial" w:eastAsia="Arial" w:hAnsi="Arial"/>
                <w:sz w:val="23"/>
                <w:szCs w:val="23"/>
                <w:color w:val="auto"/>
                <w:vertAlign w:val="superscript"/>
              </w:rPr>
              <w:t>(3)(5)</w:t>
            </w:r>
          </w:p>
        </w:tc>
        <w:tc>
          <w:tcPr>
            <w:tcW w:w="2320" w:type="dxa"/>
            <w:vAlign w:val="bottom"/>
          </w:tcPr>
          <w:p>
            <w:pPr>
              <w:ind w:left="80"/>
              <w:spacing w:after="0"/>
              <w:rPr>
                <w:sz w:val="20"/>
                <w:szCs w:val="20"/>
                <w:color w:val="auto"/>
              </w:rPr>
            </w:pPr>
            <w:r>
              <w:rPr>
                <w:rFonts w:ascii="Arial" w:cs="Arial" w:eastAsia="Arial" w:hAnsi="Arial"/>
                <w:sz w:val="16"/>
                <w:szCs w:val="16"/>
                <w:color w:val="auto"/>
                <w:w w:val="97"/>
              </w:rPr>
              <w:t>First-lien loan ($53,200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12/30/2020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51,824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51,823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12/2025)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Kyriba Corp.</w:t>
            </w:r>
            <w:r>
              <w:rPr>
                <w:rFonts w:ascii="Arial" w:cs="Arial" w:eastAsia="Arial" w:hAnsi="Arial"/>
                <w:sz w:val="24"/>
                <w:szCs w:val="24"/>
                <w:color w:val="auto"/>
                <w:vertAlign w:val="superscript"/>
              </w:rPr>
              <w:t>(3)</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($13,921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First-lien loan (EUR 8,288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+ 9.00%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tcPr>
          <w:p>
            <w:pPr>
              <w:jc w:val="right"/>
              <w:spacing w:after="0"/>
              <w:rPr>
                <w:sz w:val="20"/>
                <w:szCs w:val="20"/>
                <w:color w:val="auto"/>
              </w:rPr>
            </w:pPr>
            <w:r>
              <w:rPr>
                <w:rFonts w:ascii="Arial" w:cs="Arial" w:eastAsia="Arial" w:hAnsi="Arial"/>
                <w:sz w:val="16"/>
                <w:szCs w:val="16"/>
                <w:color w:val="auto"/>
              </w:rPr>
              <w:t>9,120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10,420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8,516)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First-lien revolving loan ($1,411</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par, 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First-lien revolving loan (EUR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E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336 par, 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(EUR 345)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PayLease, LLC </w:t>
            </w:r>
            <w:r>
              <w:rPr>
                <w:rFonts w:ascii="Arial" w:cs="Arial" w:eastAsia="Arial" w:hAnsi="Arial"/>
                <w:sz w:val="24"/>
                <w:szCs w:val="24"/>
                <w:color w:val="auto"/>
                <w:vertAlign w:val="superscript"/>
              </w:rPr>
              <w:t>(3)</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($63,671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64,467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7/2022)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w w:val="99"/>
              </w:rPr>
              <w:t>First-lien revolving loan ($3,333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tcPr>
          <w:p>
            <w:pPr>
              <w:jc w:val="right"/>
              <w:spacing w:after="0"/>
              <w:rPr>
                <w:sz w:val="20"/>
                <w:szCs w:val="20"/>
                <w:color w:val="auto"/>
              </w:rPr>
            </w:pPr>
            <w:r>
              <w:rPr>
                <w:rFonts w:ascii="Arial" w:cs="Arial" w:eastAsia="Arial" w:hAnsi="Arial"/>
                <w:sz w:val="16"/>
                <w:szCs w:val="16"/>
                <w:color w:val="auto"/>
              </w:rPr>
              <w:t>3,312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par, due 7/2022)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($22,207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22,932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12/2023)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330,512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339,569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29.2%</w:t>
            </w:r>
          </w:p>
        </w:tc>
      </w:tr>
      <w:tr>
        <w:trPr>
          <w:trHeight w:val="212"/>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3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BCTO Ace Purchaser, Inc. </w:t>
            </w:r>
            <w:r>
              <w:rPr>
                <w:rFonts w:ascii="Arial" w:cs="Arial" w:eastAsia="Arial" w:hAnsi="Arial"/>
                <w:sz w:val="23"/>
                <w:szCs w:val="23"/>
                <w:color w:val="auto"/>
                <w:vertAlign w:val="superscript"/>
              </w:rPr>
              <w:t>(3)(5)</w:t>
            </w:r>
          </w:p>
        </w:tc>
        <w:tc>
          <w:tcPr>
            <w:tcW w:w="2320" w:type="dxa"/>
            <w:vAlign w:val="bottom"/>
          </w:tcPr>
          <w:p>
            <w:pPr>
              <w:ind w:left="80"/>
              <w:spacing w:after="0"/>
              <w:rPr>
                <w:sz w:val="20"/>
                <w:szCs w:val="20"/>
                <w:color w:val="auto"/>
              </w:rPr>
            </w:pPr>
            <w:r>
              <w:rPr>
                <w:rFonts w:ascii="Arial" w:cs="Arial" w:eastAsia="Arial" w:hAnsi="Arial"/>
                <w:sz w:val="16"/>
                <w:szCs w:val="16"/>
                <w:color w:val="auto"/>
                <w:w w:val="97"/>
              </w:rPr>
              <w:t>First-lien loan ($40,000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11/23/2020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38,863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39,300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11/2026)</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Inc.</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First-lien loan ($5,000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First-lien loan ($3,750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4/2/2020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tcPr>
          <w:p>
            <w:pPr>
              <w:jc w:val="right"/>
              <w:spacing w:after="0"/>
              <w:rPr>
                <w:sz w:val="20"/>
                <w:szCs w:val="20"/>
                <w:color w:val="auto"/>
              </w:rPr>
            </w:pPr>
            <w:r>
              <w:rPr>
                <w:rFonts w:ascii="Arial" w:cs="Arial" w:eastAsia="Arial" w:hAnsi="Arial"/>
                <w:sz w:val="16"/>
                <w:szCs w:val="16"/>
                <w:color w:val="auto"/>
              </w:rPr>
              <w:t>3,500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Convertible note ($2,602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due 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320" w:type="dxa"/>
            <w:vAlign w:val="bottom"/>
          </w:tcPr>
          <w:p>
            <w:pPr>
              <w:ind w:left="80"/>
              <w:spacing w:after="0"/>
              <w:rPr>
                <w:sz w:val="20"/>
                <w:szCs w:val="20"/>
                <w:color w:val="auto"/>
              </w:rPr>
            </w:pPr>
            <w:r>
              <w:rPr>
                <w:rFonts w:ascii="Arial" w:cs="Arial" w:eastAsia="Arial" w:hAnsi="Arial"/>
                <w:sz w:val="16"/>
                <w:szCs w:val="16"/>
                <w:color w:val="auto"/>
                <w:w w:val="97"/>
              </w:rPr>
              <w:t>First-lien loan ($15,000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14,891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15,150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First-lien revolving loan ($2,400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par, due 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Integrated Practice</w:t>
            </w:r>
          </w:p>
        </w:tc>
        <w:tc>
          <w:tcPr>
            <w:tcW w:w="2320" w:type="dxa"/>
            <w:vAlign w:val="bottom"/>
          </w:tcPr>
          <w:p>
            <w:pPr>
              <w:ind w:left="80"/>
              <w:spacing w:after="0"/>
              <w:rPr>
                <w:sz w:val="20"/>
                <w:szCs w:val="20"/>
                <w:color w:val="auto"/>
              </w:rPr>
            </w:pPr>
            <w:r>
              <w:rPr>
                <w:rFonts w:ascii="Arial" w:cs="Arial" w:eastAsia="Arial" w:hAnsi="Arial"/>
                <w:sz w:val="16"/>
                <w:szCs w:val="16"/>
                <w:color w:val="auto"/>
                <w:w w:val="97"/>
              </w:rPr>
              <w:t>First-lien loan ($49,375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47,920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50,733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25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320" w:type="dxa"/>
            <w:vAlign w:val="bottom"/>
          </w:tcPr>
          <w:p>
            <w:pPr>
              <w:ind w:left="8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2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($17,781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2/29/2016</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16,892</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1/2021)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320" w:type="dxa"/>
            <w:vAlign w:val="bottom"/>
          </w:tcPr>
          <w:p>
            <w:pPr>
              <w:ind w:left="80"/>
              <w:spacing w:after="0"/>
              <w:rPr>
                <w:sz w:val="20"/>
                <w:szCs w:val="20"/>
                <w:color w:val="auto"/>
              </w:rPr>
            </w:pPr>
            <w:r>
              <w:rPr>
                <w:rFonts w:ascii="Arial" w:cs="Arial" w:eastAsia="Arial" w:hAnsi="Arial"/>
                <w:sz w:val="16"/>
                <w:szCs w:val="16"/>
                <w:color w:val="auto"/>
                <w:w w:val="97"/>
              </w:rPr>
              <w:t>First-lien loan ($28,536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tcPr>
          <w:p>
            <w:pPr>
              <w:jc w:val="right"/>
              <w:spacing w:after="0"/>
              <w:rPr>
                <w:sz w:val="20"/>
                <w:szCs w:val="20"/>
                <w:color w:val="auto"/>
              </w:rPr>
            </w:pPr>
            <w:r>
              <w:rPr>
                <w:rFonts w:ascii="Arial" w:cs="Arial" w:eastAsia="Arial" w:hAnsi="Arial"/>
                <w:sz w:val="16"/>
                <w:szCs w:val="16"/>
                <w:color w:val="auto"/>
              </w:rPr>
              <w:t>27,909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5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320" w:type="dxa"/>
            <w:vAlign w:val="bottom"/>
          </w:tcPr>
          <w:p>
            <w:pPr>
              <w:ind w:left="80"/>
              <w:spacing w:after="0"/>
              <w:rPr>
                <w:sz w:val="20"/>
                <w:szCs w:val="20"/>
                <w:color w:val="auto"/>
              </w:rPr>
            </w:pPr>
            <w:r>
              <w:rPr>
                <w:rFonts w:ascii="Arial" w:cs="Arial" w:eastAsia="Arial" w:hAnsi="Arial"/>
                <w:sz w:val="16"/>
                <w:szCs w:val="16"/>
                <w:color w:val="auto"/>
              </w:rPr>
              <w:t>4/2024)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20" w:type="dxa"/>
            <w:vAlign w:val="bottom"/>
            <w:shd w:val="clear" w:color="auto" w:fill="CFF0FC"/>
          </w:tcPr>
          <w:p>
            <w:pPr>
              <w:spacing w:after="0"/>
              <w:rPr>
                <w:sz w:val="17"/>
                <w:szCs w:val="17"/>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First-lien revolving loan ($1,500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1,520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par, due 4/2024)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320" w:type="dxa"/>
            <w:vAlign w:val="bottom"/>
          </w:tcPr>
          <w:p>
            <w:pPr>
              <w:ind w:left="80"/>
              <w:spacing w:after="0"/>
              <w:rPr>
                <w:sz w:val="20"/>
                <w:szCs w:val="20"/>
                <w:color w:val="auto"/>
              </w:rPr>
            </w:pPr>
            <w:r>
              <w:rPr>
                <w:rFonts w:ascii="Arial" w:cs="Arial" w:eastAsia="Arial" w:hAnsi="Arial"/>
                <w:sz w:val="16"/>
                <w:szCs w:val="16"/>
                <w:color w:val="auto"/>
              </w:rPr>
              <w:t>First-lien loan ($9,058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tcPr>
          <w:p>
            <w:pPr>
              <w:jc w:val="right"/>
              <w:spacing w:after="0"/>
              <w:rPr>
                <w:sz w:val="20"/>
                <w:szCs w:val="20"/>
                <w:color w:val="auto"/>
              </w:rPr>
            </w:pPr>
            <w:r>
              <w:rPr>
                <w:rFonts w:ascii="Arial" w:cs="Arial" w:eastAsia="Arial" w:hAnsi="Arial"/>
                <w:sz w:val="16"/>
                <w:szCs w:val="16"/>
                <w:color w:val="auto"/>
              </w:rPr>
              <w:t>8,883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9,126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252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2/2024)</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171,076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178,360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w:t>
            </w: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($29,881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28,611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9/2021)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w w:val="99"/>
              </w:rPr>
              <w:t>First-lien revolving loan ($7,054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7,054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6,750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252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par, due 9/2021)</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35,361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w w:val="93"/>
              </w:rPr>
              <w:t>Human Resource Support Services</w:t>
            </w:r>
          </w:p>
        </w:tc>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Absorb Software, Inc. </w:t>
            </w:r>
            <w:r>
              <w:rPr>
                <w:rFonts w:ascii="Arial" w:cs="Arial" w:eastAsia="Arial" w:hAnsi="Arial"/>
                <w:sz w:val="24"/>
                <w:szCs w:val="24"/>
                <w:color w:val="auto"/>
                <w:vertAlign w:val="superscript"/>
              </w:rPr>
              <w:t>(3)(4)(5)</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($34,487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33,920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34,746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320" w:type="dxa"/>
            <w:vAlign w:val="bottom"/>
          </w:tcPr>
          <w:p>
            <w:pPr>
              <w:ind w:left="80"/>
              <w:spacing w:after="0"/>
              <w:rPr>
                <w:sz w:val="20"/>
                <w:szCs w:val="20"/>
                <w:color w:val="auto"/>
              </w:rPr>
            </w:pPr>
            <w:r>
              <w:rPr>
                <w:rFonts w:ascii="Arial" w:cs="Arial" w:eastAsia="Arial" w:hAnsi="Arial"/>
                <w:sz w:val="16"/>
                <w:szCs w:val="16"/>
                <w:color w:val="auto"/>
                <w:w w:val="97"/>
              </w:rPr>
              <w:t>First-lien loan ($20,055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10.25% (incl.</w:t>
            </w:r>
          </w:p>
        </w:tc>
        <w:tc>
          <w:tcPr>
            <w:tcW w:w="760" w:type="dxa"/>
            <w:vAlign w:val="bottom"/>
          </w:tcPr>
          <w:p>
            <w:pPr>
              <w:jc w:val="right"/>
              <w:spacing w:after="0"/>
              <w:rPr>
                <w:sz w:val="20"/>
                <w:szCs w:val="20"/>
                <w:color w:val="auto"/>
              </w:rPr>
            </w:pPr>
            <w:r>
              <w:rPr>
                <w:rFonts w:ascii="Arial" w:cs="Arial" w:eastAsia="Arial" w:hAnsi="Arial"/>
                <w:sz w:val="16"/>
                <w:szCs w:val="16"/>
                <w:color w:val="auto"/>
              </w:rPr>
              <w:t>19,909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20,206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7/2023)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2.50%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(3)(5)</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7"/>
              </w:rPr>
              <w:t>First-lien loan ($36,318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36,348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36,199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10/2025)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w w:val="99"/>
              </w:rPr>
              <w:t>First-lien revolving loan ($3,000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12/18/2020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3,004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2,992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52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par, due 10/2025)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w w:val="98"/>
              </w:rPr>
              <w:t>First-lien loan (AUD 51,474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8.50%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39,531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39,938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520" w:type="dxa"/>
            <w:vAlign w:val="bottom"/>
            <w:shd w:val="clear" w:color="auto" w:fill="CFF0FC"/>
          </w:tcPr>
          <w:p>
            <w:pPr>
              <w:spacing w:after="0"/>
              <w:rPr>
                <w:sz w:val="18"/>
                <w:szCs w:val="18"/>
                <w:color w:val="auto"/>
              </w:rPr>
            </w:pPr>
          </w:p>
        </w:tc>
        <w:tc>
          <w:tcPr>
            <w:tcW w:w="2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due 12/2022)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1.25% PIK)</w:t>
            </w:r>
          </w:p>
        </w:tc>
        <w:tc>
          <w:tcPr>
            <w:tcW w:w="7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51,757)</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10"/>
        </w:trPr>
        <w:tc>
          <w:tcPr>
            <w:tcW w:w="2400" w:type="dxa"/>
            <w:vAlign w:val="bottom"/>
          </w:tcPr>
          <w:p>
            <w:pPr>
              <w:spacing w:after="0"/>
              <w:rPr>
                <w:sz w:val="20"/>
                <w:szCs w:val="20"/>
                <w:color w:val="auto"/>
              </w:rPr>
            </w:pPr>
            <w:r>
              <w:rPr>
                <w:rFonts w:ascii="Arial" w:cs="Arial" w:eastAsia="Arial" w:hAnsi="Arial"/>
                <w:sz w:val="16"/>
                <w:szCs w:val="16"/>
                <w:color w:val="auto"/>
              </w:rPr>
              <w:t xml:space="preserve">PayScale Holdings, Inc. </w:t>
            </w:r>
            <w:r>
              <w:rPr>
                <w:rFonts w:ascii="Arial" w:cs="Arial" w:eastAsia="Arial" w:hAnsi="Arial"/>
                <w:sz w:val="27"/>
                <w:szCs w:val="27"/>
                <w:color w:val="auto"/>
                <w:vertAlign w:val="superscript"/>
              </w:rPr>
              <w:t>(3)(5)</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($39,700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tcPr>
          <w:p>
            <w:pPr>
              <w:jc w:val="right"/>
              <w:spacing w:after="0"/>
              <w:rPr>
                <w:sz w:val="20"/>
                <w:szCs w:val="20"/>
                <w:color w:val="auto"/>
              </w:rPr>
            </w:pPr>
            <w:r>
              <w:rPr>
                <w:rFonts w:ascii="Arial" w:cs="Arial" w:eastAsia="Arial" w:hAnsi="Arial"/>
                <w:sz w:val="16"/>
                <w:szCs w:val="16"/>
                <w:color w:val="auto"/>
              </w:rPr>
              <w:t>38,916</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39,937</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0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Modern Hire, Inc. </w:t>
            </w:r>
            <w:r>
              <w:rPr>
                <w:rFonts w:ascii="Arial" w:cs="Arial" w:eastAsia="Arial" w:hAnsi="Arial"/>
                <w:sz w:val="24"/>
                <w:szCs w:val="24"/>
                <w:color w:val="auto"/>
                <w:vertAlign w:val="superscript"/>
              </w:rPr>
              <w:t>(3)(5)</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($30,113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5/15/2019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Workwell Acquisition Co. </w:t>
            </w:r>
            <w:r>
              <w:rPr>
                <w:rFonts w:ascii="Arial" w:cs="Arial" w:eastAsia="Arial" w:hAnsi="Arial"/>
                <w:sz w:val="23"/>
                <w:szCs w:val="23"/>
                <w:color w:val="auto"/>
                <w:vertAlign w:val="superscript"/>
              </w:rPr>
              <w:t>(3)(5)</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($19,950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10/19/2020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tcPr>
          <w:p>
            <w:pPr>
              <w:jc w:val="right"/>
              <w:spacing w:after="0"/>
              <w:rPr>
                <w:sz w:val="20"/>
                <w:szCs w:val="20"/>
                <w:color w:val="auto"/>
              </w:rPr>
            </w:pPr>
            <w:r>
              <w:rPr>
                <w:rFonts w:ascii="Arial" w:cs="Arial" w:eastAsia="Arial" w:hAnsi="Arial"/>
                <w:sz w:val="16"/>
                <w:szCs w:val="16"/>
                <w:color w:val="auto"/>
              </w:rPr>
              <w:t>19,218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40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10/2025)</w:t>
            </w:r>
          </w:p>
        </w:tc>
        <w:tc>
          <w:tcPr>
            <w:tcW w:w="10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220,360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224,081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19.2%</w:t>
            </w:r>
          </w:p>
        </w:tc>
      </w:tr>
      <w:tr>
        <w:trPr>
          <w:trHeight w:val="206"/>
        </w:trPr>
        <w:tc>
          <w:tcPr>
            <w:tcW w:w="240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($50,767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50,380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51,402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10/2023)</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($50,000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6/18/2018</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49,521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50,125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Lithium Technologies,</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($54,700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10/3/2017</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tcPr>
          <w:p>
            <w:pPr>
              <w:jc w:val="right"/>
              <w:spacing w:after="0"/>
              <w:rPr>
                <w:sz w:val="20"/>
                <w:szCs w:val="20"/>
                <w:color w:val="auto"/>
              </w:rPr>
            </w:pPr>
            <w:r>
              <w:rPr>
                <w:rFonts w:ascii="Arial" w:cs="Arial" w:eastAsia="Arial" w:hAnsi="Arial"/>
                <w:sz w:val="16"/>
                <w:szCs w:val="16"/>
                <w:color w:val="auto"/>
              </w:rPr>
              <w:t>54,192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53,606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24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520" w:type="dxa"/>
            <w:vAlign w:val="bottom"/>
          </w:tcPr>
          <w:p>
            <w:pPr>
              <w:ind w:left="220"/>
              <w:spacing w:after="0"/>
              <w:rPr>
                <w:sz w:val="20"/>
                <w:szCs w:val="20"/>
                <w:color w:val="auto"/>
              </w:rPr>
            </w:pPr>
            <w:r>
              <w:rPr>
                <w:rFonts w:ascii="Arial" w:cs="Arial" w:eastAsia="Arial" w:hAnsi="Arial"/>
                <w:sz w:val="16"/>
                <w:szCs w:val="16"/>
                <w:color w:val="auto"/>
              </w:rPr>
              <w:t>10/2022)</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17"/>
                <w:szCs w:val="17"/>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revolving loan ($1,320</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par, due 10/2022)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($12,902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12.00%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12.00%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12,791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13,145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240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7/2024)</w:t>
            </w:r>
          </w:p>
        </w:tc>
        <w:tc>
          <w:tcPr>
            <w:tcW w:w="100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79"/>
              <w:spacing w:after="0"/>
              <w:rPr>
                <w:sz w:val="20"/>
                <w:szCs w:val="20"/>
                <w:color w:val="auto"/>
              </w:rPr>
            </w:pPr>
            <w:r>
              <w:rPr>
                <w:rFonts w:ascii="Arial" w:cs="Arial" w:eastAsia="Arial" w:hAnsi="Arial"/>
                <w:sz w:val="16"/>
                <w:szCs w:val="16"/>
                <w:color w:val="auto"/>
              </w:rPr>
              <w:t>7.00% PIK)</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117,806</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118,130</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7"/>
        </w:trPr>
        <w:tc>
          <w:tcPr>
            <w:tcW w:w="240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Acoustic, L.P. </w:t>
            </w:r>
            <w:r>
              <w:rPr>
                <w:rFonts w:ascii="Arial" w:cs="Arial" w:eastAsia="Arial" w:hAnsi="Arial"/>
                <w:sz w:val="24"/>
                <w:szCs w:val="24"/>
                <w:color w:val="auto"/>
                <w:vertAlign w:val="superscript"/>
              </w:rPr>
              <w:t>(3)</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note ($33,000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12/17/2019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32,010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6/2024)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ABL FILO term loan ($7,732</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9/12/2017</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par, due 9/2022)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w w:val="99"/>
              </w:rPr>
              <w:t>Oil, Gas and Consumable Fuels</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MD America Energy,</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($9,000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11/14/2018</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(3)(6)</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12/2024)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Mississippi Resources,</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($1,500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6/29/2018</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P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760" w:type="dxa"/>
            <w:vAlign w:val="bottom"/>
          </w:tcPr>
          <w:p>
            <w:pPr>
              <w:jc w:val="right"/>
              <w:spacing w:after="0"/>
              <w:rPr>
                <w:sz w:val="20"/>
                <w:szCs w:val="20"/>
                <w:color w:val="auto"/>
              </w:rPr>
            </w:pPr>
            <w:r>
              <w:rPr>
                <w:rFonts w:ascii="Arial" w:cs="Arial" w:eastAsia="Arial" w:hAnsi="Arial"/>
                <w:sz w:val="16"/>
                <w:szCs w:val="16"/>
                <w:color w:val="auto"/>
              </w:rPr>
              <w:t>1,498</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520" w:type="dxa"/>
            <w:vAlign w:val="bottom"/>
          </w:tcPr>
          <w:p>
            <w:pPr>
              <w:ind w:left="220"/>
              <w:spacing w:after="0"/>
              <w:rPr>
                <w:sz w:val="20"/>
                <w:szCs w:val="20"/>
                <w:color w:val="auto"/>
              </w:rPr>
            </w:pPr>
            <w:r>
              <w:rPr>
                <w:rFonts w:ascii="Arial" w:cs="Arial" w:eastAsia="Arial" w:hAnsi="Arial"/>
                <w:sz w:val="16"/>
                <w:szCs w:val="16"/>
                <w:color w:val="auto"/>
              </w:rPr>
              <w:t>12/2021)</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($25,233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4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35,219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34,437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w:t>
            </w:r>
          </w:p>
        </w:tc>
        <w:tc>
          <w:tcPr>
            <w:tcW w:w="25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Lexipol, LLC </w:t>
            </w:r>
            <w:r>
              <w:rPr>
                <w:rFonts w:ascii="Arial" w:cs="Arial" w:eastAsia="Arial" w:hAnsi="Arial"/>
                <w:sz w:val="23"/>
                <w:szCs w:val="23"/>
                <w:color w:val="auto"/>
                <w:vertAlign w:val="superscript"/>
              </w:rPr>
              <w:t>(3)(5)</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($19,762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10/8/2020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+ 5.75%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760" w:type="dxa"/>
            <w:vAlign w:val="bottom"/>
          </w:tcPr>
          <w:p>
            <w:pPr>
              <w:jc w:val="right"/>
              <w:spacing w:after="0"/>
              <w:rPr>
                <w:sz w:val="20"/>
                <w:szCs w:val="20"/>
                <w:color w:val="auto"/>
              </w:rPr>
            </w:pPr>
            <w:r>
              <w:rPr>
                <w:rFonts w:ascii="Arial" w:cs="Arial" w:eastAsia="Arial" w:hAnsi="Arial"/>
                <w:sz w:val="16"/>
                <w:szCs w:val="16"/>
                <w:color w:val="auto"/>
              </w:rPr>
              <w:t>19,427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40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6"/>
                <w:szCs w:val="16"/>
                <w:color w:val="auto"/>
              </w:rPr>
              <w:t>10/2025)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Biohaven Pharmaceuticals,</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($27,948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+ 9.00%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10.00%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26,796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27,569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520" w:type="dxa"/>
            <w:vAlign w:val="bottom"/>
          </w:tcPr>
          <w:p>
            <w:pPr>
              <w:ind w:left="220"/>
              <w:spacing w:after="0"/>
              <w:rPr>
                <w:sz w:val="20"/>
                <w:szCs w:val="20"/>
                <w:color w:val="auto"/>
              </w:rPr>
            </w:pPr>
            <w:r>
              <w:rPr>
                <w:rFonts w:ascii="Arial" w:cs="Arial" w:eastAsia="Arial" w:hAnsi="Arial"/>
                <w:sz w:val="16"/>
                <w:szCs w:val="16"/>
                <w:color w:val="auto"/>
              </w:rPr>
              <w:t>8/2025)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4.00% PIK)</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($37,500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35,887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36,469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3/2024)</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62,683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64,038</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5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($39,886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760" w:type="dxa"/>
            <w:vAlign w:val="bottom"/>
          </w:tcPr>
          <w:p>
            <w:pPr>
              <w:jc w:val="right"/>
              <w:spacing w:after="0"/>
              <w:rPr>
                <w:sz w:val="20"/>
                <w:szCs w:val="20"/>
                <w:color w:val="auto"/>
              </w:rPr>
            </w:pPr>
            <w:r>
              <w:rPr>
                <w:rFonts w:ascii="Arial" w:cs="Arial" w:eastAsia="Arial" w:hAnsi="Arial"/>
                <w:sz w:val="16"/>
                <w:szCs w:val="16"/>
                <w:color w:val="auto"/>
              </w:rPr>
              <w:t>39,686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39,763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0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99 Cents Only Stores</w:t>
            </w:r>
          </w:p>
        </w:tc>
        <w:tc>
          <w:tcPr>
            <w:tcW w:w="2520" w:type="dxa"/>
            <w:vAlign w:val="bottom"/>
          </w:tcPr>
          <w:p>
            <w:pPr>
              <w:ind w:left="220"/>
              <w:spacing w:after="0"/>
              <w:rPr>
                <w:sz w:val="20"/>
                <w:szCs w:val="20"/>
                <w:color w:val="auto"/>
              </w:rPr>
            </w:pPr>
            <w:r>
              <w:rPr>
                <w:rFonts w:ascii="Arial" w:cs="Arial" w:eastAsia="Arial" w:hAnsi="Arial"/>
                <w:sz w:val="16"/>
                <w:szCs w:val="16"/>
                <w:color w:val="auto"/>
              </w:rPr>
              <w:t>ABL FILO term loan ($25,000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9/6/2017</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760" w:type="dxa"/>
            <w:vAlign w:val="bottom"/>
          </w:tcPr>
          <w:p>
            <w:pPr>
              <w:jc w:val="right"/>
              <w:spacing w:after="0"/>
              <w:rPr>
                <w:sz w:val="20"/>
                <w:szCs w:val="20"/>
                <w:color w:val="auto"/>
              </w:rPr>
            </w:pPr>
            <w:r>
              <w:rPr>
                <w:rFonts w:ascii="Arial" w:cs="Arial" w:eastAsia="Arial" w:hAnsi="Arial"/>
                <w:sz w:val="16"/>
                <w:szCs w:val="16"/>
                <w:color w:val="auto"/>
              </w:rPr>
              <w:t>24,640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25,625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24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520" w:type="dxa"/>
            <w:vAlign w:val="bottom"/>
          </w:tcPr>
          <w:p>
            <w:pPr>
              <w:ind w:left="220"/>
              <w:spacing w:after="0"/>
              <w:rPr>
                <w:sz w:val="20"/>
                <w:szCs w:val="20"/>
                <w:color w:val="auto"/>
              </w:rPr>
            </w:pPr>
            <w:r>
              <w:rPr>
                <w:rFonts w:ascii="Arial" w:cs="Arial" w:eastAsia="Arial" w:hAnsi="Arial"/>
                <w:sz w:val="16"/>
                <w:szCs w:val="16"/>
                <w:color w:val="auto"/>
              </w:rPr>
              <w:t>par, due 5/2025)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loan ($23,876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23,822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(3)(5)(16)</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9/2022)</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Designer Brands, Inc. </w:t>
            </w:r>
            <w:r>
              <w:rPr>
                <w:rFonts w:ascii="Arial" w:cs="Arial" w:eastAsia="Arial" w:hAnsi="Arial"/>
                <w:sz w:val="23"/>
                <w:szCs w:val="23"/>
                <w:color w:val="auto"/>
                <w:vertAlign w:val="superscript"/>
              </w:rPr>
              <w:t>(3)(4)</w:t>
            </w:r>
          </w:p>
        </w:tc>
        <w:tc>
          <w:tcPr>
            <w:tcW w:w="2520" w:type="dxa"/>
            <w:vAlign w:val="bottom"/>
          </w:tcPr>
          <w:p>
            <w:pPr>
              <w:ind w:left="220"/>
              <w:spacing w:after="0"/>
              <w:rPr>
                <w:sz w:val="20"/>
                <w:szCs w:val="20"/>
                <w:color w:val="auto"/>
              </w:rPr>
            </w:pPr>
            <w:r>
              <w:rPr>
                <w:rFonts w:ascii="Arial" w:cs="Arial" w:eastAsia="Arial" w:hAnsi="Arial"/>
                <w:sz w:val="16"/>
                <w:szCs w:val="16"/>
                <w:color w:val="auto"/>
                <w:w w:val="98"/>
              </w:rPr>
              <w:t>ABL First-lien loan ($49,375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8/7/2020</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48,218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49,252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09"/>
        </w:trPr>
        <w:tc>
          <w:tcPr>
            <w:tcW w:w="240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6"/>
                <w:szCs w:val="16"/>
                <w:color w:val="auto"/>
              </w:rPr>
              <w:t>due 8/2025)</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J.C. Penney Company,</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ABL DIP term loan ($12,198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6/8/2020</w:t>
            </w: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13,336</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(11)(13)</w:t>
            </w: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due 4/2021)</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rPr>
                <w:sz w:val="17"/>
                <w:szCs w:val="17"/>
                <w:color w:val="auto"/>
              </w:rPr>
            </w:pPr>
          </w:p>
        </w:tc>
        <w:tc>
          <w:tcPr>
            <w:tcW w:w="2520" w:type="dxa"/>
            <w:vAlign w:val="bottom"/>
          </w:tcPr>
          <w:p>
            <w:pPr>
              <w:ind w:left="220"/>
              <w:spacing w:after="0"/>
              <w:rPr>
                <w:sz w:val="20"/>
                <w:szCs w:val="20"/>
                <w:color w:val="auto"/>
              </w:rPr>
            </w:pPr>
            <w:r>
              <w:rPr>
                <w:rFonts w:ascii="Arial" w:cs="Arial" w:eastAsia="Arial" w:hAnsi="Arial"/>
                <w:sz w:val="16"/>
                <w:szCs w:val="16"/>
                <w:color w:val="auto"/>
              </w:rPr>
              <w:t>First-lien loan ($4,129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6/5/2019</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0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6"/>
                <w:szCs w:val="16"/>
                <w:color w:val="auto"/>
              </w:rPr>
              <w:t>6/2023)</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First-lien secured note ($12,384</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6/5/2019</w:t>
            </w: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400" w:type="dxa"/>
            <w:vAlign w:val="bottom"/>
            <w:shd w:val="clear" w:color="auto" w:fill="CFF0FC"/>
          </w:tcPr>
          <w:p>
            <w:pPr>
              <w:spacing w:after="0"/>
              <w:rPr>
                <w:sz w:val="18"/>
                <w:szCs w:val="18"/>
                <w:color w:val="auto"/>
              </w:rPr>
            </w:pPr>
          </w:p>
        </w:tc>
        <w:tc>
          <w:tcPr>
            <w:tcW w:w="25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par, due 7/2023)</w:t>
            </w:r>
          </w:p>
        </w:tc>
        <w:tc>
          <w:tcPr>
            <w:tcW w:w="10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520" w:type="dxa"/>
            <w:vAlign w:val="bottom"/>
          </w:tcPr>
          <w:p>
            <w:pPr>
              <w:ind w:left="220"/>
              <w:spacing w:after="0"/>
              <w:rPr>
                <w:sz w:val="20"/>
                <w:szCs w:val="20"/>
                <w:color w:val="auto"/>
              </w:rPr>
            </w:pPr>
            <w:r>
              <w:rPr>
                <w:rFonts w:ascii="Arial" w:cs="Arial" w:eastAsia="Arial" w:hAnsi="Arial"/>
                <w:sz w:val="16"/>
                <w:szCs w:val="16"/>
                <w:color w:val="auto"/>
              </w:rPr>
              <w:t>ABL FILO term loan ($20,667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5/6/2019</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760" w:type="dxa"/>
            <w:vAlign w:val="bottom"/>
          </w:tcPr>
          <w:p>
            <w:pPr>
              <w:jc w:val="right"/>
              <w:spacing w:after="0"/>
              <w:rPr>
                <w:sz w:val="20"/>
                <w:szCs w:val="20"/>
                <w:color w:val="auto"/>
              </w:rPr>
            </w:pPr>
            <w:r>
              <w:rPr>
                <w:rFonts w:ascii="Arial" w:cs="Arial" w:eastAsia="Arial" w:hAnsi="Arial"/>
                <w:sz w:val="16"/>
                <w:szCs w:val="16"/>
                <w:color w:val="auto"/>
              </w:rPr>
              <w:t>20,212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21,132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2400" w:type="dxa"/>
            <w:vAlign w:val="bottom"/>
          </w:tcPr>
          <w:p>
            <w:pPr>
              <w:spacing w:after="0"/>
              <w:rPr>
                <w:sz w:val="17"/>
                <w:szCs w:val="17"/>
                <w:color w:val="auto"/>
              </w:rPr>
            </w:pPr>
          </w:p>
        </w:tc>
        <w:tc>
          <w:tcPr>
            <w:tcW w:w="2520" w:type="dxa"/>
            <w:vAlign w:val="bottom"/>
          </w:tcPr>
          <w:p>
            <w:pPr>
              <w:ind w:left="220"/>
              <w:spacing w:after="0"/>
              <w:rPr>
                <w:sz w:val="20"/>
                <w:szCs w:val="20"/>
                <w:color w:val="auto"/>
              </w:rPr>
            </w:pPr>
            <w:r>
              <w:rPr>
                <w:rFonts w:ascii="Arial" w:cs="Arial" w:eastAsia="Arial" w:hAnsi="Arial"/>
                <w:sz w:val="16"/>
                <w:szCs w:val="16"/>
                <w:color w:val="auto"/>
              </w:rPr>
              <w:t>par, due 5/2024)</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10"/>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Moran Foods, LLC </w:t>
            </w:r>
            <w:r>
              <w:rPr>
                <w:rFonts w:ascii="Arial" w:cs="Arial" w:eastAsia="Arial" w:hAnsi="Arial"/>
                <w:sz w:val="27"/>
                <w:szCs w:val="27"/>
                <w:color w:val="auto"/>
                <w:vertAlign w:val="superscript"/>
              </w:rPr>
              <w:t>(3)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ABL FILO term loan ($30,000</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4/1/2020</w:t>
            </w:r>
          </w:p>
        </w:tc>
        <w:tc>
          <w:tcPr>
            <w:tcW w:w="1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L + 7.50%</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29,498</w:t>
            </w:r>
          </w:p>
        </w:tc>
        <w:tc>
          <w:tcPr>
            <w:tcW w:w="22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30,600</w:t>
            </w:r>
          </w:p>
        </w:tc>
        <w:tc>
          <w:tcPr>
            <w:tcW w:w="20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par, due 4/2024)</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ABL FILO term loan ($7,500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4/1/2020</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P + 6.50%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9.75%</w:t>
            </w:r>
          </w:p>
        </w:tc>
        <w:tc>
          <w:tcPr>
            <w:tcW w:w="760" w:type="dxa"/>
            <w:vAlign w:val="bottom"/>
          </w:tcPr>
          <w:p>
            <w:pPr>
              <w:jc w:val="right"/>
              <w:spacing w:after="0"/>
              <w:rPr>
                <w:sz w:val="20"/>
                <w:szCs w:val="20"/>
                <w:color w:val="auto"/>
              </w:rPr>
            </w:pPr>
            <w:r>
              <w:rPr>
                <w:rFonts w:ascii="Arial" w:cs="Arial" w:eastAsia="Arial" w:hAnsi="Arial"/>
                <w:sz w:val="16"/>
                <w:szCs w:val="16"/>
                <w:color w:val="auto"/>
              </w:rPr>
              <w:t>7,374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par, due 4/2024)</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NMG Holding Company, Inc. </w:t>
            </w:r>
            <w:r>
              <w:rPr>
                <w:rFonts w:ascii="Arial" w:cs="Arial" w:eastAsia="Arial" w:hAnsi="Arial"/>
                <w:sz w:val="24"/>
                <w:szCs w:val="24"/>
                <w:color w:val="auto"/>
                <w:vertAlign w:val="superscript"/>
              </w:rPr>
              <w:t>(3)(11)</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6"/>
              </w:rPr>
              <w:t>First-lien term loan ($16,961 par,</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9/25/2020</w:t>
            </w:r>
          </w:p>
        </w:tc>
        <w:tc>
          <w:tcPr>
            <w:tcW w:w="1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L + 12.00%</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17,994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9/2025)</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Penney Borrower, LLC </w:t>
            </w:r>
            <w:r>
              <w:rPr>
                <w:rFonts w:ascii="Arial" w:cs="Arial" w:eastAsia="Arial" w:hAnsi="Arial"/>
                <w:sz w:val="23"/>
                <w:szCs w:val="23"/>
                <w:color w:val="auto"/>
                <w:vertAlign w:val="superscript"/>
              </w:rPr>
              <w:t>(3)</w:t>
            </w:r>
          </w:p>
        </w:tc>
        <w:tc>
          <w:tcPr>
            <w:tcW w:w="2360" w:type="dxa"/>
            <w:vAlign w:val="bottom"/>
          </w:tcPr>
          <w:p>
            <w:pPr>
              <w:ind w:left="100"/>
              <w:spacing w:after="0"/>
              <w:rPr>
                <w:sz w:val="20"/>
                <w:szCs w:val="20"/>
                <w:color w:val="auto"/>
              </w:rPr>
            </w:pPr>
            <w:r>
              <w:rPr>
                <w:rFonts w:ascii="Arial" w:cs="Arial" w:eastAsia="Arial" w:hAnsi="Arial"/>
                <w:sz w:val="16"/>
                <w:szCs w:val="16"/>
                <w:color w:val="auto"/>
              </w:rPr>
              <w:t>ABL FILO term loan ($72,000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12/7/2020</w:t>
            </w: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L + 8.50%</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9.25%</w:t>
            </w:r>
          </w:p>
        </w:tc>
        <w:tc>
          <w:tcPr>
            <w:tcW w:w="760" w:type="dxa"/>
            <w:vAlign w:val="bottom"/>
          </w:tcPr>
          <w:p>
            <w:pPr>
              <w:jc w:val="right"/>
              <w:spacing w:after="0"/>
              <w:rPr>
                <w:sz w:val="20"/>
                <w:szCs w:val="20"/>
                <w:color w:val="auto"/>
              </w:rPr>
            </w:pPr>
            <w:r>
              <w:rPr>
                <w:rFonts w:ascii="Arial" w:cs="Arial" w:eastAsia="Arial" w:hAnsi="Arial"/>
                <w:sz w:val="16"/>
                <w:szCs w:val="16"/>
                <w:color w:val="auto"/>
              </w:rPr>
              <w:t>70,220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70,560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par, due 12/2025)</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First-lien term loan ($6,912 par,</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12/7/2020</w:t>
            </w:r>
          </w:p>
        </w:tc>
        <w:tc>
          <w:tcPr>
            <w:tcW w:w="1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L + 8.50%</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12/2026)(11)</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268,538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264,786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vMerge w:val="continue"/>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2,178,314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2,212,929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Units (1,262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1/17/2018</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Class B Units (517,020 units)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1/17/2018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 Shares (1,197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3/30/2018</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w w:val="95"/>
              </w:rPr>
              <w:t>Class B Shares (398,557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3/30/2018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ServiceChannel Holdings,</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207,991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(13)(14)</w:t>
            </w:r>
          </w:p>
        </w:tc>
        <w:tc>
          <w:tcPr>
            <w:tcW w:w="2360" w:type="dxa"/>
            <w:vAlign w:val="bottom"/>
          </w:tcPr>
          <w:p>
            <w:pPr>
              <w:ind w:left="100"/>
              <w:spacing w:after="0"/>
              <w:rPr>
                <w:sz w:val="20"/>
                <w:szCs w:val="20"/>
                <w:color w:val="auto"/>
              </w:rPr>
            </w:pPr>
            <w:r>
              <w:rPr>
                <w:rFonts w:ascii="Arial" w:cs="Arial" w:eastAsia="Arial" w:hAnsi="Arial"/>
                <w:sz w:val="16"/>
                <w:szCs w:val="16"/>
                <w:color w:val="auto"/>
              </w:rPr>
              <w:t>1,567,807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7/8/2020</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280,000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EMS Linq, Inc. </w:t>
            </w:r>
            <w:r>
              <w:rPr>
                <w:rFonts w:ascii="Arial" w:cs="Arial" w:eastAsia="Arial" w:hAnsi="Arial"/>
                <w:sz w:val="25"/>
                <w:szCs w:val="25"/>
                <w:color w:val="auto"/>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Units (474,684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8"/>
              </w:rPr>
              <w:t>Common Shares (2,198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(13)(14)</w:t>
            </w:r>
          </w:p>
        </w:tc>
        <w:tc>
          <w:tcPr>
            <w:tcW w:w="9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Preferred Shares (293,232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15,763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15,802</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shares)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17"/>
                <w:szCs w:val="17"/>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5"/>
              </w:rPr>
              <w:t>Series F Preferred Shares (8,791</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shares)</w:t>
            </w:r>
            <w:r>
              <w:rPr>
                <w:rFonts w:ascii="Arial" w:cs="Arial" w:eastAsia="Arial" w:hAnsi="Arial"/>
                <w:sz w:val="13"/>
                <w:szCs w:val="13"/>
                <w:color w:val="auto"/>
              </w:rPr>
              <w:t>(13)(14)</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36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75,016 Warrants </w:t>
            </w:r>
            <w:r>
              <w:rPr>
                <w:rFonts w:ascii="Arial" w:cs="Arial" w:eastAsia="Arial" w:hAnsi="Arial"/>
                <w:sz w:val="25"/>
                <w:szCs w:val="25"/>
                <w:color w:val="auto"/>
                <w:vertAlign w:val="superscript"/>
              </w:rPr>
              <w:t>(13)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10/1/2019</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w w:val="97"/>
              </w:rPr>
              <w:t xml:space="preserve">Newport Parent Holdings, LP </w:t>
            </w:r>
            <w:r>
              <w:rPr>
                <w:rFonts w:ascii="Arial" w:cs="Arial" w:eastAsia="Arial" w:hAnsi="Arial"/>
                <w:sz w:val="25"/>
                <w:szCs w:val="25"/>
                <w:color w:val="auto"/>
                <w:w w:val="97"/>
                <w:vertAlign w:val="superscript"/>
              </w:rPr>
              <w:t>(13)(14)</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Class A-2 Units (131,569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12/10/2020</w:t>
            </w: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360" w:type="dxa"/>
            <w:vAlign w:val="bottom"/>
          </w:tcPr>
          <w:p>
            <w:pPr>
              <w:ind w:left="100"/>
              <w:spacing w:after="0"/>
              <w:rPr>
                <w:sz w:val="20"/>
                <w:szCs w:val="20"/>
                <w:color w:val="auto"/>
              </w:rPr>
            </w:pPr>
            <w:r>
              <w:rPr>
                <w:rFonts w:ascii="Arial" w:cs="Arial" w:eastAsia="Arial" w:hAnsi="Arial"/>
                <w:sz w:val="16"/>
                <w:szCs w:val="16"/>
                <w:color w:val="auto"/>
                <w:w w:val="98"/>
              </w:rPr>
              <w:t>Common Shares (1,059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8/5/2015</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3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20,961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Caris Life Sciences, Inc. </w:t>
            </w:r>
            <w:r>
              <w:rPr>
                <w:rFonts w:ascii="Arial" w:cs="Arial" w:eastAsia="Arial" w:hAnsi="Arial"/>
                <w:sz w:val="23"/>
                <w:szCs w:val="23"/>
                <w:color w:val="auto"/>
                <w:vertAlign w:val="superscript"/>
              </w:rPr>
              <w:t>(13)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C Preferred Shares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10/13/2020</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(362,319 shares) </w:t>
            </w:r>
            <w:r>
              <w:rPr>
                <w:rFonts w:ascii="Arial" w:cs="Arial" w:eastAsia="Arial" w:hAnsi="Arial"/>
                <w:sz w:val="25"/>
                <w:szCs w:val="25"/>
                <w:color w:val="auto"/>
                <w:vertAlign w:val="superscript"/>
              </w:rPr>
              <w:t>(14)</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633,376 Warrants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9/21/2018</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rPr>
                <w:sz w:val="19"/>
                <w:szCs w:val="19"/>
                <w:color w:val="auto"/>
              </w:rPr>
            </w:pPr>
          </w:p>
        </w:tc>
        <w:tc>
          <w:tcPr>
            <w:tcW w:w="2360" w:type="dxa"/>
            <w:vAlign w:val="bottom"/>
            <w:shd w:val="clear" w:color="auto" w:fill="CFF0FC"/>
          </w:tcPr>
          <w:p>
            <w:pPr>
              <w:ind w:left="100"/>
              <w:spacing w:after="0" w:line="218" w:lineRule="exact"/>
              <w:rPr>
                <w:sz w:val="20"/>
                <w:szCs w:val="20"/>
                <w:color w:val="auto"/>
              </w:rPr>
            </w:pPr>
            <w:r>
              <w:rPr>
                <w:rFonts w:ascii="Arial" w:cs="Arial" w:eastAsia="Arial" w:hAnsi="Arial"/>
                <w:sz w:val="15"/>
                <w:szCs w:val="15"/>
                <w:color w:val="auto"/>
              </w:rPr>
              <w:t xml:space="preserve">569,991 Warrants </w:t>
            </w:r>
            <w:r>
              <w:rPr>
                <w:rFonts w:ascii="Arial" w:cs="Arial" w:eastAsia="Arial" w:hAnsi="Arial"/>
                <w:sz w:val="25"/>
                <w:szCs w:val="25"/>
                <w:color w:val="auto"/>
                <w:vertAlign w:val="superscript"/>
              </w:rPr>
              <w:t>(14)</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4/2/2020</w:t>
            </w:r>
          </w:p>
        </w:tc>
        <w:tc>
          <w:tcPr>
            <w:tcW w:w="1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(13)</w:t>
            </w:r>
          </w:p>
        </w:tc>
        <w:tc>
          <w:tcPr>
            <w:tcW w:w="2360" w:type="dxa"/>
            <w:vAlign w:val="bottom"/>
          </w:tcPr>
          <w:p>
            <w:pPr>
              <w:ind w:left="100"/>
              <w:spacing w:after="0"/>
              <w:rPr>
                <w:sz w:val="20"/>
                <w:szCs w:val="20"/>
                <w:color w:val="auto"/>
              </w:rPr>
            </w:pPr>
            <w:r>
              <w:rPr>
                <w:rFonts w:ascii="Arial" w:cs="Arial" w:eastAsia="Arial" w:hAnsi="Arial"/>
                <w:sz w:val="16"/>
                <w:szCs w:val="16"/>
                <w:color w:val="auto"/>
              </w:rPr>
              <w:t>363 AA Preferred Stock</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2,748 A Preferred Stock</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4,681,958 Common Stock</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Warrants</w:t>
            </w: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954,478 Warrants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4/8/2019</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(13)(15)</w:t>
            </w:r>
          </w:p>
        </w:tc>
        <w:tc>
          <w:tcPr>
            <w:tcW w:w="2360" w:type="dxa"/>
            <w:vAlign w:val="bottom"/>
          </w:tcPr>
          <w:p>
            <w:pPr>
              <w:ind w:left="100"/>
              <w:spacing w:after="0"/>
              <w:rPr>
                <w:sz w:val="20"/>
                <w:szCs w:val="20"/>
                <w:color w:val="auto"/>
              </w:rPr>
            </w:pPr>
            <w:r>
              <w:rPr>
                <w:rFonts w:ascii="Arial" w:cs="Arial" w:eastAsia="Arial" w:hAnsi="Arial"/>
                <w:sz w:val="16"/>
                <w:szCs w:val="16"/>
                <w:color w:val="auto"/>
                <w:w w:val="98"/>
              </w:rPr>
              <w:t>Common Shares (1,000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2/11/2019</w:t>
            </w: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8,973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36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7"/>
              </w:rPr>
              <w:t>Class A Units (33,790,171 units)</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12/21/2018</w:t>
            </w:r>
          </w:p>
        </w:tc>
        <w:tc>
          <w:tcPr>
            <w:tcW w:w="1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21,842</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23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(14)</w:t>
            </w:r>
          </w:p>
        </w:tc>
        <w:tc>
          <w:tcPr>
            <w:tcW w:w="9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9"/>
        </w:trPr>
        <w:tc>
          <w:tcPr>
            <w:tcW w:w="2520" w:type="dxa"/>
            <w:vAlign w:val="bottom"/>
          </w:tcPr>
          <w:p>
            <w:pPr>
              <w:spacing w:after="0"/>
              <w:rPr>
                <w:sz w:val="18"/>
                <w:szCs w:val="18"/>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w w:val="95"/>
              </w:rPr>
              <w:t>Class C-1 Units (8,800,000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12/21/2018</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w w:val="93"/>
              </w:rPr>
              <w:t>Human Resource Support Services</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(13)(15)</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A Preferred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8/24/2018</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(1,429,228 units)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w w:val="96"/>
              </w:rPr>
              <w:t xml:space="preserve">DaySmart Holdings, LLC </w:t>
            </w:r>
            <w:r>
              <w:rPr>
                <w:rFonts w:ascii="Arial" w:cs="Arial" w:eastAsia="Arial" w:hAnsi="Arial"/>
                <w:sz w:val="25"/>
                <w:szCs w:val="25"/>
                <w:color w:val="auto"/>
                <w:w w:val="96"/>
                <w:vertAlign w:val="superscript"/>
              </w:rPr>
              <w:t>(13)(14)(15)</w:t>
            </w:r>
          </w:p>
        </w:tc>
        <w:tc>
          <w:tcPr>
            <w:tcW w:w="2380" w:type="dxa"/>
            <w:vAlign w:val="bottom"/>
          </w:tcPr>
          <w:p>
            <w:pPr>
              <w:ind w:left="100"/>
              <w:spacing w:after="0"/>
              <w:rPr>
                <w:sz w:val="20"/>
                <w:szCs w:val="20"/>
                <w:color w:val="auto"/>
              </w:rPr>
            </w:pPr>
            <w:r>
              <w:rPr>
                <w:rFonts w:ascii="Arial" w:cs="Arial" w:eastAsia="Arial" w:hAnsi="Arial"/>
                <w:sz w:val="16"/>
                <w:szCs w:val="16"/>
                <w:color w:val="auto"/>
              </w:rPr>
              <w:t>Class A Units (155,240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10/1/2019</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w w:val="98"/>
              </w:rPr>
              <w:t>Common Shares Class A (1,020</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units)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17"/>
                <w:szCs w:val="17"/>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rPr>
              <w:t>Common Shares Class B</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(987,929 units)</w:t>
            </w: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7"/>
        </w:trPr>
        <w:tc>
          <w:tcPr>
            <w:tcW w:w="252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F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8/2/2019</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(199,054 shares)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Series A Preferred Shares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5/31/2018</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(3,840,000 shares)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SMPA Holdings LLC </w:t>
            </w:r>
            <w:r>
              <w:rPr>
                <w:rFonts w:ascii="Arial" w:cs="Arial" w:eastAsia="Arial" w:hAnsi="Arial"/>
                <w:sz w:val="25"/>
                <w:szCs w:val="25"/>
                <w:color w:val="auto"/>
                <w:vertAlign w:val="superscript"/>
              </w:rPr>
              <w:t>(6)(13)(14)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Common Units (15,000 units)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12/24/2020</w:t>
            </w:r>
          </w:p>
        </w:tc>
        <w:tc>
          <w:tcPr>
            <w:tcW w:w="13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712,817 Warrants</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8/5/2020</w:t>
            </w:r>
          </w:p>
        </w:tc>
        <w:tc>
          <w:tcPr>
            <w:tcW w:w="13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Copper Bidco LLC </w:t>
            </w:r>
            <w:r>
              <w:rPr>
                <w:rFonts w:ascii="Arial" w:cs="Arial" w:eastAsia="Arial" w:hAnsi="Arial"/>
                <w:sz w:val="24"/>
                <w:szCs w:val="24"/>
                <w:color w:val="auto"/>
                <w:vertAlign w:val="superscript"/>
              </w:rPr>
              <w:t>(11)(13)(14)</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Trust Certificates (132,928</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12/7/2020</w:t>
            </w: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Certificates)</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NMG Parent LLC Com Unit </w:t>
            </w:r>
            <w:r>
              <w:rPr>
                <w:rFonts w:ascii="Arial" w:cs="Arial" w:eastAsia="Arial" w:hAnsi="Arial"/>
                <w:sz w:val="25"/>
                <w:szCs w:val="25"/>
                <w:color w:val="auto"/>
                <w:vertAlign w:val="superscript"/>
              </w:rPr>
              <w:t>(13)(14)</w:t>
            </w:r>
          </w:p>
        </w:tc>
        <w:tc>
          <w:tcPr>
            <w:tcW w:w="2380" w:type="dxa"/>
            <w:vAlign w:val="bottom"/>
          </w:tcPr>
          <w:p>
            <w:pPr>
              <w:ind w:left="100"/>
              <w:spacing w:after="0"/>
              <w:rPr>
                <w:sz w:val="20"/>
                <w:szCs w:val="20"/>
                <w:color w:val="auto"/>
              </w:rPr>
            </w:pPr>
            <w:r>
              <w:rPr>
                <w:rFonts w:ascii="Arial" w:cs="Arial" w:eastAsia="Arial" w:hAnsi="Arial"/>
                <w:sz w:val="16"/>
                <w:szCs w:val="16"/>
                <w:color w:val="auto"/>
              </w:rPr>
              <w:t>Common Units (110,210 units)</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9/29/2020</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6,613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Investments</w:t>
            </w: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Bain Capital Credit CLO Ltd,</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($500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10/15/2020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+ 5.35%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780" w:type="dxa"/>
            <w:vAlign w:val="bottom"/>
          </w:tcPr>
          <w:p>
            <w:pPr>
              <w:jc w:val="right"/>
              <w:spacing w:after="0"/>
              <w:rPr>
                <w:sz w:val="20"/>
                <w:szCs w:val="20"/>
                <w:color w:val="auto"/>
              </w:rPr>
            </w:pPr>
            <w:r>
              <w:rPr>
                <w:rFonts w:ascii="Arial" w:cs="Arial" w:eastAsia="Arial" w:hAnsi="Arial"/>
                <w:sz w:val="16"/>
                <w:szCs w:val="16"/>
                <w:color w:val="auto"/>
              </w:rPr>
              <w:t>411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Series 2018-1A </w:t>
            </w:r>
            <w:r>
              <w:rPr>
                <w:rFonts w:ascii="Arial" w:cs="Arial" w:eastAsia="Arial" w:hAnsi="Arial"/>
                <w:sz w:val="25"/>
                <w:szCs w:val="25"/>
                <w:color w:val="auto"/>
                <w:vertAlign w:val="superscript"/>
              </w:rPr>
              <w:t>(3)(4)(11)</w:t>
            </w:r>
          </w:p>
        </w:tc>
        <w:tc>
          <w:tcPr>
            <w:tcW w:w="2380" w:type="dxa"/>
            <w:vAlign w:val="bottom"/>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Structured Product ($1,550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 + 5.75%</w:t>
            </w:r>
          </w:p>
        </w:tc>
        <w:tc>
          <w:tcPr>
            <w:tcW w:w="106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2018-1A</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3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($4,150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9/3/2020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+ 6.15%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780" w:type="dxa"/>
            <w:vAlign w:val="bottom"/>
          </w:tcPr>
          <w:p>
            <w:pPr>
              <w:jc w:val="right"/>
              <w:spacing w:after="0"/>
              <w:rPr>
                <w:sz w:val="20"/>
                <w:szCs w:val="20"/>
                <w:color w:val="auto"/>
              </w:rPr>
            </w:pPr>
            <w:r>
              <w:rPr>
                <w:rFonts w:ascii="Arial" w:cs="Arial" w:eastAsia="Arial" w:hAnsi="Arial"/>
                <w:sz w:val="16"/>
                <w:szCs w:val="16"/>
                <w:color w:val="auto"/>
              </w:rPr>
              <w:t>3,400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3,821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520" w:type="dxa"/>
            <w:vAlign w:val="bottom"/>
          </w:tcPr>
          <w:p>
            <w:pPr>
              <w:ind w:left="120"/>
              <w:spacing w:after="0"/>
              <w:rPr>
                <w:sz w:val="20"/>
                <w:szCs w:val="20"/>
                <w:color w:val="auto"/>
              </w:rPr>
            </w:pPr>
            <w:r>
              <w:rPr>
                <w:rFonts w:ascii="Arial" w:cs="Arial" w:eastAsia="Arial" w:hAnsi="Arial"/>
                <w:sz w:val="16"/>
                <w:szCs w:val="16"/>
                <w:color w:val="auto"/>
              </w:rPr>
              <w:t>CLO Ltd, Series 2017-4A</w:t>
            </w:r>
          </w:p>
        </w:tc>
        <w:tc>
          <w:tcPr>
            <w:tcW w:w="2380" w:type="dxa"/>
            <w:vAlign w:val="bottom"/>
          </w:tcPr>
          <w:p>
            <w:pPr>
              <w:ind w:left="100"/>
              <w:spacing w:after="0"/>
              <w:rPr>
                <w:sz w:val="20"/>
                <w:szCs w:val="20"/>
                <w:color w:val="auto"/>
              </w:rPr>
            </w:pPr>
            <w:r>
              <w:rPr>
                <w:rFonts w:ascii="Arial" w:cs="Arial" w:eastAsia="Arial" w:hAnsi="Arial"/>
                <w:sz w:val="16"/>
                <w:szCs w:val="16"/>
                <w:color w:val="auto"/>
              </w:rPr>
              <w:t>due 1/2030)</w:t>
            </w: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20"/>
              <w:spacing w:after="0"/>
              <w:rPr>
                <w:sz w:val="20"/>
                <w:szCs w:val="20"/>
                <w:color w:val="auto"/>
              </w:rPr>
            </w:pPr>
            <w:r>
              <w:rPr>
                <w:rFonts w:ascii="Arial" w:cs="Arial" w:eastAsia="Arial" w:hAnsi="Arial"/>
                <w:sz w:val="14"/>
                <w:szCs w:val="14"/>
                <w:color w:val="auto"/>
              </w:rPr>
              <w:t>(3)(4)(11)</w:t>
            </w:r>
          </w:p>
        </w:tc>
        <w:tc>
          <w:tcPr>
            <w:tcW w:w="2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Madison Park Funding Ltd,</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Structured Product ($2,400 par,</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8/11/2020</w:t>
            </w:r>
          </w:p>
        </w:tc>
        <w:tc>
          <w:tcPr>
            <w:tcW w:w="1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 + 5.80%</w:t>
            </w:r>
          </w:p>
        </w:tc>
        <w:tc>
          <w:tcPr>
            <w:tcW w:w="106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6.02%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2,276</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2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due 10/2030)</w:t>
            </w: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OZLM Ltd., Series</w:t>
            </w:r>
          </w:p>
        </w:tc>
        <w:tc>
          <w:tcPr>
            <w:tcW w:w="2380" w:type="dxa"/>
            <w:vAlign w:val="bottom"/>
          </w:tcPr>
          <w:p>
            <w:pPr>
              <w:ind w:left="100"/>
              <w:spacing w:after="0"/>
              <w:rPr>
                <w:sz w:val="20"/>
                <w:szCs w:val="20"/>
                <w:color w:val="auto"/>
              </w:rPr>
            </w:pPr>
            <w:r>
              <w:rPr>
                <w:rFonts w:ascii="Arial" w:cs="Arial" w:eastAsia="Arial" w:hAnsi="Arial"/>
                <w:sz w:val="16"/>
                <w:szCs w:val="16"/>
                <w:color w:val="auto"/>
              </w:rPr>
              <w:t>Structured Product ($2,000 par,</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5/28/2020</w:t>
            </w:r>
          </w:p>
        </w:tc>
        <w:tc>
          <w:tcPr>
            <w:tcW w:w="1340" w:type="dxa"/>
            <w:vAlign w:val="bottom"/>
          </w:tcPr>
          <w:p>
            <w:pPr>
              <w:ind w:left="140"/>
              <w:spacing w:after="0"/>
              <w:rPr>
                <w:sz w:val="20"/>
                <w:szCs w:val="20"/>
                <w:color w:val="auto"/>
              </w:rPr>
            </w:pPr>
            <w:r>
              <w:rPr>
                <w:rFonts w:ascii="Arial" w:cs="Arial" w:eastAsia="Arial" w:hAnsi="Arial"/>
                <w:sz w:val="16"/>
                <w:szCs w:val="16"/>
                <w:color w:val="auto"/>
              </w:rPr>
              <w:t>L + 2.85%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780" w:type="dxa"/>
            <w:vAlign w:val="bottom"/>
          </w:tcPr>
          <w:p>
            <w:pPr>
              <w:jc w:val="right"/>
              <w:spacing w:after="0"/>
              <w:rPr>
                <w:sz w:val="20"/>
                <w:szCs w:val="20"/>
                <w:color w:val="auto"/>
              </w:rPr>
            </w:pPr>
            <w:r>
              <w:rPr>
                <w:rFonts w:ascii="Arial" w:cs="Arial" w:eastAsia="Arial" w:hAnsi="Arial"/>
                <w:sz w:val="16"/>
                <w:szCs w:val="16"/>
                <w:color w:val="auto"/>
              </w:rPr>
              <w:t>1,754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1,904</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 xml:space="preserve">2018-18A </w:t>
            </w:r>
            <w:r>
              <w:rPr>
                <w:rFonts w:ascii="Arial" w:cs="Arial" w:eastAsia="Arial" w:hAnsi="Arial"/>
                <w:sz w:val="13"/>
                <w:szCs w:val="13"/>
                <w:color w:val="auto"/>
              </w:rPr>
              <w:t>(3)(4)(11)</w:t>
            </w:r>
          </w:p>
        </w:tc>
        <w:tc>
          <w:tcPr>
            <w:tcW w:w="2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due 4/2031)</w:t>
            </w: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9,858</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Total Equity and Other</w:t>
            </w: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80,714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85,941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3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3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right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$ 2,259,028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2,298,870</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198.0</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Interest Rate Swaps as of December 31, 2020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Upfront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(Payments) /</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Receipts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(a)(e)</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L + 2.28%</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371,391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+ 2.46%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(26,431)</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721,391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2020.</w:t>
      </w:r>
    </w:p>
    <w:p>
      <w:pPr>
        <w:ind w:left="500" w:right="2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12.7% of total assets as of December 31, 2020.</w:t>
      </w:r>
    </w:p>
    <w:p>
      <w:pPr>
        <w:ind w:left="500" w:right="6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20" w:hanging="492"/>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2020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Company</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31, 2019</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Additions (a)</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MD America Energy,</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(c)</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(62,913</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4,606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102"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2020 in which the Company was an Affiliated Person of and was deemed to Control a portfolio company are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December</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31, 2019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7"/>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3,809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w w:val="87"/>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(32,219)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b w:val="1"/>
                <w:bCs w:val="1"/>
                <w:color w:val="auto"/>
                <w:w w:val="87"/>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(36,352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3,809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100" w:hanging="493"/>
        <w:spacing w:after="0" w:line="258"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00" w:right="640" w:hanging="492"/>
        <w:spacing w:after="0" w:line="258"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2020, the estimated cost basis of investments for U.S. federal tax purposes was $2,285,393, resulting in estimated gross unrealized gains and losses of $125,374 and $101,215,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500" w:right="36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2020, the aggregate fair value of these securities is $20,983, or 1.8%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is on non-accrual status as of December 31,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Paid in Capital in</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1"/>
                <w:szCs w:val="11"/>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2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Amount</w:t>
            </w: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Excess of Par</w:t>
            </w: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Earnings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44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67,684,209</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680</w:t>
            </w:r>
          </w:p>
        </w:tc>
        <w:tc>
          <w:tcPr>
            <w:tcW w:w="2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296,044</w:t>
            </w:r>
          </w:p>
        </w:tc>
        <w:tc>
          <w:tcPr>
            <w:tcW w:w="2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 (4,291)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1,025,676</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139,250</w:t>
            </w: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$ 1,161,315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140"/>
              <w:spacing w:after="0" w:line="143" w:lineRule="exact"/>
              <w:rPr>
                <w:sz w:val="20"/>
                <w:szCs w:val="20"/>
                <w:color w:val="auto"/>
              </w:rPr>
            </w:pPr>
            <w:r>
              <w:rPr>
                <w:rFonts w:ascii="Arial" w:cs="Arial" w:eastAsia="Arial" w:hAnsi="Arial"/>
                <w:sz w:val="14"/>
                <w:szCs w:val="14"/>
                <w:color w:val="auto"/>
              </w:rPr>
              <w:t>Cumulative effect adjustment for the adoption of ASU</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240"/>
              <w:spacing w:after="0"/>
              <w:rPr>
                <w:sz w:val="20"/>
                <w:szCs w:val="20"/>
                <w:color w:val="auto"/>
              </w:rPr>
            </w:pPr>
            <w:r>
              <w:rPr>
                <w:rFonts w:ascii="Arial" w:cs="Arial" w:eastAsia="Arial" w:hAnsi="Arial"/>
                <w:sz w:val="14"/>
                <w:szCs w:val="14"/>
                <w:color w:val="auto"/>
              </w:rPr>
              <w:t xml:space="preserve">2020-06 </w:t>
            </w:r>
            <w:r>
              <w:rPr>
                <w:rFonts w:ascii="Arial" w:cs="Arial" w:eastAsia="Arial" w:hAnsi="Arial"/>
                <w:sz w:val="12"/>
                <w:szCs w:val="12"/>
                <w:color w:val="auto"/>
              </w:rPr>
              <w:t>(2)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32,310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9,755</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260"/>
              <w:spacing w:after="0" w:line="143" w:lineRule="exact"/>
              <w:rPr>
                <w:sz w:val="20"/>
                <w:szCs w:val="20"/>
                <w:color w:val="auto"/>
              </w:rPr>
            </w:pPr>
            <w:r>
              <w:rPr>
                <w:rFonts w:ascii="Arial" w:cs="Arial" w:eastAsia="Arial" w:hAnsi="Arial"/>
                <w:sz w:val="14"/>
                <w:szCs w:val="14"/>
                <w:color w:val="auto"/>
              </w:rPr>
              <w:t>Net realized gains on investments and foreign</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360"/>
              <w:spacing w:after="0"/>
              <w:rPr>
                <w:sz w:val="20"/>
                <w:szCs w:val="20"/>
                <w:color w:val="auto"/>
              </w:rPr>
            </w:pPr>
            <w:r>
              <w:rPr>
                <w:rFonts w:ascii="Arial" w:cs="Arial" w:eastAsia="Arial" w:hAnsi="Arial"/>
                <w:sz w:val="14"/>
                <w:szCs w:val="14"/>
                <w:color w:val="auto"/>
              </w:rPr>
              <w:t>currency transactions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14,587</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Increase in Net Assets Resulting from Capital Share</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net of offering and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360"/>
              <w:spacing w:after="0"/>
              <w:rPr>
                <w:sz w:val="20"/>
                <w:szCs w:val="20"/>
                <w:color w:val="auto"/>
              </w:rPr>
            </w:pPr>
            <w:r>
              <w:rPr>
                <w:rFonts w:ascii="Arial" w:cs="Arial" w:eastAsia="Arial" w:hAnsi="Arial"/>
                <w:sz w:val="14"/>
                <w:szCs w:val="14"/>
                <w:color w:val="auto"/>
              </w:rPr>
              <w:t>underwriting costs</w:t>
            </w:r>
          </w:p>
        </w:tc>
        <w:tc>
          <w:tcPr>
            <w:tcW w:w="760" w:type="dxa"/>
            <w:vAlign w:val="bottom"/>
          </w:tcPr>
          <w:p>
            <w:pPr>
              <w:jc w:val="right"/>
              <w:spacing w:after="0"/>
              <w:rPr>
                <w:sz w:val="20"/>
                <w:szCs w:val="20"/>
                <w:color w:val="auto"/>
              </w:rPr>
            </w:pPr>
            <w:r>
              <w:rPr>
                <w:rFonts w:ascii="Arial" w:cs="Arial" w:eastAsia="Arial" w:hAnsi="Arial"/>
                <w:sz w:val="14"/>
                <w:szCs w:val="14"/>
                <w:color w:val="auto"/>
              </w:rPr>
              <w:t>4,049,689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85,904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85,945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tcPr>
          <w:p>
            <w:pPr>
              <w:jc w:val="right"/>
              <w:spacing w:after="0"/>
              <w:rPr>
                <w:sz w:val="20"/>
                <w:szCs w:val="20"/>
                <w:color w:val="auto"/>
              </w:rPr>
            </w:pPr>
            <w:r>
              <w:rPr>
                <w:rFonts w:ascii="Arial" w:cs="Arial" w:eastAsia="Arial" w:hAnsi="Arial"/>
                <w:sz w:val="14"/>
                <w:szCs w:val="14"/>
                <w:color w:val="auto"/>
              </w:rPr>
              <w:t>236,100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(123,004)</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(123,004)</w:t>
            </w:r>
          </w:p>
        </w:tc>
        <w:tc>
          <w:tcPr>
            <w:tcW w:w="0" w:type="dxa"/>
            <w:vAlign w:val="bottom"/>
          </w:tcPr>
          <w:p>
            <w:pPr>
              <w:spacing w:after="0"/>
              <w:rPr>
                <w:sz w:val="1"/>
                <w:szCs w:val="1"/>
                <w:color w:val="auto"/>
              </w:rPr>
            </w:pPr>
          </w:p>
        </w:tc>
      </w:tr>
      <w:tr>
        <w:trPr>
          <w:trHeight w:val="143"/>
        </w:trPr>
        <w:tc>
          <w:tcPr>
            <w:tcW w:w="4480" w:type="dxa"/>
            <w:vAlign w:val="bottom"/>
          </w:tcPr>
          <w:p>
            <w:pPr>
              <w:ind w:left="140"/>
              <w:spacing w:after="0" w:line="143" w:lineRule="exact"/>
              <w:rPr>
                <w:sz w:val="20"/>
                <w:szCs w:val="20"/>
                <w:color w:val="auto"/>
              </w:rPr>
            </w:pPr>
            <w:r>
              <w:rPr>
                <w:rFonts w:ascii="Arial" w:cs="Arial" w:eastAsia="Arial" w:hAnsi="Arial"/>
                <w:sz w:val="14"/>
                <w:szCs w:val="14"/>
                <w:color w:val="auto"/>
              </w:rPr>
              <w:t>Tax reclassification of stockholders' equity in accordance with</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240"/>
              <w:spacing w:after="0"/>
              <w:rPr>
                <w:sz w:val="20"/>
                <w:szCs w:val="20"/>
                <w:color w:val="auto"/>
              </w:rPr>
            </w:pPr>
            <w:r>
              <w:rPr>
                <w:rFonts w:ascii="Arial" w:cs="Arial" w:eastAsia="Arial" w:hAnsi="Arial"/>
                <w:sz w:val="14"/>
                <w:szCs w:val="14"/>
                <w:color w:val="auto"/>
              </w:rPr>
              <w:t xml:space="preserve">GAAP </w:t>
            </w:r>
            <w:r>
              <w:rPr>
                <w:rFonts w:ascii="Arial" w:cs="Arial" w:eastAsia="Arial" w:hAnsi="Arial"/>
                <w:sz w:val="12"/>
                <w:szCs w:val="12"/>
                <w:color w:val="auto"/>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460</w:t>
            </w: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71,969,998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723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1,115,370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73,530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$ 1,185,332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140"/>
              <w:spacing w:after="0"/>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investment income</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360"/>
              <w:spacing w:after="0"/>
              <w:rPr>
                <w:sz w:val="20"/>
                <w:szCs w:val="20"/>
                <w:color w:val="auto"/>
              </w:rPr>
            </w:pPr>
            <w:r>
              <w:rPr>
                <w:rFonts w:ascii="Arial" w:cs="Arial" w:eastAsia="Arial" w:hAnsi="Arial"/>
                <w:sz w:val="14"/>
                <w:szCs w:val="14"/>
                <w:color w:val="auto"/>
              </w:rPr>
              <w:t>foreign currency translation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28,945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realized gains on investments and foreign</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currency transactions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140"/>
              <w:spacing w:after="0" w:line="143" w:lineRule="exact"/>
              <w:rPr>
                <w:sz w:val="20"/>
                <w:szCs w:val="20"/>
                <w:color w:val="auto"/>
              </w:rPr>
            </w:pPr>
            <w:r>
              <w:rPr>
                <w:rFonts w:ascii="Arial" w:cs="Arial" w:eastAsia="Arial" w:hAnsi="Arial"/>
                <w:sz w:val="14"/>
                <w:szCs w:val="14"/>
                <w:color w:val="auto"/>
              </w:rPr>
              <w:t>Decrease in Net Assets Resulting from Capital Share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net of offering and</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underwriting costs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448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679,685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(34,130)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(34,130)</w:t>
            </w:r>
          </w:p>
        </w:tc>
        <w:tc>
          <w:tcPr>
            <w:tcW w:w="0" w:type="dxa"/>
            <w:vAlign w:val="bottom"/>
          </w:tcPr>
          <w:p>
            <w:pPr>
              <w:spacing w:after="0"/>
              <w:rPr>
                <w:sz w:val="1"/>
                <w:szCs w:val="1"/>
                <w:color w:val="auto"/>
              </w:rPr>
            </w:pPr>
          </w:p>
        </w:tc>
      </w:tr>
      <w:tr>
        <w:trPr>
          <w:trHeight w:val="155"/>
        </w:trPr>
        <w:tc>
          <w:tcPr>
            <w:tcW w:w="4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72,649,683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729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1,129,621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97,754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$ 1,223,813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140"/>
              <w:spacing w:after="0"/>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investment income</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36,470</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tcPr>
          <w:p>
            <w:pPr>
              <w:ind w:left="360"/>
              <w:spacing w:after="0"/>
              <w:rPr>
                <w:sz w:val="20"/>
                <w:szCs w:val="20"/>
                <w:color w:val="auto"/>
              </w:rPr>
            </w:pPr>
            <w:r>
              <w:rPr>
                <w:rFonts w:ascii="Arial" w:cs="Arial" w:eastAsia="Arial" w:hAnsi="Arial"/>
                <w:sz w:val="14"/>
                <w:szCs w:val="14"/>
                <w:color w:val="auto"/>
              </w:rPr>
              <w:t>foreign currency translation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29,046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29,046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realized loss on investments and foreign</w:t>
            </w: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currency transactions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(10,560)</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(10,560)</w:t>
            </w:r>
          </w:p>
        </w:tc>
        <w:tc>
          <w:tcPr>
            <w:tcW w:w="0" w:type="dxa"/>
            <w:vAlign w:val="bottom"/>
          </w:tcPr>
          <w:p>
            <w:pPr>
              <w:spacing w:after="0"/>
              <w:rPr>
                <w:sz w:val="1"/>
                <w:szCs w:val="1"/>
                <w:color w:val="auto"/>
              </w:rPr>
            </w:pPr>
          </w:p>
        </w:tc>
      </w:tr>
      <w:tr>
        <w:trPr>
          <w:trHeight w:val="162"/>
        </w:trPr>
        <w:tc>
          <w:tcPr>
            <w:tcW w:w="448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199,294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(31,320)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(31,320)</w:t>
            </w:r>
          </w:p>
        </w:tc>
        <w:tc>
          <w:tcPr>
            <w:tcW w:w="0" w:type="dxa"/>
            <w:vAlign w:val="bottom"/>
          </w:tcPr>
          <w:p>
            <w:pPr>
              <w:spacing w:after="0"/>
              <w:rPr>
                <w:sz w:val="1"/>
                <w:szCs w:val="1"/>
                <w:color w:val="auto"/>
              </w:rPr>
            </w:pPr>
          </w:p>
        </w:tc>
      </w:tr>
      <w:tr>
        <w:trPr>
          <w:trHeight w:val="155"/>
        </w:trPr>
        <w:tc>
          <w:tcPr>
            <w:tcW w:w="4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2021</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72,848,977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1,134,015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121,390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$ 1,251,845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2 for further information related to the adoption of ASU 2020-06.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50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Paid in Capital in</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1"/>
                <w:szCs w:val="11"/>
                <w:color w:val="auto"/>
              </w:rPr>
            </w:pPr>
          </w:p>
        </w:tc>
        <w:tc>
          <w:tcPr>
            <w:tcW w:w="72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Excess of Par</w:t>
            </w: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44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66,524,591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666</w:t>
            </w:r>
          </w:p>
        </w:tc>
        <w:tc>
          <w:tcPr>
            <w:tcW w:w="2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 (1,359)</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1,009,270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110,720</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6"/>
              </w:rPr>
              <w:t>$ 1,119,297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140"/>
              <w:spacing w:after="0"/>
              <w:rPr>
                <w:sz w:val="20"/>
                <w:szCs w:val="20"/>
                <w:color w:val="auto"/>
              </w:rPr>
            </w:pPr>
            <w:r>
              <w:rPr>
                <w:rFonts w:ascii="Arial" w:cs="Arial" w:eastAsia="Arial" w:hAnsi="Arial"/>
                <w:sz w:val="14"/>
                <w:szCs w:val="14"/>
                <w:color w:val="auto"/>
              </w:rPr>
              <w:t>Net decrease in net assets resulting from operations: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investment income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33,662</w:t>
            </w: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33,662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tcPr>
          <w:p>
            <w:pPr>
              <w:ind w:left="260"/>
              <w:spacing w:after="0" w:line="143" w:lineRule="exact"/>
              <w:rPr>
                <w:sz w:val="20"/>
                <w:szCs w:val="20"/>
                <w:color w:val="auto"/>
              </w:rPr>
            </w:pPr>
            <w:r>
              <w:rPr>
                <w:rFonts w:ascii="Arial" w:cs="Arial" w:eastAsia="Arial" w:hAnsi="Arial"/>
                <w:sz w:val="14"/>
                <w:szCs w:val="14"/>
                <w:color w:val="auto"/>
              </w:rPr>
              <w:t>Net change in unrealized losses on investments and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Arial" w:cs="Arial" w:eastAsia="Arial" w:hAnsi="Arial"/>
                <w:sz w:val="14"/>
                <w:szCs w:val="14"/>
                <w:color w:val="auto"/>
              </w:rPr>
              <w:t>foreign currency translation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(84,680)</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(84,680)</w:t>
            </w: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realized losses on investments and foreign</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currency transactions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(2,081)</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43"/>
        </w:trPr>
        <w:tc>
          <w:tcPr>
            <w:tcW w:w="4440" w:type="dxa"/>
            <w:vAlign w:val="bottom"/>
          </w:tcPr>
          <w:p>
            <w:pPr>
              <w:ind w:left="140"/>
              <w:spacing w:after="0" w:line="143" w:lineRule="exact"/>
              <w:rPr>
                <w:sz w:val="20"/>
                <w:szCs w:val="20"/>
                <w:color w:val="auto"/>
              </w:rPr>
            </w:pPr>
            <w:r>
              <w:rPr>
                <w:rFonts w:ascii="Arial" w:cs="Arial" w:eastAsia="Arial" w:hAnsi="Arial"/>
                <w:sz w:val="14"/>
                <w:szCs w:val="14"/>
                <w:color w:val="auto"/>
              </w:rPr>
              <w:t>Decrease in Net Assets Resulting from Capital Share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treasury stock</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(206,964)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206,964</w:t>
            </w:r>
          </w:p>
        </w:tc>
        <w:tc>
          <w:tcPr>
            <w:tcW w:w="940" w:type="dxa"/>
            <w:vAlign w:val="bottom"/>
            <w:gridSpan w:val="3"/>
            <w:shd w:val="clear" w:color="auto" w:fill="CFF0FC"/>
          </w:tcPr>
          <w:p>
            <w:pPr>
              <w:jc w:val="right"/>
              <w:ind w:right="139"/>
              <w:spacing w:after="0"/>
              <w:rPr>
                <w:sz w:val="20"/>
                <w:szCs w:val="20"/>
                <w:color w:val="auto"/>
              </w:rPr>
            </w:pPr>
            <w:r>
              <w:rPr>
                <w:rFonts w:ascii="Arial" w:cs="Arial" w:eastAsia="Arial" w:hAnsi="Arial"/>
                <w:sz w:val="14"/>
                <w:szCs w:val="14"/>
                <w:color w:val="auto"/>
              </w:rPr>
              <w:t>(2,932)</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62"/>
        </w:trPr>
        <w:tc>
          <w:tcPr>
            <w:tcW w:w="444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252,144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4,828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(31,358)</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(31,358)</w:t>
            </w: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Tax reclassification of stockholders' equity in accordance with</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 xml:space="preserve">GAAP </w:t>
            </w:r>
            <w:r>
              <w:rPr>
                <w:rFonts w:ascii="Arial" w:cs="Arial" w:eastAsia="Arial" w:hAnsi="Arial"/>
                <w:sz w:val="12"/>
                <w:szCs w:val="12"/>
                <w:color w:val="auto"/>
              </w:rPr>
              <w:t>(1)</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1,016</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66,569,771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669</w:t>
            </w:r>
          </w:p>
        </w:tc>
        <w:tc>
          <w:tcPr>
            <w:tcW w:w="2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2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220" w:type="dxa"/>
            <w:vAlign w:val="bottom"/>
            <w:tcBorders>
              <w:bottom w:val="single" w:sz="8" w:color="CFF0FC"/>
            </w:tcBorders>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1,013,079</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27,279</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$ 1,036,736</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39,469</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39,469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foreign currency translation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57,234</w:t>
            </w: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57,234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tcPr>
          <w:p>
            <w:pPr>
              <w:ind w:left="260"/>
              <w:spacing w:after="0" w:line="143" w:lineRule="exact"/>
              <w:rPr>
                <w:sz w:val="20"/>
                <w:szCs w:val="20"/>
                <w:color w:val="auto"/>
              </w:rPr>
            </w:pPr>
            <w:r>
              <w:rPr>
                <w:rFonts w:ascii="Arial" w:cs="Arial" w:eastAsia="Arial" w:hAnsi="Arial"/>
                <w:sz w:val="14"/>
                <w:szCs w:val="14"/>
                <w:color w:val="auto"/>
              </w:rPr>
              <w:t>Net realized losses on investments and foreign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Arial" w:cs="Arial" w:eastAsia="Arial" w:hAnsi="Arial"/>
                <w:sz w:val="14"/>
                <w:szCs w:val="14"/>
                <w:color w:val="auto"/>
              </w:rPr>
              <w:t>currency transactions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(833)</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Decrease in Net Assets Resulting from Capital Share</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Transactions:</w:t>
            </w: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Repurchase of convertible notes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(910)</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tcPr>
          <w:p>
            <w:pPr>
              <w:jc w:val="right"/>
              <w:spacing w:after="0"/>
              <w:rPr>
                <w:sz w:val="20"/>
                <w:szCs w:val="20"/>
                <w:color w:val="auto"/>
              </w:rPr>
            </w:pPr>
            <w:r>
              <w:rPr>
                <w:rFonts w:ascii="Arial" w:cs="Arial" w:eastAsia="Arial" w:hAnsi="Arial"/>
                <w:sz w:val="14"/>
                <w:szCs w:val="14"/>
                <w:color w:val="auto"/>
              </w:rPr>
              <w:t>772,642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11,876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11,883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(60,978)</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(60,978)</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at June 30, 2020</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67,342,413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676</w:t>
            </w:r>
          </w:p>
        </w:tc>
        <w:tc>
          <w:tcPr>
            <w:tcW w:w="2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2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220" w:type="dxa"/>
            <w:vAlign w:val="bottom"/>
            <w:tcBorders>
              <w:bottom w:val="single" w:sz="8" w:color="CFF0FC"/>
            </w:tcBorders>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1,024,045</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62,171</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$ 1,082,601</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Net increase in net assets resulting from operations:</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41,104</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41,104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foreign currency translation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29,775</w:t>
            </w:r>
          </w:p>
        </w:tc>
        <w:tc>
          <w:tcPr>
            <w:tcW w:w="2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29,775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440" w:type="dxa"/>
            <w:vAlign w:val="bottom"/>
          </w:tcPr>
          <w:p>
            <w:pPr>
              <w:ind w:left="260"/>
              <w:spacing w:after="0" w:line="143" w:lineRule="exact"/>
              <w:rPr>
                <w:sz w:val="20"/>
                <w:szCs w:val="20"/>
                <w:color w:val="auto"/>
              </w:rPr>
            </w:pPr>
            <w:r>
              <w:rPr>
                <w:rFonts w:ascii="Arial" w:cs="Arial" w:eastAsia="Arial" w:hAnsi="Arial"/>
                <w:sz w:val="14"/>
                <w:szCs w:val="14"/>
                <w:color w:val="auto"/>
              </w:rPr>
              <w:t>Net realized losses on investments and foreign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360"/>
              <w:spacing w:after="0"/>
              <w:rPr>
                <w:sz w:val="20"/>
                <w:szCs w:val="20"/>
                <w:color w:val="auto"/>
              </w:rPr>
            </w:pPr>
            <w:r>
              <w:rPr>
                <w:rFonts w:ascii="Arial" w:cs="Arial" w:eastAsia="Arial" w:hAnsi="Arial"/>
                <w:sz w:val="14"/>
                <w:szCs w:val="14"/>
                <w:color w:val="auto"/>
              </w:rPr>
              <w:t>currency transactions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10,978</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10,978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to stockholders:</w:t>
            </w: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60" w:type="dxa"/>
            <w:vAlign w:val="bottom"/>
          </w:tcPr>
          <w:p>
            <w:pPr>
              <w:jc w:val="right"/>
              <w:spacing w:after="0"/>
              <w:rPr>
                <w:sz w:val="20"/>
                <w:szCs w:val="20"/>
                <w:color w:val="auto"/>
              </w:rPr>
            </w:pPr>
            <w:r>
              <w:rPr>
                <w:rFonts w:ascii="Arial" w:cs="Arial" w:eastAsia="Arial" w:hAnsi="Arial"/>
                <w:sz w:val="14"/>
                <w:szCs w:val="14"/>
                <w:color w:val="auto"/>
              </w:rPr>
              <w:t>285,727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4,487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4,490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(27,728)</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(27,728)</w:t>
            </w:r>
          </w:p>
        </w:tc>
        <w:tc>
          <w:tcPr>
            <w:tcW w:w="0" w:type="dxa"/>
            <w:vAlign w:val="bottom"/>
          </w:tcPr>
          <w:p>
            <w:pPr>
              <w:spacing w:after="0"/>
              <w:rPr>
                <w:sz w:val="1"/>
                <w:szCs w:val="1"/>
                <w:color w:val="auto"/>
              </w:rPr>
            </w:pPr>
          </w:p>
        </w:tc>
      </w:tr>
      <w:tr>
        <w:trPr>
          <w:trHeight w:val="155"/>
        </w:trPr>
        <w:tc>
          <w:tcPr>
            <w:tcW w:w="44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2020</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67,628,140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679</w:t>
            </w: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296,044</w:t>
            </w:r>
          </w:p>
        </w:tc>
        <w:tc>
          <w:tcPr>
            <w:tcW w:w="2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(4,291</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1,028,532</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116,300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$ 1,141,220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Company’s tax year end is March 31</w:t>
      </w:r>
      <w:r>
        <w:rPr>
          <w:rFonts w:ascii="Arial" w:cs="Arial" w:eastAsia="Arial" w:hAnsi="Arial"/>
          <w:sz w:val="13"/>
          <w:szCs w:val="13"/>
          <w:color w:val="auto"/>
        </w:rPr>
        <w:t>st</w:t>
      </w:r>
      <w:r>
        <w:rPr>
          <w:rFonts w:ascii="Arial" w:cs="Arial" w:eastAsia="Arial" w:hAnsi="Arial"/>
          <w:sz w:val="16"/>
          <w:szCs w:val="16"/>
          <w:color w:val="auto"/>
        </w:rPr>
        <w:t>.</w:t>
      </w:r>
    </w:p>
    <w:p>
      <w:pPr>
        <w:spacing w:after="0" w:line="19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Nine Months Ended</w:t>
            </w:r>
          </w:p>
        </w:tc>
        <w:tc>
          <w:tcPr>
            <w:tcW w:w="18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2021</w:t>
            </w:r>
          </w:p>
        </w:tc>
        <w:tc>
          <w:tcPr>
            <w:tcW w:w="18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September 30, 2020</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169,962</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124,628</w:t>
            </w:r>
          </w:p>
        </w:tc>
        <w:tc>
          <w:tcPr>
            <w:tcW w:w="120" w:type="dxa"/>
            <w:vAlign w:val="bottom"/>
          </w:tcPr>
          <w:p>
            <w:pPr>
              <w:spacing w:after="0"/>
              <w:rPr>
                <w:sz w:val="19"/>
                <w:szCs w:val="19"/>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operating activities:</w:t>
            </w: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(68,233)</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6,734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on foreign currency transactions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(4,289)</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(863)</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(8,200)</w:t>
            </w: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investments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(6,096)</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(7,496)</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realized gains on extinguishment of debt</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losses on foreign currency transactions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(16,850)</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(20,675)</w:t>
            </w: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Amortization of discount on debt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(531,756)</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(549,087)</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45,473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21,886</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476,488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698,809</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(6,645)</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(6,104)</w:t>
            </w: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(3,930)</w:t>
            </w: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Incentive fees on net investment income payable to affiliate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on net capital gains accrued to affiliate</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(20,120)</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24,225</w:t>
            </w:r>
          </w:p>
        </w:tc>
        <w:tc>
          <w:tcPr>
            <w:tcW w:w="120" w:type="dxa"/>
            <w:vAlign w:val="bottom"/>
            <w:shd w:val="clear" w:color="auto" w:fill="CFF0FC"/>
          </w:tcPr>
          <w:p>
            <w:pPr>
              <w:spacing w:after="0"/>
              <w:rPr>
                <w:sz w:val="19"/>
                <w:szCs w:val="19"/>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75,911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289,022</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Borrowings on debt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943,006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615,250</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(928,963)</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(766,748)</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Repurchases of debt</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(31,829)</w:t>
            </w: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(7,954)</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(4,182)</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85,904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(2,932)</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(162,916)</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(97,064)</w:t>
            </w:r>
          </w:p>
        </w:tc>
      </w:tr>
      <w:tr>
        <w:trPr>
          <w:trHeight w:val="223"/>
        </w:trPr>
        <w:tc>
          <w:tcPr>
            <w:tcW w:w="7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15,660</w:t>
            </w:r>
          </w:p>
        </w:tc>
        <w:tc>
          <w:tcPr>
            <w:tcW w:w="120" w:type="dxa"/>
            <w:vAlign w:val="bottom"/>
            <w:tcBorders>
              <w:bottom w:val="single" w:sz="8" w:color="CFF0FC"/>
            </w:tcBorders>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23,016</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27,308</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and other taxes paid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188,454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120,064</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21,201</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80" w:firstLine="255"/>
        <w:spacing w:after="0" w:line="290" w:lineRule="auto"/>
        <w:rPr>
          <w:sz w:val="20"/>
          <w:szCs w:val="20"/>
          <w:color w:val="auto"/>
        </w:rPr>
      </w:pPr>
      <w:r>
        <w:rPr>
          <w:rFonts w:ascii="Arial" w:cs="Arial" w:eastAsia="Arial" w:hAnsi="Arial"/>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65"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2020, which was filed with the Securities and Exchange Commission (“SEC”), on February 17, 2021.</w:t>
      </w:r>
    </w:p>
    <w:p>
      <w:pPr>
        <w:spacing w:after="0" w:line="188"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32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jc w:val="both"/>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September 30, 2021,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right="4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Level 2—Valuations based on quoted prices in markets that are not active or for which all significant inputs are observable, either directly or indirectly.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20" w:firstLine="255"/>
        <w:spacing w:after="0" w:line="253"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6"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Topic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 xml:space="preserve">g, further clarified by the FASB’s issuance of the Accounting Standards Update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which was adopted in 2019 by the Company. For all derivative instruments designated in a hedge accounting relationship, the entire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8" w:lineRule="exact"/>
        <w:rPr>
          <w:sz w:val="20"/>
          <w:szCs w:val="20"/>
          <w:color w:val="auto"/>
        </w:rPr>
      </w:pPr>
    </w:p>
    <w:p>
      <w:pPr>
        <w:ind w:right="200" w:firstLine="255"/>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00" w:right="60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00" w:right="2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95"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255"/>
        <w:spacing w:after="0" w:line="255" w:lineRule="auto"/>
        <w:rPr>
          <w:sz w:val="20"/>
          <w:szCs w:val="20"/>
          <w:color w:val="auto"/>
        </w:rPr>
      </w:pPr>
      <w:r>
        <w:rPr>
          <w:rFonts w:ascii="Arial" w:cs="Arial" w:eastAsia="Arial" w:hAnsi="Arial"/>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60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10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right="420" w:firstLine="255"/>
        <w:spacing w:after="0" w:line="263" w:lineRule="auto"/>
        <w:rPr>
          <w:sz w:val="20"/>
          <w:szCs w:val="20"/>
          <w:color w:val="auto"/>
        </w:rPr>
      </w:pPr>
      <w:r>
        <w:rPr>
          <w:rFonts w:ascii="Arial" w:cs="Arial" w:eastAsia="Arial" w:hAnsi="Arial"/>
          <w:sz w:val="18"/>
          <w:szCs w:val="18"/>
          <w:color w:val="auto"/>
        </w:rPr>
        <w:t>For the three and nine months ended September 30, 2021 we recorded a net expense of $0.1 million and $0.7 million, respectively, for U.S. federal excise tax and other taxes. For the three and nine months ended September 30, 2020, we recorded a net expense of $2.0 million and $4.0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right="80" w:firstLine="255"/>
        <w:spacing w:after="0" w:line="301"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2021</w:t>
      </w:r>
    </w:p>
    <w:p>
      <w:pPr>
        <w:spacing w:after="0" w:line="225"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and in January 2021, the Financial Accounting Standards Board issued Accounting Standards Update 2021-01 (“ASU 2021-01”) “Reference Rate Reform (Topic 848): Scope.”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and ASU 2021-01 are effective for all entities as of March 12, 2020 through December 31, 2022. The Company expects that the adoption of this guidance will not have a material impact on the Company’s financial position, result of operations or cash flows.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November 2021, the Board renewed the Administration Agreement. Unless earlier terminated as described below, the Administration Agreement will remain in effect until November 2022,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120"/>
        <w:spacing w:after="0" w:line="254" w:lineRule="auto"/>
        <w:rPr>
          <w:sz w:val="20"/>
          <w:szCs w:val="20"/>
          <w:color w:val="auto"/>
        </w:rPr>
      </w:pPr>
      <w:r>
        <w:rPr>
          <w:rFonts w:ascii="Arial" w:cs="Arial" w:eastAsia="Arial" w:hAnsi="Arial"/>
          <w:sz w:val="18"/>
          <w:szCs w:val="18"/>
          <w:color w:val="auto"/>
        </w:rPr>
        <w:t>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5"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For the three and nine months ended September 30, 2021, the Company incurred expenses of $1.2 million and $3.7 million, respectively, for administrative services payable to the Adviser under the terms of the Administration Agreement. For the three and nine months ended September 30, 2020, the Company incurred expenses of $1.1 million and $3.4 million, respectively, for administrative services payable to the Adviser under the terms of the Administration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right="160" w:firstLine="255"/>
        <w:spacing w:after="0" w:line="342" w:lineRule="auto"/>
        <w:rPr>
          <w:sz w:val="20"/>
          <w:szCs w:val="20"/>
          <w:color w:val="auto"/>
        </w:rPr>
      </w:pPr>
      <w:r>
        <w:rPr>
          <w:rFonts w:ascii="Arial" w:cs="Arial" w:eastAsia="Arial" w:hAnsi="Arial"/>
          <w:sz w:val="16"/>
          <w:szCs w:val="16"/>
          <w:color w:val="auto"/>
        </w:rPr>
        <w:t>For the three and nine months ended September 30, 2021, Management Fees (gross of waivers) were $9.5 million and $27.7 million, respectively. For the three and nine months ended September 30, 2020, Management Fees (gross of waivers) were $7.8 million and $23.7 million, respectively.</w:t>
      </w:r>
    </w:p>
    <w:p>
      <w:pPr>
        <w:spacing w:after="0" w:line="124"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For the three and nine months ended September 30, 2021, Management Fees of less than $0.1 million and $0.2 million, respectively, have been waived pursuant to the Leverage Waiver. The Adviser did not waive any management fees for the three and nine months ended September 30, 2020 pursuant to the Leverage Waiver.</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40" w:hanging="249"/>
        <w:spacing w:after="0" w:line="291"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2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left="500" w:hanging="249"/>
        <w:spacing w:after="0" w:line="289"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w:t>
      </w:r>
    </w:p>
    <w:p>
      <w:pPr>
        <w:spacing w:after="0" w:line="166" w:lineRule="exact"/>
        <w:rPr>
          <w:sz w:val="20"/>
          <w:szCs w:val="20"/>
          <w:color w:val="auto"/>
        </w:rPr>
      </w:pPr>
    </w:p>
    <w:p>
      <w:pPr>
        <w:ind w:right="44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6" w:lineRule="exact"/>
        <w:rPr>
          <w:sz w:val="20"/>
          <w:szCs w:val="20"/>
          <w:color w:val="auto"/>
        </w:rPr>
      </w:pPr>
    </w:p>
    <w:p>
      <w:pPr>
        <w:ind w:right="20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ind w:right="100" w:firstLine="255"/>
        <w:spacing w:after="0" w:line="273" w:lineRule="auto"/>
        <w:rPr>
          <w:sz w:val="20"/>
          <w:szCs w:val="20"/>
          <w:color w:val="auto"/>
        </w:rPr>
      </w:pPr>
      <w:r>
        <w:rPr>
          <w:rFonts w:ascii="Arial" w:cs="Arial" w:eastAsia="Arial" w:hAnsi="Arial"/>
          <w:sz w:val="17"/>
          <w:szCs w:val="17"/>
          <w:color w:val="auto"/>
        </w:rPr>
        <w:t>For the three and nine months ended September 30, 2021, Incentive Fees were $11.9 million and $36.8 million, respectively, of which $8.5 million and $23.3 million, respectively, were realized and payable to the Adviser. For the three and nine months ended September 30, 2020, Incentive Fees were $8.7 million and $24.2 million, respectively, all of which were realized and payable to the Adviser. For the three and nine months ended September 30, 2021, $3.4 million and $13.5 million, respectively of Incentive Fees was accrued related to cumulative unrealized capital gains in excess of cumulative net realized capital gains less any cumulative unrealized losses and capital gains incentive fees paid inception to date. For the three and nine months ended September 30, 2020, no Incentive Fees were accrued related to capital gains.</w:t>
      </w:r>
    </w:p>
    <w:p>
      <w:pPr>
        <w:spacing w:after="0" w:line="178"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In November 2021, the Board renewed the Investment Advisory Agreement. Unless earlier terminated as described below, the Investment Advisory Agreement will remain in effect until November 2022,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9"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8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color w:val="auto"/>
        </w:rPr>
        <w:t>Investments at fair value consisted of the following at September 30, 2021 and December 31, 2020:</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September 30,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2,180,077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2,226,075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111,143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163,981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2,298,390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2,406,465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108,075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2,196,910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2,259,028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4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September 30, 2021 and December 31,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20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Communications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Financial services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14.4%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Insurance</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Marketing services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4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Pharmaceuticals</w:t>
            </w:r>
          </w:p>
        </w:tc>
        <w:tc>
          <w:tcPr>
            <w:tcW w:w="344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20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20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2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vMerge w:val="continue"/>
            <w:shd w:val="clear" w:color="auto" w:fill="CFF0FC"/>
          </w:tcPr>
          <w:p>
            <w:pPr>
              <w:spacing w:after="0"/>
              <w:rPr>
                <w:sz w:val="19"/>
                <w:szCs w:val="19"/>
                <w:color w:val="auto"/>
              </w:rPr>
            </w:pPr>
          </w:p>
        </w:tc>
        <w:tc>
          <w:tcPr>
            <w:tcW w:w="202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bottom w:val="single" w:sz="8" w:color="CFF0FC"/>
            </w:tcBorders>
            <w:vMerge w:val="restart"/>
          </w:tcPr>
          <w:p>
            <w:pPr>
              <w:jc w:val="right"/>
              <w:ind w:right="1030"/>
              <w:spacing w:after="0"/>
              <w:rPr>
                <w:sz w:val="20"/>
                <w:szCs w:val="20"/>
                <w:color w:val="auto"/>
              </w:rPr>
            </w:pPr>
            <w:r>
              <w:rPr>
                <w:rFonts w:ascii="Arial" w:cs="Arial" w:eastAsia="Arial" w:hAnsi="Arial"/>
                <w:sz w:val="18"/>
                <w:szCs w:val="18"/>
                <w:color w:val="auto"/>
              </w:rPr>
              <w:t>31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color w:val="auto"/>
        </w:rPr>
        <w:t>The geographic composition of investments at fair value at September 30, 2021 and December 31, 2020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South</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Australia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Canada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right="180" w:firstLine="255"/>
        <w:spacing w:after="0" w:line="263" w:lineRule="auto"/>
        <w:rPr>
          <w:sz w:val="20"/>
          <w:szCs w:val="20"/>
          <w:color w:val="auto"/>
        </w:rPr>
      </w:pPr>
      <w:r>
        <w:rPr>
          <w:rFonts w:ascii="Arial" w:cs="Arial" w:eastAsia="Arial" w:hAnsi="Arial"/>
          <w:sz w:val="18"/>
          <w:szCs w:val="18"/>
          <w:color w:val="auto"/>
        </w:rPr>
        <w:t>The Company enters into interest rate swap transactions from time to time to hedge fixed rate debt and certain fixed rate investments. The Company’s interest rate swaps are with one counterparty and are centrally cleared through a registered commodities exchange. Refer to the consolidated schedule of investments for additional disclosure regarding these interest rate swaps.</w:t>
      </w:r>
    </w:p>
    <w:p>
      <w:pPr>
        <w:spacing w:after="0" w:line="184"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excluding upfront fees, for the three and nine months ended September 30,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33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4"/>
              </w:rPr>
              <w:t>For the Three Months Ended September 30, 2021</w:t>
            </w:r>
          </w:p>
        </w:tc>
        <w:tc>
          <w:tcPr>
            <w:tcW w:w="140" w:type="dxa"/>
            <w:vAlign w:val="bottom"/>
          </w:tcPr>
          <w:p>
            <w:pPr>
              <w:spacing w:after="0"/>
              <w:rPr>
                <w:sz w:val="14"/>
                <w:szCs w:val="14"/>
                <w:color w:val="auto"/>
              </w:rPr>
            </w:pPr>
          </w:p>
        </w:tc>
        <w:tc>
          <w:tcPr>
            <w:tcW w:w="33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2"/>
              </w:rPr>
              <w:t>For the Nine Months Ended September 30, 2021</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(1)(2)</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7/30/2021</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11,700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7/30/2022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13,440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(2,248)</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(681)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(306)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(149)</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(922)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(821)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(2,501)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(1)(2)</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6/9/2023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(1,880)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(5,576)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(340)</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(1,004)</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(1,612)</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(4,083)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4,875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1,034,831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9,124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3,101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(17,375)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26,517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33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4"/>
              </w:rPr>
              <w:t>For the Three Months Ended September 30, 2020</w:t>
            </w:r>
          </w:p>
        </w:tc>
        <w:tc>
          <w:tcPr>
            <w:tcW w:w="140" w:type="dxa"/>
            <w:vAlign w:val="bottom"/>
          </w:tcPr>
          <w:p>
            <w:pPr>
              <w:spacing w:after="0"/>
              <w:rPr>
                <w:sz w:val="14"/>
                <w:szCs w:val="14"/>
                <w:color w:val="auto"/>
              </w:rPr>
            </w:pPr>
          </w:p>
        </w:tc>
        <w:tc>
          <w:tcPr>
            <w:tcW w:w="33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4"/>
              </w:rPr>
              <w:t>For the Nine Months Ended September 30, 2020</w:t>
            </w: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7"/>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6/25/2020</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440</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7/30/2021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(787)</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(3,135)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(1,067)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(160)</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27,531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(306)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(138)</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(882)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(3,658)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6/9/2023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(1,954)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(7,763)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(352)</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(1,105)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818,241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(4,669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7,233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(18,236)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right="180" w:hanging="492"/>
        <w:spacing w:after="0" w:line="27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September 30, 2021 the notional amount of this interest rate swap was zero.</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September 30, 2020 the notional amount of this interest rate swap was zero.</w:t>
      </w:r>
    </w:p>
    <w:p>
      <w:pPr>
        <w:spacing w:after="0" w:line="225" w:lineRule="exact"/>
        <w:rPr>
          <w:sz w:val="20"/>
          <w:szCs w:val="20"/>
          <w:color w:val="auto"/>
        </w:rPr>
      </w:pPr>
    </w:p>
    <w:p>
      <w:pPr>
        <w:ind w:right="100" w:firstLine="255"/>
        <w:spacing w:after="0" w:line="293" w:lineRule="auto"/>
        <w:rPr>
          <w:sz w:val="20"/>
          <w:szCs w:val="20"/>
          <w:color w:val="auto"/>
        </w:rPr>
      </w:pPr>
      <w:r>
        <w:rPr>
          <w:rFonts w:ascii="Arial" w:cs="Arial" w:eastAsia="Arial" w:hAnsi="Arial"/>
          <w:sz w:val="16"/>
          <w:szCs w:val="16"/>
          <w:color w:val="auto"/>
        </w:rPr>
        <w:t>For the three and nine months ended September 30, 2021, the Company recognized $1.5 million and $4.8 million, respectively in net change in unrealized losses, on interest rate swaps not designated as hedging instruments in the consolidated statement of operations related to the swap transactions. For the three and nine months ended September 30, 2021, the Company recognized $2.0 million and $14.2 million in net change in unrealized losses, respectively, on interest rate swaps designated as hedging instruments as a component of interest expense in the consolidated statement of operations. For the three and nine months ended September 30, 2021, this amount is offset by a decrease of $1.1 million and $7.2 million, respectively, for a change in the carrying value of the 2024 Notes and a decrease of $0.9 million and $7.0 million, respectively, for a change in carrying value of the 2026 Notes.</w:t>
      </w:r>
    </w:p>
    <w:p>
      <w:pPr>
        <w:spacing w:after="0" w:line="164"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For the three and nine months ended September 30, 2020, the Company recognized $1.5 million in net change in unrealized losses and $8.2 million in net change in unrealized gains, respectively, on interest rate swaps not designated as hedging instruments in the consolidated statement of operations related to the swap transactions. For the three and nine months ended September 30, 2020, the Company recognized $1.2 million in net change in unrealized losses and $19.9 million in net change in unrealized gains, respectively, on interest rate swaps designated as hedging instruments as a component of interest expense in the consolidated statement of operations. This amount is offset by a decrease of $1.2 million and increase of $19.9 million, respectively, for a change in the carrying value of the 2024 Notes.</w:t>
      </w:r>
    </w:p>
    <w:p>
      <w:pPr>
        <w:spacing w:after="0" w:line="192"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As of September 30, 2021, the swap transactions had a fair value of $9.6 million which is netted against cash collateral received on the Company’s consolidated balance sheet. As of December 31, 2020, the swap transactions had a fair value of $28.6 million which is netted against cash collateral on the Company’s consolidated balance sheet.</w:t>
      </w:r>
    </w:p>
    <w:p>
      <w:pPr>
        <w:spacing w:after="0" w:line="184" w:lineRule="exact"/>
        <w:rPr>
          <w:sz w:val="20"/>
          <w:szCs w:val="20"/>
          <w:color w:val="auto"/>
        </w:rPr>
      </w:pPr>
    </w:p>
    <w:p>
      <w:pPr>
        <w:ind w:right="80" w:firstLine="255"/>
        <w:spacing w:after="0" w:line="327" w:lineRule="auto"/>
        <w:rPr>
          <w:sz w:val="20"/>
          <w:szCs w:val="20"/>
          <w:color w:val="auto"/>
        </w:rPr>
      </w:pPr>
      <w:r>
        <w:rPr>
          <w:rFonts w:ascii="Arial" w:cs="Arial" w:eastAsia="Arial" w:hAnsi="Arial"/>
          <w:sz w:val="15"/>
          <w:szCs w:val="15"/>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40"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As of September 30, 2021, $12.8 million of cash is pledged as collateral under the Company’s derivative instruments and is included in restricted cash as a component of cash and cash equivalents on the Company’s consolidated balance sheet. As of December 31, 2020, $10.8 million of cash is pledged as collateral under the Company’s derivative instruments and is included in restricted cash as a component of cash and cash equivalents on the Company’s consolidated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September 30, 2021 and December 31, 2020:</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September 30, 2021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2,219,341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2,226,075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16,409</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163,981</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2,362,634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2,406,465</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2,362,634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2,416,072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2,158,551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2,196,910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85,941</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2,298,870</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28,638</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2,327,508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2021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2,398,267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16,758</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2,526,383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91,680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92,552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(271,715)</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(7,054)</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2,219,341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2,362,634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2021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2,158,551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10,982</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2,249,720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491,127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(455,783)</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(15,191)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(476,765)</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(4,180)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(6,613)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2,219,341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126,884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2,362,634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1,870,445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1,952,872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289,113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(240,448)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1,945,533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2,041,437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467,859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487,129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(683,500)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(17,008)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(5,230)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1,945,533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2,041,437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35" w:name="page36"/>
    <w:bookmarkEnd w:id="35"/>
    <w:p>
      <w:pPr>
        <w:ind w:right="6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September 30, 2021 and 2020:</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c>
          <w:tcPr>
            <w:tcW w:w="40" w:type="dxa"/>
            <w:vAlign w:val="bottom"/>
          </w:tcPr>
          <w:p>
            <w:pPr>
              <w:spacing w:after="0"/>
              <w:rPr>
                <w:sz w:val="14"/>
                <w:szCs w:val="1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Gains or (Losses)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040" w:type="dxa"/>
            <w:vAlign w:val="bottom"/>
          </w:tcPr>
          <w:p>
            <w:pPr>
              <w:spacing w:after="0"/>
              <w:rPr>
                <w:sz w:val="14"/>
                <w:szCs w:val="14"/>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for the Three Months Ended</w:t>
            </w:r>
          </w:p>
        </w:tc>
        <w:tc>
          <w:tcPr>
            <w:tcW w:w="1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September 30, 2021 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September 30, 2020 on</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Investments Held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 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 2020</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18,864</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(412)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1,787</w:t>
            </w:r>
          </w:p>
        </w:tc>
        <w:tc>
          <w:tcPr>
            <w:tcW w:w="6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10,187</w:t>
            </w:r>
          </w:p>
        </w:tc>
        <w:tc>
          <w:tcPr>
            <w:tcW w:w="6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22,208</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30,896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9"/>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Net Change in Unrealized</w:t>
            </w:r>
          </w:p>
        </w:tc>
        <w:tc>
          <w:tcPr>
            <w:tcW w:w="40" w:type="dxa"/>
            <w:vAlign w:val="bottom"/>
          </w:tcPr>
          <w:p>
            <w:pPr>
              <w:spacing w:after="0"/>
              <w:rPr>
                <w:sz w:val="24"/>
                <w:szCs w:val="2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Gains or (Losses)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Nine Months Ended</w:t>
            </w:r>
          </w:p>
        </w:tc>
        <w:tc>
          <w:tcPr>
            <w:tcW w:w="4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September 30, 2021 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September 30, 2020 on</w:t>
            </w: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Investments Held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 2020</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13,754</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80" w:type="dxa"/>
            <w:vAlign w:val="bottom"/>
            <w:tcBorders>
              <w:top w:val="single" w:sz="8" w:color="CFF0FC"/>
            </w:tcBorders>
            <w:gridSpan w:val="2"/>
            <w:shd w:val="clear" w:color="auto" w:fill="CFF0FC"/>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6,994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46,242</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66,990</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9,306</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September 30, 2021 and December 31, 2020. The tables are not intended to be all-inclusive, but instead capture the significant unobservable inputs relevant to the Company’s determination of fair values.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3"/>
              </w:rPr>
              <w:t>September 30, 2021</w:t>
            </w:r>
          </w:p>
        </w:tc>
        <w:tc>
          <w:tcPr>
            <w:tcW w:w="1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Valuation</w:t>
            </w:r>
          </w:p>
        </w:tc>
        <w:tc>
          <w:tcPr>
            <w:tcW w:w="19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Unobservable</w:t>
            </w:r>
          </w:p>
        </w:tc>
        <w:tc>
          <w:tcPr>
            <w:tcW w:w="180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10"/>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2,219,341</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approach</w:t>
            </w:r>
          </w:p>
        </w:tc>
        <w:tc>
          <w:tcPr>
            <w:tcW w:w="19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800" w:type="dxa"/>
            <w:vAlign w:val="bottom"/>
            <w:shd w:val="clear" w:color="auto" w:fill="CFF0FC"/>
          </w:tcPr>
          <w:p>
            <w:pPr>
              <w:jc w:val="center"/>
              <w:ind w:right="143"/>
              <w:spacing w:after="0"/>
              <w:rPr>
                <w:sz w:val="20"/>
                <w:szCs w:val="20"/>
                <w:color w:val="auto"/>
              </w:rPr>
            </w:pPr>
            <w:r>
              <w:rPr>
                <w:rFonts w:ascii="Arial" w:cs="Arial" w:eastAsia="Arial" w:hAnsi="Arial"/>
                <w:sz w:val="16"/>
                <w:szCs w:val="16"/>
                <w:color w:val="auto"/>
                <w:w w:val="94"/>
              </w:rPr>
              <w:t>6.2% — 18.3% (9.3%)</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16,409</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(1)</w:t>
            </w:r>
          </w:p>
        </w:tc>
        <w:tc>
          <w:tcPr>
            <w:tcW w:w="198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800" w:type="dxa"/>
            <w:vAlign w:val="bottom"/>
          </w:tcPr>
          <w:p>
            <w:pPr>
              <w:jc w:val="center"/>
              <w:ind w:right="123"/>
              <w:spacing w:after="0"/>
              <w:rPr>
                <w:sz w:val="20"/>
                <w:szCs w:val="20"/>
                <w:color w:val="auto"/>
              </w:rPr>
            </w:pPr>
            <w:r>
              <w:rPr>
                <w:rFonts w:ascii="Arial" w:cs="Arial" w:eastAsia="Arial" w:hAnsi="Arial"/>
                <w:sz w:val="16"/>
                <w:szCs w:val="16"/>
                <w:color w:val="auto"/>
                <w:w w:val="93"/>
              </w:rPr>
              <w:t>6.2% — 8.8% (8.1%)</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126,884</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(2)</w:t>
            </w:r>
          </w:p>
        </w:tc>
        <w:tc>
          <w:tcPr>
            <w:tcW w:w="19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Comparable multiple</w:t>
            </w:r>
          </w:p>
        </w:tc>
        <w:tc>
          <w:tcPr>
            <w:tcW w:w="1800" w:type="dxa"/>
            <w:vAlign w:val="bottom"/>
            <w:shd w:val="clear" w:color="auto" w:fill="CFF0FC"/>
          </w:tcPr>
          <w:p>
            <w:pPr>
              <w:jc w:val="center"/>
              <w:ind w:right="123"/>
              <w:spacing w:after="0"/>
              <w:rPr>
                <w:sz w:val="20"/>
                <w:szCs w:val="20"/>
                <w:color w:val="auto"/>
              </w:rPr>
            </w:pPr>
            <w:r>
              <w:rPr>
                <w:rFonts w:ascii="Arial" w:cs="Arial" w:eastAsia="Arial" w:hAnsi="Arial"/>
                <w:sz w:val="16"/>
                <w:szCs w:val="16"/>
                <w:color w:val="auto"/>
                <w:w w:val="94"/>
              </w:rPr>
              <w:t>4.3x — 23.1x (9.6)</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27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2,362,634</w:t>
            </w:r>
          </w:p>
        </w:tc>
        <w:tc>
          <w:tcPr>
            <w:tcW w:w="2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$0.1 million of debt investments which were valued using an asset valuation waterfall.</w:t>
      </w:r>
    </w:p>
    <w:p>
      <w:pPr>
        <w:spacing w:after="0" w:line="49" w:lineRule="exact"/>
        <w:rPr>
          <w:rFonts w:ascii="Arial" w:cs="Arial" w:eastAsia="Arial" w:hAnsi="Arial"/>
          <w:sz w:val="18"/>
          <w:szCs w:val="18"/>
          <w:color w:val="auto"/>
        </w:rPr>
      </w:pPr>
    </w:p>
    <w:p>
      <w:pPr>
        <w:ind w:left="500" w:right="20" w:hanging="492"/>
        <w:spacing w:after="0" w:line="286"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$19.4 million of equity investments which were valued using an asset valuation waterfall, $10.3 million of equity investments using a Black-Scholes model, $17.6 million of equity investments using a discounted cash flow approach, and $0.4 million of equity investments which, due to the proximity of the transactions relative to the measurement date, were valued using the cost of the investments.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41"/>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10"/>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2,158,551</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35.2% (9.4%)</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440" w:type="dxa"/>
            <w:vAlign w:val="bottom"/>
          </w:tcPr>
          <w:p>
            <w:pPr>
              <w:jc w:val="right"/>
              <w:spacing w:after="0"/>
              <w:rPr>
                <w:sz w:val="20"/>
                <w:szCs w:val="20"/>
                <w:color w:val="auto"/>
              </w:rPr>
            </w:pPr>
            <w:r>
              <w:rPr>
                <w:rFonts w:ascii="Arial" w:cs="Arial" w:eastAsia="Arial" w:hAnsi="Arial"/>
                <w:sz w:val="16"/>
                <w:szCs w:val="16"/>
                <w:color w:val="auto"/>
                <w:w w:val="92"/>
              </w:rPr>
              <w:t>11.8%</w:t>
            </w:r>
          </w:p>
        </w:tc>
        <w:tc>
          <w:tcPr>
            <w:tcW w:w="1400" w:type="dxa"/>
            <w:vAlign w:val="bottom"/>
          </w:tcPr>
          <w:p>
            <w:pPr>
              <w:ind w:left="40"/>
              <w:spacing w:after="0"/>
              <w:rPr>
                <w:sz w:val="20"/>
                <w:szCs w:val="20"/>
                <w:color w:val="auto"/>
              </w:rPr>
            </w:pPr>
            <w:r>
              <w:rPr>
                <w:rFonts w:ascii="Arial" w:cs="Arial" w:eastAsia="Arial" w:hAnsi="Arial"/>
                <w:sz w:val="16"/>
                <w:szCs w:val="16"/>
                <w:color w:val="auto"/>
              </w:rPr>
              <w:t>— 11.8% (11.8%)</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10,982</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(2)</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10.1%</w:t>
            </w:r>
          </w:p>
        </w:tc>
        <w:tc>
          <w:tcPr>
            <w:tcW w:w="1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11.9% (10.5%)</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75,150</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(3)</w:t>
            </w:r>
          </w:p>
        </w:tc>
        <w:tc>
          <w:tcPr>
            <w:tcW w:w="1940" w:type="dxa"/>
            <w:vAlign w:val="bottom"/>
            <w:gridSpan w:val="3"/>
          </w:tcPr>
          <w:p>
            <w:pPr>
              <w:spacing w:after="0"/>
              <w:rPr>
                <w:sz w:val="20"/>
                <w:szCs w:val="20"/>
                <w:color w:val="auto"/>
              </w:rPr>
            </w:pPr>
            <w:r>
              <w:rPr>
                <w:rFonts w:ascii="Arial" w:cs="Arial" w:eastAsia="Arial" w:hAnsi="Arial"/>
                <w:sz w:val="16"/>
                <w:szCs w:val="16"/>
                <w:color w:val="auto"/>
              </w:rPr>
              <w:t>Comparable multiple</w:t>
            </w:r>
          </w:p>
        </w:tc>
        <w:tc>
          <w:tcPr>
            <w:tcW w:w="1840" w:type="dxa"/>
            <w:vAlign w:val="bottom"/>
            <w:gridSpan w:val="2"/>
          </w:tcPr>
          <w:p>
            <w:pPr>
              <w:jc w:val="center"/>
              <w:ind w:right="81"/>
              <w:spacing w:after="0"/>
              <w:rPr>
                <w:sz w:val="20"/>
                <w:szCs w:val="20"/>
                <w:color w:val="auto"/>
              </w:rPr>
            </w:pPr>
            <w:r>
              <w:rPr>
                <w:rFonts w:ascii="Arial" w:cs="Arial" w:eastAsia="Arial" w:hAnsi="Arial"/>
                <w:sz w:val="16"/>
                <w:szCs w:val="16"/>
                <w:color w:val="auto"/>
                <w:w w:val="94"/>
              </w:rPr>
              <w:t>3.5x — 16.0x (8.7x)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7"/>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2,249,720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$21.6 million of first-lien debt investments which were valued using an asset valuation waterfall.</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$4.5 million of debt investments which were valued using a comparable multiple.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6" w:name="page37"/>
    <w:bookmarkEnd w:id="36"/>
    <w:p>
      <w:pPr>
        <w:ind w:left="500" w:right="40" w:hanging="492"/>
        <w:spacing w:after="0" w:line="259"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$1.3 million of equity investments which were valued using a weighted valuation approach, $3.9 million of equity investments valued using an asset valuation waterfall, $3.0 million of equity investments using a Black-Scholes model, $15.8 million of equity investments using a discounted cash flow model and $8.1 million of equity investments which, due to the proximity of the transactions relative to the measurement date, were valued using the cost of the investments.</w:t>
      </w:r>
    </w:p>
    <w:p>
      <w:pPr>
        <w:spacing w:after="0" w:line="187" w:lineRule="exact"/>
        <w:rPr>
          <w:sz w:val="20"/>
          <w:szCs w:val="20"/>
          <w:color w:val="auto"/>
        </w:rPr>
      </w:pPr>
    </w:p>
    <w:p>
      <w:pPr>
        <w:ind w:right="26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22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September 30, 2021 and December 31, 2020, approximates its carrying value as the outstanding balance is callable at carrying value.</w:t>
      </w:r>
    </w:p>
    <w:p>
      <w:pPr>
        <w:spacing w:after="0" w:line="170" w:lineRule="exact"/>
        <w:rPr>
          <w:sz w:val="20"/>
          <w:szCs w:val="20"/>
          <w:color w:val="auto"/>
        </w:rPr>
      </w:pPr>
    </w:p>
    <w:p>
      <w:pPr>
        <w:ind w:right="300" w:firstLine="255"/>
        <w:spacing w:after="0" w:line="277" w:lineRule="auto"/>
        <w:rPr>
          <w:sz w:val="20"/>
          <w:szCs w:val="20"/>
          <w:color w:val="auto"/>
        </w:rPr>
      </w:pPr>
      <w:r>
        <w:rPr>
          <w:rFonts w:ascii="Arial" w:cs="Arial" w:eastAsia="Arial" w:hAnsi="Arial"/>
          <w:sz w:val="18"/>
          <w:szCs w:val="18"/>
          <w:color w:val="auto"/>
        </w:rPr>
        <w:t>The following table presents the fair value of the Company’s 2022 Convertible Notes, 2023 Notes, 2024 Notes and 2026 Notes, as of September 30, 2021 and December 31, 2020.</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2020</w:t>
            </w:r>
          </w:p>
        </w:tc>
      </w:tr>
      <w:tr>
        <w:trPr>
          <w:trHeight w:val="133"/>
        </w:trPr>
        <w:tc>
          <w:tcPr>
            <w:tcW w:w="3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17"/>
              <w:spacing w:after="0" w:line="133" w:lineRule="exact"/>
              <w:rPr>
                <w:sz w:val="20"/>
                <w:szCs w:val="20"/>
                <w:color w:val="auto"/>
              </w:rPr>
            </w:pPr>
            <w:r>
              <w:rPr>
                <w:rFonts w:ascii="Arial" w:cs="Arial" w:eastAsia="Arial" w:hAnsi="Arial"/>
                <w:sz w:val="14"/>
                <w:szCs w:val="14"/>
                <w:b w:val="1"/>
                <w:bCs w:val="1"/>
                <w:color w:val="auto"/>
              </w:rPr>
              <w:t>Outstanding</w:t>
            </w: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75"/>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75"/>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17"/>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(1)</w:t>
            </w:r>
          </w:p>
        </w:tc>
      </w:tr>
      <w:tr>
        <w:trPr>
          <w:trHeight w:val="223"/>
        </w:trPr>
        <w:tc>
          <w:tcPr>
            <w:tcW w:w="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3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170,723</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2023</w:t>
            </w:r>
          </w:p>
        </w:tc>
        <w:tc>
          <w:tcPr>
            <w:tcW w:w="3380" w:type="dxa"/>
            <w:vAlign w:val="bottom"/>
          </w:tcPr>
          <w:p>
            <w:pPr>
              <w:ind w:left="20"/>
              <w:spacing w:after="0"/>
              <w:rPr>
                <w:sz w:val="20"/>
                <w:szCs w:val="20"/>
                <w:color w:val="auto"/>
              </w:rPr>
            </w:pPr>
            <w:r>
              <w:rPr>
                <w:rFonts w:ascii="Arial" w:cs="Arial" w:eastAsia="Arial" w:hAnsi="Arial"/>
                <w:sz w:val="18"/>
                <w:szCs w:val="18"/>
                <w:color w:val="auto"/>
              </w:rPr>
              <w:t>Notes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155,010</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2024</w:t>
            </w:r>
          </w:p>
        </w:tc>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359,532</w:t>
            </w:r>
          </w:p>
        </w:tc>
        <w:tc>
          <w:tcPr>
            <w:tcW w:w="100" w:type="dxa"/>
            <w:vAlign w:val="bottom"/>
            <w:shd w:val="clear" w:color="auto" w:fill="CFF0FC"/>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2026 Notes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301,943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940,309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997,471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640,309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September 30, 2021 and December 31, 2020, the Company’s asset coverage was 211.6% and 204.5%,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7" w:name="page38"/>
    <w:bookmarkEnd w:id="37"/>
    <w:p>
      <w:pPr>
        <w:ind w:left="252"/>
        <w:spacing w:after="0"/>
        <w:rPr>
          <w:sz w:val="20"/>
          <w:szCs w:val="20"/>
          <w:color w:val="auto"/>
        </w:rPr>
      </w:pPr>
      <w:r>
        <w:rPr>
          <w:rFonts w:ascii="Arial" w:cs="Arial" w:eastAsia="Arial" w:hAnsi="Arial"/>
          <w:sz w:val="18"/>
          <w:szCs w:val="18"/>
          <w:color w:val="auto"/>
        </w:rPr>
        <w:t>Debt obligations consisted of the following as of September 30, 2021 and December 31, 2020:</w:t>
      </w:r>
    </w:p>
    <w:p>
      <w:pPr>
        <w:spacing w:after="0" w:line="298"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1,325,753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2,450,309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1,124,556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1,325,753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92" w:right="840" w:hanging="492"/>
        <w:spacing w:after="0" w:line="258" w:lineRule="auto"/>
        <w:tabs>
          <w:tab w:leader="none" w:pos="4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492" w:hanging="492"/>
        <w:spacing w:after="0" w:line="265" w:lineRule="auto"/>
        <w:tabs>
          <w:tab w:leader="none" w:pos="49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of $12.6 million, $0.6 million, $0.9 million, $4.3 million and $5.6 million, respectively.</w:t>
      </w:r>
    </w:p>
    <w:p>
      <w:pPr>
        <w:ind w:left="492" w:hanging="492"/>
        <w:spacing w:after="0" w:line="323" w:lineRule="auto"/>
        <w:tabs>
          <w:tab w:leader="none" w:pos="4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$9.6 million and $(7.0) million, respectively, which represents an adjustment in the carrying values of the 2024 Notes and 2026 Notes, each resulting from a hedge accounting relationship.</w:t>
      </w:r>
    </w:p>
    <w:p>
      <w:pPr>
        <w:spacing w:after="0" w:line="184"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472,281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1,112,590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1,110,363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92" w:right="840" w:hanging="492"/>
        <w:spacing w:after="0" w:line="258" w:lineRule="auto"/>
        <w:tabs>
          <w:tab w:leader="none" w:pos="4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492" w:right="180" w:hanging="492"/>
        <w:spacing w:after="0" w:line="250" w:lineRule="auto"/>
        <w:tabs>
          <w:tab w:leader="none" w:pos="4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492" w:hanging="492"/>
        <w:spacing w:after="0" w:line="260" w:lineRule="auto"/>
        <w:tabs>
          <w:tab w:leader="none" w:pos="4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18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557" w:right="39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color w:val="auto"/>
        </w:rPr>
        <w:t>For the three and nine months ended September 30, 2021 and 2020,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3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1"/>
                <w:szCs w:val="11"/>
                <w:color w:val="auto"/>
              </w:rPr>
            </w:pPr>
          </w:p>
        </w:tc>
      </w:tr>
      <w:tr>
        <w:trPr>
          <w:trHeight w:val="171"/>
        </w:trPr>
        <w:tc>
          <w:tcPr>
            <w:tcW w:w="39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27,909</w:t>
            </w:r>
          </w:p>
        </w:tc>
        <w:tc>
          <w:tcPr>
            <w:tcW w:w="180" w:type="dxa"/>
            <w:vAlign w:val="bottom"/>
            <w:shd w:val="clear" w:color="auto" w:fill="CFF0FC"/>
          </w:tcPr>
          <w:p>
            <w:pPr>
              <w:spacing w:after="0"/>
              <w:rPr>
                <w:sz w:val="19"/>
                <w:szCs w:val="19"/>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Commitment fees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2,735</w:t>
            </w:r>
          </w:p>
        </w:tc>
        <w:tc>
          <w:tcPr>
            <w:tcW w:w="180" w:type="dxa"/>
            <w:vAlign w:val="bottom"/>
          </w:tcPr>
          <w:p>
            <w:pPr>
              <w:spacing w:after="0"/>
              <w:rPr>
                <w:sz w:val="19"/>
                <w:szCs w:val="19"/>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1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9"/>
                <w:szCs w:val="19"/>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(3,118)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(9,234)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(3,714)</w:t>
            </w:r>
          </w:p>
        </w:tc>
      </w:tr>
      <w:tr>
        <w:trPr>
          <w:trHeight w:val="263"/>
        </w:trPr>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2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8,399</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31,159</w:t>
            </w:r>
          </w:p>
        </w:tc>
        <w:tc>
          <w:tcPr>
            <w:tcW w:w="180" w:type="dxa"/>
            <w:vAlign w:val="bottom"/>
            <w:tcBorders>
              <w:bottom w:val="single" w:sz="8" w:color="CFF0FC"/>
            </w:tcBorders>
          </w:tcPr>
          <w:p>
            <w:pPr>
              <w:spacing w:after="0"/>
              <w:rPr>
                <w:sz w:val="22"/>
                <w:szCs w:val="22"/>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1,240.8</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180" w:type="dxa"/>
            <w:vAlign w:val="bottom"/>
            <w:shd w:val="clear" w:color="auto" w:fill="CFF0FC"/>
          </w:tcPr>
          <w:p>
            <w:pPr>
              <w:spacing w:after="0"/>
              <w:rPr>
                <w:sz w:val="18"/>
                <w:szCs w:val="18"/>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00" w:firstLine="255"/>
        <w:spacing w:after="0" w:line="30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the Company, under certain circumstances, to increase the size of the facility to up to $2.0 billion. On September 30, 2021, in accordance with the accordion feature, the aggregate commitments under the facility were increased to $1.510 billion.</w:t>
      </w:r>
    </w:p>
    <w:p>
      <w:pPr>
        <w:spacing w:after="0" w:line="157"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On September 30, 2021, the aggregate commitments under the facility increased an additional $25.0 million in accordance with the accordion feature. As a result, $1.485 billion of total commitments are subject to these revolving period and stated maturity dates. For the remaining $25.0 million of commitments, the revolving period ends January 31, 2024 and the stated maturity is January 31, 2025.</w:t>
      </w:r>
    </w:p>
    <w:p>
      <w:pPr>
        <w:spacing w:after="0" w:line="195"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September 30, 2021, the Company had outstanding debt denominated in Australian dollars (AUD) of 51.2 million, Canadian dollars (CAD) of 74.2 million, and Euro (EUR) of 33.1 million on its Revolving Credit Facility, included in the Outstanding Principal amount in the table above.</w:t>
      </w:r>
    </w:p>
    <w:p>
      <w:pPr>
        <w:spacing w:after="0" w:line="184" w:lineRule="exact"/>
        <w:rPr>
          <w:sz w:val="20"/>
          <w:szCs w:val="20"/>
          <w:color w:val="auto"/>
        </w:rPr>
      </w:pPr>
    </w:p>
    <w:p>
      <w:pPr>
        <w:ind w:right="160" w:firstLine="255"/>
        <w:spacing w:after="0" w:line="286"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$75.0 million. As of September 30, 2021 and December 31, 2020,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65"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80" w:firstLine="255"/>
        <w:spacing w:after="0" w:line="286" w:lineRule="auto"/>
        <w:rPr>
          <w:sz w:val="20"/>
          <w:szCs w:val="20"/>
          <w:color w:val="auto"/>
        </w:rPr>
      </w:pPr>
      <w:r>
        <w:rPr>
          <w:rFonts w:ascii="Arial" w:cs="Arial" w:eastAsia="Arial" w:hAnsi="Arial"/>
          <w:sz w:val="17"/>
          <w:szCs w:val="17"/>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80" w:hanging="249"/>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2021 and December 31, 2020,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September 30, 2021, the estimated adjusted conversion price was approximately $18.53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entered into an interest rate swap to align the interest rates of its liabilities with its investment portfolio, which consists of predominately floating rate loans. The notional amount of the interest rate swap is $115.0 million, which matures on August 1, 2022, matching the maturity date of the 2022 Convertible Notes. As a result of the swap, the Company’s effective interest rate on the original issuance of 2022 Convertible Notes is three-month LIBOR plus 2.37%. See Note 5 for further information related to the Company’s interest rate swaps.</w:t>
      </w:r>
    </w:p>
    <w:p>
      <w:pPr>
        <w:spacing w:after="0" w:line="184" w:lineRule="exact"/>
        <w:rPr>
          <w:sz w:val="20"/>
          <w:szCs w:val="20"/>
          <w:color w:val="auto"/>
        </w:rPr>
      </w:pPr>
    </w:p>
    <w:p>
      <w:pPr>
        <w:ind w:right="20" w:firstLine="255"/>
        <w:spacing w:after="0" w:line="291" w:lineRule="auto"/>
        <w:rPr>
          <w:sz w:val="20"/>
          <w:szCs w:val="20"/>
          <w:color w:val="auto"/>
        </w:rPr>
      </w:pPr>
      <w:r>
        <w:rPr>
          <w:rFonts w:ascii="Arial" w:cs="Arial" w:eastAsia="Arial" w:hAnsi="Arial"/>
          <w:sz w:val="16"/>
          <w:szCs w:val="16"/>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align the interest rates of its liabilities with its investment portfolio, which consists of predominately floating rate loans. The notional amount of the two interest rates swaps is $50.0 million and $7.5 million, which matures on August 1, 2022, matching the maturity date of the 2022 Convertible Notes. As a result of the additional swaps, the Company’s effective interest rate on the additional 2022 Convertible Notes is approximately three-month LIBOR plus 1.60%. See Note 5 for further information related to the Company’s interest rate swaps.</w:t>
      </w:r>
    </w:p>
    <w:p>
      <w:pPr>
        <w:spacing w:after="0" w:line="166"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During the year ended December 31,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40"/>
        <w:spacing w:after="0" w:line="257" w:lineRule="auto"/>
        <w:rPr>
          <w:sz w:val="20"/>
          <w:szCs w:val="20"/>
          <w:color w:val="auto"/>
        </w:rPr>
      </w:pPr>
      <w:r>
        <w:rPr>
          <w:rFonts w:ascii="Arial" w:cs="Arial" w:eastAsia="Arial" w:hAnsi="Arial"/>
          <w:sz w:val="18"/>
          <w:szCs w:val="18"/>
          <w:color w:val="auto"/>
        </w:rPr>
        <w:t>operations. In connection with the repurchases of the 2022 Convertible Notes, the Company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the Company’s effective interest rate on the outstanding 2022 Convertible Notes is three-month LIBOR plus 2.11% (on a weighted-average basis).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100" w:firstLine="8"/>
        <w:spacing w:after="0" w:line="281"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200" w:firstLine="8"/>
        <w:spacing w:after="0" w:line="292"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right="220" w:firstLine="255"/>
        <w:spacing w:after="0" w:line="279" w:lineRule="auto"/>
        <w:rPr>
          <w:sz w:val="20"/>
          <w:szCs w:val="20"/>
          <w:color w:val="auto"/>
        </w:rPr>
      </w:pPr>
      <w:r>
        <w:rPr>
          <w:rFonts w:ascii="Arial" w:cs="Arial" w:eastAsia="Arial" w:hAnsi="Arial"/>
          <w:sz w:val="17"/>
          <w:szCs w:val="17"/>
          <w:color w:val="auto"/>
        </w:rPr>
        <w:t>On September 30, 2021, the Company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the Company elected combination settlement. The settlement of the converted notes is expected to occur after the 40 day observation period described in the notes indenture.</w:t>
      </w:r>
    </w:p>
    <w:p>
      <w:pPr>
        <w:spacing w:after="0" w:line="171"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6"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For the three and nine months ended September 30, 2021 and 2020, the components of interest expense related to the 2022 Convertible Notes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41" w:name="page42"/>
    <w:bookmarkEnd w:id="41"/>
    <w:p>
      <w:pPr>
        <w:ind w:right="160" w:firstLine="255"/>
        <w:spacing w:after="0" w:line="273" w:lineRule="auto"/>
        <w:rPr>
          <w:sz w:val="20"/>
          <w:szCs w:val="20"/>
          <w:color w:val="auto"/>
        </w:rPr>
      </w:pPr>
      <w:r>
        <w:rPr>
          <w:rFonts w:ascii="Arial" w:cs="Arial" w:eastAsia="Arial" w:hAnsi="Arial"/>
          <w:sz w:val="17"/>
          <w:szCs w:val="17"/>
          <w:color w:val="auto"/>
        </w:rPr>
        <w:t>Total interest expense in the table above does not include the effect of the interest rate swaps. During the three and nine months ended September 30, 2021, the Company received $2.1 million and $6.3 million, respectively, and paid $1.3 million and $4.0 million, respectively, related to the settlements of its interest rate swaps related to the 2022 Convertible Notes. During the three and nine months ended September 30, 2020, the Company received $2.1 million and $6.3 million, respectively, and paid $1.4 million and $5.0 million, respectively, related to the settlements of its interest rate swaps, excluding upfront fees, related to the 2022 Convertible Notes. These net amounts are reflected in interest expense in the Company’s consolidated statements of operations. See Note 5 for further information about the Company’s interest rate swaps.</w:t>
      </w:r>
    </w:p>
    <w:p>
      <w:pPr>
        <w:spacing w:after="0" w:line="178"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September 30, 2021 and December 31, 2020, the components of the carrying value of the 2022 Convertible Notes and the stated interest rate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September 30, 2021</w:t>
            </w:r>
          </w:p>
        </w:tc>
        <w:tc>
          <w:tcPr>
            <w:tcW w:w="8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Original issue discount, net of accretion/amortization</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(1,228)</w:t>
            </w:r>
          </w:p>
        </w:tc>
      </w:tr>
      <w:tr>
        <w:trPr>
          <w:trHeight w:val="263"/>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142,161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141,297</w:t>
            </w:r>
          </w:p>
        </w:tc>
        <w:tc>
          <w:tcPr>
            <w:tcW w:w="180" w:type="dxa"/>
            <w:vAlign w:val="bottom"/>
            <w:tcBorders>
              <w:bottom w:val="single" w:sz="8" w:color="CFF0FC"/>
            </w:tcBorders>
          </w:tcPr>
          <w:p>
            <w:pPr>
              <w:spacing w:after="0"/>
              <w:rPr>
                <w:sz w:val="22"/>
                <w:szCs w:val="22"/>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2.11% (on a weighted average basis) for the 2022 Convertible Notes. See Note 5 for further information about the Company’s interest rate swaps.</w:t>
      </w:r>
    </w:p>
    <w:p>
      <w:pPr>
        <w:spacing w:after="0" w:line="184"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September 30, 2021 and December 31, 2020, the Company was in compliance with the terms of the indenture governing the 2022 Convertible Notes.</w:t>
      </w:r>
    </w:p>
    <w:p>
      <w:pPr>
        <w:spacing w:after="0" w:line="188" w:lineRule="exact"/>
        <w:rPr>
          <w:sz w:val="20"/>
          <w:szCs w:val="20"/>
          <w:color w:val="auto"/>
        </w:rPr>
      </w:pPr>
    </w:p>
    <w:p>
      <w:pPr>
        <w:ind w:right="80" w:firstLine="255"/>
        <w:spacing w:after="0" w:line="287" w:lineRule="auto"/>
        <w:rPr>
          <w:sz w:val="20"/>
          <w:szCs w:val="20"/>
          <w:color w:val="auto"/>
        </w:rPr>
      </w:pPr>
      <w:r>
        <w:rPr>
          <w:rFonts w:ascii="Arial" w:cs="Arial" w:eastAsia="Arial" w:hAnsi="Arial"/>
          <w:sz w:val="16"/>
          <w:szCs w:val="16"/>
          <w:color w:val="auto"/>
        </w:rPr>
        <w:t>The 2022 Convertible Notes are accounted for in accordance with ASC Topic 470-20. Upon conversion of any of the 2022 Convertible Notes, the Company currently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 During the period ended March 31, 2021, the Company early adopted ASU 2020-06 and in accordance with this guidance has reclassed the remaining unamortized discount on the 2022 Convertible Notes from the carrying value of the instrument to “additional paid-in capital” in the accompanying consolidated balance sheet.</w:t>
      </w:r>
    </w:p>
    <w:p>
      <w:pPr>
        <w:spacing w:after="0" w:line="172" w:lineRule="exact"/>
        <w:rPr>
          <w:sz w:val="20"/>
          <w:szCs w:val="20"/>
          <w:color w:val="auto"/>
        </w:rPr>
      </w:pPr>
    </w:p>
    <w:p>
      <w:pPr>
        <w:ind w:right="360" w:firstLine="255"/>
        <w:spacing w:after="0" w:line="259" w:lineRule="auto"/>
        <w:rPr>
          <w:sz w:val="20"/>
          <w:szCs w:val="20"/>
          <w:color w:val="auto"/>
        </w:rPr>
      </w:pPr>
      <w:r>
        <w:rPr>
          <w:rFonts w:ascii="Arial" w:cs="Arial" w:eastAsia="Arial" w:hAnsi="Arial"/>
          <w:sz w:val="18"/>
          <w:szCs w:val="18"/>
          <w:color w:val="auto"/>
        </w:rPr>
        <w:t>The average daily closing price of the Company’s common stock for the three and nine months ended September 30, 2021 was greater than the estimated adjusted conversion price for the 2022 Convertible Notes outstanding as of September 30, 2021. The average daily closing price of the Company’s common stock for the three and nine months ended September 30, 2020 was less than the estimated adjusted conversion price for the 2022 Convertible Notes outstanding as of September 30, 2020.</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140" w:firstLine="255"/>
        <w:spacing w:after="0" w:line="275"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2" w:name="page43"/>
    <w:bookmarkEnd w:id="42"/>
    <w:p>
      <w:pPr>
        <w:ind w:right="360" w:firstLine="255"/>
        <w:spacing w:after="0" w:line="279" w:lineRule="auto"/>
        <w:rPr>
          <w:sz w:val="20"/>
          <w:szCs w:val="20"/>
          <w:color w:val="auto"/>
        </w:rPr>
      </w:pPr>
      <w:r>
        <w:rPr>
          <w:rFonts w:ascii="Arial" w:cs="Arial" w:eastAsia="Arial" w:hAnsi="Arial"/>
          <w:sz w:val="17"/>
          <w:szCs w:val="17"/>
          <w:color w:val="auto"/>
        </w:rPr>
        <w:t>In connection with the 2023 Notes offering, the Company entered into an interest rate swap to align the interest rates of its liabilities with the Company’s investment portfolio, which consists of predominately floating rate loans. The notional amount of the interest rate swap is $150.0 million, which matures on January 22, 2023, matching the maturity date of the 2023 Notes. As a result of the swap, the Company’s effective interest rate on the 2023 Notes is three-month LIBOR plus 1.99%. See Note 5 for further information about the Company’s interest rate swaps.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6"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8"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which matures on November 1, 2024, matching the maturity date of the 2024 Notes.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September 30, 2021 and December 31, 2020 the effective hedge interest rate swaps had a fair value of $9.6 million and $16.8 million, respectively, which is offset within interest expense by an equal, but opposite, fair value change for the hedged risk on the 2024 Notes.</w:t>
      </w:r>
    </w:p>
    <w:p>
      <w:pPr>
        <w:spacing w:after="0" w:line="178"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 plus 2.28% (on a weighted average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176" w:lineRule="exact"/>
        <w:rPr>
          <w:sz w:val="20"/>
          <w:szCs w:val="20"/>
          <w:color w:val="auto"/>
        </w:rPr>
      </w:pPr>
    </w:p>
    <w:p>
      <w:pPr>
        <w:ind w:right="40" w:firstLine="255"/>
        <w:spacing w:after="0" w:line="272" w:lineRule="auto"/>
        <w:rPr>
          <w:sz w:val="20"/>
          <w:szCs w:val="20"/>
          <w:color w:val="auto"/>
        </w:rPr>
      </w:pPr>
      <w:r>
        <w:rPr>
          <w:rFonts w:ascii="Arial" w:cs="Arial" w:eastAsia="Arial" w:hAnsi="Arial"/>
          <w:sz w:val="17"/>
          <w:szCs w:val="17"/>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As of September 30, 2021 the effective hedge interest rate swaps had a fair value of $(7.0) million, which is offset within interest expense by an equal, but opposite, fair value change for the hedged risk on the 2026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left="260"/>
        <w:spacing w:after="0"/>
        <w:rPr>
          <w:sz w:val="20"/>
          <w:szCs w:val="20"/>
          <w:color w:val="auto"/>
        </w:rPr>
      </w:pPr>
      <w:r>
        <w:rPr>
          <w:rFonts w:ascii="Arial" w:cs="Arial" w:eastAsia="Arial" w:hAnsi="Arial"/>
          <w:sz w:val="16"/>
          <w:szCs w:val="16"/>
          <w:color w:val="auto"/>
        </w:rPr>
        <w:t>For the three and nine months ended September 30, 2021 and 2020, the components of interest expense related to the 2023 Notes, 2024 Notes and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were as follows: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600" w:type="dxa"/>
            <w:vAlign w:val="bottom"/>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1"/>
                <w:szCs w:val="11"/>
                <w:color w:val="auto"/>
              </w:rPr>
            </w:pPr>
          </w:p>
        </w:tc>
        <w:tc>
          <w:tcPr>
            <w:tcW w:w="112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1"/>
                <w:szCs w:val="11"/>
                <w:color w:val="auto"/>
              </w:rPr>
            </w:pPr>
          </w:p>
        </w:tc>
      </w:tr>
      <w:tr>
        <w:trPr>
          <w:trHeight w:val="171"/>
        </w:trPr>
        <w:tc>
          <w:tcPr>
            <w:tcW w:w="4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14,975</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FF0FC"/>
          </w:tcPr>
          <w:p>
            <w:pPr>
              <w:spacing w:after="0"/>
              <w:rPr>
                <w:sz w:val="19"/>
                <w:szCs w:val="19"/>
                <w:color w:val="auto"/>
              </w:rPr>
            </w:pPr>
          </w:p>
        </w:tc>
      </w:tr>
      <w:tr>
        <w:trPr>
          <w:trHeight w:val="223"/>
        </w:trPr>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16,450</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Total interest expense in the table above does not include the effect of the interest rate swaps related to the 2023 Notes, 2024 Notes and 2026 Notes. During the three and nine months ended September 30, 2021 the Company received $7.0 million and $20.2 million, respectively, and paid $4.7 million and $13.2 million, respectively, related to the settlements of its interest rate swaps, excluding upfront fees, related to the 2023, 2024 and 2026 Notes. During the three and nine months ended September 30, 2020 the Company received $5.1 million and $15.1 million, respectively, and paid $3.2 million and $12.6 million, respectively, related to the settlements of its interest rate swaps, excluding upfront fees, related to the 2023 and 2024 Notes. These net amounts are reflected in interest expense in the Company’s consolidated statements of operations. See Note 5 for further information about the Company’s interest rate swaps.</w:t>
      </w:r>
    </w:p>
    <w:p>
      <w:pPr>
        <w:spacing w:after="0" w:line="195"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As of September 30, 2021 and December 31, 2020 the components of the carrying value of the 2023 Notes, 2024 Notes and 2026 Notes and the stated interest rate were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September 30, 2021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r>
      <w:tr>
        <w:trPr>
          <w:trHeight w:val="237"/>
        </w:trPr>
        <w:tc>
          <w:tcPr>
            <w:tcW w:w="3680" w:type="dxa"/>
            <w:vAlign w:val="bottom"/>
          </w:tcPr>
          <w:p>
            <w:pPr>
              <w:spacing w:after="0"/>
              <w:rPr>
                <w:sz w:val="20"/>
                <w:szCs w:val="20"/>
                <w:color w:val="auto"/>
              </w:rPr>
            </w:pPr>
          </w:p>
        </w:tc>
        <w:tc>
          <w:tcPr>
            <w:tcW w:w="10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4"/>
              </w:rPr>
              <w:t>2023 Notes</w:t>
            </w:r>
          </w:p>
        </w:tc>
        <w:tc>
          <w:tcPr>
            <w:tcW w:w="8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2024 Notes</w:t>
            </w:r>
          </w:p>
        </w:tc>
        <w:tc>
          <w:tcPr>
            <w:tcW w:w="6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2026 Notes</w:t>
            </w:r>
          </w:p>
        </w:tc>
        <w:tc>
          <w:tcPr>
            <w:tcW w:w="8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2023 Notes</w:t>
            </w:r>
          </w:p>
        </w:tc>
        <w:tc>
          <w:tcPr>
            <w:tcW w:w="8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2024 Notes</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300,000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347,500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40" w:type="dxa"/>
            <w:vAlign w:val="bottom"/>
          </w:tcPr>
          <w:p>
            <w:pPr>
              <w:spacing w:after="0"/>
              <w:rPr>
                <w:sz w:val="19"/>
                <w:szCs w:val="19"/>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(1,182)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(1,445)</w:t>
            </w: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(3,142)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Fair value of an effective hedge</w:t>
            </w:r>
          </w:p>
        </w:tc>
        <w:tc>
          <w:tcPr>
            <w:tcW w:w="140" w:type="dxa"/>
            <w:vAlign w:val="bottom"/>
          </w:tcPr>
          <w:p>
            <w:pPr>
              <w:spacing w:after="0"/>
              <w:rPr>
                <w:sz w:val="19"/>
                <w:szCs w:val="19"/>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9,551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16,769</w:t>
            </w:r>
          </w:p>
        </w:tc>
        <w:tc>
          <w:tcPr>
            <w:tcW w:w="180" w:type="dxa"/>
            <w:vAlign w:val="bottom"/>
          </w:tcPr>
          <w:p>
            <w:pPr>
              <w:spacing w:after="0"/>
              <w:rPr>
                <w:sz w:val="19"/>
                <w:szCs w:val="19"/>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149,142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352,727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287,400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148,653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358,921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Stated interest rate</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r>
    </w:tbl>
    <w:p>
      <w:pPr>
        <w:spacing w:after="0" w:line="229"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As of September 30, 2021 the Company’s swap-adjusted interest rate on the 2023 Notes, 2024 Notes and 2026 Notes is three month LIBOR plus 1.99%, 2.28% (on a weighted average basis), and 1.91%, respectively. As of December 31, 2020 the Company’s swap-adjusted interest rate on the 2023 Notes and 2024 Notes is three month LIBOR plus 1.99% and 2.28% (on a weighted average basis), respectively.</w:t>
      </w:r>
    </w:p>
    <w:p>
      <w:pPr>
        <w:spacing w:after="0" w:line="187"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As of September 30, 2021 and December 31, 2020, the Company was in compliance with the terms of the indentures governing the 2023 Notes, 2024 Notes and 2026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left="252"/>
        <w:spacing w:after="0"/>
        <w:rPr>
          <w:sz w:val="20"/>
          <w:szCs w:val="20"/>
          <w:color w:val="auto"/>
        </w:rPr>
      </w:pPr>
      <w:r>
        <w:rPr>
          <w:rFonts w:ascii="Arial" w:cs="Arial" w:eastAsia="Arial" w:hAnsi="Arial"/>
          <w:sz w:val="16"/>
          <w:szCs w:val="16"/>
          <w:color w:val="auto"/>
        </w:rPr>
        <w:t>As of September 30, 2021 and December 31, 2020, the Company had the following commitments to fund investments in current portfolio companies:</w:t>
      </w:r>
    </w:p>
    <w:p>
      <w:pPr>
        <w:spacing w:after="0" w:line="321"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American Achievement, Corp.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Axonify, Inc.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Biohaven Pharmaceuticals,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Destiny Solutions Parent Holding Company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11,733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ExtraHop Networks,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Factor Systems, Inc. - Delayed Draw</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13,333</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ForeScout Technologies,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6,295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Ibis Intermediate Co.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InvMetrics Holdings,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Lexipol, LLC - Delayed Draw</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Lucidworks,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Netwrix Corp.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16,492</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Netwrix Corp.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2,751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Nintex Global, Ltd.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PageUp People, Ltd.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3,858</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Passport Labs,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Passport Labs,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PrimeRevenue, Inc.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ReliaQuest Holdings, LLC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24,081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29,289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ReliaQuest Holdings, LLC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ResMan, LLC - Delayed Draw</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7,414</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ResMan, LLC - Revolver</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Sprinklr - Delayed Draw Convertible Note</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Valant Medical Solutions,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WideOrbit,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Workwell Acquisition Co. - Delayed Draw</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(1)(2)</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191,325</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192,810</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92" w:right="140" w:hanging="492"/>
        <w:spacing w:after="0" w:line="263" w:lineRule="auto"/>
        <w:tabs>
          <w:tab w:leader="none" w:pos="4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492" w:right="380" w:hanging="492"/>
        <w:spacing w:after="0" w:line="277" w:lineRule="auto"/>
        <w:tabs>
          <w:tab w:leader="none" w:pos="4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17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32"/>
          </w:cols>
          <w:pgMar w:left="328" w:top="557" w:right="5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As of September 30, 2021 and December 31, 2020, the Company did not have any unfunded commitments to fund investments to new borrowers that were not current portfolio companies as of such date.</w:t>
      </w:r>
    </w:p>
    <w:p>
      <w:pPr>
        <w:spacing w:after="0" w:line="170"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2021 and December 31, 2020, management is not aware of any material pending or threatened litigation that would require accounting recognition or financial statement disclosure.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20" w:firstLine="255"/>
        <w:spacing w:after="0" w:line="286" w:lineRule="auto"/>
        <w:rPr>
          <w:sz w:val="20"/>
          <w:szCs w:val="20"/>
          <w:color w:val="auto"/>
        </w:rPr>
      </w:pPr>
      <w:r>
        <w:rPr>
          <w:rFonts w:ascii="Arial" w:cs="Arial" w:eastAsia="Arial" w:hAnsi="Arial"/>
          <w:sz w:val="17"/>
          <w:szCs w:val="17"/>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1"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nine months ended September 30, 2021 and 2020. All shares issued to stockholders in the tables below are newly issued shares.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ind w:left="156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580"/>
              <w:spacing w:after="0"/>
              <w:rPr>
                <w:sz w:val="20"/>
                <w:szCs w:val="20"/>
                <w:color w:val="auto"/>
              </w:rPr>
            </w:pPr>
            <w:r>
              <w:rPr>
                <w:rFonts w:ascii="Arial" w:cs="Arial" w:eastAsia="Arial" w:hAnsi="Arial"/>
                <w:sz w:val="14"/>
                <w:szCs w:val="14"/>
                <w:b w:val="1"/>
                <w:bCs w:val="1"/>
                <w:color w:val="auto"/>
              </w:rPr>
              <w:t>September 30, 2021</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4, 2020</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2020</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2021</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17, 2021</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26, 2021</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24,196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15, 2021</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February 17, 2021</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March 25, 2021</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April 8, 2021</w:t>
            </w:r>
          </w:p>
        </w:tc>
        <w:tc>
          <w:tcPr>
            <w:tcW w:w="1480" w:type="dxa"/>
            <w:vAlign w:val="bottom"/>
          </w:tcPr>
          <w:p>
            <w:pPr>
              <w:jc w:val="right"/>
              <w:spacing w:after="0"/>
              <w:rPr>
                <w:sz w:val="20"/>
                <w:szCs w:val="20"/>
                <w:color w:val="auto"/>
              </w:rPr>
            </w:pPr>
            <w:r>
              <w:rPr>
                <w:rFonts w:ascii="Arial" w:cs="Arial" w:eastAsia="Arial" w:hAnsi="Arial"/>
                <w:sz w:val="18"/>
                <w:szCs w:val="18"/>
                <w:color w:val="auto"/>
              </w:rPr>
              <w:t>483,361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May 4, 2021</w:t>
            </w:r>
          </w:p>
        </w:tc>
        <w:tc>
          <w:tcPr>
            <w:tcW w:w="12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May 28, 2021</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May 4, 2021</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June 15, 2021</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July 15, 2021</w:t>
            </w:r>
          </w:p>
        </w:tc>
        <w:tc>
          <w:tcPr>
            <w:tcW w:w="1480" w:type="dxa"/>
            <w:vAlign w:val="bottom"/>
          </w:tcPr>
          <w:p>
            <w:pPr>
              <w:jc w:val="right"/>
              <w:spacing w:after="0"/>
              <w:rPr>
                <w:sz w:val="20"/>
                <w:szCs w:val="20"/>
                <w:color w:val="auto"/>
              </w:rPr>
            </w:pPr>
            <w:r>
              <w:rPr>
                <w:rFonts w:ascii="Arial" w:cs="Arial" w:eastAsia="Arial" w:hAnsi="Arial"/>
                <w:sz w:val="18"/>
                <w:szCs w:val="18"/>
                <w:color w:val="auto"/>
              </w:rPr>
              <w:t>187,442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August 3, 2021</w:t>
            </w:r>
          </w:p>
        </w:tc>
        <w:tc>
          <w:tcPr>
            <w:tcW w:w="1220" w:type="dxa"/>
            <w:vAlign w:val="bottom"/>
            <w:gridSpan w:val="3"/>
            <w:shd w:val="clear" w:color="auto" w:fill="CFF0FC"/>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31, 2021</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September 30, 2021</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ind w:left="156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580"/>
              <w:spacing w:after="0"/>
              <w:rPr>
                <w:sz w:val="20"/>
                <w:szCs w:val="20"/>
                <w:color w:val="auto"/>
              </w:rPr>
            </w:pPr>
            <w:r>
              <w:rPr>
                <w:rFonts w:ascii="Arial" w:cs="Arial" w:eastAsia="Arial" w:hAnsi="Arial"/>
                <w:sz w:val="14"/>
                <w:szCs w:val="14"/>
                <w:b w:val="1"/>
                <w:bCs w:val="1"/>
                <w:color w:val="auto"/>
              </w:rPr>
              <w:t>September 30, 2020</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28,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2020</w:t>
            </w:r>
          </w:p>
        </w:tc>
        <w:tc>
          <w:tcPr>
            <w:tcW w:w="1480" w:type="dxa"/>
            <w:vAlign w:val="bottom"/>
          </w:tcPr>
          <w:p>
            <w:pPr>
              <w:jc w:val="right"/>
              <w:spacing w:after="0"/>
              <w:rPr>
                <w:sz w:val="20"/>
                <w:szCs w:val="20"/>
                <w:color w:val="auto"/>
              </w:rPr>
            </w:pPr>
            <w:r>
              <w:rPr>
                <w:rFonts w:ascii="Arial" w:cs="Arial" w:eastAsia="Arial" w:hAnsi="Arial"/>
                <w:sz w:val="18"/>
                <w:szCs w:val="18"/>
                <w:color w:val="auto"/>
              </w:rPr>
              <w:t>57,674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13,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April 15,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April 30, 2020</w:t>
            </w:r>
          </w:p>
        </w:tc>
        <w:tc>
          <w:tcPr>
            <w:tcW w:w="1480" w:type="dxa"/>
            <w:vAlign w:val="bottom"/>
          </w:tcPr>
          <w:p>
            <w:pPr>
              <w:jc w:val="right"/>
              <w:spacing w:after="0"/>
              <w:rPr>
                <w:sz w:val="20"/>
                <w:szCs w:val="20"/>
                <w:color w:val="auto"/>
              </w:rPr>
            </w:pPr>
            <w:r>
              <w:rPr>
                <w:rFonts w:ascii="Arial" w:cs="Arial" w:eastAsia="Arial" w:hAnsi="Arial"/>
                <w:sz w:val="18"/>
                <w:szCs w:val="18"/>
                <w:color w:val="auto"/>
              </w:rPr>
              <w:t>193,723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15,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5, 2020</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June 15, 2020</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July 15,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1,310,513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4880" w:hanging="5532"/>
        <w:spacing w:after="0" w:line="623" w:lineRule="auto"/>
        <w:tabs>
          <w:tab w:leader="none" w:pos="5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See Note 11 for further information on base, supplemental and special dividends.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ind w:right="160" w:firstLine="255"/>
        <w:spacing w:after="0" w:line="257" w:lineRule="auto"/>
        <w:rPr>
          <w:sz w:val="20"/>
          <w:szCs w:val="20"/>
          <w:color w:val="auto"/>
        </w:rPr>
      </w:pPr>
      <w:r>
        <w:rPr>
          <w:rFonts w:ascii="Arial" w:cs="Arial" w:eastAsia="Arial" w:hAnsi="Arial"/>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2, 2021. The amount and timing of stock repurchases under the program may vary depending on market conditions, and no assurance can be given that any particular amount of common stock will be repurchased.</w:t>
      </w:r>
    </w:p>
    <w:p>
      <w:pPr>
        <w:spacing w:after="0" w:line="188" w:lineRule="exact"/>
        <w:rPr>
          <w:sz w:val="20"/>
          <w:szCs w:val="20"/>
          <w:color w:val="auto"/>
        </w:rPr>
      </w:pPr>
    </w:p>
    <w:p>
      <w:pPr>
        <w:ind w:right="60" w:firstLine="255"/>
        <w:spacing w:after="0" w:line="308" w:lineRule="auto"/>
        <w:rPr>
          <w:sz w:val="20"/>
          <w:szCs w:val="20"/>
          <w:color w:val="auto"/>
        </w:rPr>
      </w:pPr>
      <w:r>
        <w:rPr>
          <w:rFonts w:ascii="Arial" w:cs="Arial" w:eastAsia="Arial" w:hAnsi="Arial"/>
          <w:sz w:val="17"/>
          <w:szCs w:val="17"/>
          <w:color w:val="auto"/>
        </w:rPr>
        <w:t>During the nine months ended September 30, 2020, the Company repurchased 206,964 shares at a weighted average price per share of $14.17 inclusive of commissions, for a total cost of $2.9 million. No shares were repurchased during the nine months ended September 30, 2021.</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three and nine months ended September 30, 2021 and 2020:</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5"/>
          </w:tcPr>
          <w:p>
            <w:pPr>
              <w:ind w:left="780"/>
              <w:spacing w:after="0"/>
              <w:rPr>
                <w:sz w:val="20"/>
                <w:szCs w:val="20"/>
                <w:color w:val="auto"/>
              </w:rPr>
            </w:pPr>
            <w:r>
              <w:rPr>
                <w:rFonts w:ascii="Arial" w:cs="Arial" w:eastAsia="Arial" w:hAnsi="Arial"/>
                <w:sz w:val="14"/>
                <w:szCs w:val="14"/>
                <w:b w:val="1"/>
                <w:bCs w:val="1"/>
                <w:color w:val="auto"/>
              </w:rPr>
              <w:t>Nine Months Ended</w:t>
            </w:r>
          </w:p>
        </w:tc>
      </w:tr>
      <w:tr>
        <w:trPr>
          <w:trHeight w:val="155"/>
        </w:trPr>
        <w:tc>
          <w:tcPr>
            <w:tcW w:w="3800" w:type="dxa"/>
            <w:vAlign w:val="bottom"/>
          </w:tcPr>
          <w:p>
            <w:pPr>
              <w:spacing w:after="0"/>
              <w:rPr>
                <w:sz w:val="13"/>
                <w:szCs w:val="13"/>
                <w:color w:val="auto"/>
              </w:rPr>
            </w:pPr>
          </w:p>
        </w:tc>
        <w:tc>
          <w:tcPr>
            <w:tcW w:w="160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September 30, 2021</w:t>
            </w: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0"/>
              </w:rPr>
              <w:t>September 30, 2020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2021</w:t>
            </w: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0"/>
              </w:rPr>
              <w:t>September 30, 2020</w:t>
            </w:r>
          </w:p>
        </w:tc>
        <w:tc>
          <w:tcPr>
            <w:tcW w:w="100" w:type="dxa"/>
            <w:vAlign w:val="bottom"/>
          </w:tcPr>
          <w:p>
            <w:pPr>
              <w:spacing w:after="0"/>
              <w:rPr>
                <w:sz w:val="13"/>
                <w:szCs w:val="13"/>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share—basic</w:t>
            </w: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Numerator for basic earnings per share</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54,956</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81,857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169,962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124,628</w:t>
            </w:r>
          </w:p>
        </w:tc>
        <w:tc>
          <w:tcPr>
            <w:tcW w:w="100" w:type="dxa"/>
            <w:vAlign w:val="bottom"/>
          </w:tcPr>
          <w:p>
            <w:pPr>
              <w:spacing w:after="0"/>
              <w:rPr>
                <w:sz w:val="19"/>
                <w:szCs w:val="19"/>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72,808,730</w:t>
            </w:r>
          </w:p>
        </w:tc>
        <w:tc>
          <w:tcPr>
            <w:tcW w:w="2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67,584,660</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71,696,874</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67,068,166</w:t>
            </w:r>
          </w:p>
        </w:tc>
        <w:tc>
          <w:tcPr>
            <w:tcW w:w="100" w:type="dxa"/>
            <w:vAlign w:val="bottom"/>
            <w:shd w:val="clear" w:color="auto" w:fill="CFF0FC"/>
          </w:tcPr>
          <w:p>
            <w:pPr>
              <w:spacing w:after="0"/>
              <w:rPr>
                <w:sz w:val="20"/>
                <w:szCs w:val="20"/>
                <w:color w:val="auto"/>
              </w:rPr>
            </w:pPr>
          </w:p>
        </w:tc>
      </w:tr>
      <w:tr>
        <w:trPr>
          <w:trHeight w:val="223"/>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per common share—basic</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tcPr>
          <w:p>
            <w:pPr>
              <w:spacing w:after="0"/>
              <w:rPr>
                <w:sz w:val="19"/>
                <w:szCs w:val="19"/>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Numerator for increase in net assets per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00" w:type="dxa"/>
            <w:vAlign w:val="bottom"/>
          </w:tcPr>
          <w:p>
            <w:pPr>
              <w:ind w:left="80"/>
              <w:spacing w:after="0"/>
              <w:rPr>
                <w:sz w:val="20"/>
                <w:szCs w:val="20"/>
                <w:color w:val="auto"/>
              </w:rPr>
            </w:pPr>
            <w:r>
              <w:rPr>
                <w:rFonts w:ascii="Arial" w:cs="Arial" w:eastAsia="Arial" w:hAnsi="Arial"/>
                <w:sz w:val="18"/>
                <w:szCs w:val="18"/>
                <w:color w:val="auto"/>
              </w:rPr>
              <w:t>share</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54,956</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81,857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169,962</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124,628</w:t>
            </w:r>
          </w:p>
        </w:tc>
        <w:tc>
          <w:tcPr>
            <w:tcW w:w="100" w:type="dxa"/>
            <w:vAlign w:val="bottom"/>
          </w:tcPr>
          <w:p>
            <w:pPr>
              <w:spacing w:after="0"/>
              <w:rPr>
                <w:sz w:val="20"/>
                <w:szCs w:val="20"/>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Adjustment for interest expense and</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deferred financing costs on Convertible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Notes, incentive fee and excise tax, net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Numerator for diluted earnings per share</w:t>
            </w: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56,384</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81,857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174,256</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124,628</w:t>
            </w:r>
          </w:p>
        </w:tc>
        <w:tc>
          <w:tcPr>
            <w:tcW w:w="100" w:type="dxa"/>
            <w:vAlign w:val="bottom"/>
          </w:tcPr>
          <w:p>
            <w:pPr>
              <w:spacing w:after="0"/>
              <w:rPr>
                <w:sz w:val="19"/>
                <w:szCs w:val="19"/>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weighted average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72,808,730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67,584,660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71,696,874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67,068,166</w:t>
            </w:r>
          </w:p>
        </w:tc>
        <w:tc>
          <w:tcPr>
            <w:tcW w:w="100" w:type="dxa"/>
            <w:vAlign w:val="bottom"/>
            <w:shd w:val="clear" w:color="auto" w:fill="CFF0FC"/>
          </w:tcPr>
          <w:p>
            <w:pPr>
              <w:spacing w:after="0"/>
              <w:rPr>
                <w:sz w:val="20"/>
                <w:szCs w:val="20"/>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Adjustment for dilutive effect of Convertible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Notes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7,706,681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7,706,681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 for diluted weighted average</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shares</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80,515,411</w:t>
            </w:r>
          </w:p>
        </w:tc>
        <w:tc>
          <w:tcPr>
            <w:tcW w:w="2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67,584,660</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79,403,555</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67,068,166</w:t>
            </w:r>
          </w:p>
        </w:tc>
        <w:tc>
          <w:tcPr>
            <w:tcW w:w="100" w:type="dxa"/>
            <w:vAlign w:val="bottom"/>
            <w:shd w:val="clear" w:color="auto" w:fill="CFF0FC"/>
          </w:tcPr>
          <w:p>
            <w:pPr>
              <w:spacing w:after="0"/>
              <w:rPr>
                <w:sz w:val="20"/>
                <w:szCs w:val="20"/>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Earnings per common share—diluted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In certain circumstances, the 2022 Convertible Notes will be convertible into cash, shares of the Company’s common stock or a combination of cash and shares of the Company’s common stock, at the Company’s election which can be dilutive to common stockholders. Diluted earnings (loss) per share is the amount of earnings (loss)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spacing w:after="0" w:line="195" w:lineRule="exact"/>
        <w:rPr>
          <w:sz w:val="20"/>
          <w:szCs w:val="20"/>
          <w:color w:val="auto"/>
        </w:rPr>
      </w:pPr>
    </w:p>
    <w:p>
      <w:pPr>
        <w:ind w:right="280" w:firstLine="255"/>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daily closing price of the Company’s common stock for the three and nine months ended September 30, 2021 was greater than the estimated adjusted conversion price for the 2022 Convertible Notes outstanding as of September 30, 2021. Therefore, for this period presented in the consolidated financial statements the Company applied the if-converted method for purposes of calculating diluted earnings per common share.</w:t>
      </w:r>
    </w:p>
    <w:p>
      <w:pPr>
        <w:spacing w:after="0" w:line="187"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daily closing price of the Company’s common stock for the three and nine months ended September 30, 2020 was less than the estimated adjusted conversion price for the 2022 Convertible Notes outstanding as of September 30, 2020. Therefore, for this period presented in the consolidated financial statements, the 2022 Convertible Notes have no impact on the computation of diluted earnings per common share.</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640" w:firstLine="255"/>
        <w:spacing w:after="0" w:line="342"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nine months ended September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3"/>
          </w:tcPr>
          <w:p>
            <w:pPr>
              <w:ind w:left="1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84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26, 2021</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17, 2021</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2021</w:t>
            </w:r>
          </w:p>
        </w:tc>
        <w:tc>
          <w:tcPr>
            <w:tcW w:w="1840" w:type="dxa"/>
            <w:vAlign w:val="bottom"/>
          </w:tcPr>
          <w:p>
            <w:pPr>
              <w:jc w:val="right"/>
              <w:spacing w:after="0"/>
              <w:rPr>
                <w:sz w:val="20"/>
                <w:szCs w:val="20"/>
                <w:color w:val="auto"/>
              </w:rPr>
            </w:pPr>
            <w:r>
              <w:rPr>
                <w:rFonts w:ascii="Arial" w:cs="Arial" w:eastAsia="Arial" w:hAnsi="Arial"/>
                <w:sz w:val="18"/>
                <w:szCs w:val="18"/>
                <w:color w:val="auto"/>
              </w:rPr>
              <w:t>April 15, 2021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17, 2021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25, 2021</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8, 2021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May 4, 2021</w:t>
            </w:r>
          </w:p>
        </w:tc>
        <w:tc>
          <w:tcPr>
            <w:tcW w:w="142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Supplemental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May 28, 2021</w:t>
            </w:r>
          </w:p>
        </w:tc>
        <w:tc>
          <w:tcPr>
            <w:tcW w:w="1840" w:type="dxa"/>
            <w:vAlign w:val="bottom"/>
          </w:tcPr>
          <w:p>
            <w:pPr>
              <w:jc w:val="right"/>
              <w:spacing w:after="0"/>
              <w:rPr>
                <w:sz w:val="20"/>
                <w:szCs w:val="20"/>
                <w:color w:val="auto"/>
              </w:rPr>
            </w:pPr>
            <w:r>
              <w:rPr>
                <w:rFonts w:ascii="Arial" w:cs="Arial" w:eastAsia="Arial" w:hAnsi="Arial"/>
                <w:sz w:val="18"/>
                <w:szCs w:val="18"/>
                <w:color w:val="auto"/>
              </w:rPr>
              <w:t>June 30, 2021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4, 2021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2021</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August 3, 2021</w:t>
            </w:r>
          </w:p>
        </w:tc>
        <w:tc>
          <w:tcPr>
            <w:tcW w:w="142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Supplemental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August 31, 2021</w:t>
            </w:r>
          </w:p>
        </w:tc>
        <w:tc>
          <w:tcPr>
            <w:tcW w:w="1840" w:type="dxa"/>
            <w:vAlign w:val="bottom"/>
          </w:tcPr>
          <w:p>
            <w:pPr>
              <w:jc w:val="right"/>
              <w:spacing w:after="0"/>
              <w:rPr>
                <w:sz w:val="20"/>
                <w:szCs w:val="20"/>
                <w:color w:val="auto"/>
              </w:rPr>
            </w:pPr>
            <w:r>
              <w:rPr>
                <w:rFonts w:ascii="Arial" w:cs="Arial" w:eastAsia="Arial" w:hAnsi="Arial"/>
                <w:sz w:val="18"/>
                <w:szCs w:val="18"/>
                <w:color w:val="auto"/>
              </w:rPr>
              <w:t>September 30, 2021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August 3, 2021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September 15, 2021</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15, 2021</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84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2020</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2020</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13, 2020</w:t>
            </w:r>
          </w:p>
        </w:tc>
        <w:tc>
          <w:tcPr>
            <w:tcW w:w="1840" w:type="dxa"/>
            <w:vAlign w:val="bottom"/>
          </w:tcPr>
          <w:p>
            <w:pPr>
              <w:jc w:val="right"/>
              <w:spacing w:after="0"/>
              <w:rPr>
                <w:sz w:val="20"/>
                <w:szCs w:val="20"/>
                <w:color w:val="auto"/>
              </w:rPr>
            </w:pPr>
            <w:r>
              <w:rPr>
                <w:rFonts w:ascii="Arial" w:cs="Arial" w:eastAsia="Arial" w:hAnsi="Arial"/>
                <w:sz w:val="18"/>
                <w:szCs w:val="18"/>
                <w:color w:val="auto"/>
              </w:rPr>
              <w:t>April 15,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15, 2020</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Special</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June 15, 2020</w:t>
            </w:r>
          </w:p>
        </w:tc>
        <w:tc>
          <w:tcPr>
            <w:tcW w:w="184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5, 2020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2020</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August 4, 2020</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2"/>
              </w:rPr>
              <w:t>Base</w:t>
            </w:r>
          </w:p>
        </w:tc>
        <w:tc>
          <w:tcPr>
            <w:tcW w:w="18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September 15, 2020</w:t>
            </w:r>
          </w:p>
        </w:tc>
        <w:tc>
          <w:tcPr>
            <w:tcW w:w="1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October 15, 2020</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The dividends declared during the three and nine months ended September 30, 2021 and 2020 were derived from net investment income, determined on a tax basis.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240" w:firstLine="255"/>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nine months ended September 30, 2021 and 2020.</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Pr>
          <w:p>
            <w:pPr>
              <w:spacing w:after="0"/>
              <w:rPr>
                <w:sz w:val="19"/>
                <w:szCs w:val="19"/>
                <w:color w:val="auto"/>
              </w:rPr>
            </w:pP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16.83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w:t>
            </w:r>
            <w:r>
              <w:rPr>
                <w:rFonts w:ascii="Arial" w:cs="Arial" w:eastAsia="Arial" w:hAnsi="Arial"/>
                <w:sz w:val="15"/>
                <w:szCs w:val="15"/>
                <w:color w:val="auto"/>
              </w:rPr>
              <w:t>(1)</w:t>
            </w:r>
          </w:p>
        </w:tc>
        <w:tc>
          <w:tcPr>
            <w:tcW w:w="9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5"/>
                <w:szCs w:val="15"/>
                <w:color w:val="auto"/>
              </w:rPr>
              <w:t>(2)</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in net assets</w:t>
            </w:r>
          </w:p>
        </w:tc>
        <w:tc>
          <w:tcPr>
            <w:tcW w:w="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16.87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72,848,977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67,628,140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average net assets</w:t>
            </w: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Portfolio turnover</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1,251,845</w:t>
            </w: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1,141,220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00" w:right="36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jc w:val="both"/>
        <w:ind w:left="500" w:right="14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pursuant to the Leverage Waiver. Excluding the effects of waivers, the ratio of net expenses to average net assets would have been 11.53% for the nine months ended September 30, 2021.</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jc w:val="both"/>
        <w:ind w:right="260" w:firstLine="255"/>
        <w:spacing w:after="0" w:line="311" w:lineRule="auto"/>
        <w:rPr>
          <w:sz w:val="20"/>
          <w:szCs w:val="20"/>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nine months ended September 30, 2021.</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p>
    <w:p>
      <w:pPr>
        <w:spacing w:after="0" w:line="188"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00" w:right="360" w:hanging="249"/>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September 30, 2021, we have originated approximately $17.5 billion aggregate principal amount of investments and retained approximately $7.7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By “middle-market companies,” we mean companies that have annual EBITDA, which we believe is a useful proxy for cash flow, of $10 million to</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$250 million, although we may invest in larger or smaller companies on occasion. As of September 30, 2021, our core portfolio companies, which exclude certain investments that fall outside of our typical borrower profile and represent 88.1% of our total investments based on fair value, had weighted average annual revenue of $108.6 million and weighted average annual EBITDA of $36.9 million.</w:t>
      </w:r>
    </w:p>
    <w:p>
      <w:pPr>
        <w:spacing w:after="0" w:line="190"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4" w:lineRule="exact"/>
        <w:rPr>
          <w:sz w:val="20"/>
          <w:szCs w:val="20"/>
          <w:color w:val="auto"/>
        </w:rPr>
      </w:pPr>
    </w:p>
    <w:p>
      <w:pPr>
        <w:ind w:right="40" w:firstLine="255"/>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September 30, 2021, the largest single investment based on fair value represented 3.6% of our total investment portfolio.</w:t>
      </w:r>
    </w:p>
    <w:p>
      <w:pPr>
        <w:spacing w:after="0" w:line="12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As of September 30, 2021, the average investment size in each of our portfolio companies was approximately $35.9 million based on fair value.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2021, the largest industry represented 21.3% of our total investment portfolio based on fair value.</w:t>
      </w:r>
    </w:p>
    <w:p>
      <w:pPr>
        <w:spacing w:after="0" w:line="225" w:lineRule="exact"/>
        <w:rPr>
          <w:sz w:val="20"/>
          <w:szCs w:val="20"/>
          <w:color w:val="auto"/>
        </w:rPr>
      </w:pPr>
    </w:p>
    <w:p>
      <w:pPr>
        <w:ind w:right="140"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September 30, 2021,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92.5% of our portfolio was invested in secured debt, all of which are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2021, the weighted average term on new investment commitments in new portfolio companies was 6.0 years.</w:t>
      </w:r>
    </w:p>
    <w:p>
      <w:pPr>
        <w:spacing w:after="0" w:line="177"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September 30, 2021, we had call protection on 83.5% of our debt investments based on fair value, with weighted average call prices of 107.2% for the first year, 104.4% for the second year and 101.4% for the third year, in each case from the date of the initial investment. As of September 30, 2021, 98.9% of our debt investments based on fair value bore interest at floating rates (when including investment specific hedges), with 99.4% of these subject to interest rate floors, which we believe helps act as a portfolio-wide hedge against inflation.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8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2"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Sixth Street is a global investment business with over $50 billion of assets under management as of September 30, 2021.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370 investment and operating professionals. As of September 30, 2021, thirty-three (33) of these personnel are dedicated to our business, including twenty-five (25) investment professionals.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08"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2021, 98.9% of these investments based on fair value bore interest at a floating rate (when including investment specific hedges), with 99.4% of these subject to interest rate floors. Interest on debt investments is generally payable quarterly or semiannually. Some of our debt investments provide for deferred interest payments or PIK interest. For the three and nine months ended September 30, 2021, 3.5% and 3.3%, respectively, of our total investment income was comprised of PIK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60" w:firstLine="255"/>
        <w:spacing w:after="0" w:line="290" w:lineRule="auto"/>
        <w:rPr>
          <w:sz w:val="20"/>
          <w:szCs w:val="20"/>
          <w:color w:val="auto"/>
        </w:rPr>
      </w:pPr>
      <w:r>
        <w:rPr>
          <w:rFonts w:ascii="Arial" w:cs="Arial" w:eastAsia="Arial" w:hAnsi="Arial"/>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2024 Notes and 2026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5"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00" w:right="320" w:hanging="249"/>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00" w:right="80" w:hanging="249"/>
        <w:spacing w:after="0" w:line="25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500" w:hanging="249"/>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00" w:right="80" w:hanging="249"/>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2"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Small Business Credit Availability Act (“SBCAA”). As a result and subject to certain additional disclosure requirements, as of October 9, 2018, our minimum asset coverage ratio was reduced from 200% to 150%. In other words, pursuant to Section 61(a) of the 1940 Act, as amended by the SBCAA, we are permitted to increase our maximum debt-to-equity ratio from an effective level of one-to-one to two-to-one.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740" w:firstLine="255"/>
        <w:spacing w:after="0" w:line="342" w:lineRule="auto"/>
        <w:rPr>
          <w:sz w:val="20"/>
          <w:szCs w:val="20"/>
          <w:color w:val="auto"/>
        </w:rPr>
      </w:pPr>
      <w:r>
        <w:rPr>
          <w:rFonts w:ascii="Arial" w:cs="Arial" w:eastAsia="Arial" w:hAnsi="Arial"/>
          <w:sz w:val="16"/>
          <w:szCs w:val="16"/>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2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ind w:right="200" w:firstLine="255"/>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54" w:name="page55"/>
    <w:bookmarkEnd w:id="54"/>
    <w:p>
      <w:pPr>
        <w:ind w:right="20"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As of September 30, 2021, our portfolio based on fair value consisted of 92.5% first-lien debt investments, 0.7% mezzanine debt investments, and 6.8% equity and other investments. As of December 31, 2020, our portfolio based on fair value consisted of 95.6% first-lien debt investments, 0.2% second-lien debt investments, 0.5% mezzanine debt investments, and 3.7% equity and other investments.</w:t>
      </w:r>
    </w:p>
    <w:p>
      <w:pPr>
        <w:spacing w:after="0" w:line="184"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As of September 30, 2021 and December 31, 2020, our weighted average total yield of debt and income-producing securities at fair value (which includes interest income and amortization of fees and discounts) was 9.9% and 10.0%, respectively, and our weighted average total yield of debt and income-producing securities at amortized cost (which includes interest income and amortization of fees and discounts) was 10.2% and 10.2%, respectively.</w:t>
      </w:r>
    </w:p>
    <w:p>
      <w:pPr>
        <w:spacing w:after="0" w:line="149"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As of September 30, 2021 and December 31, 2020, we had investments in 67 and 70 portfolio companies, respectively, with an aggregate fair value of $2,406.5 million and $2,298.9 million, respectively.</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For the three months ended September 30, 2021, the principal amount of new investments funded was $65.4 million in one new portfolio company and four existing portfolio companies. For this period, we had $283.7 million aggregate principal amount in exits and repayments.</w:t>
      </w:r>
    </w:p>
    <w:p>
      <w:pPr>
        <w:spacing w:after="0" w:line="170" w:lineRule="exact"/>
        <w:rPr>
          <w:sz w:val="20"/>
          <w:szCs w:val="20"/>
          <w:color w:val="auto"/>
        </w:rPr>
      </w:pPr>
    </w:p>
    <w:p>
      <w:pPr>
        <w:ind w:right="780" w:firstLine="255"/>
        <w:spacing w:after="0" w:line="342" w:lineRule="auto"/>
        <w:rPr>
          <w:sz w:val="20"/>
          <w:szCs w:val="20"/>
          <w:color w:val="auto"/>
        </w:rPr>
      </w:pPr>
      <w:r>
        <w:rPr>
          <w:rFonts w:ascii="Arial" w:cs="Arial" w:eastAsia="Arial" w:hAnsi="Arial"/>
          <w:sz w:val="16"/>
          <w:szCs w:val="16"/>
          <w:color w:val="auto"/>
        </w:rPr>
        <w:t>For the three months ended September 30, 2020, the principal amount of new investments funded was $332.3 million in twelve new portfolio companies and four existing portfolio companies. For this period, we had $253.1 million aggregate principal amount in exits and repayments.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500" w:firstLine="255"/>
        <w:spacing w:after="0" w:line="277" w:lineRule="auto"/>
        <w:rPr>
          <w:sz w:val="20"/>
          <w:szCs w:val="20"/>
          <w:color w:val="auto"/>
        </w:rPr>
      </w:pPr>
      <w:r>
        <w:rPr>
          <w:rFonts w:ascii="Arial" w:cs="Arial" w:eastAsia="Arial" w:hAnsi="Arial"/>
          <w:sz w:val="18"/>
          <w:szCs w:val="18"/>
          <w:color w:val="auto"/>
        </w:rPr>
        <w:t>Our investment activity for the three months ended September 30, 2021 and 2020 is presented below (information presented herein is at par value unless otherwise indicated).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5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1"/>
                <w:szCs w:val="11"/>
                <w:color w:val="auto"/>
              </w:rPr>
            </w:pPr>
          </w:p>
        </w:tc>
      </w:tr>
      <w:tr>
        <w:trPr>
          <w:trHeight w:val="171"/>
        </w:trPr>
        <w:tc>
          <w:tcPr>
            <w:tcW w:w="51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572.4</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1,385.3</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435.5</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332.3</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277.6</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247.6</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80" w:type="dxa"/>
            <w:vAlign w:val="bottom"/>
            <w:tcBorders>
              <w:bottom w:val="single" w:sz="8" w:color="CFF0FC"/>
            </w:tcBorders>
          </w:tcPr>
          <w:p>
            <w:pPr>
              <w:spacing w:after="0"/>
              <w:rPr>
                <w:sz w:val="19"/>
                <w:szCs w:val="19"/>
                <w:color w:val="auto"/>
              </w:rPr>
            </w:pPr>
          </w:p>
        </w:tc>
      </w:tr>
      <w:tr>
        <w:trPr>
          <w:trHeight w:val="205"/>
        </w:trPr>
        <w:tc>
          <w:tcPr>
            <w:tcW w:w="51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0"/>
                <w:szCs w:val="20"/>
                <w:color w:val="auto"/>
              </w:rPr>
            </w:pP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r>
      <w:tr>
        <w:trPr>
          <w:trHeight w:val="211"/>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20"/>
                <w:szCs w:val="20"/>
                <w:color w:val="auto"/>
              </w:rPr>
            </w:pP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1"/>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11"/>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2021 and December 31, 2020,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56" w:name="page57"/>
    <w:bookmarkEnd w:id="56"/>
    <w:p>
      <w:pPr>
        <w:ind w:left="260"/>
        <w:spacing w:after="0"/>
        <w:rPr>
          <w:sz w:val="20"/>
          <w:szCs w:val="20"/>
          <w:color w:val="auto"/>
        </w:rPr>
      </w:pPr>
      <w:r>
        <w:rPr>
          <w:rFonts w:ascii="Arial" w:cs="Arial" w:eastAsia="Arial" w:hAnsi="Arial"/>
          <w:sz w:val="17"/>
          <w:szCs w:val="17"/>
          <w:color w:val="auto"/>
        </w:rPr>
        <w:t>The following tables show the fair value and amortized cost of our performing and non-accrual investments as of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01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gridSpan w:val="2"/>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right"/>
              <w:ind w:right="103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60" w:hanging="492"/>
        <w:spacing w:after="0" w:line="296"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5"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September 30, 2021 and December 31, 2020 were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2020</w:t>
            </w:r>
          </w:p>
        </w:tc>
      </w:tr>
      <w:tr>
        <w:trPr>
          <w:trHeight w:val="209"/>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5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bl>
    <w:p>
      <w:pPr>
        <w:spacing w:after="0" w:line="22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9.3% at September 30, 2021 and 9.5% at December 31, 2020.</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57" w:name="page58"/>
    <w:bookmarkEnd w:id="57"/>
    <w:p>
      <w:pPr>
        <w:ind w:left="500" w:right="160" w:hanging="249"/>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240" w:hanging="249"/>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140" w:hanging="249"/>
        <w:spacing w:after="0" w:line="255"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320" w:hanging="249"/>
        <w:spacing w:after="0" w:line="279"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jc w:val="both"/>
        <w:ind w:right="160" w:firstLine="255"/>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September 30, 2021 and December 31, 2020.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September 30, 2021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3"/>
              </w:rPr>
              <w:t>December 31, 2020</w:t>
            </w:r>
          </w:p>
        </w:tc>
        <w:tc>
          <w:tcPr>
            <w:tcW w:w="1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ind w:right="257"/>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right"/>
              <w:ind w:right="455"/>
              <w:spacing w:after="0" w:line="147" w:lineRule="exact"/>
              <w:rPr>
                <w:sz w:val="20"/>
                <w:szCs w:val="20"/>
                <w:color w:val="auto"/>
              </w:rPr>
            </w:pPr>
            <w:r>
              <w:rPr>
                <w:rFonts w:ascii="Arial" w:cs="Arial" w:eastAsia="Arial" w:hAnsi="Arial"/>
                <w:sz w:val="14"/>
                <w:szCs w:val="14"/>
                <w:b w:val="1"/>
                <w:bCs w:val="1"/>
                <w:color w:val="auto"/>
              </w:rPr>
              <w:t>Investments at</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164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Percentage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right"/>
              <w:ind w:right="575"/>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Total Portfolio</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2,192.2</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1,996.5</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129.7</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2,406.5</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2,298.9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investments with an amortized cost of $1.5 million for which the fair value as of September 30, 2021 and December 31, 2020 was $0.</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nine months ended September 30,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0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1"/>
                <w:szCs w:val="11"/>
                <w:color w:val="auto"/>
              </w:rPr>
            </w:pPr>
          </w:p>
        </w:tc>
        <w:tc>
          <w:tcPr>
            <w:tcW w:w="1420" w:type="dxa"/>
            <w:vAlign w:val="bottom"/>
            <w:tcBorders>
              <w:top w:val="single" w:sz="8" w:color="auto"/>
            </w:tcBorders>
            <w:gridSpan w:val="3"/>
          </w:tcPr>
          <w:p>
            <w:pPr>
              <w:jc w:val="right"/>
              <w:ind w:right="48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20" w:type="dxa"/>
            <w:vAlign w:val="bottom"/>
            <w:tcBorders>
              <w:bottom w:val="single" w:sz="8" w:color="CFF0FC"/>
            </w:tcBorders>
          </w:tcPr>
          <w:p>
            <w:pPr>
              <w:spacing w:after="0"/>
              <w:rPr>
                <w:sz w:val="5"/>
                <w:szCs w:val="5"/>
                <w:color w:val="auto"/>
              </w:rPr>
            </w:pPr>
          </w:p>
        </w:tc>
        <w:tc>
          <w:tcPr>
            <w:tcW w:w="28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CFF0FC"/>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71.3</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4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28.2</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43.1</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41.1</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w:t>
            </w:r>
            <w:r>
              <w:rPr>
                <w:rFonts w:ascii="Arial" w:cs="Arial" w:eastAsia="Arial" w:hAnsi="Arial"/>
                <w:sz w:val="15"/>
                <w:szCs w:val="15"/>
                <w:color w:val="auto"/>
              </w:rPr>
              <w:t>(1)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29.8</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b w:val="1"/>
                <w:bCs w:val="1"/>
                <w:color w:val="auto"/>
                <w:w w:val="93"/>
              </w:rPr>
              <w:t>Net increase in net assets resulting from operations</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81.9</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640" w:type="dxa"/>
            <w:vAlign w:val="bottom"/>
            <w:gridSpan w:val="2"/>
            <w:vMerge w:val="restart"/>
          </w:tcPr>
          <w:p>
            <w:pPr>
              <w:ind w:left="140"/>
              <w:spacing w:after="0"/>
              <w:rPr>
                <w:sz w:val="20"/>
                <w:szCs w:val="20"/>
                <w:color w:val="auto"/>
              </w:rPr>
            </w:pPr>
            <w:r>
              <w:rPr>
                <w:rFonts w:ascii="Arial" w:cs="Arial" w:eastAsia="Arial" w:hAnsi="Arial"/>
                <w:sz w:val="18"/>
                <w:szCs w:val="18"/>
                <w:color w:val="auto"/>
              </w:rPr>
              <w:t>Includes foreign exchange hedging activity.</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6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493"/>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3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0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2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420" w:type="dxa"/>
            <w:vAlign w:val="bottom"/>
            <w:tcBorders>
              <w:top w:val="single" w:sz="8" w:color="auto"/>
            </w:tcBorders>
            <w:gridSpan w:val="3"/>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0" w:type="dxa"/>
            <w:vAlign w:val="bottom"/>
          </w:tcPr>
          <w:p>
            <w:pPr>
              <w:spacing w:after="0"/>
              <w:rPr>
                <w:sz w:val="11"/>
                <w:szCs w:val="11"/>
                <w:color w:val="auto"/>
              </w:rPr>
            </w:pPr>
          </w:p>
        </w:tc>
        <w:tc>
          <w:tcPr>
            <w:tcW w:w="1440" w:type="dxa"/>
            <w:vAlign w:val="bottom"/>
            <w:tcBorders>
              <w:top w:val="single" w:sz="8" w:color="auto"/>
            </w:tcBorders>
            <w:gridSpan w:val="3"/>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2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62.8</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Dividend income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71.3</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255"/>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$62.8 million for the three months ended September 30, 2020 to $68.6 million for the three months ended September 30, 2021. The increase in interest from investments was primarily the result of an increase in prepayment fees related to paydowns, and an increase in interest earned due to a larger average portfolio size for the period ended September 30, 2021 compared to the same period in 2020. Accelerated amortization of upfront fees, which were primarily from unscheduled paydowns, increased from $3.5 million for the three months ended September 30, 2020 to $3.6 million for the three months ended September 30, 2021. Prepayment fees increased from $5.8 million for the three months ended September 30, 2020 to $6.3 million for the three months ended September 30, 2021. Accelerated amortization of upfront fees and prepayment fees primarily resulted from full paydowns on five portfolio investments, partial paydowns on three portfolio investments and earning prepayment fees on seven portfolio investments during the three months ended September 30, 2020. Accelerated amortization of upfront fees and prepayment fees primarily resulted from full paydowns on six portfolio investments, a partial paydown on one portfolio investment, and earning prepayment fees on five portfolio investments during the three months ended September 30, 2021. Other income decreased from $8.1 million for the three months ended September 30, 2020 to $1.8 million for the three months ended September 30, 2021, primarily due to decreased amendment and other fees during the three months ended September 30, 2021 compared to the same period in 2020.</w:t>
      </w:r>
    </w:p>
    <w:p>
      <w:pPr>
        <w:spacing w:after="0" w:line="249" w:lineRule="exact"/>
        <w:rPr>
          <w:sz w:val="20"/>
          <w:szCs w:val="20"/>
          <w:color w:val="auto"/>
        </w:rPr>
      </w:pPr>
    </w:p>
    <w:p>
      <w:pPr>
        <w:ind w:right="20" w:firstLine="255"/>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$189.1 million for the nine months ended September 30, 2020 to $192.5 million for the nine months ended September 30, 2021. The increase in interest from investments was primarily a result of an increase in interest earned due to a larger average portfolio size for the period ended September 30, 2021 compared to the same period in 2020 offset by a decrease in accelerated amortization of upfront fees and prepayment fees related to paydowns. Accelerated amortization of upfront fees from unscheduled paydowns decreased from $11.9 million for the nine months ended September 30, 2020 to $9.2 million for the nine months ended September 30, 2021. Prepayment fees decreased from $19.6 million for the nine months ended September 30, 2020 to $11.1 million for the nine months ended September 30, 2021. Accelerated amortization of upfront fees and prepayment fees primarily resulted from full paydowns on eleven portfolio investments, partial paydowns on seven portfolio investments, partial realizations of two portfolio investments and earning prepayment fees on thirteen portfolio investments during the nine months ended September 30, 2020 and full paydowns on eleven portfolio investments, partial paydowns on three portfolio investments, realizations on two portfolio investments and earning prepayment fees on ten portfolio investments during the nine months ended September 30, 2021. Other income decreased from $17.4 million for the nine months ended September 30, 2020 to $5.2 million for the nine months ended September 30, 2021, primarily due to decreased amendment and other fees earned during the nine months ended September 30, 2021 compared to the same period in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nine months ended September 30, 2021 and 2020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5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0" w:type="dxa"/>
            <w:vAlign w:val="bottom"/>
          </w:tcPr>
          <w:p>
            <w:pPr>
              <w:spacing w:after="0"/>
              <w:rPr>
                <w:sz w:val="11"/>
                <w:szCs w:val="11"/>
                <w:color w:val="auto"/>
              </w:rPr>
            </w:pPr>
          </w:p>
        </w:tc>
        <w:tc>
          <w:tcPr>
            <w:tcW w:w="12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31.2</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9"/>
              </w:rPr>
              <w:t>Incentive fees related to pre-incentive fee net investment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24.2</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Incentive fees related to realized/unrealized capital gains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Directors fees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5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28.2</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40" w:type="dxa"/>
            <w:vAlign w:val="bottom"/>
            <w:gridSpan w:val="2"/>
          </w:tcPr>
          <w:p>
            <w:pPr>
              <w:jc w:val="right"/>
              <w:ind w:right="47"/>
              <w:spacing w:after="0"/>
              <w:rPr>
                <w:sz w:val="20"/>
                <w:szCs w:val="20"/>
                <w:color w:val="auto"/>
              </w:rPr>
            </w:pPr>
            <w:r>
              <w:rPr>
                <w:rFonts w:ascii="Arial" w:cs="Arial" w:eastAsia="Arial" w:hAnsi="Arial"/>
                <w:sz w:val="18"/>
                <w:szCs w:val="18"/>
                <w:color w:val="auto"/>
              </w:rPr>
              <w:t>59</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46" w:right="31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Interest expense, including other debt financing expenses, increased from $8.4 million for the three months ended September 30, 2020 to $9.9 million for the three months ended September 30, 2021. This increase was primarily due to an increase in the average debt outstanding from $1,006.9 million for the three months ended September 30, 2020 to $1,240.8 million for the three months ended September 30, 2021, which was partially offset by a decrease in the average interest rate on our debt outstanding from the three months ended September 30, 2020 to the three months ended September 30, 2021. The average interest rate on our debt outstanding decreased from 2.4% for three months ended September 30, 2020 to 2.3% for the three months ended September 30, 2021 primarily due to changes in LIBOR rates.</w:t>
      </w:r>
    </w:p>
    <w:p>
      <w:pPr>
        <w:spacing w:after="0" w:line="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Interest expense, including other debt financing expenses, decreased from $31.2 million for the nine months ended September 30, 2020 to $29.0 million for the nine months ended September 30, 2021. This decrease was primarily due to a decrease in the average interest rate on our debt outstanding from 3.2% for the nine months ended September 30, 2020 to 2.3% for the nine months ended September 30, 2021.</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20" w:firstLine="255"/>
        <w:spacing w:after="0" w:line="296" w:lineRule="auto"/>
        <w:rPr>
          <w:sz w:val="20"/>
          <w:szCs w:val="20"/>
          <w:color w:val="auto"/>
        </w:rPr>
      </w:pPr>
      <w:r>
        <w:rPr>
          <w:rFonts w:ascii="Arial" w:cs="Arial" w:eastAsia="Arial" w:hAnsi="Arial"/>
          <w:sz w:val="16"/>
          <w:szCs w:val="16"/>
          <w:color w:val="auto"/>
        </w:rPr>
        <w:t>Management Fees (gross of waivers) increased from $7.8 million for the three months ended September 30, 2020 to $9.5 million for the three months ended September 30, 2021 due to an increase in average assets for the three months ended September 30, 2021 compared to the same period in 2020. Management Fees (net of waivers) increased from $7.8 million for the three months ended September 30, 2020 to $9.5 million for the three months ended September 30, 2021. The Adviser waived Management Fees of less than $0.1 million for the three months ended September 30, 2021 pursuant to the Leverage Waiver. The Advisers did not waive any management fees for the three months ended September 30, 2020.</w:t>
      </w:r>
    </w:p>
    <w:p>
      <w:pPr>
        <w:spacing w:after="0" w:line="53"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Management Fees (gross of waivers) increased from $23.7 million for the nine months ended September 30, 2020 to $27.7 million for the nine months ended September 30, 2021 due to an increase in average assets for the nine months ended September 30, 2021 compared to the same period in 2020. Management Fees (net of waivers) increased from $23.7 million for the nine months ended September 30, 2020 to $27.5 million for the nine months ended September 30, 2021. The Adviser waived Management Fees of $0.2 million for the nine months ended September 30, 2021 pursuant to the Leverage Waiver. The Adviser did not waive any Management Fees for the nine months ended September 30, 2020.</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Incentive Fees related to pre-Incentive Fee net investment income decreased from $8.7 million for the three months ended September 30, 2020 to $8.5 million for the three months ended September 30, 2021. This decrease resulted from a decrease in other income resulting from lower amendment and other fees for the three months ended September 30, 2021. The Adviser did not waive any Incentive Fees related to pre-Incentive Fee net investment income for the three months ended September 30, 2021 or 2020. There were no Incentive Fees accrued related to net capital gains for the three months ended September 30, 2020 and $3.4 million of Incentive Fees were accrued for the three months ended September 30, 2021 related to cumulative unrealized capital gains in excess of cumulative net realized capital gains less cumulative unrealized losses and capital gains incentive fees paid inception to date.</w:t>
      </w:r>
    </w:p>
    <w:p>
      <w:pPr>
        <w:spacing w:after="0" w:line="56"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Incentive Fees related to pre-Incentive Fee net investment income decreased from $24.2 million for the nine months ended September 30, 2020 to $23.3 million for the nine months ended September 30, 2021. This decrease resulted from a decrease in other income resulting from lower amendment and other fees for the nine months ended September 30, 2021. The Adviser did not waive any Incentive Fees related to pre-Incentive Fee net investment income for the nine months ended September 30, 2021 or 2020. There were no Incentive Fees accrued related to net capital gains for the nine months ended September 30, 2020 and $13.5 million of Incentive Fees were accrued for the nine months ended September 30, 2021 related to cumulative unrealized capital gains in excess of cumulative net realized capital gains less cumulative unrealized losses and capital gains incentive fees paid inception to date.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640" w:firstLine="255"/>
        <w:spacing w:after="0" w:line="277" w:lineRule="auto"/>
        <w:rPr>
          <w:sz w:val="20"/>
          <w:szCs w:val="20"/>
          <w:color w:val="auto"/>
        </w:rPr>
      </w:pPr>
      <w:r>
        <w:rPr>
          <w:rFonts w:ascii="Arial" w:cs="Arial" w:eastAsia="Arial" w:hAnsi="Arial"/>
          <w:sz w:val="18"/>
          <w:szCs w:val="18"/>
          <w:color w:val="auto"/>
        </w:rPr>
        <w:t>Professional fees remained constant at $1.6 million for the three months ended September 30, 2021 and 2020. Other general and administrative expenses remained constant at $1.5 million for the three months ended September 30, 2021 and 2020.</w:t>
      </w:r>
    </w:p>
    <w:p>
      <w:pPr>
        <w:spacing w:after="0" w:line="62"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Professional fees decreased from $5.2 million for the nine months ended September 30, 2020 to $4.8 million for the nine months ended September 30, 2021 primarily due to lower legal fees. Other general and administrative expenses remained constant at $4.7 million for the nine months ended September 30, 2021 and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For the three and nine months ended September 30, 2021, we recorded a net expense of $0.1 million and $0.7 million, respectively, for U.S. federal excise tax and other taxes. For the three and nine months ended September 30, 2020, we recorded a net expense of $2.0 million and $4.0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net realized and unrealized gains (losses) for the three and nine months ended September 30, 2021 and 2020:</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Net realized gains on extinguishment of debt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w w:val="99"/>
              </w:rPr>
              <w:t>Net realized gains (losses) on foreign currency transactions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realized losses on foreign currency investments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borrowings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Net Realized Gains (Losses)</w:t>
            </w:r>
          </w:p>
        </w:tc>
        <w:tc>
          <w:tcPr>
            <w:tcW w:w="4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2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vMerge w:val="continue"/>
          </w:tcPr>
          <w:p>
            <w:pPr>
              <w:spacing w:after="0"/>
              <w:rPr>
                <w:sz w:val="22"/>
                <w:szCs w:val="22"/>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2"/>
                <w:szCs w:val="22"/>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7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9"/>
                <w:szCs w:val="19"/>
                <w:color w:val="auto"/>
              </w:rPr>
            </w:pPr>
          </w:p>
        </w:tc>
        <w:tc>
          <w:tcPr>
            <w:tcW w:w="74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44.5</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(29.2)</w:t>
            </w: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89"/>
              </w:rPr>
              <w:t>(47.8)</w:t>
            </w: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4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Investments</w:t>
            </w:r>
          </w:p>
        </w:tc>
        <w:tc>
          <w:tcPr>
            <w:tcW w:w="7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c>
          <w:tcPr>
            <w:tcW w:w="74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35.8</w:t>
            </w:r>
          </w:p>
        </w:tc>
        <w:tc>
          <w:tcPr>
            <w:tcW w:w="140" w:type="dxa"/>
            <w:vAlign w:val="bottom"/>
          </w:tcPr>
          <w:p>
            <w:pPr>
              <w:spacing w:after="0"/>
              <w:rPr>
                <w:sz w:val="20"/>
                <w:szCs w:val="20"/>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20"/>
                <w:szCs w:val="20"/>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 borrowings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Unrealized gains (losses) on foreign currency cash</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interest rate swaps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4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7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74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4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For the three and nine months ended September 30, 2021, we had net realized losses on investments of $10.5 million and net realized gains on investments of $6.1 million respectively, primarily driven by one investment and four investments, respectively. For the three and nine months ended September 30, 2021, we had net realized losses of less than $0.1 million on foreign currency transactions, primarily as a result of translating foreign currency related to our non-USD denominated investments. For the three and nine months ended September 30, 2021, we had net realized losses of less than $0.1 million, on foreign currency investments. For the three and nine months ended September 30, 2021, we had net realized losses of less than $0.1 million, on foreign currency borrowings. The net realized losses on foreign currency borrowings were a result of payments on our revolving credit facility.</w:t>
      </w:r>
    </w:p>
    <w:p>
      <w:pPr>
        <w:spacing w:after="0" w:line="164"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For the three months ended September 30, 2021, we had $45.6 million in unrealized gains on 32 portfolio company investments, which was offset by $18.8 million in unrealized losses on 38 portfolio company investments. Unrealized gains resulted from an increase in fair value, primarily due to tightening of credit spreads and positive portfolio company specific developments. Unrealized losses primarily resulted from the unwind of prior period unrealized gains due to realizations and negative portfolio company specific developments. For the nine months ended September 30, 2021, we had $97.4 million in unrealized gains on 48 portfolio company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61" w:name="page62"/>
    <w:bookmarkEnd w:id="61"/>
    <w:p>
      <w:pPr>
        <w:jc w:val="both"/>
        <w:ind w:right="240"/>
        <w:spacing w:after="0" w:line="286" w:lineRule="auto"/>
        <w:rPr>
          <w:sz w:val="20"/>
          <w:szCs w:val="20"/>
          <w:color w:val="auto"/>
        </w:rPr>
      </w:pPr>
      <w:r>
        <w:rPr>
          <w:rFonts w:ascii="Arial" w:cs="Arial" w:eastAsia="Arial" w:hAnsi="Arial"/>
          <w:sz w:val="17"/>
          <w:szCs w:val="17"/>
          <w:color w:val="auto"/>
        </w:rPr>
        <w:t>investments, which was offset by $29.2 million in unrealized losses on 29 portfolio company investments. Unrealized gains resulted from an increase in fair value, primarily due to tightening of credit spreads and positive portfolio company specific developments. Unrealized losses primarily resulted from the unwind of prior period unrealized gains due to realizations and negative portfolio company specific developments.</w:t>
      </w:r>
    </w:p>
    <w:p>
      <w:pPr>
        <w:spacing w:after="0" w:line="165" w:lineRule="exact"/>
        <w:rPr>
          <w:sz w:val="20"/>
          <w:szCs w:val="20"/>
          <w:color w:val="auto"/>
        </w:rPr>
      </w:pPr>
    </w:p>
    <w:p>
      <w:pPr>
        <w:ind w:right="300" w:firstLine="255"/>
        <w:spacing w:after="0" w:line="259" w:lineRule="auto"/>
        <w:rPr>
          <w:sz w:val="20"/>
          <w:szCs w:val="20"/>
          <w:color w:val="auto"/>
        </w:rPr>
      </w:pPr>
      <w:r>
        <w:rPr>
          <w:rFonts w:ascii="Arial" w:cs="Arial" w:eastAsia="Arial" w:hAnsi="Arial"/>
          <w:sz w:val="18"/>
          <w:szCs w:val="18"/>
          <w:color w:val="auto"/>
        </w:rPr>
        <w:t>For the three and nine months ended September 30, 2021, we had unrealized gains on foreign currency borrowings of $3.7 million and $4.3 million, respectively, as a result of fluctuations in the AUD, CAD and EUR exchange rates. For the three and nine months ended September 30, 2021, we had unrealized losses on interest rate swaps of $1.5 million and $4.8 million, respectively, due to fluctuations in interest rates and the periodic settlement of interest rate swaps.</w:t>
      </w:r>
    </w:p>
    <w:p>
      <w:pPr>
        <w:spacing w:after="0" w:line="187" w:lineRule="exact"/>
        <w:rPr>
          <w:sz w:val="20"/>
          <w:szCs w:val="20"/>
          <w:color w:val="auto"/>
        </w:rPr>
      </w:pPr>
    </w:p>
    <w:p>
      <w:pPr>
        <w:ind w:right="40" w:firstLine="255"/>
        <w:spacing w:after="0" w:line="284" w:lineRule="auto"/>
        <w:rPr>
          <w:sz w:val="20"/>
          <w:szCs w:val="20"/>
          <w:color w:val="auto"/>
        </w:rPr>
      </w:pPr>
      <w:r>
        <w:rPr>
          <w:rFonts w:ascii="Arial" w:cs="Arial" w:eastAsia="Arial" w:hAnsi="Arial"/>
          <w:sz w:val="16"/>
          <w:szCs w:val="16"/>
          <w:color w:val="auto"/>
        </w:rPr>
        <w:t>For the three and nine months ended September 30, 2020, we had net realized gains on investments of $11.1 million and $7.5 million, respectively, primarily driven by one investment. For the three and nine months ended September 30, 2020, we had net realized gains of zero and $0.7 million, respectively, on extinguishment of debt, as a result of our repurchases of our debt securities. For the three and nine months ended September 30, 2020, we had net realized gains of less than $0.1 million on foreign currency transactions and unrealized losses of less than $0.1 million on foreign currency transactions, respectively, primarily as a result of translating foreign currency related to our non-USD denominated investments. For the three and nine months ended September 30, 2020, we had net realized losses of $1.3 million and $1.1 million, respectively, on foreign currency investments. For the three and nine months ended September 30, 2020, we had net realized gains of $1.2 million and $1.0 million, respectively, on foreign currency borrowings. The net realized losses on foreign currency borrowings were a result of payments on our revolving credit facility.</w:t>
      </w:r>
    </w:p>
    <w:p>
      <w:pPr>
        <w:spacing w:after="0" w:line="1" w:lineRule="exact"/>
        <w:rPr>
          <w:sz w:val="20"/>
          <w:szCs w:val="20"/>
          <w:color w:val="auto"/>
        </w:rPr>
      </w:pPr>
    </w:p>
    <w:p>
      <w:pPr>
        <w:ind w:right="40" w:firstLine="255"/>
        <w:spacing w:after="0" w:line="252" w:lineRule="auto"/>
        <w:rPr>
          <w:sz w:val="20"/>
          <w:szCs w:val="20"/>
          <w:color w:val="auto"/>
        </w:rPr>
      </w:pPr>
      <w:r>
        <w:rPr>
          <w:rFonts w:ascii="Arial" w:cs="Arial" w:eastAsia="Arial" w:hAnsi="Arial"/>
          <w:sz w:val="18"/>
          <w:szCs w:val="18"/>
          <w:color w:val="auto"/>
        </w:rPr>
        <w:t>For the three months ended September 30, 2020, we had $44.5 million in unrealized gains on 58 portfolio company investments, which was offset by $8.7 million in unrealized losses on 13 portfolio company investments. Unrealized gains resulted from an increase in fair value, primarily due to tightening of credit spreads and positive portfolio company specific adjustments. Unrealized losses primarily resulted from the unwind of prior period unrealized gains due to realizations and negative credit-related adjustments. For the nine months ended September 30, 2020, we had $41.1 million in unrealized gains on 48 portfolio company investments, which was offset by $47.8 million in unrealized losses on 34 portfolio company investments. Unrealized gains resulted from an increase in fair value, primarily due to positive investment-related adjustments. Unrealized losses primarily resulted from a widening spread environment.</w:t>
      </w:r>
    </w:p>
    <w:p>
      <w:pPr>
        <w:spacing w:after="0" w:line="192"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For the three and nine months ended September 30, 2020, we had unrealized losses on foreign currency borrowings of $4.5 million and unrealized gains on foreign currency borrowings of $0.8 million, respectively, as a result of fluctuations in the AUD, CAD and EUR exchange rates. For the three and nine months ended September 30, 2020, we had unrealized losses on foreign currency cash of less than $0.1 and unrealized gains of less than $0.0 million, respectively. For the three and nine months ended September 30, 2020, we had unrealized losses on interest rate swaps of $1.5 million and unrealized gains on interest rate swaps of $8.2 million, respectively, due to fluctuations in interest rates and the periodic settlement of interest rate swaps.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20" w:firstLine="255"/>
        <w:spacing w:after="0" w:line="286" w:lineRule="auto"/>
        <w:rPr>
          <w:sz w:val="20"/>
          <w:szCs w:val="20"/>
          <w:color w:val="auto"/>
        </w:rPr>
      </w:pPr>
      <w:r>
        <w:rPr>
          <w:rFonts w:ascii="Arial" w:cs="Arial" w:eastAsia="Arial" w:hAnsi="Arial"/>
          <w:sz w:val="17"/>
          <w:szCs w:val="17"/>
          <w:color w:val="auto"/>
        </w:rPr>
        <w:t>Since we began investing in 2011 through September 30, 2021, weighted by capital invested, our exited investments have generated an average realized gross internal rate of return to us of 19.1% (based on total capital invested of $5.4 billion and total proceeds from these exited investments of $6.8 billion). Ninety-two percent of these exited investments resulted in a realized gross internal rate of return to us of 10% or greater.</w:t>
      </w:r>
    </w:p>
    <w:p>
      <w:pPr>
        <w:spacing w:after="0" w:line="165"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4" w:lineRule="exact"/>
        <w:rPr>
          <w:sz w:val="20"/>
          <w:szCs w:val="20"/>
          <w:color w:val="auto"/>
        </w:rPr>
      </w:pPr>
    </w:p>
    <w:p>
      <w:pPr>
        <w:jc w:val="both"/>
        <w:ind w:right="140" w:firstLine="255"/>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140" w:firstLine="255"/>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5" w:lineRule="exact"/>
        <w:rPr>
          <w:sz w:val="20"/>
          <w:szCs w:val="20"/>
          <w:color w:val="auto"/>
        </w:rPr>
      </w:pPr>
    </w:p>
    <w:p>
      <w:pPr>
        <w:ind w:right="100" w:firstLine="255"/>
        <w:spacing w:after="0" w:line="311"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9"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Foreign Currency Hedging</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and nine months ended September 30, 2021, we incurred $3.7 million and $4.3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2021.</w:t>
      </w:r>
    </w:p>
    <w:p>
      <w:pPr>
        <w:spacing w:after="0" w:line="70" w:lineRule="exact"/>
        <w:rPr>
          <w:sz w:val="20"/>
          <w:szCs w:val="20"/>
          <w:color w:val="auto"/>
        </w:rPr>
      </w:pPr>
    </w:p>
    <w:p>
      <w:pPr>
        <w:ind w:right="240" w:firstLine="255"/>
        <w:spacing w:after="0" w:line="311" w:lineRule="auto"/>
        <w:rPr>
          <w:sz w:val="20"/>
          <w:szCs w:val="20"/>
          <w:color w:val="auto"/>
        </w:rPr>
      </w:pPr>
      <w:r>
        <w:rPr>
          <w:rFonts w:ascii="Arial" w:cs="Arial" w:eastAsia="Arial" w:hAnsi="Arial"/>
          <w:sz w:val="16"/>
          <w:szCs w:val="16"/>
          <w:color w:val="auto"/>
        </w:rPr>
        <w:t>For the three and nine months ended September 30, 2020, we incurred $4.5 million of unrealized losses and $0.8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2020.</w:t>
      </w:r>
    </w:p>
    <w:p>
      <w:pPr>
        <w:spacing w:after="0" w:line="41" w:lineRule="exact"/>
        <w:rPr>
          <w:sz w:val="20"/>
          <w:szCs w:val="20"/>
          <w:color w:val="auto"/>
        </w:rPr>
      </w:pPr>
    </w:p>
    <w:p>
      <w:pPr>
        <w:jc w:val="both"/>
        <w:ind w:right="420" w:firstLine="255"/>
        <w:spacing w:after="0" w:line="286" w:lineRule="auto"/>
        <w:rPr>
          <w:sz w:val="20"/>
          <w:szCs w:val="20"/>
          <w:color w:val="auto"/>
        </w:rPr>
      </w:pPr>
      <w:r>
        <w:rPr>
          <w:rFonts w:ascii="Arial" w:cs="Arial" w:eastAsia="Arial" w:hAnsi="Arial"/>
          <w:sz w:val="17"/>
          <w:szCs w:val="17"/>
          <w:color w:val="auto"/>
        </w:rPr>
        <w:t>See Note 2 for additional disclosure regarding our accounting for foreign currency. See Note 7 for additional disclosure regarding the amounts of outstanding debt denominated in each foreign currency at September 30, 2021. See our consolidated schedule of investments for additional disclosure regarding the foreign currency amounts (in both par and fair value) of our non-U.S. dollar denominated investments.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120" w:firstLine="255"/>
        <w:spacing w:after="0" w:line="290"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September 30, 2021 and December 31, 2020, our asset coverage ratio was 211.6% and 204.5%, respectively. We carefully consider our unfunded commitments for the purpose of planning our capital resources and ongoing liquidity, including our financial leverage. Further, we maintain sufficient borrowing capacity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720"/>
        <w:spacing w:after="0" w:line="277" w:lineRule="auto"/>
        <w:rPr>
          <w:sz w:val="20"/>
          <w:szCs w:val="20"/>
          <w:color w:val="auto"/>
        </w:rPr>
      </w:pPr>
      <w:r>
        <w:rPr>
          <w:rFonts w:ascii="Arial" w:cs="Arial" w:eastAsia="Arial" w:hAnsi="Arial"/>
          <w:sz w:val="18"/>
          <w:szCs w:val="18"/>
          <w:color w:val="auto"/>
        </w:rPr>
        <w:t>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Cash and cash equivalents as of September 30, 2021, taken together with cash available under our credit facilities, is expected to be sufficient for our investing activities and to conduct our operations in the near term. As of September 30, 2021, we had approximately $1.3 billion of availability on our Revolving Credit Facility, subject to asset coverage limitations.</w:t>
      </w:r>
    </w:p>
    <w:p>
      <w:pPr>
        <w:spacing w:after="0" w:line="184" w:lineRule="exact"/>
        <w:rPr>
          <w:sz w:val="20"/>
          <w:szCs w:val="20"/>
          <w:color w:val="auto"/>
        </w:rPr>
      </w:pPr>
    </w:p>
    <w:p>
      <w:pPr>
        <w:ind w:right="140" w:firstLine="255"/>
        <w:spacing w:after="0" w:line="291" w:lineRule="auto"/>
        <w:rPr>
          <w:sz w:val="20"/>
          <w:szCs w:val="20"/>
          <w:color w:val="auto"/>
        </w:rPr>
      </w:pPr>
      <w:r>
        <w:rPr>
          <w:rFonts w:ascii="Arial" w:cs="Arial" w:eastAsia="Arial" w:hAnsi="Arial"/>
          <w:sz w:val="16"/>
          <w:szCs w:val="16"/>
          <w:color w:val="auto"/>
        </w:rPr>
        <w:t>As of September 30, 2021, we had $18.3 million in cash and cash equivalents, including $12.8 million of restricted cash, an increase of $5.0 million from December 31, 2020. During the nine months ended September 30, 2021, we provided $75.9 million in cash from operating activities as a result of repayments and proceeds from investments of $522.0 million and an increase in net assets resulting from operations of $170.0 million which was partially offset by funding portfolio investments of $531.8 million, and other operating activity of $84.3 million. Lastly, cash used in financing activities was $70.9 million during the period due to paydowns on our Revolving Credit Facility of $928.9 million, dividends paid of $162.9 million, and deferred financing costs of $8.0 million, which was partially offset by borrowings of $943.0 million (including net proceeds of $293.7 million from the issuance of our 2026 Notes), and proceeds from the issuance of common stock, net of offering and underwriting costs, of $85.9 million.</w:t>
      </w:r>
    </w:p>
    <w:p>
      <w:pPr>
        <w:spacing w:after="0" w:line="166"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As of September 30, 2021, we had $12.8 million of restricted cash pledged as collateral under our interest rate swap agreements, an increase of $2.0 million from December 31, 2020 primarily due to increases in the notional amount and fair value of our swaps.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400" w:firstLine="255"/>
        <w:spacing w:after="0" w:line="286" w:lineRule="auto"/>
        <w:rPr>
          <w:sz w:val="20"/>
          <w:szCs w:val="20"/>
          <w:color w:val="auto"/>
        </w:rPr>
      </w:pPr>
      <w:r>
        <w:rPr>
          <w:rFonts w:ascii="Arial" w:cs="Arial" w:eastAsia="Arial" w:hAnsi="Arial"/>
          <w:sz w:val="17"/>
          <w:szCs w:val="17"/>
          <w:color w:val="auto"/>
        </w:rPr>
        <w:t>On February 23, 2021, we issued a total of 4,000,000 shares of commons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During the nine months ended September 30, 2021 and 2020, we also issued 1,115,079 and 1,310,513 shares of our common stock, respectively, to investors who have not opted out of our dividend reinvestment plan for proceeds of $23.4 million and $21.2 million, respectively. On October 15, 2021, we issued 254,691 shares of our common stock through our dividend reinvestment plan for proceeds of $5.6 million, which is not reflected in the number of shares issued for the nine months ended September 30, 2021 in this section or the consolidated financial statements for the three and nine months ended September 30, 2021.</w:t>
      </w:r>
    </w:p>
    <w:p>
      <w:pPr>
        <w:spacing w:after="0" w:line="188" w:lineRule="exact"/>
        <w:rPr>
          <w:sz w:val="20"/>
          <w:szCs w:val="20"/>
          <w:color w:val="auto"/>
        </w:rPr>
      </w:pPr>
    </w:p>
    <w:p>
      <w:pPr>
        <w:jc w:val="both"/>
        <w:ind w:right="140" w:firstLine="255"/>
        <w:spacing w:after="0" w:line="301" w:lineRule="auto"/>
        <w:rPr>
          <w:sz w:val="20"/>
          <w:szCs w:val="20"/>
          <w:color w:val="auto"/>
        </w:rPr>
      </w:pPr>
      <w:r>
        <w:rPr>
          <w:rFonts w:ascii="Arial" w:cs="Arial" w:eastAsia="Arial" w:hAnsi="Arial"/>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2, 2021. The amount and timing of stock repurchases under the program may vary depending on market conditions, and no assurance can be given that any particular amount of common stock will be repurchased.</w:t>
      </w:r>
    </w:p>
    <w:p>
      <w:pPr>
        <w:spacing w:after="0" w:line="157" w:lineRule="exact"/>
        <w:rPr>
          <w:sz w:val="20"/>
          <w:szCs w:val="20"/>
          <w:color w:val="auto"/>
        </w:rPr>
      </w:pPr>
    </w:p>
    <w:p>
      <w:pPr>
        <w:ind w:right="660" w:firstLine="255"/>
        <w:spacing w:after="0" w:line="308" w:lineRule="auto"/>
        <w:rPr>
          <w:sz w:val="20"/>
          <w:szCs w:val="20"/>
          <w:color w:val="auto"/>
        </w:rPr>
      </w:pPr>
      <w:r>
        <w:rPr>
          <w:rFonts w:ascii="Arial" w:cs="Arial" w:eastAsia="Arial" w:hAnsi="Arial"/>
          <w:sz w:val="17"/>
          <w:szCs w:val="17"/>
          <w:color w:val="auto"/>
        </w:rPr>
        <w:t>During the nine months ended September 30, 2020, we repurchased 206,964 shares at a weighted average price per share of $14.17 inclusive of commissions, for a total cost of $2.9 million. No shares were repurchased during the nine months ended September 30,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2021 and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6"/>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9"/>
        </w:trPr>
        <w:tc>
          <w:tcPr>
            <w:tcW w:w="5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9"/>
                <w:szCs w:val="19"/>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1,325.8</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2026</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64" w:name="page65"/>
    <w:bookmarkEnd w:id="64"/>
    <w:p>
      <w:pPr>
        <w:ind w:left="500" w:right="880" w:hanging="492"/>
        <w:spacing w:after="0" w:line="258"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40" w:hanging="492"/>
        <w:spacing w:after="0" w:line="265"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carrying values of the Revolving Credit Facility, 2022 Convertible Notes, 2023 Notes, 2024 Notes and 2026 Notes are presented net of deferred financing costs and original issue discounts of $12.6 million, $0.6 million, $0.9 million, $4.3 million and $5.6 million, respectively.</w:t>
      </w:r>
    </w:p>
    <w:p>
      <w:pPr>
        <w:ind w:left="500" w:right="40" w:hanging="492"/>
        <w:spacing w:after="0" w:line="323"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$9.6 million and $(7.0) million, respectively, which represents an adjustment in the carrying values of the 2024 Notes and 2026 Notes, each resulting from a hedge accounting relationship.</w:t>
      </w:r>
    </w:p>
    <w:p>
      <w:pPr>
        <w:spacing w:after="0" w:line="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8"/>
                <w:szCs w:val="18"/>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880" w:hanging="492"/>
        <w:spacing w:after="0" w:line="258"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500" w:right="200" w:hanging="492"/>
        <w:spacing w:after="0" w:line="26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an incremental $16.8 million, which represents an adjustment in the carrying value of the 2024 Notes resulting from a hedge accounting relationship.</w:t>
      </w:r>
    </w:p>
    <w:p>
      <w:pPr>
        <w:spacing w:after="0" w:line="185"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September 30, 2021 and December 31, 2020,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220" w:firstLine="255"/>
        <w:spacing w:after="0" w:line="301" w:lineRule="auto"/>
        <w:rPr>
          <w:sz w:val="20"/>
          <w:szCs w:val="20"/>
          <w:color w:val="auto"/>
        </w:rPr>
      </w:pPr>
      <w:r>
        <w:rPr>
          <w:rFonts w:ascii="Arial" w:cs="Arial" w:eastAsia="Arial" w:hAnsi="Arial"/>
          <w:sz w:val="16"/>
          <w:szCs w:val="16"/>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 On September 30, 2021, in accordance with the accordion feature the aggregate commitments under the facility were increased to $1.510 billion.</w:t>
      </w:r>
    </w:p>
    <w:p>
      <w:pPr>
        <w:spacing w:after="0" w:line="157"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Subsequent to the Tenth Amendment, on April 12, 2021 an additional $70.0 million of existing commitments were extended to these revolving period and stated maturity dates. On September 30, 2021, the aggregate commitments under the facility increased an additional $25.0 million in accordance with the accordion feature. As a result, $1.485 billion of total commitments are subject to these revolving period and stated maturity dates. For the remaining $25.0 million of commitments, the revolving period ends January 31, 2024 and the stated maturity is January 31, 2025.</w:t>
      </w:r>
    </w:p>
    <w:p>
      <w:pPr>
        <w:spacing w:after="0" w:line="195" w:lineRule="exact"/>
        <w:rPr>
          <w:sz w:val="20"/>
          <w:szCs w:val="20"/>
          <w:color w:val="auto"/>
        </w:rPr>
      </w:pPr>
    </w:p>
    <w:p>
      <w:pPr>
        <w:jc w:val="both"/>
        <w:ind w:right="380"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September 30, 2021, we had outstanding debt denominated in Australian Dollars (AUD) of 51.2 million, Canadian Dollars (CAD) of 74.2 million, and Euro (EUR) of 33.1 million on our Revolving Credit Facility, included in the Outstanding Principal amount in the table above.</w:t>
      </w:r>
    </w:p>
    <w:p>
      <w:pPr>
        <w:spacing w:after="0" w:line="184" w:lineRule="exact"/>
        <w:rPr>
          <w:sz w:val="20"/>
          <w:szCs w:val="20"/>
          <w:color w:val="auto"/>
        </w:rPr>
      </w:pPr>
    </w:p>
    <w:p>
      <w:pPr>
        <w:ind w:firstLine="255"/>
        <w:spacing w:after="0" w:line="286" w:lineRule="auto"/>
        <w:rPr>
          <w:sz w:val="20"/>
          <w:szCs w:val="20"/>
          <w:color w:val="auto"/>
        </w:rPr>
      </w:pPr>
      <w:r>
        <w:rPr>
          <w:rFonts w:ascii="Arial" w:cs="Arial" w:eastAsia="Arial" w:hAnsi="Arial"/>
          <w:sz w:val="17"/>
          <w:szCs w:val="17"/>
          <w:color w:val="auto"/>
        </w:rPr>
        <w:t>The Revolving Credit Facility also provides for the issuance of letters of credit up to an aggregate amount of $75.0 million. As of September 30, 2021 and December 31, 2020, we had no outstanding letters of credit issued through the Revolving Credit Facility. The amount available for borrowing under the Revolving Credit Facility is reduced by any letters of credit issued through the Revolving Credit Facility.</w:t>
      </w:r>
    </w:p>
    <w:p>
      <w:pPr>
        <w:spacing w:after="0" w:line="165"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100"/>
        <w:spacing w:after="0" w:line="279" w:lineRule="auto"/>
        <w:rPr>
          <w:sz w:val="20"/>
          <w:szCs w:val="20"/>
          <w:color w:val="auto"/>
        </w:rPr>
      </w:pPr>
      <w:r>
        <w:rPr>
          <w:rFonts w:ascii="Arial" w:cs="Arial" w:eastAsia="Arial" w:hAnsi="Arial"/>
          <w:sz w:val="17"/>
          <w:szCs w:val="17"/>
          <w:color w:val="auto"/>
        </w:rPr>
        <w:t>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4"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260" w:hanging="249"/>
        <w:spacing w:after="0" w:line="375" w:lineRule="auto"/>
        <w:tabs>
          <w:tab w:leader="none" w:pos="5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ind w:left="500" w:hanging="249"/>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firstLine="255"/>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September 30, 2021, the estimated adjusted conversion price was approximately $18.53 per share of common stock. The sale of the 2022 Convertible Notes generated net proceeds of approximately $111.2 million. We used the net proceeds of the offering to pay down debt under the Revolving Credit Facility. In connection with the offering of 2022 Convertible Notes, we entered into an interest rate swap to align the interest rates of our liabilities with our investment portfolio, which consists of predominately floating rate loans. The notional amount of the interest rate swap is $115.0 million, which matures on August 1, 2022, matching the maturity date of the 2022 Convertible Notes. As a result of the swaps, our effective interest rate on the original issuance of 2022 Convertible Notes is three-month LIBOR plus 2.37%.</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ind w:right="100" w:firstLine="255"/>
        <w:spacing w:after="0" w:line="254"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align the interest rates of its liabilities with its investment portfolio, which consists of predominately floating rate loans. The notional amount of the two interest rates swaps is $50.0 million and $7.5 million, which matures on August 1, 2022, matching the maturity date of the 2022 Convertible Notes. As a result of the additional swaps, our effective interest rate on the additional 2022 Convertible Notes is approximately three-month LIBOR plus 1.60%.</w:t>
      </w:r>
    </w:p>
    <w:p>
      <w:pPr>
        <w:spacing w:after="0" w:line="195"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During the year ended December 31,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our effective interest rate on the outstanding 2022 Convertible Notes is three-month LIBOR plus 2.11% (on a weighted-average basis).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80" w:firstLine="8"/>
        <w:spacing w:after="0" w:line="281"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60" w:firstLine="8"/>
        <w:spacing w:after="0" w:line="292"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On September 30, 2021, we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we elected combination settlement. The settlement of the converted notes is expected to occur after the 40 day observation period described in the notes indenture.</w:t>
      </w:r>
    </w:p>
    <w:p>
      <w:pPr>
        <w:spacing w:after="0" w:line="187" w:lineRule="exact"/>
        <w:rPr>
          <w:sz w:val="20"/>
          <w:szCs w:val="20"/>
          <w:color w:val="auto"/>
        </w:rPr>
      </w:pPr>
    </w:p>
    <w:p>
      <w:pPr>
        <w:jc w:val="both"/>
        <w:ind w:right="40" w:firstLine="255"/>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200" w:firstLine="255"/>
        <w:spacing w:after="0" w:line="279"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September 30, 2021, we were in compliance with the terms of the indenture governing the 2022 Convertible Notes.</w:t>
      </w:r>
    </w:p>
    <w:p>
      <w:pPr>
        <w:spacing w:after="0" w:line="171" w:lineRule="exact"/>
        <w:rPr>
          <w:sz w:val="20"/>
          <w:szCs w:val="20"/>
          <w:color w:val="auto"/>
        </w:rPr>
      </w:pPr>
    </w:p>
    <w:p>
      <w:pPr>
        <w:ind w:right="80" w:firstLine="255"/>
        <w:spacing w:after="0" w:line="269" w:lineRule="auto"/>
        <w:rPr>
          <w:sz w:val="20"/>
          <w:szCs w:val="20"/>
          <w:color w:val="auto"/>
        </w:rPr>
      </w:pPr>
      <w:r>
        <w:rPr>
          <w:rFonts w:ascii="Arial" w:cs="Arial" w:eastAsia="Arial" w:hAnsi="Arial"/>
          <w:sz w:val="17"/>
          <w:szCs w:val="17"/>
          <w:color w:val="auto"/>
        </w:rPr>
        <w:t>The 2022 Convertible Notes are accounted for in accordance with ASC Topic 470-20. Upon conversion of any of the 2022 Convertible Notes, we currently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 During the period ended March 31, 2021, we early adopted ASU 2020-06 and in accordance with this guidance reclassed the remaining unamortized discount on the 2022 Convertible Notes from the carrying value of the instrument to “additional paid-in capital” in the accompanying consolidated balance sheet.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120" w:firstLine="255"/>
        <w:spacing w:after="0" w:line="277" w:lineRule="auto"/>
        <w:rPr>
          <w:sz w:val="20"/>
          <w:szCs w:val="20"/>
          <w:color w:val="auto"/>
        </w:rPr>
      </w:pPr>
      <w:r>
        <w:rPr>
          <w:rFonts w:ascii="Arial" w:cs="Arial" w:eastAsia="Arial" w:hAnsi="Arial"/>
          <w:sz w:val="18"/>
          <w:szCs w:val="18"/>
          <w:color w:val="auto"/>
        </w:rPr>
        <w:t>The average daily closing price of our common stock for the three and nine months ended September 30, 2021 was greater than the estimated adjusted conversion price for the 2022 Convertible Notes outstanding as of September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220" w:firstLine="255"/>
        <w:spacing w:after="0" w:line="259" w:lineRule="auto"/>
        <w:rPr>
          <w:sz w:val="20"/>
          <w:szCs w:val="20"/>
          <w:color w:val="auto"/>
        </w:rPr>
      </w:pPr>
      <w:r>
        <w:rPr>
          <w:rFonts w:ascii="Arial" w:cs="Arial" w:eastAsia="Arial" w:hAnsi="Arial"/>
          <w:sz w:val="18"/>
          <w:szCs w:val="18"/>
          <w:color w:val="auto"/>
        </w:rPr>
        <w:t>In connection with the 2023 Notes offering, we entered into an interest rate swap to align the interest rates of our liabilities with our investment portfolio, which consists of predominately floating rate loans. The notional amount of the interest rate swap is $150.0 million, which matures on January 22, 2023, matching the maturity date of the 2023 Notes. As a result of the swap, our effective interest rate on the 2023 Notes is three-month LIBOR plus 1.99%.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6"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right="100" w:firstLine="255"/>
        <w:spacing w:after="0" w:line="279" w:lineRule="auto"/>
        <w:rPr>
          <w:sz w:val="20"/>
          <w:szCs w:val="20"/>
          <w:color w:val="auto"/>
        </w:rPr>
      </w:pPr>
      <w:r>
        <w:rPr>
          <w:rFonts w:ascii="Arial" w:cs="Arial" w:eastAsia="Arial" w:hAnsi="Arial"/>
          <w:sz w:val="17"/>
          <w:szCs w:val="17"/>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which matures on November 1, 2024, matching the maturity date of the 2024 Notes. As a result of the swaps, our effective interest rate on the 2024 Notes is three-month LIBOR plus 2.28% (on a weighted average basis).</w:t>
      </w:r>
    </w:p>
    <w:p>
      <w:pPr>
        <w:spacing w:after="0" w:line="17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right="40" w:firstLine="255"/>
        <w:spacing w:after="0" w:line="275" w:lineRule="auto"/>
        <w:rPr>
          <w:sz w:val="20"/>
          <w:szCs w:val="20"/>
          <w:color w:val="auto"/>
        </w:rPr>
      </w:pPr>
      <w:r>
        <w:rPr>
          <w:rFonts w:ascii="Arial" w:cs="Arial" w:eastAsia="Arial" w:hAnsi="Arial"/>
          <w:sz w:val="17"/>
          <w:szCs w:val="17"/>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8" w:name="page69"/>
    <w:bookmarkEnd w:id="68"/>
    <w:p>
      <w:pPr>
        <w:ind w:right="160"/>
        <w:spacing w:after="0" w:line="277" w:lineRule="auto"/>
        <w:rPr>
          <w:sz w:val="20"/>
          <w:szCs w:val="20"/>
          <w:color w:val="auto"/>
        </w:rPr>
      </w:pPr>
      <w:r>
        <w:rPr>
          <w:rFonts w:ascii="Arial" w:cs="Arial" w:eastAsia="Arial" w:hAnsi="Arial"/>
          <w:sz w:val="18"/>
          <w:szCs w:val="18"/>
          <w:color w:val="auto"/>
        </w:rPr>
        <w:t>$300.0 million, which matures on August 1, 2026, matching the maturity date of the 2026 Notes. As a result of the swap, our effective interest rate on the 2026 Notes is three-month LIBOR plus 1.91%.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2021 and December 31, 2020, we had the following commitments to fund investments in current portfolio companies: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0"/>
              </w:rPr>
              <w:t>September 30, 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December 31, 2020</w:t>
            </w:r>
          </w:p>
        </w:tc>
        <w:tc>
          <w:tcPr>
            <w:tcW w:w="80" w:type="dxa"/>
            <w:vAlign w:val="bottom"/>
            <w:tcBorders>
              <w:bottom w:val="single" w:sz="8" w:color="CFF0FC"/>
            </w:tcBorders>
          </w:tcPr>
          <w:p>
            <w:pPr>
              <w:spacing w:after="0"/>
              <w:rPr>
                <w:sz w:val="14"/>
                <w:szCs w:val="14"/>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Alpha Midco, Inc. - Delayed Draw</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FF0FC"/>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American Achievement, Corp.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Axonify, Inc.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Biohaven Pharmaceuticals,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Clinicient,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DaySmart Holdings, LLC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Destiny Solutions Parent Holding Company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ExtraHop Networks,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Factor Systems, Inc.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ForeScout Technologies, Inc.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G Treasury SS, LLC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Ibis Intermediate Co.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Integration Appliance,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IntelePeer Holdings,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InvMetrics Holdings,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IRGSE Holding Corp.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Kyriba Corp.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Kyriba Corp.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Lexipol, LLC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 LLC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Lucidworks,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Netwrix Corp.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Netwrix Corp.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Nintex Global, Ltd.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PageUp People, Ltd.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Passport Labs,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Passport Labs,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PayScale Holdings,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PrimeRevenue, Inc.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PrimeRevenue, Inc.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ReliaQuest Holdings, LLC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ReliaQuest Holdings, LLC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ResMan, LLC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ResMan, LLC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Sprinklr - Delayed Draw Convertible Note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Valant Medical Solutions,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w w:val="99"/>
              </w:rPr>
              <w:t>Verdad Resources Intermediate Holdings, LLC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WideOrbit,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Workwell Acquisition Co. - Delayed Draw</w:t>
            </w: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9"/>
                <w:szCs w:val="19"/>
                <w:color w:val="auto"/>
              </w:rPr>
            </w:pPr>
          </w:p>
        </w:tc>
      </w:tr>
      <w:tr>
        <w:trPr>
          <w:trHeight w:val="209"/>
        </w:trPr>
        <w:tc>
          <w:tcPr>
            <w:tcW w:w="4440" w:type="dxa"/>
            <w:vAlign w:val="bottom"/>
          </w:tcPr>
          <w:p>
            <w:pPr>
              <w:ind w:left="240"/>
              <w:spacing w:after="0" w:line="210" w:lineRule="exact"/>
              <w:rPr>
                <w:sz w:val="20"/>
                <w:szCs w:val="20"/>
                <w:color w:val="auto"/>
              </w:rPr>
            </w:pPr>
            <w:r>
              <w:rPr>
                <w:rFonts w:ascii="Arial" w:cs="Arial" w:eastAsia="Arial" w:hAnsi="Arial"/>
                <w:sz w:val="15"/>
                <w:szCs w:val="15"/>
                <w:b w:val="1"/>
                <w:bCs w:val="1"/>
                <w:color w:val="auto"/>
              </w:rPr>
              <w:t xml:space="preserve">Total Portfolio Company Commitments </w:t>
            </w:r>
            <w:r>
              <w:rPr>
                <w:rFonts w:ascii="Arial" w:cs="Arial" w:eastAsia="Arial" w:hAnsi="Arial"/>
                <w:sz w:val="24"/>
                <w:szCs w:val="24"/>
                <w:b w:val="1"/>
                <w:bCs w:val="1"/>
                <w:color w:val="auto"/>
                <w:vertAlign w:val="superscript"/>
              </w:rPr>
              <w:t>(1)(2)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191.3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192.8</w:t>
            </w: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jc w:val="both"/>
        <w:ind w:left="500" w:right="32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8" w:lineRule="exact"/>
        <w:rPr>
          <w:rFonts w:ascii="Arial" w:cs="Arial" w:eastAsia="Arial" w:hAnsi="Arial"/>
          <w:sz w:val="18"/>
          <w:szCs w:val="18"/>
          <w:color w:val="auto"/>
        </w:rPr>
      </w:pPr>
    </w:p>
    <w:p>
      <w:pPr>
        <w:ind w:left="500" w:right="72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As of September 30, 2021 and December 31, 2020, we did not have any unfunded commitments to fund new investments to new borrowers that were not current portfolio companies as of such date.</w:t>
      </w:r>
    </w:p>
    <w:p>
      <w:pPr>
        <w:spacing w:after="0" w:line="170"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September 30, 2021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w w:val="90"/>
              </w:rPr>
              <w:t>Payments Due by Period</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15"/>
              <w:spacing w:after="0" w:line="147"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1-3 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2026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255"/>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255"/>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00" w:right="260" w:hanging="249"/>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00" w:right="320" w:hanging="249"/>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0" w:name="page71"/>
    <w:bookmarkEnd w:id="70"/>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00" w:right="180" w:hanging="249"/>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00" w:right="260" w:hanging="249"/>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ongoing agreement with an affiliate of TPG Global, LLC governing, inter alia, the parties’ respective ownership of and rights to use the “Sixth Street” and “TPG” trademarks and certain variations thereof.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2020, filed with the SEC on February 17, 2021, and elsewhere in our filings with the SEC.</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0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4" w:lineRule="exact"/>
        <w:rPr>
          <w:sz w:val="20"/>
          <w:szCs w:val="20"/>
          <w:color w:val="auto"/>
        </w:rPr>
      </w:pPr>
    </w:p>
    <w:p>
      <w:pPr>
        <w:jc w:val="both"/>
        <w:ind w:right="20" w:firstLine="255"/>
        <w:spacing w:after="0" w:line="259" w:lineRule="auto"/>
        <w:rPr>
          <w:sz w:val="20"/>
          <w:szCs w:val="20"/>
          <w:color w:val="auto"/>
        </w:rPr>
      </w:pPr>
      <w:r>
        <w:rPr>
          <w:rFonts w:ascii="Arial" w:cs="Arial" w:eastAsia="Arial" w:hAnsi="Arial"/>
          <w:sz w:val="18"/>
          <w:szCs w:val="18"/>
          <w:color w:val="auto"/>
        </w:rPr>
        <w:t>As of September 30, 2021, 98.9% of our debt investments based on fair value in our portfolio bore interest at floating rates (when including investment specific hedges), with 99.4% of these subject to interest rate floors. Our credit facilities also bear interest at floating rates, and in connection with our 2022 Convertible Notes, 2023 Notes, 2024 Notes and 2026 Notes, which bear interest at fixed rates, we entered into fixed-to-floating interest rate swaps in order to align the interest rates of our liabilities with our investment portfolio.</w:t>
      </w:r>
    </w:p>
    <w:p>
      <w:pPr>
        <w:spacing w:after="0" w:line="187"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Assuming that our consolidated balance sheet as of September 30, 2021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Interest Income</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Interest Expense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Interest Income</w:t>
            </w:r>
          </w:p>
        </w:tc>
      </w:tr>
      <w:tr>
        <w:trPr>
          <w:trHeight w:val="223"/>
        </w:trPr>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Up 200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Down 25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2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553" w:right="5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2020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ind w:right="200" w:firstLine="255"/>
        <w:spacing w:after="0" w:line="286" w:lineRule="auto"/>
        <w:rPr>
          <w:sz w:val="20"/>
          <w:szCs w:val="20"/>
          <w:color w:val="auto"/>
        </w:rPr>
      </w:pPr>
      <w:r>
        <w:rPr>
          <w:rFonts w:ascii="Arial" w:cs="Arial" w:eastAsia="Arial" w:hAnsi="Arial"/>
          <w:sz w:val="17"/>
          <w:szCs w:val="17"/>
          <w:i w:val="1"/>
          <w:iCs w:val="1"/>
          <w:color w:val="auto"/>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7" w:lineRule="exact"/>
        <w:rPr>
          <w:sz w:val="20"/>
          <w:szCs w:val="20"/>
          <w:color w:val="auto"/>
        </w:rPr>
      </w:pPr>
    </w:p>
    <w:p>
      <w:pPr>
        <w:jc w:val="both"/>
        <w:ind w:right="160" w:firstLine="255"/>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right="460" w:firstLine="255"/>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0" w:firstLine="255"/>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4"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right="340"/>
        <w:spacing w:after="0" w:line="259" w:lineRule="auto"/>
        <w:rPr>
          <w:sz w:val="20"/>
          <w:szCs w:val="20"/>
          <w:color w:val="auto"/>
        </w:rPr>
      </w:pPr>
      <w:r>
        <w:rPr>
          <w:rFonts w:ascii="Arial" w:cs="Arial" w:eastAsia="Arial" w:hAnsi="Arial"/>
          <w:sz w:val="18"/>
          <w:szCs w:val="18"/>
          <w:color w:val="auto"/>
        </w:rPr>
        <w:t>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7"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firstLine="255"/>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2021, we are currently permitted to sell or otherwise issue shares of our common stock at a price below our then-current net asset value per share, subject to the approval of our Board and certain other conditions. Such stockholder approval expires on May 26, 2022.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4"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6" w:lineRule="exact"/>
        <w:rPr>
          <w:sz w:val="20"/>
          <w:szCs w:val="20"/>
          <w:color w:val="auto"/>
        </w:rPr>
      </w:pPr>
    </w:p>
    <w:p>
      <w:pPr>
        <w:ind w:right="540" w:firstLine="255"/>
        <w:spacing w:after="0" w:line="308" w:lineRule="auto"/>
        <w:rPr>
          <w:sz w:val="20"/>
          <w:szCs w:val="20"/>
          <w:color w:val="auto"/>
        </w:rPr>
      </w:pPr>
      <w:r>
        <w:rPr>
          <w:rFonts w:ascii="Arial" w:cs="Arial" w:eastAsia="Arial" w:hAnsi="Arial"/>
          <w:sz w:val="17"/>
          <w:szCs w:val="17"/>
          <w:color w:val="auto"/>
        </w:rPr>
        <w:t>Our credit facilities and indentures governing our indebtedness also impose financial and operating covenants that restrict our business activities, remedies on default and similar matters. As of September 30, 2021, we are in compliance with the covenants of 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40"/>
        <w:spacing w:after="0" w:line="255" w:lineRule="auto"/>
        <w:rPr>
          <w:sz w:val="20"/>
          <w:szCs w:val="20"/>
          <w:color w:val="auto"/>
        </w:rPr>
      </w:pPr>
      <w:r>
        <w:rPr>
          <w:rFonts w:ascii="Arial" w:cs="Arial" w:eastAsia="Arial" w:hAnsi="Arial"/>
          <w:sz w:val="18"/>
          <w:szCs w:val="18"/>
          <w:color w:val="auto"/>
        </w:rPr>
        <w:t>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As of September 30, 2021, we had $1,124.6 million of outstanding indebtedness, which had an annualized interest cost of 2.26% under the terms of our debt, excluding fees (such as fees on undrawn amounts and amortization of upfront fees) and giving effect to the swap-adjusted interest rates on our 2022 Convertible Notes, 2023 Notes, 2024 Notes and 2026 Notes. As of September 30, 2021,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 and the interest rate on the 2026 Notes was three-month LIBOR plus 1.91%.</w:t>
      </w:r>
    </w:p>
    <w:p>
      <w:pPr>
        <w:spacing w:after="0" w:line="192"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September 30, 2021</w:t>
      </w:r>
    </w:p>
    <w:p>
      <w:pPr>
        <w:spacing w:after="0" w:line="221"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wp:posOffset>
            </wp:positionV>
            <wp:extent cx="39604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r>
    </w:tbl>
    <w:p>
      <w:pPr>
        <w:spacing w:after="0" w:line="202" w:lineRule="exact"/>
        <w:rPr>
          <w:sz w:val="20"/>
          <w:szCs w:val="20"/>
          <w:color w:val="auto"/>
        </w:rPr>
      </w:pPr>
    </w:p>
    <w:p>
      <w:pPr>
        <w:ind w:left="500" w:right="120" w:hanging="492"/>
        <w:spacing w:after="0" w:line="287"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September 30, 2021. As a result, it has not been updated to take into account any changes in assets or leverage since September 30, 2021.</w:t>
      </w:r>
    </w:p>
    <w:p>
      <w:pPr>
        <w:spacing w:after="0" w:line="2" w:lineRule="exact"/>
        <w:rPr>
          <w:rFonts w:ascii="Arial" w:cs="Arial" w:eastAsia="Arial" w:hAnsi="Arial"/>
          <w:sz w:val="16"/>
          <w:szCs w:val="16"/>
          <w:color w:val="auto"/>
        </w:rPr>
      </w:pPr>
    </w:p>
    <w:p>
      <w:pPr>
        <w:ind w:left="500" w:right="100" w:hanging="492"/>
        <w:spacing w:after="0" w:line="25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September 30, 2021 to obtain an assumed return to us. From this amount, the interest expense (calculated by multiplying the weighted average stated interest rate of 2.3% by the approximately $1,124.6 million of principal debt outstanding) is subtracted to determine the return available to stockholders. The return available to stockholders is then divided by the total value of our net assets at September 30, 2021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right="220"/>
        <w:spacing w:after="0" w:line="279" w:lineRule="auto"/>
        <w:rPr>
          <w:sz w:val="20"/>
          <w:szCs w:val="20"/>
          <w:color w:val="auto"/>
        </w:rPr>
      </w:pPr>
      <w:r>
        <w:rPr>
          <w:rFonts w:ascii="Arial" w:cs="Arial" w:eastAsia="Arial" w:hAnsi="Arial"/>
          <w:sz w:val="17"/>
          <w:szCs w:val="17"/>
          <w:color w:val="auto"/>
        </w:rPr>
        <w:t>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71"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6"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760" w:hanging="509"/>
        <w:spacing w:after="0"/>
        <w:tabs>
          <w:tab w:leader="none" w:pos="7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1">
        <w:r>
          <w:rPr>
            <w:rFonts w:ascii="Arial" w:cs="Arial" w:eastAsia="Arial" w:hAnsi="Arial"/>
            <w:sz w:val="16"/>
            <w:szCs w:val="16"/>
            <w:u w:val="single" w:color="auto"/>
            <w:color w:val="0000EE"/>
          </w:rPr>
          <w:t>Certification of Chief Executive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2">
        <w:r>
          <w:rPr>
            <w:rFonts w:ascii="Arial" w:cs="Arial" w:eastAsia="Arial" w:hAnsi="Arial"/>
            <w:sz w:val="16"/>
            <w:szCs w:val="16"/>
            <w:u w:val="single" w:color="auto"/>
            <w:color w:val="0000EE"/>
          </w:rPr>
          <w:t>Certification of Chief Financial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2002</w:t>
        </w:r>
      </w:hyperlink>
    </w:p>
    <w:p>
      <w:pPr>
        <w:spacing w:after="0" w:line="211"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8" w:lineRule="exact"/>
        <w:rPr>
          <w:rFonts w:ascii="Arial" w:cs="Arial" w:eastAsia="Arial" w:hAnsi="Arial"/>
          <w:sz w:val="16"/>
          <w:szCs w:val="16"/>
          <w:u w:val="single" w:color="auto"/>
          <w:color w:val="0000EE"/>
        </w:rPr>
      </w:pPr>
    </w:p>
    <w:p>
      <w:pPr>
        <w:ind w:left="5540"/>
        <w:spacing w:after="0"/>
        <w:rPr>
          <w:rFonts w:ascii="Arial" w:cs="Arial" w:eastAsia="Arial" w:hAnsi="Arial"/>
          <w:sz w:val="16"/>
          <w:szCs w:val="16"/>
          <w:u w:val="single" w:color="auto"/>
          <w:color w:val="0000EE"/>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3120"/>
              <w:spacing w:after="0"/>
              <w:rPr>
                <w:sz w:val="20"/>
                <w:szCs w:val="20"/>
                <w:color w:val="auto"/>
              </w:rPr>
            </w:pPr>
            <w:r>
              <w:rPr>
                <w:rFonts w:ascii="Arial" w:cs="Arial" w:eastAsia="Arial" w:hAnsi="Arial"/>
                <w:sz w:val="18"/>
                <w:szCs w:val="18"/>
                <w:color w:val="auto"/>
              </w:rPr>
              <w:t>SIXTH STREET SPECIALTY LENDING, INC.</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November 2, 2021</w:t>
            </w:r>
          </w:p>
        </w:tc>
        <w:tc>
          <w:tcPr>
            <w:tcW w:w="7580" w:type="dxa"/>
            <w:vAlign w:val="bottom"/>
            <w:gridSpan w:val="2"/>
          </w:tcPr>
          <w:p>
            <w:pPr>
              <w:ind w:left="3120"/>
              <w:spacing w:after="0"/>
              <w:rPr>
                <w:sz w:val="20"/>
                <w:szCs w:val="20"/>
                <w:color w:val="auto"/>
              </w:rPr>
            </w:pPr>
            <w:r>
              <w:rPr>
                <w:rFonts w:ascii="Arial" w:cs="Arial" w:eastAsia="Arial" w:hAnsi="Arial"/>
                <w:sz w:val="18"/>
                <w:szCs w:val="18"/>
                <w:color w:val="auto"/>
              </w:rPr>
              <w:t>By: /s/ Joshua Easterly</w:t>
            </w:r>
          </w:p>
        </w:tc>
      </w:tr>
      <w:tr>
        <w:trPr>
          <w:trHeight w:val="195"/>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November 2, 2021</w:t>
            </w:r>
          </w:p>
        </w:tc>
        <w:tc>
          <w:tcPr>
            <w:tcW w:w="7580" w:type="dxa"/>
            <w:vAlign w:val="bottom"/>
            <w:gridSpan w:val="2"/>
          </w:tcPr>
          <w:p>
            <w:pPr>
              <w:ind w:left="3120"/>
              <w:spacing w:after="0"/>
              <w:rPr>
                <w:sz w:val="20"/>
                <w:szCs w:val="20"/>
                <w:color w:val="auto"/>
              </w:rPr>
            </w:pPr>
            <w:r>
              <w:rPr>
                <w:rFonts w:ascii="Arial" w:cs="Arial" w:eastAsia="Arial" w:hAnsi="Arial"/>
                <w:sz w:val="18"/>
                <w:szCs w:val="18"/>
                <w:color w:val="auto"/>
              </w:rPr>
              <w:t>By: /s/ Ian Simmonds</w:t>
            </w:r>
          </w:p>
        </w:tc>
      </w:tr>
      <w:tr>
        <w:trPr>
          <w:trHeight w:val="195"/>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60" w:type="dxa"/>
            <w:vAlign w:val="bottom"/>
          </w:tcPr>
          <w:p>
            <w:pPr>
              <w:spacing w:after="0"/>
              <w:rPr>
                <w:sz w:val="24"/>
                <w:szCs w:val="24"/>
                <w:color w:val="auto"/>
              </w:rPr>
            </w:pPr>
          </w:p>
        </w:tc>
        <w:tc>
          <w:tcPr>
            <w:tcW w:w="3480" w:type="dxa"/>
            <w:vAlign w:val="bottom"/>
          </w:tcPr>
          <w:p>
            <w:pPr>
              <w:jc w:val="right"/>
              <w:ind w:right="1330"/>
              <w:spacing w:after="0"/>
              <w:rPr>
                <w:sz w:val="20"/>
                <w:szCs w:val="20"/>
                <w:color w:val="auto"/>
              </w:rPr>
            </w:pPr>
            <w:r>
              <w:rPr>
                <w:rFonts w:ascii="Arial" w:cs="Arial" w:eastAsia="Arial" w:hAnsi="Arial"/>
                <w:sz w:val="18"/>
                <w:szCs w:val="18"/>
                <w:color w:val="auto"/>
              </w:rPr>
              <w:t>80</w:t>
            </w:r>
          </w:p>
        </w:tc>
        <w:tc>
          <w:tcPr>
            <w:tcW w:w="41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connection with the quarterly report on Form 10-Q of Sixth Street Specialty Lending, Inc. (the “Company”) for the quarterly period ended September 30, 2021, as filed with the Securities and Exchange Commission on the date hereof (the “Report”), Joshua Easterly as Chief Executive Officer of the Company, and Ian Simmonds, as Chief Financial Officer of the Company, each hereby certifies, pursuant to 18 U.S.C. § 1350, as adopted pursuant to</w:t>
      </w:r>
    </w:p>
    <w:p>
      <w:pPr>
        <w:spacing w:after="0" w:line="2" w:lineRule="exact"/>
        <w:rPr>
          <w:sz w:val="20"/>
          <w:szCs w:val="20"/>
          <w:color w:val="auto"/>
        </w:rPr>
      </w:pPr>
    </w:p>
    <w:p>
      <w:pPr>
        <w:ind w:left="140" w:hanging="132"/>
        <w:spacing w:after="0"/>
        <w:tabs>
          <w:tab w:leader="none" w:pos="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906 of the Sarbanes-Oxley Act of 2002, that, to such officer’s knowledge:</w:t>
      </w:r>
    </w:p>
    <w:p>
      <w:pPr>
        <w:spacing w:after="0" w:line="102" w:lineRule="exact"/>
        <w:rPr>
          <w:rFonts w:ascii="Arial" w:cs="Arial" w:eastAsia="Arial" w:hAnsi="Arial"/>
          <w:sz w:val="18"/>
          <w:szCs w:val="18"/>
          <w:color w:val="auto"/>
        </w:rPr>
      </w:pPr>
    </w:p>
    <w:p>
      <w:pPr>
        <w:ind w:left="780" w:hanging="262"/>
        <w:spacing w:after="0"/>
        <w:tabs>
          <w:tab w:leader="none" w:pos="7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Joshua Easterly</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0"/>
              <w:spacing w:after="0"/>
              <w:rPr>
                <w:sz w:val="20"/>
                <w:szCs w:val="20"/>
                <w:color w:val="auto"/>
              </w:rPr>
            </w:pPr>
            <w:r>
              <w:rPr>
                <w:rFonts w:ascii="Arial" w:cs="Arial" w:eastAsia="Arial" w:hAnsi="Arial"/>
                <w:sz w:val="18"/>
                <w:szCs w:val="18"/>
                <w:color w:val="auto"/>
              </w:rPr>
              <w:t>November 2, 2021</w:t>
            </w:r>
          </w:p>
        </w:tc>
      </w:tr>
    </w:tbl>
    <w:p>
      <w:pPr>
        <w:spacing w:after="0" w:line="20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lvl w:ilvl="1">
      <w:lvlJc w:val="left"/>
      <w:lvlText w:val="(%2)"/>
      <w:numFmt w:val="lowerLetter"/>
      <w:start w:val="1"/>
    </w:lvl>
  </w:abstractNum>
  <w:abstractNum w:abstractNumId="4">
    <w:nsid w:val="1E7FF521"/>
    <w:multiLevelType w:val="hybridMultilevel"/>
    <w:lvl w:ilvl="0">
      <w:lvlJc w:val="left"/>
      <w:lvlText w:val="(%1)"/>
      <w:numFmt w:val="decimal"/>
      <w:start w:val="1"/>
    </w:lvl>
    <w:lvl w:ilvl="1">
      <w:lvlJc w:val="left"/>
      <w:lvlText w:val="%2"/>
      <w:numFmt w:val="lowerLetter"/>
      <w:start w:val="1"/>
    </w:lvl>
  </w:abstractNum>
  <w:abstractNum w:abstractNumId="5">
    <w:nsid w:val="7C3DBD3D"/>
    <w:multiLevelType w:val="hybridMultilevel"/>
    <w:lvl w:ilvl="0">
      <w:lvlJc w:val="left"/>
      <w:lvlText w:val="%1"/>
      <w:numFmt w:val="decimal"/>
      <w:start w:val="1"/>
    </w:lvl>
    <w:lvl w:ilvl="1">
      <w:lvlJc w:val="left"/>
      <w:lvlText w:val="(%2)"/>
      <w:numFmt w:val="lowerLetter"/>
      <w:start w:val="1"/>
    </w:lvl>
  </w:abstractNum>
  <w:abstractNum w:abstractNumId="6">
    <w:nsid w:val="737B8DDC"/>
    <w:multiLevelType w:val="hybridMultilevel"/>
    <w:lvl w:ilvl="0">
      <w:lvlJc w:val="left"/>
      <w:lvlText w:val="(%1)"/>
      <w:numFmt w:val="decimal"/>
      <w:start w:val="7"/>
    </w:lvl>
    <w:lvl w:ilvl="1">
      <w:lvlJc w:val="left"/>
      <w:lvlText w:val="%2"/>
      <w:numFmt w:val="lowerLetter"/>
      <w:start w:val="1"/>
    </w:lvl>
  </w:abstractNum>
  <w:abstractNum w:abstractNumId="7">
    <w:nsid w:val="6CEAF087"/>
    <w:multiLevelType w:val="hybridMultilevel"/>
    <w:lvl w:ilvl="0">
      <w:lvlJc w:val="left"/>
      <w:lvlText w:val="%1"/>
      <w:numFmt w:val="decimal"/>
      <w:start w:val="1"/>
    </w:lvl>
    <w:lvl w:ilvl="1">
      <w:lvlJc w:val="left"/>
      <w:lvlText w:val="(%2)"/>
      <w:numFmt w:val="lowerLetter"/>
      <w:start w:val="1"/>
    </w:lvl>
  </w:abstractNum>
  <w:abstractNum w:abstractNumId="8">
    <w:nsid w:val="22221A70"/>
    <w:multiLevelType w:val="hybridMultilevel"/>
    <w:lvl w:ilvl="0">
      <w:lvlJc w:val="left"/>
      <w:lvlText w:val="(%1)"/>
      <w:numFmt w:val="decimal"/>
      <w:start w:val="8"/>
    </w:lvl>
    <w:lvl w:ilvl="1">
      <w:lvlJc w:val="left"/>
      <w:lvlText w:val="%2"/>
      <w:numFmt w:val="lowerLetter"/>
      <w:start w:val="1"/>
    </w:lvl>
  </w:abstractNum>
  <w:abstractNum w:abstractNumId="9">
    <w:nsid w:val="4516DDE9"/>
    <w:multiLevelType w:val="hybridMultilevel"/>
    <w:lvl w:ilvl="0">
      <w:lvlJc w:val="left"/>
      <w:lvlText w:val="%1"/>
      <w:numFmt w:val="decimal"/>
      <w:start w:val="1"/>
    </w:lvl>
    <w:lvl w:ilvl="1">
      <w:lvlJc w:val="left"/>
      <w:lvlText w:val="(%2)"/>
      <w:numFmt w:val="lowerLetter"/>
      <w:start w:val="1"/>
    </w:lvl>
  </w:abstractNum>
  <w:abstractNum w:abstractNumId="10">
    <w:nsid w:val="3006C83E"/>
    <w:multiLevelType w:val="hybridMultilevel"/>
    <w:lvl w:ilvl="0">
      <w:lvlJc w:val="left"/>
      <w:lvlText w:val="(%1)"/>
      <w:numFmt w:val="decimal"/>
      <w:start w:val="1"/>
    </w:lvl>
    <w:lvl w:ilvl="1">
      <w:lvlJc w:val="left"/>
      <w:lvlText w:val="%2"/>
      <w:numFmt w:val="lowerLetter"/>
      <w:start w:val="1"/>
    </w:lvl>
  </w:abstractNum>
  <w:abstractNum w:abstractNumId="11">
    <w:nsid w:val="614FD4A1"/>
    <w:multiLevelType w:val="hybridMultilevel"/>
    <w:lvl w:ilvl="0">
      <w:lvlJc w:val="left"/>
      <w:lvlText w:val="%1"/>
      <w:numFmt w:val="decimal"/>
      <w:start w:val="1"/>
    </w:lvl>
    <w:lvl w:ilvl="1">
      <w:lvlJc w:val="left"/>
      <w:lvlText w:val="(%2)"/>
      <w:numFmt w:val="lowerLetter"/>
      <w:start w:val="1"/>
    </w:lvl>
  </w:abstractNum>
  <w:abstractNum w:abstractNumId="12">
    <w:nsid w:val="419AC241"/>
    <w:multiLevelType w:val="hybridMultilevel"/>
    <w:lvl w:ilvl="0">
      <w:lvlJc w:val="left"/>
      <w:lvlText w:val="(%1)"/>
      <w:numFmt w:val="decimal"/>
      <w:start w:val="7"/>
    </w:lvl>
    <w:lvl w:ilvl="1">
      <w:lvlJc w:val="left"/>
      <w:lvlText w:val="%2"/>
      <w:numFmt w:val="lowerLetter"/>
      <w:start w:val="1"/>
    </w:lvl>
  </w:abstractNum>
  <w:abstractNum w:abstractNumId="13">
    <w:nsid w:val="5577F8E1"/>
    <w:multiLevelType w:val="hybridMultilevel"/>
    <w:lvl w:ilvl="0">
      <w:lvlJc w:val="left"/>
      <w:lvlText w:val="%1"/>
      <w:numFmt w:val="decimal"/>
      <w:start w:val="1"/>
    </w:lvl>
    <w:lvl w:ilvl="1">
      <w:lvlJc w:val="left"/>
      <w:lvlText w:val="(%2)"/>
      <w:numFmt w:val="lowerLetter"/>
      <w:start w:val="1"/>
    </w:lvl>
  </w:abstractNum>
  <w:abstractNum w:abstractNumId="14">
    <w:nsid w:val="440BADFC"/>
    <w:multiLevelType w:val="hybridMultilevel"/>
    <w:lvl w:ilvl="0">
      <w:lvlJc w:val="left"/>
      <w:lvlText w:val="(%1)"/>
      <w:numFmt w:val="decimal"/>
      <w:start w:val="8"/>
    </w:lvl>
    <w:lvl w:ilvl="1">
      <w:lvlJc w:val="left"/>
      <w:lvlText w:val="%2"/>
      <w:numFmt w:val="lowerLetter"/>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lowerRoman"/>
      <w:start w:val="1"/>
    </w:lvl>
  </w:abstractNum>
  <w:abstractNum w:abstractNumId="19">
    <w:nsid w:val="5C482A97"/>
    <w:multiLevelType w:val="hybridMultilevel"/>
    <w:lvl w:ilvl="0">
      <w:lvlJc w:val="left"/>
      <w:lvlText w:val="(%1)"/>
      <w:numFmt w:val="lowerRoman"/>
      <w:start w:val="2"/>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3"/>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32"/>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2021-11-02T15:16:35Z</dcterms:created>
  <dcterms:modified xsi:type="dcterms:W3CDTF">2021-11-02T15:16:35Z</dcterms:modified>
</cp:coreProperties>
</file>