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34"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ind w:left="2700"/>
        <w:spacing w:after="0"/>
        <w:rPr>
          <w:sz w:val="20"/>
          <w:szCs w:val="20"/>
          <w:color w:val="auto"/>
        </w:rPr>
      </w:pPr>
      <w:r>
        <w:rPr>
          <w:rFonts w:ascii="Arial" w:cs="Arial" w:eastAsia="Arial" w:hAnsi="Arial"/>
          <w:sz w:val="18"/>
          <w:szCs w:val="18"/>
          <w:b w:val="1"/>
          <w:bCs w:val="1"/>
          <w:color w:val="auto"/>
        </w:rPr>
        <w:t>TO § 240.13d-1(a) AND AMENDMENTS THERETO FILED PURSUANT TO</w:t>
      </w:r>
    </w:p>
    <w:p>
      <w:pPr>
        <w:spacing w:after="0" w:line="9" w:lineRule="exact"/>
        <w:rPr>
          <w:sz w:val="24"/>
          <w:szCs w:val="24"/>
          <w:color w:val="auto"/>
        </w:rPr>
      </w:pPr>
    </w:p>
    <w:p>
      <w:pPr>
        <w:ind w:left="4880" w:right="4860" w:firstLine="289"/>
        <w:spacing w:after="0" w:line="589" w:lineRule="auto"/>
        <w:tabs>
          <w:tab w:leader="none" w:pos="529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240.13d-2(a) (Amendment No. 1) *</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TPG Specialty Lending, Inc.</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$0.01 par value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Timothy M. Walsh</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Director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of New Jersey</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color w:val="auto"/>
        </w:rPr>
        <w:t>Division of Investment</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8"/>
          <w:szCs w:val="18"/>
          <w:color w:val="auto"/>
        </w:rPr>
        <w:t>50 West State Street, 9th Floor</w:t>
      </w:r>
    </w:p>
    <w:p>
      <w:pPr>
        <w:spacing w:after="0" w:line="9" w:lineRule="exact"/>
        <w:rPr>
          <w:sz w:val="24"/>
          <w:szCs w:val="24"/>
          <w:color w:val="auto"/>
        </w:rPr>
      </w:pPr>
    </w:p>
    <w:p>
      <w:pPr>
        <w:ind w:left="5240"/>
        <w:spacing w:after="0"/>
        <w:rPr>
          <w:sz w:val="20"/>
          <w:szCs w:val="20"/>
          <w:color w:val="auto"/>
        </w:rPr>
      </w:pPr>
      <w:r>
        <w:rPr>
          <w:rFonts w:ascii="Arial" w:cs="Arial" w:eastAsia="Arial" w:hAnsi="Arial"/>
          <w:sz w:val="18"/>
          <w:szCs w:val="18"/>
          <w:color w:val="auto"/>
        </w:rPr>
        <w:t>P.O. Box 290</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Trenton, NJ 08625-0290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(609) 292-5106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74295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4"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None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August 1, 2011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o</w:t>
      </w:r>
    </w:p>
    <w:p>
      <w:pPr>
        <w:spacing w:after="0" w:line="197"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1" w:lineRule="exact"/>
        <w:rPr>
          <w:sz w:val="24"/>
          <w:szCs w:val="24"/>
          <w:color w:val="auto"/>
        </w:rPr>
      </w:pPr>
    </w:p>
    <w:p>
      <w:pPr>
        <w:jc w:val="center"/>
        <w:ind w:right="300"/>
        <w:spacing w:after="0"/>
        <w:rPr>
          <w:sz w:val="20"/>
          <w:szCs w:val="20"/>
          <w:color w:val="auto"/>
        </w:rPr>
      </w:pPr>
      <w:r>
        <w:rPr>
          <w:rFonts w:ascii="Arial" w:cs="Arial" w:eastAsia="Arial" w:hAnsi="Arial"/>
          <w:sz w:val="18"/>
          <w:szCs w:val="18"/>
          <w:color w:val="auto"/>
        </w:rPr>
        <w:t>(Continued on following pages)</w:t>
      </w: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Page 1 of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 w:name="page2"/>
    <w:bookmarkEnd w:id="1"/>
    <w:p>
      <w:pPr>
        <w:ind w:left="720" w:hanging="489"/>
        <w:spacing w:after="0"/>
        <w:tabs>
          <w:tab w:leader="none" w:pos="72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State of New Jersey Common Pension Fund B</w:t>
      </w:r>
    </w:p>
    <w:p>
      <w:pPr>
        <w:spacing w:after="0" w:line="14" w:lineRule="exact"/>
        <w:rPr>
          <w:sz w:val="20"/>
          <w:szCs w:val="20"/>
          <w:color w:val="auto"/>
        </w:rPr>
      </w:pPr>
    </w:p>
    <w:p>
      <w:pPr>
        <w:ind w:left="720" w:hanging="489"/>
        <w:spacing w:after="0"/>
        <w:tabs>
          <w:tab w:leader="none" w:pos="72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2"/>
          <w:szCs w:val="22"/>
          <w:b w:val="1"/>
          <w:bCs w:val="1"/>
          <w:color w:val="auto"/>
        </w:rPr>
      </w:pPr>
    </w:p>
    <w:p>
      <w:pPr>
        <w:ind w:left="6000" w:hanging="252"/>
        <w:spacing w:after="0" w:line="207" w:lineRule="exact"/>
        <w:tabs>
          <w:tab w:leader="none" w:pos="60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6000" w:hanging="252"/>
        <w:spacing w:after="0" w:line="207" w:lineRule="exact"/>
        <w:tabs>
          <w:tab w:leader="none" w:pos="600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4" w:lineRule="exact"/>
        <w:rPr>
          <w:sz w:val="20"/>
          <w:szCs w:val="20"/>
          <w:color w:val="auto"/>
        </w:rPr>
      </w:pPr>
    </w:p>
    <w:p>
      <w:pPr>
        <w:ind w:left="720" w:hanging="489"/>
        <w:spacing w:after="0"/>
        <w:tabs>
          <w:tab w:leader="none" w:pos="72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6" w:lineRule="exact"/>
        <w:rPr>
          <w:sz w:val="20"/>
          <w:szCs w:val="20"/>
          <w:color w:val="auto"/>
        </w:rPr>
      </w:pPr>
    </w:p>
    <w:p>
      <w:pPr>
        <w:ind w:left="720" w:hanging="489"/>
        <w:spacing w:after="0"/>
        <w:tabs>
          <w:tab w:leader="none" w:pos="72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SOURCE OF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WC</w:t>
      </w:r>
    </w:p>
    <w:p>
      <w:pPr>
        <w:spacing w:after="0" w:line="9" w:lineRule="exact"/>
        <w:rPr>
          <w:sz w:val="20"/>
          <w:szCs w:val="20"/>
          <w:color w:val="auto"/>
        </w:rPr>
      </w:pPr>
    </w:p>
    <w:p>
      <w:pPr>
        <w:ind w:left="720" w:hanging="489"/>
        <w:spacing w:after="0"/>
        <w:tabs>
          <w:tab w:leader="none" w:pos="720" w:val="left"/>
        </w:tabs>
        <w:numPr>
          <w:ilvl w:val="0"/>
          <w:numId w:val="6"/>
        </w:numPr>
        <w:rPr>
          <w:rFonts w:ascii="Arial" w:cs="Arial" w:eastAsia="Arial" w:hAnsi="Arial"/>
          <w:sz w:val="22"/>
          <w:szCs w:val="22"/>
          <w:b w:val="1"/>
          <w:bCs w:val="1"/>
          <w:color w:val="auto"/>
        </w:rPr>
      </w:pPr>
      <w:r>
        <w:rPr>
          <w:rFonts w:ascii="Arial" w:cs="Arial" w:eastAsia="Arial" w:hAnsi="Arial"/>
          <w:sz w:val="18"/>
          <w:szCs w:val="18"/>
          <w:color w:val="auto"/>
        </w:rPr>
        <w:t>CHECK IF DISCLOSURE OF LEGAL PROCEEDINGS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720"/>
        <w:spacing w:after="0" w:line="187" w:lineRule="exact"/>
        <w:tabs>
          <w:tab w:leader="none" w:pos="6500" w:val="left"/>
        </w:tabs>
        <w:rPr>
          <w:sz w:val="20"/>
          <w:szCs w:val="20"/>
          <w:color w:val="auto"/>
        </w:rPr>
      </w:pPr>
      <w:r>
        <w:rPr>
          <w:rFonts w:ascii="Arial" w:cs="Arial" w:eastAsia="Arial" w:hAnsi="Arial"/>
          <w:sz w:val="18"/>
          <w:szCs w:val="18"/>
          <w:color w:val="auto"/>
        </w:rPr>
        <w:t>PURSUANT TO ITEM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 w:lineRule="exact"/>
        <w:rPr>
          <w:sz w:val="20"/>
          <w:szCs w:val="20"/>
          <w:color w:val="auto"/>
        </w:rPr>
      </w:pPr>
    </w:p>
    <w:p>
      <w:pPr>
        <w:ind w:left="720" w:right="7020" w:hanging="489"/>
        <w:spacing w:after="0" w:line="341" w:lineRule="auto"/>
        <w:tabs>
          <w:tab w:leader="none" w:pos="720" w:val="left"/>
        </w:tabs>
        <w:numPr>
          <w:ilvl w:val="0"/>
          <w:numId w:val="7"/>
        </w:numPr>
        <w:rPr>
          <w:rFonts w:ascii="Arial" w:cs="Arial" w:eastAsia="Arial" w:hAnsi="Arial"/>
          <w:sz w:val="22"/>
          <w:szCs w:val="22"/>
          <w:b w:val="1"/>
          <w:bCs w:val="1"/>
          <w:color w:val="auto"/>
        </w:rPr>
      </w:pPr>
      <w:r>
        <w:rPr>
          <w:rFonts w:ascii="Arial" w:cs="Arial" w:eastAsia="Arial" w:hAnsi="Arial"/>
          <w:sz w:val="18"/>
          <w:szCs w:val="18"/>
          <w:color w:val="auto"/>
        </w:rPr>
        <w:t>CITIZENSHIP OR PLACE OF ORGANIZATION USA</w:t>
      </w:r>
    </w:p>
    <w:p>
      <w:pPr>
        <w:ind w:left="3380" w:hanging="705"/>
        <w:spacing w:after="0" w:line="232" w:lineRule="auto"/>
        <w:tabs>
          <w:tab w:leader="none" w:pos="3380" w:val="left"/>
        </w:tabs>
        <w:numPr>
          <w:ilvl w:val="0"/>
          <w:numId w:val="8"/>
        </w:numPr>
        <w:rPr>
          <w:rFonts w:ascii="Arial" w:cs="Arial" w:eastAsia="Arial" w:hAnsi="Arial"/>
          <w:sz w:val="22"/>
          <w:szCs w:val="22"/>
          <w:b w:val="1"/>
          <w:bCs w:val="1"/>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2"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6"/>
              </w:rPr>
              <w:t>NUMBER OF</w:t>
            </w:r>
          </w:p>
        </w:tc>
        <w:tc>
          <w:tcPr>
            <w:tcW w:w="88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27,167 shares</w:t>
            </w:r>
          </w:p>
        </w:tc>
        <w:tc>
          <w:tcPr>
            <w:tcW w:w="0" w:type="dxa"/>
            <w:vAlign w:val="bottom"/>
          </w:tcPr>
          <w:p>
            <w:pPr>
              <w:spacing w:after="0"/>
              <w:rPr>
                <w:sz w:val="1"/>
                <w:szCs w:val="1"/>
                <w:color w:val="auto"/>
              </w:rPr>
            </w:pPr>
          </w:p>
        </w:tc>
      </w:tr>
      <w:tr>
        <w:trPr>
          <w:trHeight w:val="237"/>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88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jc w:val="center"/>
              <w:ind w:right="390"/>
              <w:spacing w:after="0" w:line="189" w:lineRule="exact"/>
              <w:rPr>
                <w:sz w:val="20"/>
                <w:szCs w:val="20"/>
                <w:color w:val="auto"/>
              </w:rPr>
            </w:pPr>
            <w:r>
              <w:rPr>
                <w:rFonts w:ascii="Arial" w:cs="Arial" w:eastAsia="Arial" w:hAnsi="Arial"/>
                <w:sz w:val="18"/>
                <w:szCs w:val="18"/>
                <w:color w:val="auto"/>
              </w:rPr>
              <w:t>BENEFICIALLY</w:t>
            </w:r>
          </w:p>
        </w:tc>
        <w:tc>
          <w:tcPr>
            <w:tcW w:w="880" w:type="dxa"/>
            <w:vAlign w:val="bottom"/>
          </w:tcPr>
          <w:p>
            <w:pPr>
              <w:jc w:val="center"/>
              <w:spacing w:after="0" w:line="189" w:lineRule="exact"/>
              <w:rPr>
                <w:sz w:val="20"/>
                <w:szCs w:val="20"/>
                <w:color w:val="auto"/>
              </w:rPr>
            </w:pPr>
            <w:r>
              <w:rPr>
                <w:rFonts w:ascii="Arial" w:cs="Arial" w:eastAsia="Arial" w:hAnsi="Arial"/>
                <w:sz w:val="21"/>
                <w:szCs w:val="21"/>
                <w:b w:val="1"/>
                <w:bCs w:val="1"/>
                <w:color w:val="auto"/>
                <w:w w:val="85"/>
              </w:rPr>
              <w:t>8</w:t>
            </w:r>
          </w:p>
        </w:tc>
        <w:tc>
          <w:tcPr>
            <w:tcW w:w="8300" w:type="dxa"/>
            <w:vAlign w:val="bottom"/>
          </w:tcPr>
          <w:p>
            <w:pPr>
              <w:ind w:left="260"/>
              <w:spacing w:after="0" w:line="189"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2"/>
        </w:trPr>
        <w:tc>
          <w:tcPr>
            <w:tcW w:w="1760" w:type="dxa"/>
            <w:vAlign w:val="bottom"/>
          </w:tcPr>
          <w:p>
            <w:pPr>
              <w:jc w:val="center"/>
              <w:ind w:right="390"/>
              <w:spacing w:after="0" w:line="201" w:lineRule="exact"/>
              <w:rPr>
                <w:sz w:val="20"/>
                <w:szCs w:val="20"/>
                <w:color w:val="auto"/>
              </w:rPr>
            </w:pPr>
            <w:r>
              <w:rPr>
                <w:rFonts w:ascii="Arial" w:cs="Arial" w:eastAsia="Arial" w:hAnsi="Arial"/>
                <w:sz w:val="18"/>
                <w:szCs w:val="18"/>
                <w:color w:val="auto"/>
                <w:w w:val="97"/>
              </w:rPr>
              <w:t>OWNED BY</w:t>
            </w:r>
          </w:p>
        </w:tc>
        <w:tc>
          <w:tcPr>
            <w:tcW w:w="88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5"/>
              </w:rPr>
              <w:t>EACH</w:t>
            </w:r>
          </w:p>
        </w:tc>
        <w:tc>
          <w:tcPr>
            <w:tcW w:w="880" w:type="dxa"/>
            <w:vAlign w:val="bottom"/>
          </w:tcPr>
          <w:p>
            <w:pPr>
              <w:spacing w:after="0"/>
              <w:rPr>
                <w:sz w:val="18"/>
                <w:szCs w:val="18"/>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3"/>
              </w:rPr>
              <w:t>REPORTING</w:t>
            </w:r>
          </w:p>
        </w:tc>
        <w:tc>
          <w:tcPr>
            <w:tcW w:w="8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89"/>
              </w:rPr>
              <w:t>PERSON</w:t>
            </w:r>
          </w:p>
        </w:tc>
        <w:tc>
          <w:tcPr>
            <w:tcW w:w="880" w:type="dxa"/>
            <w:vAlign w:val="bottom"/>
            <w:tcBorders>
              <w:bottom w:val="single" w:sz="8" w:color="auto"/>
            </w:tcBorders>
          </w:tcPr>
          <w:p>
            <w:pPr>
              <w:spacing w:after="0"/>
              <w:rPr>
                <w:sz w:val="4"/>
                <w:szCs w:val="4"/>
                <w:color w:val="auto"/>
              </w:rPr>
            </w:pPr>
          </w:p>
        </w:tc>
        <w:tc>
          <w:tcPr>
            <w:tcW w:w="8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760" w:type="dxa"/>
            <w:vAlign w:val="bottom"/>
            <w:vMerge w:val="continue"/>
          </w:tcPr>
          <w:p>
            <w:pPr>
              <w:spacing w:after="0"/>
              <w:rPr>
                <w:sz w:val="14"/>
                <w:szCs w:val="14"/>
                <w:color w:val="auto"/>
              </w:rPr>
            </w:pPr>
          </w:p>
        </w:tc>
        <w:tc>
          <w:tcPr>
            <w:tcW w:w="88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9"/>
              </w:rPr>
              <w:t>9</w:t>
            </w:r>
          </w:p>
        </w:tc>
        <w:tc>
          <w:tcPr>
            <w:tcW w:w="8300" w:type="dxa"/>
            <w:vAlign w:val="bottom"/>
          </w:tcPr>
          <w:p>
            <w:pPr>
              <w:ind w:left="260"/>
              <w:spacing w:after="0" w:line="164"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WITH</w:t>
            </w:r>
          </w:p>
        </w:tc>
        <w:tc>
          <w:tcPr>
            <w:tcW w:w="88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27,167 shares**</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76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22"/>
                <w:szCs w:val="22"/>
                <w:b w:val="1"/>
                <w:bCs w:val="1"/>
                <w:color w:val="auto"/>
                <w:w w:val="89"/>
              </w:rPr>
              <w:t>10</w:t>
            </w:r>
          </w:p>
        </w:tc>
        <w:tc>
          <w:tcPr>
            <w:tcW w:w="830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68"/>
        </w:trPr>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300" w:type="dxa"/>
            <w:vAlign w:val="bottom"/>
          </w:tcPr>
          <w:p>
            <w:pPr>
              <w:ind w:left="2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160" w:right="4000" w:hanging="1910"/>
        <w:spacing w:after="0" w:line="232" w:lineRule="auto"/>
        <w:tabs>
          <w:tab w:leader="none" w:pos="863" w:val="left"/>
        </w:tabs>
        <w:numPr>
          <w:ilvl w:val="0"/>
          <w:numId w:val="9"/>
        </w:numPr>
        <w:rPr>
          <w:rFonts w:ascii="Arial" w:cs="Arial" w:eastAsia="Arial" w:hAnsi="Arial"/>
          <w:sz w:val="22"/>
          <w:szCs w:val="22"/>
          <w:b w:val="1"/>
          <w:bCs w:val="1"/>
          <w:color w:val="auto"/>
        </w:rPr>
      </w:pPr>
      <w:r>
        <w:rPr>
          <w:rFonts w:ascii="Arial" w:cs="Arial" w:eastAsia="Arial" w:hAnsi="Arial"/>
          <w:sz w:val="18"/>
          <w:szCs w:val="18"/>
          <w:color w:val="auto"/>
        </w:rPr>
        <w:t>AGGREGATE AMOUNT BENEFICIALLY OWNED BY EACH REPORTING PERSON 27,167 shares</w:t>
      </w:r>
    </w:p>
    <w:p>
      <w:pPr>
        <w:spacing w:after="0" w:line="1" w:lineRule="exact"/>
        <w:rPr>
          <w:rFonts w:ascii="Arial" w:cs="Arial" w:eastAsia="Arial" w:hAnsi="Arial"/>
          <w:sz w:val="22"/>
          <w:szCs w:val="22"/>
          <w:b w:val="1"/>
          <w:bCs w:val="1"/>
          <w:color w:val="auto"/>
        </w:rPr>
      </w:pPr>
    </w:p>
    <w:p>
      <w:pPr>
        <w:ind w:left="860" w:hanging="616"/>
        <w:spacing w:after="0" w:line="200" w:lineRule="auto"/>
        <w:tabs>
          <w:tab w:leader="none" w:pos="860" w:val="left"/>
        </w:tabs>
        <w:numPr>
          <w:ilvl w:val="0"/>
          <w:numId w:val="9"/>
        </w:numPr>
        <w:rPr>
          <w:rFonts w:ascii="Arial" w:cs="Arial" w:eastAsia="Arial" w:hAnsi="Arial"/>
          <w:sz w:val="22"/>
          <w:szCs w:val="22"/>
          <w:b w:val="1"/>
          <w:bCs w:val="1"/>
          <w:color w:val="auto"/>
        </w:rPr>
      </w:pPr>
      <w:r>
        <w:rPr>
          <w:rFonts w:ascii="Arial" w:cs="Arial" w:eastAsia="Arial" w:hAnsi="Arial"/>
          <w:sz w:val="18"/>
          <w:szCs w:val="18"/>
          <w:color w:val="auto"/>
        </w:rPr>
        <w:t>CHECK BOX IF THE AGGREGATE AMOUNT IN ROW (11) EXCLUDES CERTAIN SHARES (See Instructions)</w:t>
      </w:r>
    </w:p>
    <w:p>
      <w:pPr>
        <w:ind w:left="6200"/>
        <w:spacing w:after="0" w:line="181" w:lineRule="exact"/>
        <w:rPr>
          <w:rFonts w:ascii="Arial" w:cs="Arial" w:eastAsia="Arial" w:hAnsi="Arial"/>
          <w:sz w:val="22"/>
          <w:szCs w:val="22"/>
          <w:b w:val="1"/>
          <w:bCs w:val="1"/>
          <w:color w:val="auto"/>
        </w:rPr>
      </w:pPr>
      <w:r>
        <w:rPr>
          <w:rFonts w:ascii="MS PGothic" w:cs="MS PGothic" w:eastAsia="MS PGothic" w:hAnsi="MS PGothic"/>
          <w:sz w:val="18"/>
          <w:szCs w:val="18"/>
          <w:color w:val="auto"/>
        </w:rPr>
        <w:t>☐</w:t>
      </w:r>
    </w:p>
    <w:p>
      <w:pPr>
        <w:spacing w:after="0" w:line="42" w:lineRule="exact"/>
        <w:rPr>
          <w:rFonts w:ascii="Arial" w:cs="Arial" w:eastAsia="Arial" w:hAnsi="Arial"/>
          <w:sz w:val="22"/>
          <w:szCs w:val="22"/>
          <w:b w:val="1"/>
          <w:bCs w:val="1"/>
          <w:color w:val="auto"/>
        </w:rPr>
      </w:pPr>
    </w:p>
    <w:p>
      <w:pPr>
        <w:ind w:left="860" w:right="5420" w:hanging="616"/>
        <w:spacing w:after="0" w:line="224" w:lineRule="auto"/>
        <w:tabs>
          <w:tab w:leader="none" w:pos="860" w:val="left"/>
        </w:tabs>
        <w:numPr>
          <w:ilvl w:val="0"/>
          <w:numId w:val="9"/>
        </w:numPr>
        <w:rPr>
          <w:rFonts w:ascii="Arial" w:cs="Arial" w:eastAsia="Arial" w:hAnsi="Arial"/>
          <w:sz w:val="22"/>
          <w:szCs w:val="22"/>
          <w:b w:val="1"/>
          <w:bCs w:val="1"/>
          <w:color w:val="auto"/>
        </w:rPr>
      </w:pPr>
      <w:r>
        <w:rPr>
          <w:rFonts w:ascii="Arial" w:cs="Arial" w:eastAsia="Arial" w:hAnsi="Arial"/>
          <w:sz w:val="18"/>
          <w:szCs w:val="18"/>
          <w:color w:val="auto"/>
        </w:rPr>
        <w:t>PERCENT OF CLASS REPRESENTED BY AMOUNT IN ROW (11) 24.6%</w:t>
      </w:r>
    </w:p>
    <w:p>
      <w:pPr>
        <w:spacing w:after="0" w:line="1" w:lineRule="exact"/>
        <w:rPr>
          <w:rFonts w:ascii="Arial" w:cs="Arial" w:eastAsia="Arial" w:hAnsi="Arial"/>
          <w:sz w:val="22"/>
          <w:szCs w:val="22"/>
          <w:b w:val="1"/>
          <w:bCs w:val="1"/>
          <w:color w:val="auto"/>
        </w:rPr>
      </w:pPr>
    </w:p>
    <w:p>
      <w:pPr>
        <w:ind w:left="860" w:hanging="616"/>
        <w:spacing w:after="0" w:line="205" w:lineRule="auto"/>
        <w:tabs>
          <w:tab w:leader="none" w:pos="860" w:val="left"/>
        </w:tabs>
        <w:numPr>
          <w:ilvl w:val="0"/>
          <w:numId w:val="9"/>
        </w:numPr>
        <w:rPr>
          <w:rFonts w:ascii="Arial" w:cs="Arial" w:eastAsia="Arial" w:hAnsi="Arial"/>
          <w:sz w:val="22"/>
          <w:szCs w:val="22"/>
          <w:b w:val="1"/>
          <w:bCs w:val="1"/>
          <w:color w:val="auto"/>
        </w:rPr>
      </w:pPr>
      <w:r>
        <w:rPr>
          <w:rFonts w:ascii="Arial" w:cs="Arial" w:eastAsia="Arial" w:hAnsi="Arial"/>
          <w:sz w:val="18"/>
          <w:szCs w:val="18"/>
          <w:color w:val="auto"/>
        </w:rPr>
        <w:t>TYPE OF REPORTING PERSON (See Instructions)</w:t>
      </w:r>
    </w:p>
    <w:p>
      <w:pPr>
        <w:spacing w:after="0" w:line="1" w:lineRule="exact"/>
        <w:rPr>
          <w:rFonts w:ascii="Arial" w:cs="Arial" w:eastAsia="Arial" w:hAnsi="Arial"/>
          <w:sz w:val="22"/>
          <w:szCs w:val="22"/>
          <w:b w:val="1"/>
          <w:bCs w:val="1"/>
          <w:color w:val="auto"/>
        </w:rPr>
      </w:pPr>
    </w:p>
    <w:p>
      <w:pPr>
        <w:ind w:left="860"/>
        <w:spacing w:after="0"/>
        <w:rPr>
          <w:rFonts w:ascii="Arial" w:cs="Arial" w:eastAsia="Arial" w:hAnsi="Arial"/>
          <w:sz w:val="22"/>
          <w:szCs w:val="22"/>
          <w:b w:val="1"/>
          <w:bCs w:val="1"/>
          <w:color w:val="auto"/>
        </w:rPr>
      </w:pPr>
      <w:r>
        <w:rPr>
          <w:rFonts w:ascii="Arial" w:cs="Arial" w:eastAsia="Arial" w:hAnsi="Arial"/>
          <w:sz w:val="18"/>
          <w:szCs w:val="18"/>
          <w:color w:val="auto"/>
        </w:rPr>
        <w:t>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-1109345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**See Item 4 regarding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left="1300"/>
        <w:spacing w:after="0" w:line="302" w:lineRule="auto"/>
        <w:rPr>
          <w:sz w:val="20"/>
          <w:szCs w:val="20"/>
          <w:color w:val="auto"/>
        </w:rPr>
      </w:pPr>
      <w:r>
        <w:rPr>
          <w:rFonts w:ascii="Arial" w:cs="Arial" w:eastAsia="Arial" w:hAnsi="Arial"/>
          <w:sz w:val="16"/>
          <w:szCs w:val="16"/>
          <w:color w:val="auto"/>
        </w:rPr>
        <w:t>This Amendment No. 1 amends and supplements the Schedule 13D originally filed with the United States Securities and Exchange Commission by the Reporting Person on June 24, 2011 (the “Statement”) relating to the Common Stock, $0.01 par value, of TPG Specialty Lending, Inc., a Delaware corporation (the “Issuer”). Unless otherwise indicated, all capitalized terms used herein shall have the meanings ascribed to them in the Statement, and unless amended or supplemented hereby, all information previously filed remains in effect.</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of the Statement is hereby supplemented as follows:</w:t>
      </w:r>
    </w:p>
    <w:p>
      <w:pPr>
        <w:spacing w:after="0" w:line="252"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On August 1, 2011, pursuant to the Subscription Agreement with the Issuer, the Fund agreed to purchase from the Issuer in a private transaction an additional 16,640 shares of Common Stock for an aggregate purchase price of $15,982,095 (the “Second Closing”). The source of funds for the purchase of such shares will be the working capital of the Fund.</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of the Statement is hereby amended and restated in its entirety to read as follows:</w:t>
      </w:r>
    </w:p>
    <w:p>
      <w:pPr>
        <w:spacing w:after="0" w:line="200" w:lineRule="exact"/>
        <w:rPr>
          <w:sz w:val="20"/>
          <w:szCs w:val="20"/>
          <w:color w:val="auto"/>
        </w:rPr>
      </w:pPr>
    </w:p>
    <w:p>
      <w:pPr>
        <w:spacing w:after="0" w:line="295" w:lineRule="exact"/>
        <w:rPr>
          <w:sz w:val="20"/>
          <w:szCs w:val="20"/>
          <w:color w:val="auto"/>
        </w:rPr>
      </w:pPr>
    </w:p>
    <w:p>
      <w:pPr>
        <w:ind w:left="1300" w:right="120"/>
        <w:spacing w:after="0" w:line="259" w:lineRule="auto"/>
        <w:rPr>
          <w:sz w:val="20"/>
          <w:szCs w:val="20"/>
          <w:color w:val="auto"/>
        </w:rPr>
      </w:pPr>
      <w:r>
        <w:rPr>
          <w:rFonts w:ascii="Arial" w:cs="Arial" w:eastAsia="Arial" w:hAnsi="Arial"/>
          <w:sz w:val="18"/>
          <w:szCs w:val="18"/>
          <w:color w:val="auto"/>
        </w:rPr>
        <w:t>The Fund acquired the securities of the Issuer covered by this Schedule 13D for investment purposes and does not have a present intent to acquire or influence control over the business of the Issuer. In addition, the Fund has acquired certain rights and obligations with respect to the Issuer that are contained in the Subscription Agreement, which was filed as Exhibit 99.1 to the Statement and is incorporated by reference herein.</w:t>
      </w:r>
    </w:p>
    <w:p>
      <w:pPr>
        <w:spacing w:after="0" w:line="214" w:lineRule="exact"/>
        <w:rPr>
          <w:sz w:val="20"/>
          <w:szCs w:val="20"/>
          <w:color w:val="auto"/>
        </w:rPr>
      </w:pPr>
    </w:p>
    <w:p>
      <w:pPr>
        <w:ind w:left="1300" w:right="40"/>
        <w:spacing w:after="0" w:line="297" w:lineRule="auto"/>
        <w:rPr>
          <w:sz w:val="20"/>
          <w:szCs w:val="20"/>
          <w:color w:val="auto"/>
        </w:rPr>
      </w:pPr>
      <w:r>
        <w:rPr>
          <w:rFonts w:ascii="Arial" w:cs="Arial" w:eastAsia="Arial" w:hAnsi="Arial"/>
          <w:sz w:val="16"/>
          <w:szCs w:val="16"/>
          <w:color w:val="auto"/>
        </w:rPr>
        <w:t>Pursuant to and in accordance with the terms of the Subscription Agreement, the Fund has agreed to purchase shares of Common Stock from the Issuer for an aggregate purchase price of up to $200,000,000, inclusive of the 10,527 shares of Common Stock purchased at the Initial Closing and the additional 16,640 shares of Common Stock to be purchased at the Second Closing reported herein. As set forth in the Subscription Agreement, additional purchases are to occur in one or more subsequent closings on dates to be selected by the Issuer in its sole discretion (each, a “Closing Date”) at a price per share equal to the per share net asset value as of the respective Closing Date.</w:t>
      </w:r>
    </w:p>
    <w:p>
      <w:pPr>
        <w:spacing w:after="0" w:line="185"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Also pursuant to the Subscription Agreement, subject to certain limitations, the Fund will be entitled to have one nonvoting observer at all meetings of the Board of Directors of the Issuer.</w:t>
      </w:r>
    </w:p>
    <w:p>
      <w:pPr>
        <w:spacing w:after="0" w:line="197" w:lineRule="exact"/>
        <w:rPr>
          <w:sz w:val="20"/>
          <w:szCs w:val="20"/>
          <w:color w:val="auto"/>
        </w:rPr>
      </w:pPr>
    </w:p>
    <w:p>
      <w:pPr>
        <w:ind w:left="1300" w:right="60"/>
        <w:spacing w:after="0" w:line="255" w:lineRule="auto"/>
        <w:rPr>
          <w:sz w:val="20"/>
          <w:szCs w:val="20"/>
          <w:color w:val="auto"/>
        </w:rPr>
      </w:pPr>
      <w:r>
        <w:rPr>
          <w:rFonts w:ascii="Arial" w:cs="Arial" w:eastAsia="Arial" w:hAnsi="Arial"/>
          <w:sz w:val="18"/>
          <w:szCs w:val="18"/>
          <w:color w:val="auto"/>
        </w:rPr>
        <w:t>While it is not its present intention of the Fund to do so, the Fund may from time to time, subject to any legal or contractual restrictions, seek to dispose of some or all of its interests in the Common Stock held by it in privately negotiated transactions, through a public offering, or otherwise, based on its ongoing evaluation of the investment, prevailing market conditions, liquidity needs and such other factors and considerations as it may deem relevant. The Subscription Agreement contains certain restrictions on the transfer of the shares of Common Stock acquired thereunder, including, among others, a requirement that, prior to a qualified initial public offering of Common Stock by the Issuer, the Fund obtain the written consent of the Issuer’s Adviser (as such term is defined in the Subscription Agreement) prior to effecting any transfer of shares.</w:t>
      </w:r>
    </w:p>
    <w:p>
      <w:pPr>
        <w:spacing w:after="0" w:line="216" w:lineRule="exact"/>
        <w:rPr>
          <w:sz w:val="20"/>
          <w:szCs w:val="20"/>
          <w:color w:val="auto"/>
        </w:rPr>
      </w:pPr>
    </w:p>
    <w:p>
      <w:pPr>
        <w:ind w:left="1300" w:right="20"/>
        <w:spacing w:after="0" w:line="264" w:lineRule="auto"/>
        <w:rPr>
          <w:sz w:val="20"/>
          <w:szCs w:val="20"/>
          <w:color w:val="auto"/>
        </w:rPr>
      </w:pPr>
      <w:r>
        <w:rPr>
          <w:rFonts w:ascii="Arial" w:cs="Arial" w:eastAsia="Arial" w:hAnsi="Arial"/>
          <w:sz w:val="18"/>
          <w:szCs w:val="18"/>
          <w:color w:val="auto"/>
        </w:rPr>
        <w:t>Except as described herein, the Fund does not have any plans or proposals which relate to or would result in any of the matters referred to in paragraphs (a) through (j), inclusive, of the instructions to Item 4 of Schedule 13D. The Fund may, at any time and from time to time, formulate other purposes, plans or proposals regarding the Issuer or any of its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456565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5 of the Statement is hereby amended and restated in its entirety to read as follows:</w:t>
      </w:r>
    </w:p>
    <w:p>
      <w:pPr>
        <w:spacing w:after="0" w:line="252" w:lineRule="exact"/>
        <w:rPr>
          <w:sz w:val="20"/>
          <w:szCs w:val="20"/>
          <w:color w:val="auto"/>
        </w:rPr>
      </w:pPr>
    </w:p>
    <w:p>
      <w:pPr>
        <w:jc w:val="both"/>
        <w:ind w:left="130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upon information provided by the Issuer, immediately after the Second Closing, there are 110,653 shares of Common Stock outstanding. The aggregate number and percentage of the class of securities beneficially owned by the Fund following the Second Closing is 27,167 shares, representing 24.6% of the outstanding shares of Common Stock.</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of shares as to which the Fund has:</w:t>
      </w:r>
    </w:p>
    <w:p>
      <w:pPr>
        <w:spacing w:after="0" w:line="252" w:lineRule="exact"/>
        <w:rPr>
          <w:rFonts w:ascii="Arial" w:cs="Arial" w:eastAsia="Arial" w:hAnsi="Arial"/>
          <w:sz w:val="18"/>
          <w:szCs w:val="18"/>
          <w:color w:val="auto"/>
        </w:rPr>
      </w:pPr>
    </w:p>
    <w:p>
      <w:pPr>
        <w:ind w:left="1560" w:hanging="255"/>
        <w:spacing w:after="0"/>
        <w:tabs>
          <w:tab w:leader="none" w:pos="15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27,167 shares</w:t>
      </w:r>
    </w:p>
    <w:p>
      <w:pPr>
        <w:spacing w:after="0" w:line="252" w:lineRule="exact"/>
        <w:rPr>
          <w:rFonts w:ascii="Arial" w:cs="Arial" w:eastAsia="Arial" w:hAnsi="Arial"/>
          <w:sz w:val="18"/>
          <w:szCs w:val="18"/>
          <w:color w:val="auto"/>
        </w:rPr>
      </w:pPr>
    </w:p>
    <w:p>
      <w:pPr>
        <w:ind w:left="1620" w:hanging="315"/>
        <w:spacing w:after="0"/>
        <w:tabs>
          <w:tab w:leader="none" w:pos="16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 shares</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27,167 shares**</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rFonts w:ascii="Arial" w:cs="Arial" w:eastAsia="Arial" w:hAnsi="Arial"/>
          <w:sz w:val="18"/>
          <w:szCs w:val="18"/>
          <w:color w:val="auto"/>
        </w:rPr>
      </w:pPr>
    </w:p>
    <w:p>
      <w:pPr>
        <w:ind w:left="1360" w:hanging="704"/>
        <w:spacing w:after="0"/>
        <w:tabs>
          <w:tab w:leader="none" w:pos="1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regarding transfer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8" w:lineRule="exact"/>
        <w:rPr>
          <w:sz w:val="20"/>
          <w:szCs w:val="20"/>
          <w:color w:val="auto"/>
        </w:rPr>
      </w:pPr>
    </w:p>
    <w:p>
      <w:pPr>
        <w:ind w:left="60"/>
        <w:spacing w:after="0"/>
        <w:tabs>
          <w:tab w:leader="none" w:pos="6720" w:val="left"/>
        </w:tabs>
        <w:rPr>
          <w:sz w:val="20"/>
          <w:szCs w:val="20"/>
          <w:color w:val="auto"/>
        </w:rPr>
      </w:pPr>
      <w:r>
        <w:rPr>
          <w:rFonts w:ascii="Arial" w:cs="Arial" w:eastAsia="Arial" w:hAnsi="Arial"/>
          <w:sz w:val="18"/>
          <w:szCs w:val="18"/>
          <w:color w:val="auto"/>
        </w:rPr>
        <w:t>Dated: August 5, 2011</w:t>
      </w:r>
      <w:r>
        <w:rPr>
          <w:sz w:val="20"/>
          <w:szCs w:val="20"/>
          <w:color w:val="auto"/>
        </w:rPr>
        <w:tab/>
      </w:r>
      <w:r>
        <w:rPr>
          <w:rFonts w:ascii="Arial" w:cs="Arial" w:eastAsia="Arial" w:hAnsi="Arial"/>
          <w:sz w:val="16"/>
          <w:szCs w:val="16"/>
          <w:color w:val="auto"/>
        </w:rPr>
        <w:t>State of New Jersey Common Pension Fund B</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Division of Investment</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By:/s/ Timothy M. Walsh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-10160</wp:posOffset>
            </wp:positionV>
            <wp:extent cx="11963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96340" cy="8890"/>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Timothy M. Walsh</w:t>
      </w:r>
    </w:p>
    <w:p>
      <w:pPr>
        <w:spacing w:after="0" w:line="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060"/>
      </w:cols>
      <w:pgMar w:left="240" w:top="75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5"/>
      <w:numFmt w:val="bullet"/>
      <w:start w:val="1"/>
    </w:lvl>
  </w:abstractNum>
  <w:abstractNum w:abstractNumId="6">
    <w:nsid w:val="515F007C"/>
    <w:multiLevelType w:val="hybridMultilevel"/>
    <w:lvl w:ilvl="0">
      <w:lvlJc w:val="left"/>
      <w:lvlText w:val="6"/>
      <w:numFmt w:val="bullet"/>
      <w:start w:val="1"/>
    </w:lvl>
  </w:abstractNum>
  <w:abstractNum w:abstractNumId="7">
    <w:nsid w:val="5BD062C2"/>
    <w:multiLevelType w:val="hybridMultilevel"/>
    <w:lvl w:ilvl="0">
      <w:lvlJc w:val="left"/>
      <w:lvlText w:val="7"/>
      <w:numFmt w:val="bullet"/>
      <w:start w:val="1"/>
    </w:lvl>
  </w:abstractNum>
  <w:abstractNum w:abstractNumId="8">
    <w:nsid w:val="12200854"/>
    <w:multiLevelType w:val="hybridMultilevel"/>
    <w:lvl w:ilvl="0">
      <w:lvlJc w:val="left"/>
      <w:lvlText w:val="%1"/>
      <w:numFmt w:val="decimal"/>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2019-12-11T09:45:53Z</dcterms:created>
  <dcterms:modified xsi:type="dcterms:W3CDTF">2019-12-11T09:45:53Z</dcterms:modified>
</cp:coreProperties>
</file>