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May 23,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2960" w:type="dxa"/>
            <w:vAlign w:val="bottom"/>
          </w:tcPr>
          <w:p>
            <w:pPr>
              <w:jc w:val="center"/>
              <w:ind w:right="126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tcPr>
          <w:p>
            <w:pPr>
              <w:ind w:left="136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27-3380000</w:t>
            </w:r>
          </w:p>
        </w:tc>
      </w:tr>
      <w:tr>
        <w:trPr>
          <w:trHeight w:val="149"/>
        </w:trPr>
        <w:tc>
          <w:tcPr>
            <w:tcW w:w="296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540" w:type="dxa"/>
            <w:vAlign w:val="bottom"/>
          </w:tcPr>
          <w:p>
            <w:pPr>
              <w:ind w:left="13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60" w:type="dxa"/>
            <w:vAlign w:val="bottom"/>
          </w:tcPr>
          <w:p>
            <w:pPr>
              <w:jc w:val="center"/>
              <w:ind w:right="1286"/>
              <w:spacing w:after="0"/>
              <w:rPr>
                <w:sz w:val="20"/>
                <w:szCs w:val="20"/>
                <w:color w:val="auto"/>
              </w:rPr>
            </w:pPr>
            <w:r>
              <w:rPr>
                <w:rFonts w:ascii="Arial" w:cs="Arial" w:eastAsia="Arial" w:hAnsi="Arial"/>
                <w:sz w:val="14"/>
                <w:szCs w:val="14"/>
                <w:b w:val="1"/>
                <w:bCs w:val="1"/>
                <w:color w:val="auto"/>
                <w:w w:val="89"/>
              </w:rPr>
              <w:t>of Incorporation)</w:t>
            </w:r>
          </w:p>
        </w:tc>
        <w:tc>
          <w:tcPr>
            <w:tcW w:w="3540" w:type="dxa"/>
            <w:vAlign w:val="bottom"/>
          </w:tcPr>
          <w:p>
            <w:pPr>
              <w:ind w:left="13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1020"/>
          </w:cols>
          <w:pgMar w:left="240" w:top="314" w:right="639" w:bottom="1440" w:gutter="0" w:footer="0" w:header="0"/>
        </w:sectPr>
      </w:pPr>
    </w:p>
    <w:p>
      <w:pPr>
        <w:jc w:val="center"/>
        <w:ind w:right="1940"/>
        <w:spacing w:after="0"/>
        <w:rPr>
          <w:sz w:val="20"/>
          <w:szCs w:val="20"/>
          <w:color w:val="auto"/>
        </w:rPr>
      </w:pPr>
      <w:r>
        <w:rPr>
          <w:rFonts w:ascii="Arial" w:cs="Arial" w:eastAsia="Arial" w:hAnsi="Arial"/>
          <w:sz w:val="15"/>
          <w:szCs w:val="15"/>
          <w:b w:val="1"/>
          <w:bCs w:val="1"/>
          <w:color w:val="auto"/>
        </w:rPr>
        <w:t>301 Commerce Street, Suite 3300</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23, 2013, TPG Specialty Lending, Inc. (the “Company”) held its annual meeting of stockholders. Stockholders considered two proposals as described in the Company’s proxy statement filed on April 17, 2013. The final results of the voting on each matter submitted to stockholders at the annual meeting are set forth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 Directors. </w:t>
      </w:r>
      <w:r>
        <w:rPr>
          <w:rFonts w:ascii="Arial" w:cs="Arial" w:eastAsia="Arial" w:hAnsi="Arial"/>
          <w:sz w:val="18"/>
          <w:szCs w:val="18"/>
          <w:color w:val="auto"/>
        </w:rPr>
        <w:t>The stockholders elected the nominee for Class II director by the vote shown below.</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Nominee</w:t>
            </w:r>
          </w:p>
        </w:tc>
        <w:tc>
          <w:tcPr>
            <w:tcW w:w="2000" w:type="dxa"/>
            <w:vAlign w:val="bottom"/>
          </w:tcPr>
          <w:p>
            <w:pPr>
              <w:spacing w:after="0"/>
              <w:rPr>
                <w:sz w:val="15"/>
                <w:szCs w:val="15"/>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Votes “For”</w:t>
            </w:r>
          </w:p>
        </w:tc>
        <w:tc>
          <w:tcPr>
            <w:tcW w:w="2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Votes “Withheld”</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03"/>
        </w:trPr>
        <w:tc>
          <w:tcPr>
            <w:tcW w:w="2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Ross</w:t>
            </w:r>
          </w:p>
        </w:tc>
        <w:tc>
          <w:tcPr>
            <w:tcW w:w="2200" w:type="dxa"/>
            <w:vAlign w:val="bottom"/>
            <w:tcBorders>
              <w:top w:val="single" w:sz="8" w:color="auto"/>
            </w:tcBorders>
            <w:shd w:val="clear" w:color="auto" w:fill="CCEEFF"/>
          </w:tcPr>
          <w:p>
            <w:pPr>
              <w:jc w:val="right"/>
              <w:ind w:right="722"/>
              <w:spacing w:after="0" w:line="203" w:lineRule="exact"/>
              <w:rPr>
                <w:sz w:val="20"/>
                <w:szCs w:val="20"/>
                <w:color w:val="auto"/>
              </w:rPr>
            </w:pPr>
            <w:r>
              <w:rPr>
                <w:rFonts w:ascii="Arial" w:cs="Arial" w:eastAsia="Arial" w:hAnsi="Arial"/>
                <w:sz w:val="18"/>
                <w:szCs w:val="18"/>
                <w:color w:val="auto"/>
              </w:rPr>
              <w:t>425,004</w:t>
            </w:r>
          </w:p>
        </w:tc>
        <w:tc>
          <w:tcPr>
            <w:tcW w:w="32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jc w:val="right"/>
              <w:ind w:right="1042"/>
              <w:spacing w:after="0" w:line="203" w:lineRule="exact"/>
              <w:rPr>
                <w:sz w:val="20"/>
                <w:szCs w:val="20"/>
                <w:color w:val="auto"/>
              </w:rPr>
            </w:pPr>
            <w:r>
              <w:rPr>
                <w:rFonts w:ascii="Arial" w:cs="Arial" w:eastAsia="Arial" w:hAnsi="Arial"/>
                <w:sz w:val="18"/>
                <w:szCs w:val="18"/>
                <w:color w:val="auto"/>
              </w:rPr>
              <w:t>9,929</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1142"/>
              <w:spacing w:after="0" w:line="203" w:lineRule="exact"/>
              <w:rPr>
                <w:sz w:val="20"/>
                <w:szCs w:val="20"/>
                <w:color w:val="auto"/>
              </w:rPr>
            </w:pPr>
            <w:r>
              <w:rPr>
                <w:rFonts w:ascii="Arial" w:cs="Arial" w:eastAsia="Arial" w:hAnsi="Arial"/>
                <w:sz w:val="18"/>
                <w:szCs w:val="18"/>
                <w:color w:val="auto"/>
              </w:rPr>
              <w:t>0</w:t>
            </w:r>
          </w:p>
        </w:tc>
      </w:tr>
    </w:tbl>
    <w:p>
      <w:pPr>
        <w:spacing w:after="0" w:line="14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registered public accounting firm for the fiscal year ending December 31, 2013.</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Votes “For”</w:t>
            </w:r>
          </w:p>
        </w:tc>
        <w:tc>
          <w:tcPr>
            <w:tcW w:w="1980" w:type="dxa"/>
            <w:vAlign w:val="bottom"/>
          </w:tcPr>
          <w:p>
            <w:pPr>
              <w:spacing w:after="0"/>
              <w:rPr>
                <w:sz w:val="15"/>
                <w:szCs w:val="15"/>
                <w:color w:val="auto"/>
              </w:rPr>
            </w:pPr>
          </w:p>
        </w:tc>
        <w:tc>
          <w:tcPr>
            <w:tcW w:w="2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Votes “Against”</w:t>
            </w:r>
          </w:p>
        </w:tc>
        <w:tc>
          <w:tcPr>
            <w:tcW w:w="2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Abstentions</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5"/>
              </w:rPr>
              <w:t>Broker Non-Votes</w:t>
            </w:r>
          </w:p>
        </w:tc>
      </w:tr>
      <w:tr>
        <w:trPr>
          <w:trHeight w:val="203"/>
        </w:trPr>
        <w:tc>
          <w:tcPr>
            <w:tcW w:w="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434,815</w:t>
            </w:r>
          </w:p>
        </w:tc>
        <w:tc>
          <w:tcPr>
            <w:tcW w:w="198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jc w:val="right"/>
              <w:ind w:right="1062"/>
              <w:spacing w:after="0" w:line="203" w:lineRule="exact"/>
              <w:rPr>
                <w:sz w:val="20"/>
                <w:szCs w:val="20"/>
                <w:color w:val="auto"/>
              </w:rPr>
            </w:pPr>
            <w:r>
              <w:rPr>
                <w:rFonts w:ascii="Arial" w:cs="Arial" w:eastAsia="Arial" w:hAnsi="Arial"/>
                <w:sz w:val="18"/>
                <w:szCs w:val="18"/>
                <w:color w:val="auto"/>
              </w:rPr>
              <w:t>118</w:t>
            </w:r>
          </w:p>
        </w:tc>
        <w:tc>
          <w:tcPr>
            <w:tcW w:w="2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right"/>
              <w:ind w:right="982"/>
              <w:spacing w:after="0" w:line="203" w:lineRule="exact"/>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jc w:val="right"/>
              <w:ind w:right="1182"/>
              <w:spacing w:after="0" w:line="203" w:lineRule="exact"/>
              <w:rPr>
                <w:sz w:val="20"/>
                <w:szCs w:val="20"/>
                <w:color w:val="auto"/>
              </w:rPr>
            </w:pPr>
            <w:r>
              <w:rPr>
                <w:rFonts w:ascii="Arial" w:cs="Arial" w:eastAsia="Arial" w:hAnsi="Arial"/>
                <w:sz w:val="18"/>
                <w:szCs w:val="18"/>
                <w:color w:val="auto"/>
              </w:rPr>
              <w:t>0</w:t>
            </w:r>
          </w:p>
        </w:tc>
      </w:tr>
    </w:tbl>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TPG SPECIALTY LENDING, INC.</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28, 2013</w:t>
      </w:r>
      <w:r>
        <w:rPr>
          <w:sz w:val="20"/>
          <w:szCs w:val="20"/>
          <w:color w:val="auto"/>
        </w:rPr>
        <w:tab/>
      </w:r>
      <w:r>
        <w:rPr>
          <w:rFonts w:ascii="Arial" w:cs="Arial" w:eastAsia="Arial" w:hAnsi="Arial"/>
          <w:sz w:val="16"/>
          <w:szCs w:val="16"/>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Cami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sectPr>
      <w:pgSz w:w="11900" w:h="16838" w:orient="portrait"/>
      <w:cols w:equalWidth="0" w:num="1">
        <w:col w:w="10540"/>
      </w:cols>
      <w:pgMar w:left="240" w:top="28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2019-12-07T23:28:00Z</dcterms:created>
  <dcterms:modified xsi:type="dcterms:W3CDTF">2019-12-07T23:28:00Z</dcterms:modified>
</cp:coreProperties>
</file>