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994410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61595</wp:posOffset>
            </wp:positionV>
            <wp:extent cx="13417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80645</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880" w:right="320" w:hanging="790"/>
        <w:spacing w:after="0" w:line="288" w:lineRule="auto"/>
        <w:tabs>
          <w:tab w:leader="none" w:pos="880" w:val="left"/>
        </w:tabs>
        <w:numPr>
          <w:ilvl w:val="0"/>
          <w:numId w:val="1"/>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2" w:lineRule="exact"/>
        <w:rPr>
          <w:sz w:val="24"/>
          <w:szCs w:val="24"/>
          <w:color w:val="auto"/>
        </w:rPr>
      </w:pPr>
    </w:p>
    <w:p>
      <w:pPr>
        <w:ind w:left="880" w:right="320" w:hanging="790"/>
        <w:spacing w:after="0" w:line="288" w:lineRule="auto"/>
        <w:tabs>
          <w:tab w:leader="none" w:pos="880" w:val="left"/>
        </w:tabs>
        <w:numPr>
          <w:ilvl w:val="0"/>
          <w:numId w:val="2"/>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40" w:orient="portrait"/>
          <w:cols w:equalWidth="0" w:num="1">
            <w:col w:w="10540"/>
          </w:cols>
          <w:pgMar w:left="660" w:top="1440" w:right="700" w:bottom="1440" w:gutter="0" w:footer="0" w:header="0"/>
        </w:sectPr>
      </w:pPr>
    </w:p>
    <w:p>
      <w:pPr>
        <w:spacing w:after="0" w:line="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sectPr>
          <w:pgSz w:w="11900" w:h="16840" w:orient="portrait"/>
          <w:cols w:equalWidth="0" w:num="2">
            <w:col w:w="5920" w:space="720"/>
            <w:col w:w="3900"/>
          </w:cols>
          <w:pgMar w:left="660" w:top="1440" w:right="70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type w:val="continuous"/>
        </w:sectPr>
      </w:pP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Sixth Street Specialty Lending, Inc.</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55245</wp:posOffset>
            </wp:positionV>
            <wp:extent cx="1341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84" w:lineRule="exact"/>
        <w:rPr>
          <w:sz w:val="24"/>
          <w:szCs w:val="24"/>
          <w:color w:val="auto"/>
        </w:rPr>
      </w:pPr>
    </w:p>
    <w:tbl>
      <w:tblPr>
        <w:tblLayout w:type="fixed"/>
        <w:tblInd w:w="1440" w:type="dxa"/>
        <w:tblCellMar>
          <w:top w:w="0" w:type="dxa"/>
          <w:left w:w="0" w:type="dxa"/>
          <w:bottom w:w="0" w:type="dxa"/>
          <w:right w:w="0" w:type="dxa"/>
        </w:tblCellMar>
      </w:tblPr>
      <w:tr>
        <w:trPr>
          <w:trHeight w:val="205"/>
        </w:trPr>
        <w:tc>
          <w:tcPr>
            <w:tcW w:w="4200" w:type="dxa"/>
            <w:vAlign w:val="bottom"/>
          </w:tcPr>
          <w:p>
            <w:pPr>
              <w:jc w:val="center"/>
              <w:ind w:right="172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0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27-3380000</w:t>
            </w:r>
          </w:p>
        </w:tc>
      </w:tr>
      <w:tr>
        <w:trPr>
          <w:trHeight w:val="156"/>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93"/>
        </w:trPr>
        <w:tc>
          <w:tcPr>
            <w:tcW w:w="4200" w:type="dxa"/>
            <w:vAlign w:val="bottom"/>
          </w:tcPr>
          <w:p>
            <w:pPr>
              <w:jc w:val="center"/>
              <w:ind w:right="1728"/>
              <w:spacing w:after="0"/>
              <w:rPr>
                <w:sz w:val="20"/>
                <w:szCs w:val="20"/>
                <w:color w:val="auto"/>
              </w:rPr>
            </w:pPr>
            <w:r>
              <w:rPr>
                <w:rFonts w:ascii="Times New Roman" w:cs="Times New Roman" w:eastAsia="Times New Roman" w:hAnsi="Times New Roman"/>
                <w:sz w:val="16"/>
                <w:szCs w:val="16"/>
                <w:b w:val="1"/>
                <w:bCs w:val="1"/>
                <w:color w:val="auto"/>
                <w:w w:val="97"/>
              </w:rPr>
              <w:t>2100 McKinney Avenue, Suite 1500,</w:t>
            </w:r>
          </w:p>
        </w:tc>
        <w:tc>
          <w:tcPr>
            <w:tcW w:w="2800" w:type="dxa"/>
            <w:vAlign w:val="bottom"/>
          </w:tcPr>
          <w:p>
            <w:pPr>
              <w:spacing w:after="0"/>
              <w:rPr>
                <w:sz w:val="24"/>
                <w:szCs w:val="24"/>
                <w:color w:val="auto"/>
              </w:rPr>
            </w:pPr>
          </w:p>
        </w:tc>
      </w:tr>
      <w:tr>
        <w:trPr>
          <w:trHeight w:val="205"/>
        </w:trPr>
        <w:tc>
          <w:tcPr>
            <w:tcW w:w="4200" w:type="dxa"/>
            <w:vAlign w:val="bottom"/>
          </w:tcPr>
          <w:p>
            <w:pPr>
              <w:jc w:val="center"/>
              <w:ind w:right="1728"/>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800" w:type="dxa"/>
            <w:vAlign w:val="bottom"/>
          </w:tcPr>
          <w:p>
            <w:pPr>
              <w:jc w:val="right"/>
              <w:ind w:right="249"/>
              <w:spacing w:after="0"/>
              <w:rPr>
                <w:sz w:val="20"/>
                <w:szCs w:val="20"/>
                <w:color w:val="auto"/>
              </w:rPr>
            </w:pPr>
            <w:r>
              <w:rPr>
                <w:rFonts w:ascii="Times New Roman" w:cs="Times New Roman" w:eastAsia="Times New Roman" w:hAnsi="Times New Roman"/>
                <w:sz w:val="16"/>
                <w:szCs w:val="16"/>
                <w:b w:val="1"/>
                <w:bCs w:val="1"/>
                <w:color w:val="auto"/>
              </w:rPr>
              <w:t>75201</w:t>
            </w:r>
          </w:p>
        </w:tc>
      </w:tr>
      <w:tr>
        <w:trPr>
          <w:trHeight w:val="174"/>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(469) 621-3001</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101600</wp:posOffset>
            </wp:positionV>
            <wp:extent cx="13417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ectPr>
          <w:pgSz w:w="11900" w:h="16840" w:orient="portrait"/>
          <w:cols w:equalWidth="0" w:num="1">
            <w:col w:w="10540"/>
          </w:cols>
          <w:pgMar w:left="660" w:top="1440" w:right="700" w:bottom="1440" w:gutter="0" w:footer="0" w:header="0"/>
          <w:type w:val="continuous"/>
        </w:sectPr>
      </w:pPr>
    </w:p>
    <w:p>
      <w:pPr>
        <w:spacing w:after="0" w:line="16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Title of each class</w:t>
      </w:r>
    </w:p>
    <w:p>
      <w:pPr>
        <w:spacing w:after="0" w:line="7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Trading Symbol(s)</w:t>
      </w:r>
    </w:p>
    <w:p>
      <w:pPr>
        <w:spacing w:after="0" w:line="7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TSLX</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p>
      <w:pPr>
        <w:spacing w:after="0" w:line="7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The New York Stock Exchange</w:t>
      </w:r>
    </w:p>
    <w:p>
      <w:pPr>
        <w:spacing w:after="0" w:line="81" w:lineRule="exact"/>
        <w:rPr>
          <w:sz w:val="24"/>
          <w:szCs w:val="24"/>
          <w:color w:val="auto"/>
        </w:rPr>
      </w:pPr>
    </w:p>
    <w:p>
      <w:pPr>
        <w:sectPr>
          <w:pgSz w:w="11900" w:h="16840" w:orient="portrait"/>
          <w:cols w:equalWidth="0" w:num="3">
            <w:col w:w="4040" w:space="720"/>
            <w:col w:w="2100" w:space="720"/>
            <w:col w:w="2960"/>
          </w:cols>
          <w:pgMar w:left="660" w:top="1440" w:right="700" w:bottom="1440" w:gutter="0" w:footer="0" w:header="0"/>
          <w:type w:val="continuous"/>
        </w:sectPr>
      </w:pPr>
    </w:p>
    <w:p>
      <w:pPr>
        <w:ind w:right="16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right="32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18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Accelerated filer</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18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19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Emerging growth company</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6" w:lineRule="exact"/>
        <w:rPr>
          <w:sz w:val="24"/>
          <w:szCs w:val="24"/>
          <w:color w:val="auto"/>
        </w:rPr>
      </w:pPr>
    </w:p>
    <w:p>
      <w:pPr>
        <w:ind w:right="22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3540"/>
        <w:spacing w:after="0" w:line="20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of the registrant’s common stock, $.01 par value per share, outstanding at July 31, 2024 was 93,017,205.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670750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40" w:type="dxa"/>
            <w:vAlign w:val="bottom"/>
            <w:gridSpan w:val="7"/>
          </w:tcPr>
          <w:p>
            <w:pPr>
              <w:jc w:val="center"/>
              <w:ind w:right="346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6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NO.</w:t>
            </w:r>
          </w:p>
        </w:tc>
      </w:tr>
      <w:tr>
        <w:trPr>
          <w:trHeight w:val="30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 I.</w:t>
            </w:r>
          </w:p>
        </w:tc>
        <w:tc>
          <w:tcPr>
            <w:tcW w:w="8300" w:type="dxa"/>
            <w:vAlign w:val="bottom"/>
            <w:gridSpan w:val="19"/>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FINANCIAL INFORMATION</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1940" w:type="dxa"/>
            <w:vAlign w:val="bottom"/>
            <w:tcBorders>
              <w:top w:val="single" w:sz="8" w:color="0000FF"/>
            </w:tcBorders>
            <w:gridSpan w:val="8"/>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Financial Statements</w:t>
              </w:r>
            </w:hyperlink>
          </w:p>
        </w:tc>
        <w:tc>
          <w:tcPr>
            <w:tcW w:w="6360" w:type="dxa"/>
            <w:vAlign w:val="bottom"/>
            <w:gridSpan w:val="11"/>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2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6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w w:val="96"/>
              </w:rPr>
            </w:pPr>
            <w:hyperlink w:anchor="page4">
              <w:r>
                <w:rPr>
                  <w:rFonts w:ascii="Times New Roman" w:cs="Times New Roman" w:eastAsia="Times New Roman" w:hAnsi="Times New Roman"/>
                  <w:sz w:val="16"/>
                  <w:szCs w:val="16"/>
                  <w:color w:val="0000FF"/>
                  <w:w w:val="96"/>
                </w:rPr>
                <w:t>Consolidated Balance Sheets as of June 30, 2024 (Unaudited) and December 31, 2023</w:t>
              </w:r>
            </w:hyperlink>
          </w:p>
        </w:tc>
        <w:tc>
          <w:tcPr>
            <w:tcW w:w="294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300" w:type="dxa"/>
            <w:vAlign w:val="bottom"/>
            <w:gridSpan w:val="19"/>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Consolidated Statements of Operations for the three and six months ended June 30, 2024 and 2023 (Unaudited)</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60" w:type="dxa"/>
            <w:vAlign w:val="bottom"/>
            <w:tcBorders>
              <w:top w:val="single" w:sz="8" w:color="0000FF"/>
            </w:tcBorders>
            <w:gridSpan w:val="17"/>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Consolidated Schedules of Investments as of June 30, 2024 (Unaudited) and December 31, 2023</w:t>
              </w:r>
            </w:hyperlink>
          </w:p>
        </w:tc>
        <w:tc>
          <w:tcPr>
            <w:tcW w:w="1340" w:type="dxa"/>
            <w:vAlign w:val="bottom"/>
            <w:gridSpan w:val="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2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300" w:type="dxa"/>
            <w:vAlign w:val="bottom"/>
            <w:gridSpan w:val="19"/>
          </w:tcPr>
          <w:p>
            <w:pPr>
              <w:spacing w:after="0"/>
              <w:rPr>
                <w:rFonts w:ascii="Times New Roman" w:cs="Times New Roman" w:eastAsia="Times New Roman" w:hAnsi="Times New Roman"/>
                <w:sz w:val="16"/>
                <w:szCs w:val="16"/>
                <w:color w:val="0000FF"/>
              </w:rPr>
            </w:pPr>
            <w:hyperlink w:anchor="page21">
              <w:r>
                <w:rPr>
                  <w:rFonts w:ascii="Times New Roman" w:cs="Times New Roman" w:eastAsia="Times New Roman" w:hAnsi="Times New Roman"/>
                  <w:sz w:val="16"/>
                  <w:szCs w:val="16"/>
                  <w:color w:val="0000FF"/>
                </w:rPr>
                <w:t>Consolidated Statements of Changes in Net Assets for the three and six months ended June 30, 2024 and 2023 (Unaudited)</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40" w:type="dxa"/>
            <w:vAlign w:val="bottom"/>
            <w:tcBorders>
              <w:top w:val="single" w:sz="8" w:color="0000FF"/>
            </w:tcBorders>
            <w:gridSpan w:val="18"/>
          </w:tcPr>
          <w:p>
            <w:pPr>
              <w:spacing w:after="0"/>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Consolidated Statements of Cash Flows for the six months ended June 30, 2024 and 2023 (Unaudited)</w:t>
              </w:r>
            </w:hyperlink>
          </w:p>
        </w:tc>
        <w:tc>
          <w:tcPr>
            <w:tcW w:w="6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6"/>
                <w:szCs w:val="16"/>
                <w:color w:val="0000FF"/>
                <w:w w:val="96"/>
              </w:rPr>
            </w:pPr>
            <w:hyperlink w:anchor="page23">
              <w:r>
                <w:rPr>
                  <w:rFonts w:ascii="Times New Roman" w:cs="Times New Roman" w:eastAsia="Times New Roman" w:hAnsi="Times New Roman"/>
                  <w:sz w:val="16"/>
                  <w:szCs w:val="16"/>
                  <w:color w:val="0000FF"/>
                  <w:w w:val="96"/>
                </w:rPr>
                <w:t>Notes to Consolidated Financial Statements (Unaudited)</w:t>
              </w:r>
            </w:hyperlink>
          </w:p>
        </w:tc>
        <w:tc>
          <w:tcPr>
            <w:tcW w:w="2860" w:type="dxa"/>
            <w:vAlign w:val="bottom"/>
            <w:tcBorders>
              <w:top w:val="single" w:sz="8" w:color="0000FF"/>
            </w:tcBorders>
            <w:gridSpan w:val="6"/>
          </w:tcPr>
          <w:p>
            <w:pPr>
              <w:spacing w:after="0"/>
              <w:rPr>
                <w:sz w:val="24"/>
                <w:szCs w:val="24"/>
                <w:color w:val="auto"/>
              </w:rPr>
            </w:pPr>
          </w:p>
        </w:tc>
        <w:tc>
          <w:tcPr>
            <w:tcW w:w="1940" w:type="dxa"/>
            <w:vAlign w:val="bottom"/>
            <w:gridSpan w:val="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8300" w:type="dxa"/>
            <w:vAlign w:val="bottom"/>
            <w:gridSpan w:val="19"/>
          </w:tcPr>
          <w:p>
            <w:pPr>
              <w:spacing w:after="0"/>
              <w:rPr>
                <w:rFonts w:ascii="Times New Roman" w:cs="Times New Roman" w:eastAsia="Times New Roman" w:hAnsi="Times New Roman"/>
                <w:sz w:val="16"/>
                <w:szCs w:val="16"/>
                <w:color w:val="0000FF"/>
              </w:rPr>
            </w:pPr>
            <w:hyperlink w:anchor="page46">
              <w:r>
                <w:rPr>
                  <w:rFonts w:ascii="Times New Roman" w:cs="Times New Roman" w:eastAsia="Times New Roman" w:hAnsi="Times New Roman"/>
                  <w:sz w:val="16"/>
                  <w:szCs w:val="16"/>
                  <w:color w:val="0000FF"/>
                </w:rPr>
                <w:t>Management’s Discussion and Analysis of Financial Condition and Results of Operations</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376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6"/>
                <w:szCs w:val="16"/>
                <w:color w:val="0000FF"/>
                <w:w w:val="96"/>
              </w:rPr>
            </w:pPr>
            <w:hyperlink w:anchor="page66">
              <w:r>
                <w:rPr>
                  <w:rFonts w:ascii="Times New Roman" w:cs="Times New Roman" w:eastAsia="Times New Roman" w:hAnsi="Times New Roman"/>
                  <w:sz w:val="16"/>
                  <w:szCs w:val="16"/>
                  <w:color w:val="0000FF"/>
                  <w:w w:val="96"/>
                </w:rPr>
                <w:t>Quantitative and Qualitative Disclosures About Market Risk</w:t>
              </w:r>
            </w:hyperlink>
          </w:p>
        </w:tc>
        <w:tc>
          <w:tcPr>
            <w:tcW w:w="1820" w:type="dxa"/>
            <w:vAlign w:val="bottom"/>
            <w:tcBorders>
              <w:top w:val="single" w:sz="8" w:color="0000FF"/>
            </w:tcBorders>
            <w:gridSpan w:val="2"/>
          </w:tcPr>
          <w:p>
            <w:pPr>
              <w:spacing w:after="0"/>
              <w:rPr>
                <w:sz w:val="24"/>
                <w:szCs w:val="24"/>
                <w:color w:val="auto"/>
              </w:rPr>
            </w:pPr>
          </w:p>
        </w:tc>
        <w:tc>
          <w:tcPr>
            <w:tcW w:w="272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15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5"/>
              </w:rPr>
            </w:pPr>
            <w:hyperlink w:anchor="page67">
              <w:r>
                <w:rPr>
                  <w:rFonts w:ascii="Times New Roman" w:cs="Times New Roman" w:eastAsia="Times New Roman" w:hAnsi="Times New Roman"/>
                  <w:sz w:val="16"/>
                  <w:szCs w:val="16"/>
                  <w:color w:val="0000FF"/>
                  <w:w w:val="95"/>
                </w:rPr>
                <w:t>Controls and Procedures</w:t>
              </w:r>
            </w:hyperlink>
          </w:p>
        </w:tc>
        <w:tc>
          <w:tcPr>
            <w:tcW w:w="6780" w:type="dxa"/>
            <w:vAlign w:val="bottom"/>
            <w:gridSpan w:val="1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 II.</w:t>
            </w:r>
          </w:p>
        </w:tc>
        <w:tc>
          <w:tcPr>
            <w:tcW w:w="8300" w:type="dxa"/>
            <w:vAlign w:val="bottom"/>
            <w:gridSpan w:val="19"/>
          </w:tcPr>
          <w:p>
            <w:pPr>
              <w:spacing w:after="0"/>
              <w:rPr>
                <w:rFonts w:ascii="Times New Roman" w:cs="Times New Roman" w:eastAsia="Times New Roman" w:hAnsi="Times New Roman"/>
                <w:sz w:val="16"/>
                <w:szCs w:val="16"/>
                <w:color w:val="0000FF"/>
              </w:rPr>
            </w:pPr>
            <w:hyperlink w:anchor="page68">
              <w:r>
                <w:rPr>
                  <w:rFonts w:ascii="Times New Roman" w:cs="Times New Roman" w:eastAsia="Times New Roman" w:hAnsi="Times New Roman"/>
                  <w:sz w:val="16"/>
                  <w:szCs w:val="16"/>
                  <w:color w:val="0000FF"/>
                </w:rPr>
                <w:t>OTHER INFORMATION</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11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color w:val="0000FF"/>
                <w:w w:val="94"/>
              </w:rPr>
            </w:pPr>
            <w:hyperlink w:anchor="page68">
              <w:r>
                <w:rPr>
                  <w:rFonts w:ascii="Times New Roman" w:cs="Times New Roman" w:eastAsia="Times New Roman" w:hAnsi="Times New Roman"/>
                  <w:sz w:val="16"/>
                  <w:szCs w:val="16"/>
                  <w:color w:val="0000FF"/>
                  <w:w w:val="94"/>
                </w:rPr>
                <w:t>Legal Proceedings</w:t>
              </w:r>
            </w:hyperlink>
          </w:p>
        </w:tc>
        <w:tc>
          <w:tcPr>
            <w:tcW w:w="480" w:type="dxa"/>
            <w:vAlign w:val="bottom"/>
            <w:tcBorders>
              <w:top w:val="single" w:sz="8" w:color="0000FF"/>
            </w:tcBorders>
            <w:gridSpan w:val="3"/>
          </w:tcPr>
          <w:p>
            <w:pPr>
              <w:spacing w:after="0"/>
              <w:rPr>
                <w:sz w:val="24"/>
                <w:szCs w:val="24"/>
                <w:color w:val="auto"/>
              </w:rPr>
            </w:pPr>
          </w:p>
        </w:tc>
        <w:tc>
          <w:tcPr>
            <w:tcW w:w="6680" w:type="dxa"/>
            <w:vAlign w:val="bottom"/>
            <w:gridSpan w:val="1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1A.</w:t>
            </w:r>
          </w:p>
        </w:tc>
        <w:tc>
          <w:tcPr>
            <w:tcW w:w="8300" w:type="dxa"/>
            <w:vAlign w:val="bottom"/>
            <w:gridSpan w:val="19"/>
          </w:tcPr>
          <w:p>
            <w:pPr>
              <w:spacing w:after="0"/>
              <w:rPr>
                <w:rFonts w:ascii="Times New Roman" w:cs="Times New Roman" w:eastAsia="Times New Roman" w:hAnsi="Times New Roman"/>
                <w:sz w:val="16"/>
                <w:szCs w:val="16"/>
                <w:color w:val="0000FF"/>
              </w:rPr>
            </w:pPr>
            <w:hyperlink w:anchor="page68">
              <w:r>
                <w:rPr>
                  <w:rFonts w:ascii="Times New Roman" w:cs="Times New Roman" w:eastAsia="Times New Roman" w:hAnsi="Times New Roman"/>
                  <w:sz w:val="16"/>
                  <w:szCs w:val="16"/>
                  <w:color w:val="0000FF"/>
                </w:rPr>
                <w:t>Risk Factors</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2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8300" w:type="dxa"/>
            <w:vAlign w:val="bottom"/>
            <w:gridSpan w:val="19"/>
          </w:tcPr>
          <w:p>
            <w:pPr>
              <w:spacing w:after="0"/>
              <w:rPr>
                <w:rFonts w:ascii="Times New Roman" w:cs="Times New Roman" w:eastAsia="Times New Roman" w:hAnsi="Times New Roman"/>
                <w:sz w:val="16"/>
                <w:szCs w:val="16"/>
                <w:color w:val="0000FF"/>
              </w:rPr>
            </w:pPr>
            <w:hyperlink w:anchor="page68">
              <w:r>
                <w:rPr>
                  <w:rFonts w:ascii="Times New Roman" w:cs="Times New Roman" w:eastAsia="Times New Roman" w:hAnsi="Times New Roman"/>
                  <w:sz w:val="16"/>
                  <w:szCs w:val="16"/>
                  <w:color w:val="0000FF"/>
                </w:rPr>
                <w:t>Unregistered Sales of Equity Securities and Use of Proceeds</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200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6"/>
                <w:szCs w:val="16"/>
                <w:color w:val="0000FF"/>
                <w:w w:val="95"/>
              </w:rPr>
            </w:pPr>
            <w:hyperlink w:anchor="page68">
              <w:r>
                <w:rPr>
                  <w:rFonts w:ascii="Times New Roman" w:cs="Times New Roman" w:eastAsia="Times New Roman" w:hAnsi="Times New Roman"/>
                  <w:sz w:val="16"/>
                  <w:szCs w:val="16"/>
                  <w:color w:val="0000FF"/>
                  <w:w w:val="95"/>
                </w:rPr>
                <w:t>Defaults Upon Senior Securities</w:t>
              </w:r>
            </w:hyperlink>
          </w:p>
        </w:tc>
        <w:tc>
          <w:tcPr>
            <w:tcW w:w="1740" w:type="dxa"/>
            <w:vAlign w:val="bottom"/>
            <w:tcBorders>
              <w:top w:val="single" w:sz="8" w:color="0000FF"/>
            </w:tcBorders>
            <w:gridSpan w:val="2"/>
          </w:tcPr>
          <w:p>
            <w:pPr>
              <w:spacing w:after="0"/>
              <w:rPr>
                <w:sz w:val="24"/>
                <w:szCs w:val="24"/>
                <w:color w:val="auto"/>
              </w:rPr>
            </w:pPr>
          </w:p>
        </w:tc>
        <w:tc>
          <w:tcPr>
            <w:tcW w:w="456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15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5"/>
              </w:rPr>
            </w:pPr>
            <w:hyperlink w:anchor="page68">
              <w:r>
                <w:rPr>
                  <w:rFonts w:ascii="Times New Roman" w:cs="Times New Roman" w:eastAsia="Times New Roman" w:hAnsi="Times New Roman"/>
                  <w:sz w:val="16"/>
                  <w:szCs w:val="16"/>
                  <w:color w:val="0000FF"/>
                  <w:w w:val="95"/>
                </w:rPr>
                <w:t>Mine Safety Disclosures</w:t>
              </w:r>
            </w:hyperlink>
          </w:p>
        </w:tc>
        <w:tc>
          <w:tcPr>
            <w:tcW w:w="6780" w:type="dxa"/>
            <w:vAlign w:val="bottom"/>
            <w:gridSpan w:val="1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5.</w:t>
            </w:r>
          </w:p>
        </w:tc>
        <w:tc>
          <w:tcPr>
            <w:tcW w:w="112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4"/>
              </w:rPr>
            </w:pPr>
            <w:hyperlink w:anchor="page68">
              <w:r>
                <w:rPr>
                  <w:rFonts w:ascii="Times New Roman" w:cs="Times New Roman" w:eastAsia="Times New Roman" w:hAnsi="Times New Roman"/>
                  <w:sz w:val="16"/>
                  <w:szCs w:val="16"/>
                  <w:color w:val="0000FF"/>
                  <w:w w:val="94"/>
                </w:rPr>
                <w:t>Other Information</w:t>
              </w:r>
            </w:hyperlink>
          </w:p>
        </w:tc>
        <w:tc>
          <w:tcPr>
            <w:tcW w:w="7180" w:type="dxa"/>
            <w:vAlign w:val="bottom"/>
            <w:gridSpan w:val="1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6.</w:t>
            </w:r>
          </w:p>
        </w:tc>
        <w:tc>
          <w:tcPr>
            <w:tcW w:w="500" w:type="dxa"/>
            <w:vAlign w:val="bottom"/>
            <w:tcBorders>
              <w:bottom w:val="single" w:sz="8" w:color="0000FF"/>
            </w:tcBorders>
          </w:tcPr>
          <w:p>
            <w:pPr>
              <w:spacing w:after="0"/>
              <w:rPr>
                <w:rFonts w:ascii="Times New Roman" w:cs="Times New Roman" w:eastAsia="Times New Roman" w:hAnsi="Times New Roman"/>
                <w:sz w:val="16"/>
                <w:szCs w:val="16"/>
                <w:color w:val="0000FF"/>
                <w:w w:val="89"/>
              </w:rPr>
            </w:pPr>
            <w:hyperlink w:anchor="page69">
              <w:r>
                <w:rPr>
                  <w:rFonts w:ascii="Times New Roman" w:cs="Times New Roman" w:eastAsia="Times New Roman" w:hAnsi="Times New Roman"/>
                  <w:sz w:val="16"/>
                  <w:szCs w:val="16"/>
                  <w:color w:val="0000FF"/>
                  <w:w w:val="89"/>
                </w:rPr>
                <w:t>Exhibits</w:t>
              </w:r>
            </w:hyperlink>
          </w:p>
        </w:tc>
        <w:tc>
          <w:tcPr>
            <w:tcW w:w="7800" w:type="dxa"/>
            <w:vAlign w:val="bottom"/>
            <w:gridSpan w:val="18"/>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316"/>
        </w:trPr>
        <w:tc>
          <w:tcPr>
            <w:tcW w:w="9300" w:type="dxa"/>
            <w:vAlign w:val="bottom"/>
            <w:gridSpan w:val="21"/>
          </w:tcPr>
          <w:p>
            <w:pPr>
              <w:ind w:left="20"/>
              <w:spacing w:after="0"/>
              <w:rPr>
                <w:rFonts w:ascii="Times New Roman" w:cs="Times New Roman" w:eastAsia="Times New Roman" w:hAnsi="Times New Roman"/>
                <w:sz w:val="16"/>
                <w:szCs w:val="16"/>
                <w:color w:val="0000FF"/>
              </w:rPr>
            </w:pPr>
            <w:hyperlink w:anchor="page70">
              <w:r>
                <w:rPr>
                  <w:rFonts w:ascii="Times New Roman" w:cs="Times New Roman" w:eastAsia="Times New Roman" w:hAnsi="Times New Roman"/>
                  <w:sz w:val="16"/>
                  <w:szCs w:val="16"/>
                  <w:color w:val="0000FF"/>
                </w:rPr>
                <w:t>SIGNATURES</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938"/>
        </w:trPr>
        <w:tc>
          <w:tcPr>
            <w:tcW w:w="2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5360" w:type="dxa"/>
            <w:vAlign w:val="bottom"/>
            <w:gridSpan w:val="13"/>
          </w:tcPr>
          <w:p>
            <w:pPr>
              <w:jc w:val="right"/>
              <w:ind w:right="974"/>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74"/>
        </w:trPr>
        <w:tc>
          <w:tcPr>
            <w:tcW w:w="2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5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3"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In addition to factors previously identified elsewhere in the reports and other documents Sixth Street Specialty Lending, Inc. (the "Company", "we", "us", or "our")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•an economic downturn, which could impair our portfolio companies’ abilities to continue to operate, and could lead to the loss of some or all of our investments in those portfolio companies;</w:t>
      </w:r>
    </w:p>
    <w:p>
      <w:pPr>
        <w:spacing w:after="0" w:line="59" w:lineRule="exact"/>
        <w:rPr>
          <w:sz w:val="20"/>
          <w:szCs w:val="20"/>
          <w:color w:val="auto"/>
        </w:rPr>
      </w:pPr>
    </w:p>
    <w:p>
      <w:pPr>
        <w:ind w:left="240" w:right="70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•such an economic downturn could also impact availability and pricing of our financing;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inability to access the capital markets could impair our ability to raise capital and our investment activities;</w:t>
      </w:r>
    </w:p>
    <w:p>
      <w:pPr>
        <w:spacing w:after="0" w:line="92" w:lineRule="exact"/>
        <w:rPr>
          <w:sz w:val="20"/>
          <w:szCs w:val="20"/>
          <w:color w:val="auto"/>
        </w:rPr>
      </w:pPr>
    </w:p>
    <w:p>
      <w:pPr>
        <w:ind w:left="240" w:right="580"/>
        <w:spacing w:after="0" w:line="259" w:lineRule="auto"/>
        <w:rPr>
          <w:sz w:val="20"/>
          <w:szCs w:val="20"/>
          <w:color w:val="auto"/>
        </w:rPr>
      </w:pPr>
      <w:r>
        <w:rPr>
          <w:rFonts w:ascii="Times New Roman" w:cs="Times New Roman" w:eastAsia="Times New Roman" w:hAnsi="Times New Roman"/>
          <w:sz w:val="16"/>
          <w:szCs w:val="16"/>
          <w:color w:val="auto"/>
        </w:rPr>
        <w:t>•inflation could negatively impact our business, including our ability to access the debt markets on favorable terms, or could negatively impact our portfolio companies; and</w:t>
      </w:r>
    </w:p>
    <w:p>
      <w:pPr>
        <w:spacing w:after="0" w:line="59" w:lineRule="exact"/>
        <w:rPr>
          <w:sz w:val="20"/>
          <w:szCs w:val="20"/>
          <w:color w:val="auto"/>
        </w:rPr>
      </w:pPr>
    </w:p>
    <w:p>
      <w:pPr>
        <w:ind w:left="240" w:right="360"/>
        <w:spacing w:after="0" w:line="259" w:lineRule="auto"/>
        <w:rPr>
          <w:sz w:val="20"/>
          <w:szCs w:val="20"/>
          <w:color w:val="auto"/>
        </w:rPr>
      </w:pPr>
      <w:r>
        <w:rPr>
          <w:rFonts w:ascii="Times New Roman" w:cs="Times New Roman" w:eastAsia="Times New Roman" w:hAnsi="Times New Roman"/>
          <w:sz w:val="16"/>
          <w:szCs w:val="16"/>
          <w:color w:val="auto"/>
        </w:rPr>
        <w:t>•the risks, uncertainties and other factors we identify in the section entitled “Risk Factors” in this report, in our Annual Report on Form 10-K for the year ended December 31, 2023, filed with the SEC on February 15, 2024, and elsewhere in our filings with the SEC.</w:t>
      </w:r>
    </w:p>
    <w:p>
      <w:pPr>
        <w:spacing w:after="0" w:line="1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“TSLX” and “TAO” marks are marks of Sixth Street.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4"/>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r>
      <w:tr>
        <w:trPr>
          <w:trHeight w:val="208"/>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Non-controlled, non-affiliated investments (amortized cost of $3,221,394 and $3,172,853, respectively)</w:t>
            </w:r>
          </w:p>
        </w:tc>
        <w:tc>
          <w:tcPr>
            <w:tcW w:w="34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3,254,527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3,223,152</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Controlled, affiliated investments (amortized cost of $83,169 and $78,159, respectively)</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59,913</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investments at fair value (amortized cost of $3,304,563 and $3,251,012, respectively)</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3,317,069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3,283,065</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(restricted cash of $29,527 and $23,979, respectively)</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25,196</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receivable</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30,738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27,969</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7,578</w:t>
            </w:r>
          </w:p>
        </w:tc>
        <w:tc>
          <w:tcPr>
            <w:tcW w:w="80" w:type="dxa"/>
            <w:vAlign w:val="bottom"/>
          </w:tcPr>
          <w:p>
            <w:pPr>
              <w:spacing w:after="0"/>
              <w:rPr>
                <w:sz w:val="17"/>
                <w:szCs w:val="17"/>
                <w:color w:val="auto"/>
              </w:rPr>
            </w:pPr>
          </w:p>
        </w:tc>
      </w:tr>
      <w:tr>
        <w:trPr>
          <w:trHeight w:val="245"/>
        </w:trPr>
        <w:tc>
          <w:tcPr>
            <w:tcW w:w="68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3,386,951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3,343,808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0"/>
        </w:trPr>
        <w:tc>
          <w:tcPr>
            <w:tcW w:w="6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Debt (net of deferred financing costs of $27,262 and $21,930, respectively)</w:t>
            </w:r>
          </w:p>
        </w:tc>
        <w:tc>
          <w:tcPr>
            <w:tcW w:w="34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1,712,905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1,780,307</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 fees payable to affiliate</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Incentive fees on net investment income payable to affiliate</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11,451</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fees on net capital gains accrued to affiliate</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10,446</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payables to affiliate</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30,465</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1,787,916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1,847,433</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9"/>
        </w:trPr>
        <w:tc>
          <w:tcPr>
            <w:tcW w:w="686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Preferred stock, $0.01 par value; 100,000,000 shares authorized; no shares</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issued and outstanding</w:t>
            </w:r>
          </w:p>
        </w:tc>
        <w:tc>
          <w:tcPr>
            <w:tcW w:w="340" w:type="dxa"/>
            <w:vAlign w:val="bottom"/>
          </w:tcPr>
          <w:p>
            <w:pPr>
              <w:spacing w:after="0"/>
              <w:rPr>
                <w:sz w:val="17"/>
                <w:szCs w:val="17"/>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6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Common stock, $0.01 par value; 400,000,000 shares authorized, 93,681,455</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686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and 88,493,749 shares issued, respectively; and 93,017,205 and 87,829,499</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1,510,345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1,405,173</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Treasury stock at cost; 664,250 and 664,250 shares held, respectively</w:t>
            </w:r>
          </w:p>
        </w:tc>
        <w:tc>
          <w:tcPr>
            <w:tcW w:w="3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(10,459 )</w:t>
            </w:r>
          </w:p>
        </w:tc>
        <w:tc>
          <w:tcPr>
            <w:tcW w:w="2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(10,459 )</w:t>
            </w: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Distributable earnings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98,212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100,776</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1,599,035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1,496,375</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 and Net Assets</w:t>
            </w: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3,386,951</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3,343,808</w:t>
            </w:r>
          </w:p>
        </w:tc>
        <w:tc>
          <w:tcPr>
            <w:tcW w:w="8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6860" w:type="dxa"/>
            <w:vAlign w:val="bottom"/>
            <w:tcBorders>
              <w:bottom w:val="single" w:sz="8" w:color="CFF0FC"/>
            </w:tcBorders>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34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17.19</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17.04</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5"/>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Pr>
          <w:p>
            <w:pPr>
              <w:spacing w:after="0"/>
              <w:rPr>
                <w:sz w:val="15"/>
                <w:szCs w:val="15"/>
                <w:color w:val="auto"/>
              </w:rPr>
            </w:pPr>
          </w:p>
        </w:tc>
        <w:tc>
          <w:tcPr>
            <w:tcW w:w="2540" w:type="dxa"/>
            <w:vAlign w:val="bottom"/>
            <w:gridSpan w:val="5"/>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80" w:type="dxa"/>
            <w:vAlign w:val="bottom"/>
          </w:tcPr>
          <w:p>
            <w:pPr>
              <w:spacing w:after="0"/>
              <w:rPr>
                <w:sz w:val="16"/>
                <w:szCs w:val="16"/>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60" w:type="dxa"/>
            <w:vAlign w:val="bottom"/>
          </w:tcPr>
          <w:p>
            <w:pPr>
              <w:spacing w:after="0"/>
              <w:rPr>
                <w:sz w:val="16"/>
                <w:szCs w:val="16"/>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4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from non-controlled, non-affiliated investments: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102,707</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96,221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205,114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184,655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Paid-in-kind interest income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investment income from non-controlled, non-affiliated investments</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119,490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105,737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235,040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200,539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from controlled, affiliated investments: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investment income from controlled, affiliated investments</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2,325</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8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121,815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239,599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204,111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78,266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Management fees</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12,765</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11,410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25,361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22,143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fees on net investment income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Incentive fees on net capital gains</w:t>
            </w:r>
          </w:p>
        </w:tc>
        <w:tc>
          <w:tcPr>
            <w:tcW w:w="160" w:type="dxa"/>
            <w:vAlign w:val="bottom"/>
            <w:shd w:val="clear" w:color="auto" w:fill="CFF0FC"/>
          </w:tcPr>
          <w:p>
            <w:pPr>
              <w:spacing w:after="0"/>
              <w:rPr>
                <w:sz w:val="15"/>
                <w:szCs w:val="15"/>
                <w:color w:val="auto"/>
              </w:rPr>
            </w:pPr>
          </w:p>
        </w:tc>
        <w:tc>
          <w:tcPr>
            <w:tcW w:w="13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(1,335 )</w:t>
            </w:r>
          </w:p>
        </w:tc>
        <w:tc>
          <w:tcPr>
            <w:tcW w:w="18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(2,179 )</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4860" w:type="dxa"/>
            <w:vAlign w:val="bottom"/>
            <w:vMerge w:val="continue"/>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34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1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28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86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34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1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28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Directors’ fees</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general and administrative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expenses</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65,743</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58,219</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130,711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111,630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incentive fees waived (Note 3)</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(297 )</w:t>
            </w:r>
          </w:p>
        </w:tc>
        <w:tc>
          <w:tcPr>
            <w:tcW w:w="18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(300 )</w:t>
            </w:r>
          </w:p>
        </w:tc>
        <w:tc>
          <w:tcPr>
            <w:tcW w:w="2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(694 )</w:t>
            </w:r>
          </w:p>
        </w:tc>
        <w:tc>
          <w:tcPr>
            <w:tcW w:w="14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(556 )</w:t>
            </w: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65,446</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57,919</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130,017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 Before Income Taxes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56,369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109,582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taxes, including excise taxes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55,143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 and Realized Gains (Losses)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gains (losses):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(7,852 )</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7,662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(17,166 )</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19,416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16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(2,783 )</w:t>
            </w:r>
          </w:p>
        </w:tc>
        <w:tc>
          <w:tcPr>
            <w:tcW w:w="2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(2,381 )</w:t>
            </w:r>
          </w:p>
        </w:tc>
        <w:tc>
          <w:tcPr>
            <w:tcW w:w="14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(8,987 )</w:t>
            </w: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Translation of other assets and liabilities in foreign currencies</w:t>
            </w:r>
          </w:p>
        </w:tc>
        <w:tc>
          <w:tcPr>
            <w:tcW w:w="1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(1,641 )</w:t>
            </w:r>
          </w:p>
        </w:tc>
        <w:tc>
          <w:tcPr>
            <w:tcW w:w="1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(2,000 )</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(3,004 )</w:t>
            </w:r>
          </w:p>
        </w:tc>
        <w:tc>
          <w:tcPr>
            <w:tcW w:w="0" w:type="dxa"/>
            <w:vAlign w:val="bottom"/>
          </w:tcPr>
          <w:p>
            <w:pPr>
              <w:spacing w:after="0"/>
              <w:rPr>
                <w:sz w:val="1"/>
                <w:szCs w:val="1"/>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rate swaps</w:t>
            </w:r>
          </w:p>
        </w:tc>
        <w:tc>
          <w:tcPr>
            <w:tcW w:w="16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(57 )</w:t>
            </w:r>
          </w:p>
        </w:tc>
        <w:tc>
          <w:tcPr>
            <w:tcW w:w="26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Total net change in unrealized gains (losses)</w:t>
            </w:r>
          </w:p>
        </w:tc>
        <w:tc>
          <w:tcPr>
            <w:tcW w:w="1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(9,493 )</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(16,462 )</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7,599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gains (losses):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 transactions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(139 )</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Total net realized gains (losses)</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6,722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86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Net Unrealized and Realized Gains (Losses)</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(7,742 )</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(12,587 )</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3"/>
                <w:szCs w:val="13"/>
                <w:b w:val="1"/>
                <w:bCs w:val="1"/>
                <w:color w:val="auto"/>
              </w:rPr>
              <w:t>Increase (Decrease) in Net Assets Resulting from Operations</w:t>
            </w: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47,401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53,090</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94,919</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106,042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per common share—basic and diluted</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20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w:t>
            </w:r>
          </w:p>
        </w:tc>
        <w:tc>
          <w:tcPr>
            <w:tcW w:w="100" w:type="dxa"/>
            <w:vAlign w:val="bottom"/>
          </w:tcPr>
          <w:p>
            <w:pPr>
              <w:spacing w:after="0"/>
              <w:rPr>
                <w:sz w:val="13"/>
                <w:szCs w:val="13"/>
                <w:color w:val="auto"/>
              </w:rPr>
            </w:pPr>
          </w:p>
        </w:tc>
        <w:tc>
          <w:tcPr>
            <w:tcW w:w="2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Weighted average shares of common stock outstanding—basic and diluted</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92,734,320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84,223,032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90,883,350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82,819,734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June 30, 2024</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2"/>
        </w:trPr>
        <w:tc>
          <w:tcPr>
            <w:tcW w:w="17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Initial</w:t>
            </w:r>
          </w:p>
        </w:tc>
        <w:tc>
          <w:tcPr>
            <w:tcW w:w="106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2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06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4"/>
              </w:rPr>
              <w:t>Rate and</w:t>
            </w: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w:t>
            </w:r>
          </w:p>
        </w:tc>
        <w:tc>
          <w:tcPr>
            <w:tcW w:w="2500" w:type="dxa"/>
            <w:vAlign w:val="bottom"/>
          </w:tcPr>
          <w:p>
            <w:pPr>
              <w:ind w:left="10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6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260" w:type="dxa"/>
            <w:vAlign w:val="bottom"/>
          </w:tcPr>
          <w:p>
            <w:pPr>
              <w:spacing w:after="0"/>
              <w:rPr>
                <w:sz w:val="13"/>
                <w:szCs w:val="13"/>
                <w:color w:val="auto"/>
              </w:rPr>
            </w:pPr>
          </w:p>
        </w:tc>
        <w:tc>
          <w:tcPr>
            <w:tcW w:w="920" w:type="dxa"/>
            <w:vAlign w:val="bottom"/>
          </w:tcPr>
          <w:p>
            <w:pPr>
              <w:jc w:val="right"/>
              <w:ind w:right="266"/>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(2)(7)</w:t>
            </w:r>
          </w:p>
        </w:tc>
        <w:tc>
          <w:tcPr>
            <w:tcW w:w="300" w:type="dxa"/>
            <w:vAlign w:val="bottom"/>
          </w:tcPr>
          <w:p>
            <w:pPr>
              <w:spacing w:after="0"/>
              <w:rPr>
                <w:sz w:val="13"/>
                <w:szCs w:val="13"/>
                <w:color w:val="auto"/>
              </w:rPr>
            </w:pPr>
          </w:p>
        </w:tc>
        <w:tc>
          <w:tcPr>
            <w:tcW w:w="1180" w:type="dxa"/>
            <w:vAlign w:val="bottom"/>
          </w:tcPr>
          <w:p>
            <w:pPr>
              <w:jc w:val="right"/>
              <w:ind w:right="346"/>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(8)</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of Net Assets</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Debt Investments</w:t>
            </w:r>
          </w:p>
        </w:tc>
        <w:tc>
          <w:tcPr>
            <w:tcW w:w="25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2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Bestpass, Inc. </w:t>
            </w:r>
            <w:r>
              <w:rPr>
                <w:rFonts w:ascii="Times New Roman" w:cs="Times New Roman" w:eastAsia="Times New Roman" w:hAnsi="Times New Roman"/>
                <w:sz w:val="14"/>
                <w:szCs w:val="14"/>
                <w:color w:val="auto"/>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($44,575 par, due 5/2029)</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5/26/2023</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11.09%</w:t>
            </w:r>
          </w:p>
        </w:tc>
        <w:tc>
          <w:tcPr>
            <w:tcW w:w="2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43,457</w:t>
            </w:r>
          </w:p>
        </w:tc>
        <w:tc>
          <w:tcPr>
            <w:tcW w:w="3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44,464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Truck-Lite Co., LLC </w:t>
            </w:r>
            <w:r>
              <w:rPr>
                <w:rFonts w:ascii="Times New Roman" w:cs="Times New Roman" w:eastAsia="Times New Roman" w:hAnsi="Times New Roman"/>
                <w:sz w:val="14"/>
                <w:szCs w:val="14"/>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($40,336 par, due 2/2031)</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2/13/2024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+ 5.75%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11.07%</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39,904</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40,336</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($146 par, due 2/2031)</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2/13/2024</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11.08%</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105</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83,466</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84,946</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5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Alpha Midco, Inc. </w:t>
            </w:r>
            <w:r>
              <w:rPr>
                <w:rFonts w:ascii="Times New Roman" w:cs="Times New Roman" w:eastAsia="Times New Roman" w:hAnsi="Times New Roman"/>
                <w:sz w:val="14"/>
                <w:szCs w:val="14"/>
                <w:color w:val="auto"/>
                <w:vertAlign w:val="superscript"/>
              </w:rPr>
              <w:t>(3)(5)</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($69,550 par, due 8/2028)</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8/15/2019</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+ 6.88%</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12.21%</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69,101</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69,725</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($13 par, due 8/2028)</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4/8/2024</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+ 6.88%</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12.22%</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Artisan Bidco, Inc.</w:t>
            </w:r>
            <w:r>
              <w:rPr>
                <w:rFonts w:ascii="Times New Roman" w:cs="Times New Roman" w:eastAsia="Times New Roman" w:hAnsi="Times New Roman"/>
                <w:sz w:val="14"/>
                <w:szCs w:val="14"/>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($37,920 par, due 11/2029)</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11/7/2023</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+ 7.00%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12.33%</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37,118</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37,702</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44"/>
        </w:trPr>
        <w:tc>
          <w:tcPr>
            <w:tcW w:w="1740" w:type="dxa"/>
            <w:vAlign w:val="bottom"/>
            <w:shd w:val="clear" w:color="auto" w:fill="CFF0FC"/>
          </w:tcPr>
          <w:p>
            <w:pPr>
              <w:spacing w:after="0"/>
              <w:rPr>
                <w:sz w:val="12"/>
                <w:szCs w:val="12"/>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17,646 par, due 11/2029)</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11/7/2023</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 + 7.00%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10.83%</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18,612</w:t>
            </w: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18,818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44"/>
        </w:trPr>
        <w:tc>
          <w:tcPr>
            <w:tcW w:w="17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(EUR 17,558)</w:t>
            </w: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w w:val="99"/>
              </w:rPr>
              <w:t xml:space="preserve">Azurite Intermediate Holdings, Inc. </w:t>
            </w:r>
            <w:r>
              <w:rPr>
                <w:rFonts w:ascii="Times New Roman" w:cs="Times New Roman" w:eastAsia="Times New Roman" w:hAnsi="Times New Roman"/>
                <w:sz w:val="14"/>
                <w:szCs w:val="14"/>
                <w:color w:val="auto"/>
                <w:w w:val="99"/>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($32,063 par, due 3/2031)</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3/19/2024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+ 6.50%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11.84%</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31,399</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31,588</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holdco loan ($33,933 par, due 10/2030)</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4/18/2023</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+ 9.00%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14.33% PIK</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33,120</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34,527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Crewline Buyer, Inc.</w:t>
            </w:r>
            <w:r>
              <w:rPr>
                <w:rFonts w:ascii="Times New Roman" w:cs="Times New Roman" w:eastAsia="Times New Roman" w:hAnsi="Times New Roman"/>
                <w:sz w:val="14"/>
                <w:szCs w:val="14"/>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($56,324 par, due 11/2030)</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11/8/2023</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12.08%</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54,860</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56,013</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14"/>
                <w:szCs w:val="14"/>
                <w:color w:val="auto"/>
                <w:vertAlign w:val="superscript"/>
              </w:rPr>
              <w:t>(3)(4)(9)</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($1,000 par, due 4/2031)</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4/4/2024</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+ 4.35%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9.68%</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985</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Elements Finco Limited </w:t>
            </w:r>
            <w:r>
              <w:rPr>
                <w:rFonts w:ascii="Times New Roman" w:cs="Times New Roman" w:eastAsia="Times New Roman" w:hAnsi="Times New Roman"/>
                <w:sz w:val="14"/>
                <w:szCs w:val="14"/>
                <w:color w:val="auto"/>
                <w:vertAlign w:val="superscript"/>
              </w:rPr>
              <w:t>(3)(4)</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($4,069 par, due 4/2031)</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4/29/2024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+ 4.75%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10.09%</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4,043</w:t>
            </w:r>
          </w:p>
        </w:tc>
        <w:tc>
          <w:tcPr>
            <w:tcW w:w="300" w:type="dxa"/>
            <w:vAlign w:val="bottom"/>
          </w:tcPr>
          <w:p>
            <w:pPr>
              <w:spacing w:after="0"/>
              <w:rPr>
                <w:sz w:val="13"/>
                <w:szCs w:val="13"/>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4,039</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44"/>
        </w:trPr>
        <w:tc>
          <w:tcPr>
            <w:tcW w:w="1740" w:type="dxa"/>
            <w:vAlign w:val="bottom"/>
            <w:shd w:val="clear" w:color="auto" w:fill="CFF0FC"/>
          </w:tcPr>
          <w:p>
            <w:pPr>
              <w:spacing w:after="0"/>
              <w:rPr>
                <w:sz w:val="12"/>
                <w:szCs w:val="12"/>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(GBP 7,095 par, due 4/2031)</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4/29/2024</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 + 5.00%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10.20%</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8,777</w:t>
            </w: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8,871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44"/>
        </w:trPr>
        <w:tc>
          <w:tcPr>
            <w:tcW w:w="17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(GBP 7,018)</w:t>
            </w: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14"/>
                <w:szCs w:val="14"/>
                <w:color w:val="auto"/>
                <w:vertAlign w:val="superscript"/>
              </w:rPr>
              <w:t>(3)(5)</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($70,378 par, due 7/2027)</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7/22/2021</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+ 7.60%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12.94%</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69,513</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70,199</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ForeScout Technologies, Inc.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($5,625 par, due 5/2031)</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5/24/2024</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+ 5.00%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10.33%</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5,565</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5,561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Galileo Parent, Inc. </w:t>
            </w:r>
            <w:r>
              <w:rPr>
                <w:rFonts w:ascii="Times New Roman" w:cs="Times New Roman" w:eastAsia="Times New Roman" w:hAnsi="Times New Roman"/>
                <w:sz w:val="14"/>
                <w:szCs w:val="14"/>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($64,417 par, due 5/2030)</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5/3/2023</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+ 7.25%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12.58%</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62,702</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64,417</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($6,058 par, due 5/2030)</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5/3/2023</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+ 7.25%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12.59%</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5,814</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6,058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w w:val="97"/>
              </w:rPr>
              <w:t xml:space="preserve">Mitnick Corporate Purchaser, Inc. </w:t>
            </w:r>
            <w:r>
              <w:rPr>
                <w:rFonts w:ascii="Times New Roman" w:cs="Times New Roman" w:eastAsia="Times New Roman" w:hAnsi="Times New Roman"/>
                <w:sz w:val="14"/>
                <w:szCs w:val="14"/>
                <w:color w:val="auto"/>
                <w:w w:val="97"/>
                <w:vertAlign w:val="superscript"/>
              </w:rPr>
              <w:t>(3)(9)</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($328 par, due 5/2029)</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5/2/2022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+ 4.50%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9.93%</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328</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302</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Netwrix Corp.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($46,243 par, due 6/2029)</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6/9/2022</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+ 5.00%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10.35%</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45,721</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46,489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144"/>
        </w:trPr>
        <w:tc>
          <w:tcPr>
            <w:tcW w:w="174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OutSystems Luxco SARL</w:t>
            </w:r>
            <w:r>
              <w:rPr>
                <w:rFonts w:ascii="Times New Roman" w:cs="Times New Roman" w:eastAsia="Times New Roman" w:hAnsi="Times New Roman"/>
                <w:sz w:val="14"/>
                <w:szCs w:val="14"/>
                <w:color w:val="auto"/>
                <w:vertAlign w:val="superscript"/>
              </w:rPr>
              <w:t>(3)(4)(5)</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3,004 par, due 12/2028)</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12/8/2022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 + 5.75%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9.40%</w:t>
            </w:r>
          </w:p>
        </w:tc>
        <w:tc>
          <w:tcPr>
            <w:tcW w:w="26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3,107</w:t>
            </w:r>
          </w:p>
        </w:tc>
        <w:tc>
          <w:tcPr>
            <w:tcW w:w="300" w:type="dxa"/>
            <w:vAlign w:val="bottom"/>
          </w:tcPr>
          <w:p>
            <w:pPr>
              <w:spacing w:after="0"/>
              <w:rPr>
                <w:sz w:val="12"/>
                <w:szCs w:val="12"/>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3,286</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(EUR 3,066)</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 xml:space="preserve">Price Fx Inc. </w:t>
            </w:r>
            <w:r>
              <w:rPr>
                <w:rFonts w:ascii="Times New Roman" w:cs="Times New Roman" w:eastAsia="Times New Roman" w:hAnsi="Times New Roman"/>
                <w:sz w:val="14"/>
                <w:szCs w:val="14"/>
                <w:color w:val="auto"/>
                <w:vertAlign w:val="superscript"/>
              </w:rPr>
              <w:t>(3)(4)</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10/27/2023</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 + 7.00%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10.86%</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964</w:t>
            </w: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970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44"/>
        </w:trPr>
        <w:tc>
          <w:tcPr>
            <w:tcW w:w="17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(EUR 905)</w:t>
            </w: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USA DeBusk, LLC </w:t>
            </w:r>
            <w:r>
              <w:rPr>
                <w:rFonts w:ascii="Times New Roman" w:cs="Times New Roman" w:eastAsia="Times New Roman" w:hAnsi="Times New Roman"/>
                <w:sz w:val="14"/>
                <w:szCs w:val="14"/>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($6,641 par, due 4/2031)</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4/30/2024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+ 5.25%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10.58%</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6,525</w:t>
            </w:r>
          </w:p>
        </w:tc>
        <w:tc>
          <w:tcPr>
            <w:tcW w:w="300" w:type="dxa"/>
            <w:vAlign w:val="bottom"/>
          </w:tcPr>
          <w:p>
            <w:pPr>
              <w:spacing w:after="0"/>
              <w:rPr>
                <w:sz w:val="13"/>
                <w:szCs w:val="13"/>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6,550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($180 par, due 4/2030)</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4/30/2024</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+ 5.25%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10.58%</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167</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Wrangler TopCo, LLC </w:t>
            </w:r>
            <w:r>
              <w:rPr>
                <w:rFonts w:ascii="Times New Roman" w:cs="Times New Roman" w:eastAsia="Times New Roman" w:hAnsi="Times New Roman"/>
                <w:sz w:val="14"/>
                <w:szCs w:val="14"/>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($4,153 par, due 7/2029)</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7/7/2023</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+ 7.50%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12.83%</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4,050</w:t>
            </w:r>
          </w:p>
        </w:tc>
        <w:tc>
          <w:tcPr>
            <w:tcW w:w="300" w:type="dxa"/>
            <w:vAlign w:val="bottom"/>
          </w:tcPr>
          <w:p>
            <w:pPr>
              <w:spacing w:after="0"/>
              <w:rPr>
                <w:sz w:val="13"/>
                <w:szCs w:val="13"/>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4,210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5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462,483</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470,512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Chemicals</w:t>
            </w:r>
          </w:p>
        </w:tc>
        <w:tc>
          <w:tcPr>
            <w:tcW w:w="2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Erling Lux Bidco SARL</w:t>
            </w:r>
            <w:r>
              <w:rPr>
                <w:rFonts w:ascii="Times New Roman" w:cs="Times New Roman" w:eastAsia="Times New Roman" w:hAnsi="Times New Roman"/>
                <w:sz w:val="14"/>
                <w:szCs w:val="14"/>
                <w:color w:val="auto"/>
                <w:vertAlign w:val="superscript"/>
              </w:rPr>
              <w:t>(3)(4)</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7,239 par, due 9/2028)</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9/6/2022</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 + 6.75%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10.62%</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6,848</w:t>
            </w: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7,986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44"/>
        </w:trPr>
        <w:tc>
          <w:tcPr>
            <w:tcW w:w="17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(EUR 7,452)</w:t>
            </w: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(GBP 13,388 par, due 9/2028)</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9/6/2022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 + 6.75%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11.95%</w:t>
            </w:r>
          </w:p>
        </w:tc>
        <w:tc>
          <w:tcPr>
            <w:tcW w:w="26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15,150</w:t>
            </w:r>
          </w:p>
        </w:tc>
        <w:tc>
          <w:tcPr>
            <w:tcW w:w="300" w:type="dxa"/>
            <w:vAlign w:val="bottom"/>
          </w:tcPr>
          <w:p>
            <w:pPr>
              <w:spacing w:after="0"/>
              <w:rPr>
                <w:sz w:val="12"/>
                <w:szCs w:val="12"/>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17,135</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(GBP 13,555)</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FF0FC"/>
          </w:tcPr>
          <w:p>
            <w:pPr>
              <w:spacing w:after="0"/>
              <w:rPr>
                <w:sz w:val="12"/>
                <w:szCs w:val="12"/>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(GBP 312 par, due 9/2028)</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9/6/2022</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 + 6.75%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11.95%</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388</w:t>
            </w: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44"/>
        </w:trPr>
        <w:tc>
          <w:tcPr>
            <w:tcW w:w="17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(GBP 316)</w:t>
            </w: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(NOK 7,427 par, due 9/2028)</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9/6/2022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N + 6.75%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11.48%</w:t>
            </w:r>
          </w:p>
        </w:tc>
        <w:tc>
          <w:tcPr>
            <w:tcW w:w="26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710</w:t>
            </w:r>
          </w:p>
        </w:tc>
        <w:tc>
          <w:tcPr>
            <w:tcW w:w="300" w:type="dxa"/>
            <w:vAlign w:val="bottom"/>
          </w:tcPr>
          <w:p>
            <w:pPr>
              <w:spacing w:after="0"/>
              <w:rPr>
                <w:sz w:val="12"/>
                <w:szCs w:val="12"/>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706</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(NOK 7,520)</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spacing w:after="0"/>
              <w:rPr>
                <w:sz w:val="13"/>
                <w:szCs w:val="13"/>
                <w:color w:val="auto"/>
              </w:rPr>
            </w:pPr>
          </w:p>
        </w:tc>
        <w:tc>
          <w:tcPr>
            <w:tcW w:w="25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23,096</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26,226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Aurelia Netherlands MidCo 2 B.V.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First-lien loan (EUR 32,904 par, due 5/2031)</w:t>
            </w:r>
          </w:p>
        </w:tc>
        <w:tc>
          <w:tcPr>
            <w:tcW w:w="1020" w:type="dxa"/>
            <w:vAlign w:val="bottom"/>
            <w:shd w:val="clear" w:color="auto" w:fill="CFF0FC"/>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5/22/2024</w:t>
            </w:r>
          </w:p>
        </w:tc>
        <w:tc>
          <w:tcPr>
            <w:tcW w:w="1060" w:type="dxa"/>
            <w:vAlign w:val="bottom"/>
            <w:shd w:val="clear" w:color="auto" w:fill="CFF0FC"/>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E + 5.75%</w:t>
            </w:r>
          </w:p>
        </w:tc>
        <w:tc>
          <w:tcPr>
            <w:tcW w:w="84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9.55%</w:t>
            </w: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34,877</w:t>
            </w:r>
          </w:p>
        </w:tc>
        <w:tc>
          <w:tcPr>
            <w:tcW w:w="300" w:type="dxa"/>
            <w:vAlign w:val="bottom"/>
            <w:shd w:val="clear" w:color="auto" w:fill="CFF0FC"/>
          </w:tcPr>
          <w:p>
            <w:pPr>
              <w:spacing w:after="0"/>
              <w:rPr>
                <w:sz w:val="10"/>
                <w:szCs w:val="10"/>
                <w:color w:val="auto"/>
              </w:rPr>
            </w:pPr>
          </w:p>
        </w:tc>
        <w:tc>
          <w:tcPr>
            <w:tcW w:w="1180" w:type="dxa"/>
            <w:vAlign w:val="bottom"/>
            <w:shd w:val="clear" w:color="auto" w:fill="CFF0FC"/>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34,736</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94"/>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(4)</w:t>
            </w:r>
          </w:p>
        </w:tc>
        <w:tc>
          <w:tcPr>
            <w:tcW w:w="250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18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(EUR 32,410)</w:t>
            </w:r>
          </w:p>
        </w:tc>
        <w:tc>
          <w:tcPr>
            <w:tcW w:w="7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740" w:type="dxa"/>
            <w:vAlign w:val="bottom"/>
            <w:shd w:val="clear" w:color="auto" w:fill="CFF0FC"/>
          </w:tcPr>
          <w:p>
            <w:pPr>
              <w:spacing w:after="0"/>
              <w:rPr>
                <w:sz w:val="6"/>
                <w:szCs w:val="6"/>
                <w:color w:val="auto"/>
              </w:rPr>
            </w:pPr>
          </w:p>
        </w:tc>
        <w:tc>
          <w:tcPr>
            <w:tcW w:w="250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180" w:type="dxa"/>
            <w:vAlign w:val="bottom"/>
            <w:vMerge w:val="continue"/>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Babylon Finco Limited </w:t>
            </w:r>
            <w:r>
              <w:rPr>
                <w:rFonts w:ascii="Times New Roman" w:cs="Times New Roman" w:eastAsia="Times New Roman" w:hAnsi="Times New Roman"/>
                <w:sz w:val="14"/>
                <w:szCs w:val="14"/>
                <w:color w:val="auto"/>
                <w:vertAlign w:val="superscript"/>
              </w:rPr>
              <w:t>(3)(4)</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($1,557 par, due 1/2031)</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1/26/2024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+ 6.25%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11.57%</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1,508</w:t>
            </w:r>
          </w:p>
        </w:tc>
        <w:tc>
          <w:tcPr>
            <w:tcW w:w="300" w:type="dxa"/>
            <w:vAlign w:val="bottom"/>
          </w:tcPr>
          <w:p>
            <w:pPr>
              <w:spacing w:after="0"/>
              <w:rPr>
                <w:sz w:val="13"/>
                <w:szCs w:val="13"/>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1,525</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Banyan Software Holdings, LLC </w:t>
            </w:r>
            <w:r>
              <w:rPr>
                <w:rFonts w:ascii="Times New Roman" w:cs="Times New Roman" w:eastAsia="Times New Roman" w:hAnsi="Times New Roman"/>
                <w:sz w:val="14"/>
                <w:szCs w:val="14"/>
                <w:color w:val="auto"/>
                <w:vertAlign w:val="superscript"/>
              </w:rPr>
              <w:t>(3)(4)</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($39,586 par, due 10/2026)</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1/27/2023</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+ 7.35%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12.69%</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38,780</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40,278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($1,520 par, due 10/2026)</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1/26/2024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+ 6.25%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11.59%</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1,336</w:t>
            </w:r>
          </w:p>
        </w:tc>
        <w:tc>
          <w:tcPr>
            <w:tcW w:w="300" w:type="dxa"/>
            <w:vAlign w:val="bottom"/>
          </w:tcPr>
          <w:p>
            <w:pPr>
              <w:spacing w:after="0"/>
              <w:rPr>
                <w:sz w:val="13"/>
                <w:szCs w:val="13"/>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1,420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14"/>
                <w:szCs w:val="14"/>
                <w:color w:val="auto"/>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($26,786 par, due 11/2026)</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11/19/2021</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11.08%</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26,333</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26,786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IntelePeer Holdings, Inc.</w:t>
            </w:r>
          </w:p>
        </w:tc>
        <w:tc>
          <w:tcPr>
            <w:tcW w:w="2500" w:type="dxa"/>
            <w:vAlign w:val="bottom"/>
          </w:tcPr>
          <w:p>
            <w:pPr>
              <w:ind w:left="60"/>
              <w:spacing w:after="0" w:line="156" w:lineRule="exact"/>
              <w:rPr>
                <w:sz w:val="20"/>
                <w:szCs w:val="20"/>
                <w:color w:val="auto"/>
              </w:rPr>
            </w:pPr>
            <w:r>
              <w:rPr>
                <w:rFonts w:ascii="Times New Roman" w:cs="Times New Roman" w:eastAsia="Times New Roman" w:hAnsi="Times New Roman"/>
                <w:sz w:val="11"/>
                <w:szCs w:val="11"/>
                <w:color w:val="auto"/>
              </w:rPr>
              <w:t xml:space="preserve">First-lien loan ($33,088 par, due 12/2024) </w:t>
            </w:r>
            <w:r>
              <w:rPr>
                <w:rFonts w:ascii="Times New Roman" w:cs="Times New Roman" w:eastAsia="Times New Roman" w:hAnsi="Times New Roman"/>
                <w:sz w:val="14"/>
                <w:szCs w:val="14"/>
                <w:color w:val="auto"/>
                <w:vertAlign w:val="superscript"/>
              </w:rPr>
              <w:t>(3)</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12/2/2019</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+ 8.40%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13.73%</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33,078</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33,088</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Convertible note ($4,880 par, due 5/2028)</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5/12/2021</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8.00%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8.00% PIK</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4,856</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6,186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140,768</w:t>
            </w:r>
          </w:p>
        </w:tc>
        <w:tc>
          <w:tcPr>
            <w:tcW w:w="300" w:type="dxa"/>
            <w:vAlign w:val="bottom"/>
          </w:tcPr>
          <w:p>
            <w:pPr>
              <w:spacing w:after="0"/>
              <w:rPr>
                <w:sz w:val="13"/>
                <w:szCs w:val="13"/>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144,019</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5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Astra Acquisition Corp. </w:t>
            </w:r>
            <w:r>
              <w:rPr>
                <w:rFonts w:ascii="Times New Roman" w:cs="Times New Roman" w:eastAsia="Times New Roman" w:hAnsi="Times New Roman"/>
                <w:sz w:val="14"/>
                <w:szCs w:val="14"/>
                <w:color w:val="auto"/>
                <w:vertAlign w:val="superscript"/>
              </w:rPr>
              <w:t>(3)(14)</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Second-lien loan ($41,945 par, due 10/2029)</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10/22/2021</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+ 9.14%</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14.47%</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41,321</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16,358</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32"/>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Destiny Solutions Parent Holding</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($59,250 par, due 6/2026)</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6/8/2021</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+ 5.85%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11.19%</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58,694</w:t>
            </w:r>
          </w:p>
        </w:tc>
        <w:tc>
          <w:tcPr>
            <w:tcW w:w="3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58,954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Company </w:t>
            </w:r>
            <w:r>
              <w:rPr>
                <w:rFonts w:ascii="Times New Roman" w:cs="Times New Roman" w:eastAsia="Times New Roman" w:hAnsi="Times New Roman"/>
                <w:sz w:val="14"/>
                <w:szCs w:val="14"/>
                <w:color w:val="auto"/>
                <w:vertAlign w:val="superscript"/>
              </w:rPr>
              <w:t>(3)(5)</w:t>
            </w:r>
          </w:p>
        </w:tc>
        <w:tc>
          <w:tcPr>
            <w:tcW w:w="25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14"/>
                <w:szCs w:val="14"/>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($56,216 par, due 12/2027)</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12/22/2021</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+ 6.35%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11.69%</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55,488</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55,232</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($5,446 par, due 12/2027)</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12/22/2021</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+ 6.35%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11.69%</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5,344</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5,292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Kangaroo Bidco AS </w:t>
            </w:r>
            <w:r>
              <w:rPr>
                <w:rFonts w:ascii="Times New Roman" w:cs="Times New Roman" w:eastAsia="Times New Roman" w:hAnsi="Times New Roman"/>
                <w:sz w:val="14"/>
                <w:szCs w:val="14"/>
                <w:color w:val="auto"/>
                <w:vertAlign w:val="superscript"/>
              </w:rPr>
              <w:t>(3)(4)</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($30,625 par, due 11/2030)</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11/2/2023</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+ 7.25%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12.54%</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29,734</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30,975</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5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190,581</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166,811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4"/>
                <w:szCs w:val="14"/>
                <w:color w:val="auto"/>
                <w:vertAlign w:val="superscript"/>
              </w:rPr>
              <w:t>(3)(4)</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727 par, due 5/2030)</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5/30/2023</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 + 5.75%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9.51%</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757</w:t>
            </w: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787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44"/>
        </w:trPr>
        <w:tc>
          <w:tcPr>
            <w:tcW w:w="17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(EUR 734)</w:t>
            </w: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BCTO Bluebill Buyer, Inc. </w:t>
            </w:r>
            <w:r>
              <w:rPr>
                <w:rFonts w:ascii="Times New Roman" w:cs="Times New Roman" w:eastAsia="Times New Roman" w:hAnsi="Times New Roman"/>
                <w:sz w:val="14"/>
                <w:szCs w:val="14"/>
                <w:color w:val="auto"/>
                <w:vertAlign w:val="superscript"/>
              </w:rPr>
              <w:t>(3)(5)</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($29,606 par, due 7/2029)</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7/20/2023</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+ 7.25%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12.59%</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28,675</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29,384</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BlueSnap, Inc. </w:t>
            </w:r>
            <w:r>
              <w:rPr>
                <w:rFonts w:ascii="Times New Roman" w:cs="Times New Roman" w:eastAsia="Times New Roman" w:hAnsi="Times New Roman"/>
                <w:sz w:val="14"/>
                <w:szCs w:val="14"/>
                <w:color w:val="auto"/>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($42,868 par, due 8/2025)</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10/25/2019</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+ 7.15%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12.48%</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42,583</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42,528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BTRS Holdings, Inc.</w:t>
            </w:r>
            <w:r>
              <w:rPr>
                <w:rFonts w:ascii="Times New Roman" w:cs="Times New Roman" w:eastAsia="Times New Roman" w:hAnsi="Times New Roman"/>
                <w:sz w:val="14"/>
                <w:szCs w:val="14"/>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($48,012 par, due 12/2028)</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12/16/2022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+ 8.00%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13.34%</w:t>
            </w: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47,005</w:t>
            </w:r>
          </w:p>
        </w:tc>
        <w:tc>
          <w:tcPr>
            <w:tcW w:w="300" w:type="dxa"/>
            <w:vAlign w:val="bottom"/>
          </w:tcPr>
          <w:p>
            <w:pPr>
              <w:spacing w:after="0"/>
              <w:rPr>
                <w:sz w:val="13"/>
                <w:szCs w:val="13"/>
                <w:color w:val="auto"/>
              </w:rPr>
            </w:pPr>
          </w:p>
        </w:tc>
        <w:tc>
          <w:tcPr>
            <w:tcW w:w="1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48,612</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($1,807 par, due 12/2028)</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12/16/2022</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+ 7.25%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12.60%</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1,700</w:t>
            </w: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1,867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CLGF Holdco 2, LLC</w:t>
            </w:r>
            <w:r>
              <w:rPr>
                <w:rFonts w:ascii="Times New Roman" w:cs="Times New Roman" w:eastAsia="Times New Roman" w:hAnsi="Times New Roman"/>
                <w:sz w:val="14"/>
                <w:szCs w:val="14"/>
                <w:color w:val="auto"/>
                <w:vertAlign w:val="superscript"/>
              </w:rPr>
              <w:t>(3)(4)</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($3,916 par, due 11/2027)</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11/7/2023</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+ 8.50%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13.83%</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3,852</w:t>
            </w: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3,896</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spacing w:after="0"/>
              <w:rPr>
                <w:sz w:val="13"/>
                <w:szCs w:val="13"/>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Second-lien loan ($3,357 par, due 11/2028)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11/7/2023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+ 12.00%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17.33%</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3,132</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3,264</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Fullsteam Operations, LLC</w:t>
            </w:r>
            <w:r>
              <w:rPr>
                <w:rFonts w:ascii="Times New Roman" w:cs="Times New Roman" w:eastAsia="Times New Roman" w:hAnsi="Times New Roman"/>
                <w:sz w:val="14"/>
                <w:szCs w:val="14"/>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($35,738 par, due 11/2029)</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11/27/2023</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+ 8.40%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13.74%</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34,630</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35,713</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GreenShoot BidCo B.V </w:t>
            </w:r>
            <w:r>
              <w:rPr>
                <w:rFonts w:ascii="Times New Roman" w:cs="Times New Roman" w:eastAsia="Times New Roman" w:hAnsi="Times New Roman"/>
                <w:sz w:val="14"/>
                <w:szCs w:val="14"/>
                <w:color w:val="auto"/>
                <w:vertAlign w:val="superscript"/>
              </w:rPr>
              <w:t>(3)(4)</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5,107 par, due 5/2030)</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5/28/2024</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 + 5.75%</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9.56%</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5,405</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5,356</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(EUR 4,997)</w:t>
            </w: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Ibis Intermediate Co. </w:t>
            </w:r>
            <w:r>
              <w:rPr>
                <w:rFonts w:ascii="Times New Roman" w:cs="Times New Roman" w:eastAsia="Times New Roman" w:hAnsi="Times New Roman"/>
                <w:sz w:val="14"/>
                <w:szCs w:val="14"/>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($1,193 par, due 5/2027)</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5/28/2021</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+ 4.65%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10.00%</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1,156</w:t>
            </w: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1,199</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Ibis US Blocker Co.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($17,094 par, due 5/2028)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5/28/2021</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+ 8.40%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13.75% PIK</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16,897</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17,265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44"/>
        </w:trPr>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Kyriba Corp. </w:t>
            </w:r>
            <w:r>
              <w:rPr>
                <w:rFonts w:ascii="Times New Roman" w:cs="Times New Roman" w:eastAsia="Times New Roman" w:hAnsi="Times New Roman"/>
                <w:sz w:val="14"/>
                <w:szCs w:val="14"/>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($37,250 par, due 4/2028)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12/21/2023</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+ 8.50%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13.83% (8.50%</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36,571</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38,045</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PIK)</w:t>
            </w: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11,419 par, due 4/2028)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12/21/2023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 + 8.50%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12.22% (8.50%</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12,326</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12,483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PIK)</w:t>
            </w:r>
          </w:p>
        </w:tc>
        <w:tc>
          <w:tcPr>
            <w:tcW w:w="1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(EUR 11,647)</w:t>
            </w: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Passport Labs, Inc.</w:t>
            </w:r>
          </w:p>
        </w:tc>
        <w:tc>
          <w:tcPr>
            <w:tcW w:w="2580" w:type="dxa"/>
            <w:vAlign w:val="bottom"/>
          </w:tcPr>
          <w:p>
            <w:pPr>
              <w:ind w:left="80"/>
              <w:spacing w:after="0" w:line="156" w:lineRule="exact"/>
              <w:rPr>
                <w:sz w:val="20"/>
                <w:szCs w:val="20"/>
                <w:color w:val="auto"/>
              </w:rPr>
            </w:pPr>
            <w:r>
              <w:rPr>
                <w:rFonts w:ascii="Times New Roman" w:cs="Times New Roman" w:eastAsia="Times New Roman" w:hAnsi="Times New Roman"/>
                <w:sz w:val="11"/>
                <w:szCs w:val="11"/>
                <w:color w:val="auto"/>
              </w:rPr>
              <w:t xml:space="preserve">First-lien loan ($24,995, par, due 4/2026) </w:t>
            </w:r>
            <w:r>
              <w:rPr>
                <w:rFonts w:ascii="Times New Roman" w:cs="Times New Roman" w:eastAsia="Times New Roman" w:hAnsi="Times New Roman"/>
                <w:sz w:val="14"/>
                <w:szCs w:val="14"/>
                <w:color w:val="auto"/>
                <w:vertAlign w:val="superscript"/>
              </w:rPr>
              <w:t>(3)</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4/28/2021</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+ 8.40%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13.75%</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24,886</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24,995</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Convertible Promissory Note A ($1,086 par, due</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3/2/2023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8.00%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8.00%</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1,086</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1,498</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8/2026)</w:t>
            </w: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Ping Identity Holding Corp. </w:t>
            </w:r>
            <w:r>
              <w:rPr>
                <w:rFonts w:ascii="Times New Roman" w:cs="Times New Roman" w:eastAsia="Times New Roman" w:hAnsi="Times New Roman"/>
                <w:sz w:val="14"/>
                <w:szCs w:val="14"/>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($22,727 par, due 10/2029)</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10/17/2022</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+ 7.00%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12.34%</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22,218</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23,165</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PrimeRevenue, Inc.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($2,007 par, due 12/2025)</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12/31/2018</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+ 7.10%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12.44%</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2,004</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2,007</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14"/>
                <w:szCs w:val="14"/>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($49,950 par, due 4/2027)</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4/30/2021</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+ 6.35%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11.68%</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49,158</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49,950</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Volante Technologies, Inc.</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($2,826 par, due 9/2028)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9/29/2023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16.50%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16.50% PIK</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2,801</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2,805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4"/>
        </w:trPr>
        <w:tc>
          <w:tcPr>
            <w:tcW w:w="1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336,842</w:t>
            </w: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344,819</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5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BCTO Ace Purchaser, Inc. </w:t>
            </w:r>
            <w:r>
              <w:rPr>
                <w:rFonts w:ascii="Times New Roman" w:cs="Times New Roman" w:eastAsia="Times New Roman" w:hAnsi="Times New Roman"/>
                <w:sz w:val="14"/>
                <w:szCs w:val="14"/>
                <w:color w:val="auto"/>
                <w:vertAlign w:val="superscript"/>
              </w:rPr>
              <w:t>(3)</w:t>
            </w:r>
          </w:p>
        </w:tc>
        <w:tc>
          <w:tcPr>
            <w:tcW w:w="2580" w:type="dxa"/>
            <w:vAlign w:val="bottom"/>
          </w:tcPr>
          <w:p>
            <w:pPr>
              <w:ind w:left="80"/>
              <w:spacing w:after="0" w:line="156" w:lineRule="exact"/>
              <w:rPr>
                <w:sz w:val="20"/>
                <w:szCs w:val="20"/>
                <w:color w:val="auto"/>
              </w:rPr>
            </w:pPr>
            <w:r>
              <w:rPr>
                <w:rFonts w:ascii="Times New Roman" w:cs="Times New Roman" w:eastAsia="Times New Roman" w:hAnsi="Times New Roman"/>
                <w:sz w:val="11"/>
                <w:szCs w:val="11"/>
                <w:color w:val="auto"/>
              </w:rPr>
              <w:t xml:space="preserve">First-lien loan ($69,376 par, due 11/2027) </w:t>
            </w:r>
            <w:r>
              <w:rPr>
                <w:rFonts w:ascii="Times New Roman" w:cs="Times New Roman" w:eastAsia="Times New Roman" w:hAnsi="Times New Roman"/>
                <w:sz w:val="14"/>
                <w:szCs w:val="14"/>
                <w:color w:val="auto"/>
                <w:vertAlign w:val="superscript"/>
              </w:rPr>
              <w:t>(5)</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11/23/2020</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+ 7.45%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12.80%</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68,588</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70,244</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spacing w:after="0"/>
              <w:rPr>
                <w:sz w:val="13"/>
                <w:szCs w:val="13"/>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Second-lien loan ($6,091 par, due 1/2030)</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1/23/2023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+ 10.70%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16.02% PIK</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5,972</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6,197</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44"/>
        </w:trPr>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Edge Bidco B.V. </w:t>
            </w:r>
            <w:r>
              <w:rPr>
                <w:rFonts w:ascii="Times New Roman" w:cs="Times New Roman" w:eastAsia="Times New Roman" w:hAnsi="Times New Roman"/>
                <w:sz w:val="14"/>
                <w:szCs w:val="14"/>
                <w:color w:val="auto"/>
                <w:vertAlign w:val="superscript"/>
              </w:rPr>
              <w:t>(3)(4)(5)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5,893 par, due 2/2029)</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2/24/2023</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 + 7.00%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10.68% (3.25%</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6,140</w:t>
            </w: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6,371</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PIK)</w:t>
            </w:r>
          </w:p>
        </w:tc>
        <w:tc>
          <w:tcPr>
            <w:tcW w:w="1160" w:type="dxa"/>
            <w:vAlign w:val="bottom"/>
          </w:tcPr>
          <w:p>
            <w:pPr>
              <w:spacing w:after="0"/>
              <w:rPr>
                <w:sz w:val="12"/>
                <w:szCs w:val="12"/>
                <w:color w:val="auto"/>
              </w:rPr>
            </w:pP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(EUR 5,945)</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($70,103 par, due 6/2028)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6/30/2022</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+ 7.25%</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12.59%</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68,368</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69,752</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($15,491 par, due 3/2029)</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3/24/2023</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+ 6.75%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12.08%</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15,041</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15,607</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SL Buyer Corp.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($32,524 par, due 7/2029)</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7/7/2023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+ 7.75%</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13.09%</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31,278</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32,328</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4"/>
        </w:trPr>
        <w:tc>
          <w:tcPr>
            <w:tcW w:w="1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195,387</w:t>
            </w: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200,499</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5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ASG II, LLC </w:t>
            </w:r>
            <w:r>
              <w:rPr>
                <w:rFonts w:ascii="Times New Roman" w:cs="Times New Roman" w:eastAsia="Times New Roman" w:hAnsi="Times New Roman"/>
                <w:sz w:val="14"/>
                <w:szCs w:val="14"/>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($65,000 par, due 5/2028)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5/25/2022</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+ 6.40%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11.73%</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63,860</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65,162</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Equinox Holdings, Inc.</w:t>
            </w:r>
          </w:p>
        </w:tc>
        <w:tc>
          <w:tcPr>
            <w:tcW w:w="258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1"/>
                <w:szCs w:val="11"/>
                <w:color w:val="auto"/>
              </w:rPr>
              <w:t>First-lien loan ($48,550 par, due 3/2029)</w:t>
            </w:r>
            <w:r>
              <w:rPr>
                <w:rFonts w:ascii="Times New Roman" w:cs="Times New Roman" w:eastAsia="Times New Roman" w:hAnsi="Times New Roman"/>
                <w:sz w:val="14"/>
                <w:szCs w:val="14"/>
                <w:color w:val="auto"/>
                <w:vertAlign w:val="superscript"/>
              </w:rPr>
              <w:t>(3)</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3/8/2024</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+ 8.25%</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13.58% (4.13%</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47,854</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48,065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PIK)</w:t>
            </w:r>
          </w:p>
        </w:tc>
        <w:tc>
          <w:tcPr>
            <w:tcW w:w="11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20" w:type="dxa"/>
            <w:vAlign w:val="bottom"/>
          </w:tcPr>
          <w:p>
            <w:pPr>
              <w:spacing w:after="0"/>
              <w:rPr>
                <w:sz w:val="13"/>
                <w:szCs w:val="1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Second-lien loan ($2,167 par, due 6/2027)</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3/13/2024</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16.00%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16.00% PIK</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2,110</w:t>
            </w: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2,173</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14"/>
                <w:szCs w:val="14"/>
                <w:color w:val="auto"/>
                <w:vertAlign w:val="superscript"/>
              </w:rPr>
              <w:t>(3)(6)</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($30,261 par, due 6/2025)</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12/21/2018</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+ 9.65%</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14.98%</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28,593</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30,034</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54"/>
        </w:trPr>
        <w:tc>
          <w:tcPr>
            <w:tcW w:w="1720" w:type="dxa"/>
            <w:vAlign w:val="bottom"/>
          </w:tcPr>
          <w:p>
            <w:pPr>
              <w:spacing w:after="0"/>
              <w:rPr>
                <w:sz w:val="13"/>
                <w:szCs w:val="1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revolving loan ($32,632 par, due 6/2025)</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12/21/2018</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+ 9.65%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14.99%</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32,632</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32,381</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6"/>
        </w:trPr>
        <w:tc>
          <w:tcPr>
            <w:tcW w:w="172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 xml:space="preserve">Sports Alliance GmbH </w:t>
            </w:r>
            <w:r>
              <w:rPr>
                <w:rFonts w:ascii="Times New Roman" w:cs="Times New Roman" w:eastAsia="Times New Roman" w:hAnsi="Times New Roman"/>
                <w:sz w:val="14"/>
                <w:szCs w:val="14"/>
                <w:color w:val="auto"/>
                <w:vertAlign w:val="superscript"/>
              </w:rPr>
              <w:t>(3)(4)</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4,404 par, due 4/2030)</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4/10/2024</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 + 7.25%</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10.94% (3.88%</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4,605</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4,612</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PIK)</w:t>
            </w:r>
          </w:p>
        </w:tc>
        <w:tc>
          <w:tcPr>
            <w:tcW w:w="1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(EUR 4,303)</w:t>
            </w: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179,654</w:t>
            </w: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182,427</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5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14"/>
                <w:szCs w:val="14"/>
                <w:color w:val="auto"/>
                <w:vertAlign w:val="superscript"/>
              </w:rPr>
              <w:t>(3)(4)(5)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($42,998 par, due 5/2027)</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5/5/2021</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+ 7.65%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12.99%</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42,482</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43,223</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($44,134 par, due 11/2028)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11/7/2022</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+ 6.38%</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11.67%</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43,132</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44,796</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Elysian Finco Ltd. </w:t>
            </w:r>
            <w:r>
              <w:rPr>
                <w:rFonts w:ascii="Times New Roman" w:cs="Times New Roman" w:eastAsia="Times New Roman" w:hAnsi="Times New Roman"/>
                <w:sz w:val="14"/>
                <w:szCs w:val="14"/>
                <w:color w:val="auto"/>
                <w:vertAlign w:val="superscript"/>
              </w:rPr>
              <w:t>(3)(4)(5)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($20,677 par, due 1/2028)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1/31/2021</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+ 6.65%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12.04%</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20,355</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21,090</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revolving loan (GBP 812 par, due 1/2028)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1/31/2021</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 + 5.00%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10.20%</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1,045</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1,000</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(GBP 791)</w:t>
            </w: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72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Employment Hero Holdings Pty Ltd.</w:t>
            </w:r>
          </w:p>
        </w:tc>
        <w:tc>
          <w:tcPr>
            <w:tcW w:w="2580" w:type="dxa"/>
            <w:vAlign w:val="bottom"/>
          </w:tcPr>
          <w:p>
            <w:pPr>
              <w:ind w:left="80"/>
              <w:spacing w:after="0" w:line="120" w:lineRule="exact"/>
              <w:rPr>
                <w:sz w:val="20"/>
                <w:szCs w:val="20"/>
                <w:color w:val="auto"/>
              </w:rPr>
            </w:pPr>
            <w:r>
              <w:rPr>
                <w:rFonts w:ascii="Times New Roman" w:cs="Times New Roman" w:eastAsia="Times New Roman" w:hAnsi="Times New Roman"/>
                <w:sz w:val="11"/>
                <w:szCs w:val="11"/>
                <w:color w:val="auto"/>
              </w:rPr>
              <w:t>First-lien loan (AUD 50,000 par, due 12/2026)</w:t>
            </w:r>
          </w:p>
        </w:tc>
        <w:tc>
          <w:tcPr>
            <w:tcW w:w="94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rPr>
              <w:t>12/6/2021</w:t>
            </w:r>
          </w:p>
        </w:tc>
        <w:tc>
          <w:tcPr>
            <w:tcW w:w="108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B + 6.25%</w:t>
            </w:r>
          </w:p>
        </w:tc>
        <w:tc>
          <w:tcPr>
            <w:tcW w:w="1200" w:type="dxa"/>
            <w:vAlign w:val="bottom"/>
          </w:tcPr>
          <w:p>
            <w:pPr>
              <w:jc w:val="right"/>
              <w:ind w:right="366"/>
              <w:spacing w:after="0" w:line="120" w:lineRule="exact"/>
              <w:rPr>
                <w:sz w:val="20"/>
                <w:szCs w:val="20"/>
                <w:color w:val="auto"/>
              </w:rPr>
            </w:pPr>
            <w:r>
              <w:rPr>
                <w:rFonts w:ascii="Times New Roman" w:cs="Times New Roman" w:eastAsia="Times New Roman" w:hAnsi="Times New Roman"/>
                <w:sz w:val="11"/>
                <w:szCs w:val="11"/>
                <w:color w:val="auto"/>
              </w:rPr>
              <w:t>10.70%</w:t>
            </w:r>
          </w:p>
        </w:tc>
        <w:tc>
          <w:tcPr>
            <w:tcW w:w="1160" w:type="dxa"/>
            <w:vAlign w:val="bottom"/>
          </w:tcPr>
          <w:p>
            <w:pPr>
              <w:jc w:val="right"/>
              <w:ind w:right="346"/>
              <w:spacing w:after="0" w:line="120" w:lineRule="exact"/>
              <w:rPr>
                <w:sz w:val="20"/>
                <w:szCs w:val="20"/>
                <w:color w:val="auto"/>
              </w:rPr>
            </w:pPr>
            <w:r>
              <w:rPr>
                <w:rFonts w:ascii="Times New Roman" w:cs="Times New Roman" w:eastAsia="Times New Roman" w:hAnsi="Times New Roman"/>
                <w:sz w:val="11"/>
                <w:szCs w:val="11"/>
                <w:color w:val="auto"/>
              </w:rPr>
              <w:t>34,903</w:t>
            </w:r>
          </w:p>
        </w:tc>
        <w:tc>
          <w:tcPr>
            <w:tcW w:w="1320" w:type="dxa"/>
            <w:vAlign w:val="bottom"/>
          </w:tcPr>
          <w:p>
            <w:pPr>
              <w:jc w:val="right"/>
              <w:ind w:right="226"/>
              <w:spacing w:after="0" w:line="120" w:lineRule="exact"/>
              <w:rPr>
                <w:sz w:val="20"/>
                <w:szCs w:val="20"/>
                <w:color w:val="auto"/>
              </w:rPr>
            </w:pPr>
            <w:r>
              <w:rPr>
                <w:rFonts w:ascii="Times New Roman" w:cs="Times New Roman" w:eastAsia="Times New Roman" w:hAnsi="Times New Roman"/>
                <w:sz w:val="11"/>
                <w:szCs w:val="11"/>
                <w:color w:val="auto"/>
              </w:rPr>
              <w:t>33,393</w:t>
            </w:r>
          </w:p>
        </w:tc>
        <w:tc>
          <w:tcPr>
            <w:tcW w:w="5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94"/>
        </w:trPr>
        <w:tc>
          <w:tcPr>
            <w:tcW w:w="1720" w:type="dxa"/>
            <w:vAlign w:val="bottom"/>
          </w:tcPr>
          <w:p>
            <w:pPr>
              <w:ind w:left="20"/>
              <w:spacing w:after="0"/>
              <w:rPr>
                <w:sz w:val="20"/>
                <w:szCs w:val="20"/>
                <w:color w:val="auto"/>
              </w:rPr>
            </w:pPr>
            <w:r>
              <w:rPr>
                <w:rFonts w:ascii="Times New Roman" w:cs="Times New Roman" w:eastAsia="Times New Roman" w:hAnsi="Times New Roman"/>
                <w:sz w:val="7"/>
                <w:szCs w:val="7"/>
                <w:color w:val="auto"/>
              </w:rPr>
              <w:t>(3)(4)</w:t>
            </w:r>
          </w:p>
        </w:tc>
        <w:tc>
          <w:tcPr>
            <w:tcW w:w="2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(AUD 50,000)</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7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HireVue, Inc.</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($53,842 par, due 5/2029)</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5/3/2023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+ 7.25%</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12.58%</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52,492</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54,381</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54"/>
        </w:trPr>
        <w:tc>
          <w:tcPr>
            <w:tcW w:w="1720" w:type="dxa"/>
            <w:vAlign w:val="bottom"/>
          </w:tcPr>
          <w:p>
            <w:pPr>
              <w:spacing w:after="0"/>
              <w:rPr>
                <w:sz w:val="13"/>
                <w:szCs w:val="1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revolving loan ($885 par, due 5/2029)</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5/3/2023</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+ 7.25%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12.58%</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724</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954</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Madcap Software, Inc.</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($32,338 par, due 12/2026)</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12/15/2023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+ 6.10%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11.44%</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31,669</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31,933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4"/>
        </w:trPr>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PageUp People, Ltd. </w:t>
            </w:r>
            <w:r>
              <w:rPr>
                <w:rFonts w:ascii="Times New Roman" w:cs="Times New Roman" w:eastAsia="Times New Roman" w:hAnsi="Times New Roman"/>
                <w:sz w:val="14"/>
                <w:szCs w:val="14"/>
                <w:color w:val="auto"/>
                <w:vertAlign w:val="superscript"/>
              </w:rPr>
              <w:t>(3)(4)(5)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(AUD 11,894 par, due 12/2025)</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1/11/2018</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B + 5.00%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9.35%</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8,999</w:t>
            </w: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7,944</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(AUD 11,894)</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(GBP 2,749 par, due 12/2025)</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10/28/2021</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 + 5.03%</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10.23%</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3,788</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3,475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(GBP 2,749)</w:t>
            </w: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20" w:type="dxa"/>
            <w:vAlign w:val="bottom"/>
          </w:tcPr>
          <w:p>
            <w:pPr>
              <w:spacing w:after="0"/>
              <w:rPr>
                <w:sz w:val="13"/>
                <w:szCs w:val="1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($9,547 par, due 12/2025)</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10/28/2021</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+ 5.10%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10.44%</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9,541</w:t>
            </w: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9,547</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PayScale Holdings, Inc.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($70,831 par, due 5/2027)</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5/3/2019</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+ 5.85%</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11.08%</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70,510</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71,185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PrimePay Intermediate, LLC </w:t>
            </w:r>
            <w:r>
              <w:rPr>
                <w:rFonts w:ascii="Times New Roman" w:cs="Times New Roman" w:eastAsia="Times New Roman" w:hAnsi="Times New Roman"/>
                <w:sz w:val="14"/>
                <w:szCs w:val="14"/>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($34,200 par, due 12/2026)</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12/17/2021</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+ 7.15%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12.64%</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33,602</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34,200</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353,242</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357,121</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0" w:type="dxa"/>
            <w:vAlign w:val="bottom"/>
          </w:tcPr>
          <w:p>
            <w:pPr>
              <w:spacing w:after="0"/>
              <w:rPr>
                <w:sz w:val="1"/>
                <w:szCs w:val="1"/>
                <w:color w:val="auto"/>
              </w:rPr>
            </w:pPr>
          </w:p>
        </w:tc>
      </w:tr>
      <w:tr>
        <w:trPr>
          <w:trHeight w:val="154"/>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Disco Parent, Inc.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($4,545 par, due 3/2029)</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3/30/2023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+ 7.50%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12.85%</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4,447</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4,583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4"/>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Arrow Buyer, Inc.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($35,120 par, due 7/2030)</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6/30/2023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+ 5.75%</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11.08%</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34,271</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35,222</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Bayshore Intermediate #2, L.P. </w:t>
            </w:r>
            <w:r>
              <w:rPr>
                <w:rFonts w:ascii="Times New Roman" w:cs="Times New Roman" w:eastAsia="Times New Roman" w:hAnsi="Times New Roman"/>
                <w:sz w:val="14"/>
                <w:szCs w:val="14"/>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($38,359 par, due 10/2028)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10/1/2021</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+ 7.85%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13.17% PIK</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37,869</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38,359</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Coupa Holdings,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($43,191 par, due 2/2030)</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2/27/2023</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+ 5.50%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10.83%</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42,222</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43,691</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32"/>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CrunchTime Information, Systems,</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($59,199 par, due 6/2028)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6/17/2022</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+ 5.75%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11.09%</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58,275</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59,347</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Inc.</w:t>
            </w:r>
            <w:r>
              <w:rPr>
                <w:rFonts w:ascii="Times New Roman" w:cs="Times New Roman" w:eastAsia="Times New Roman" w:hAnsi="Times New Roman"/>
                <w:sz w:val="7"/>
                <w:szCs w:val="7"/>
                <w:color w:val="auto"/>
              </w:rPr>
              <w:t xml:space="preserve"> (3)(5)</w:t>
            </w:r>
          </w:p>
        </w:tc>
        <w:tc>
          <w:tcPr>
            <w:tcW w:w="2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EDB Parent, LLC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($66,400 par, due 7/2028)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7/7/2022</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+ 6.75%</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12.10%</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65,273</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65,902</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14"/>
                <w:szCs w:val="14"/>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($51,495 par, due 1/2025)</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6/18/2018</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+ 6.75%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12.08%</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51,405</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51,624</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Hippo XPA Bidco AB </w:t>
            </w:r>
            <w:r>
              <w:rPr>
                <w:rFonts w:ascii="Times New Roman" w:cs="Times New Roman" w:eastAsia="Times New Roman" w:hAnsi="Times New Roman"/>
                <w:sz w:val="14"/>
                <w:szCs w:val="14"/>
                <w:color w:val="auto"/>
                <w:vertAlign w:val="superscript"/>
              </w:rPr>
              <w:t>(3)(4)</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(SEK 78,816 par, due 2/2031)</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2/20/2024</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STIBOR + 6.50%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10.58% (3.50%</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7,354</w:t>
            </w:r>
          </w:p>
        </w:tc>
        <w:tc>
          <w:tcPr>
            <w:tcW w:w="1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7,294</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44"/>
        </w:trPr>
        <w:tc>
          <w:tcPr>
            <w:tcW w:w="17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PIK)</w:t>
            </w:r>
          </w:p>
        </w:tc>
        <w:tc>
          <w:tcPr>
            <w:tcW w:w="1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(SEK 77,245)</w:t>
            </w: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LeanTaaS Holdings, Inc. </w:t>
            </w:r>
            <w:r>
              <w:rPr>
                <w:rFonts w:ascii="Times New Roman" w:cs="Times New Roman" w:eastAsia="Times New Roman" w:hAnsi="Times New Roman"/>
                <w:sz w:val="14"/>
                <w:szCs w:val="14"/>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($51,909 par, due 7/2028)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7/12/2022</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+ 7.50%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12.83%</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51,090</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52,222</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Lithium Technologies,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($60,749 par, due 1/2025)</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10/3/2017</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+ 11.00%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16.33% PIK</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60,749</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46,625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144"/>
        </w:trPr>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4"/>
                <w:szCs w:val="14"/>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($9,210 par, due 2/2027)</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2/11/2022</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+ 7.50%</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12.84% (3.50%</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9,210</w:t>
            </w: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9,210</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PIK)</w:t>
            </w: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Merit Software Finance Holdings,</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($39,286 par, due 6/2029)</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6/20/2024</w:t>
            </w: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+ 7.50%</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12.84%</w:t>
            </w:r>
          </w:p>
        </w:tc>
        <w:tc>
          <w:tcPr>
            <w:tcW w:w="116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37,917</w:t>
            </w:r>
          </w:p>
        </w:tc>
        <w:tc>
          <w:tcPr>
            <w:tcW w:w="13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37,911</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56"/>
        </w:trPr>
        <w:tc>
          <w:tcPr>
            <w:tcW w:w="17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w:t>
            </w:r>
          </w:p>
        </w:tc>
        <w:tc>
          <w:tcPr>
            <w:tcW w:w="25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4"/>
                <w:szCs w:val="14"/>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($53,957 par, due 2/2026)</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2/25/2021</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+ 7.85%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13.19%</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53,486</w:t>
            </w:r>
          </w:p>
        </w:tc>
        <w:tc>
          <w:tcPr>
            <w:tcW w:w="13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53,957</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93" w:right="68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SMA Technologies Holdings, LLC</w:t>
            </w:r>
            <w:r>
              <w:rPr>
                <w:rFonts w:ascii="Times New Roman" w:cs="Times New Roman" w:eastAsia="Times New Roman" w:hAnsi="Times New Roman"/>
                <w:sz w:val="14"/>
                <w:szCs w:val="14"/>
                <w:color w:val="auto"/>
                <w:vertAlign w:val="superscript"/>
              </w:rPr>
              <w:t>(3)</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($36,833 par, due 10/2028)</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10/31/2022</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12.08%</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35,567</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37,570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12"/>
        </w:trPr>
        <w:tc>
          <w:tcPr>
            <w:tcW w:w="1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(5)</w:t>
            </w:r>
          </w:p>
        </w:tc>
        <w:tc>
          <w:tcPr>
            <w:tcW w:w="2620" w:type="dxa"/>
            <w:vAlign w:val="bottom"/>
            <w:tcBorders>
              <w:bottom w:val="single" w:sz="8" w:color="CFF0FC"/>
            </w:tcBorders>
            <w:shd w:val="clear" w:color="auto" w:fill="CFF0FC"/>
          </w:tcPr>
          <w:p>
            <w:pPr>
              <w:spacing w:after="0"/>
              <w:rPr>
                <w:sz w:val="9"/>
                <w:szCs w:val="9"/>
                <w:color w:val="auto"/>
              </w:rPr>
            </w:pPr>
          </w:p>
        </w:tc>
        <w:tc>
          <w:tcPr>
            <w:tcW w:w="940" w:type="dxa"/>
            <w:vAlign w:val="bottom"/>
            <w:tcBorders>
              <w:bottom w:val="single" w:sz="8" w:color="CFF0FC"/>
            </w:tcBorders>
            <w:shd w:val="clear" w:color="auto" w:fill="CFF0FC"/>
          </w:tcPr>
          <w:p>
            <w:pPr>
              <w:spacing w:after="0"/>
              <w:rPr>
                <w:sz w:val="9"/>
                <w:szCs w:val="9"/>
                <w:color w:val="auto"/>
              </w:rPr>
            </w:pPr>
          </w:p>
        </w:tc>
        <w:tc>
          <w:tcPr>
            <w:tcW w:w="1080" w:type="dxa"/>
            <w:vAlign w:val="bottom"/>
            <w:tcBorders>
              <w:bottom w:val="single" w:sz="8" w:color="CFF0FC"/>
            </w:tcBorders>
            <w:shd w:val="clear" w:color="auto" w:fill="CFF0FC"/>
          </w:tcPr>
          <w:p>
            <w:pPr>
              <w:spacing w:after="0"/>
              <w:rPr>
                <w:sz w:val="9"/>
                <w:szCs w:val="9"/>
                <w:color w:val="auto"/>
              </w:rPr>
            </w:pPr>
          </w:p>
        </w:tc>
        <w:tc>
          <w:tcPr>
            <w:tcW w:w="1120" w:type="dxa"/>
            <w:vAlign w:val="bottom"/>
            <w:tcBorders>
              <w:bottom w:val="single" w:sz="8" w:color="CFF0FC"/>
            </w:tcBorders>
            <w:shd w:val="clear" w:color="auto" w:fill="CFF0FC"/>
          </w:tcPr>
          <w:p>
            <w:pPr>
              <w:spacing w:after="0"/>
              <w:rPr>
                <w:sz w:val="9"/>
                <w:szCs w:val="9"/>
                <w:color w:val="auto"/>
              </w:rPr>
            </w:pPr>
          </w:p>
        </w:tc>
        <w:tc>
          <w:tcPr>
            <w:tcW w:w="122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shd w:val="clear" w:color="auto" w:fill="CFF0FC"/>
          </w:tcPr>
          <w:p>
            <w:pPr>
              <w:spacing w:after="0"/>
              <w:rPr>
                <w:sz w:val="9"/>
                <w:szCs w:val="9"/>
                <w:color w:val="auto"/>
              </w:rPr>
            </w:pPr>
          </w:p>
        </w:tc>
      </w:tr>
      <w:tr>
        <w:trPr>
          <w:trHeight w:val="154"/>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544,688</w:t>
            </w:r>
          </w:p>
        </w:tc>
        <w:tc>
          <w:tcPr>
            <w:tcW w:w="12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538,934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r>
      <w:tr>
        <w:trPr>
          <w:trHeight w:val="15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Manufacturing</w:t>
            </w:r>
          </w:p>
        </w:tc>
        <w:tc>
          <w:tcPr>
            <w:tcW w:w="2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Aptean, Inc. </w:t>
            </w:r>
            <w:r>
              <w:rPr>
                <w:rFonts w:ascii="Times New Roman" w:cs="Times New Roman" w:eastAsia="Times New Roman" w:hAnsi="Times New Roman"/>
                <w:sz w:val="14"/>
                <w:szCs w:val="14"/>
                <w:color w:val="auto"/>
                <w:vertAlign w:val="superscript"/>
              </w:rPr>
              <w:t>(3)</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($7,922 par, due 1/2031)</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1/30/2024</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10.59%</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7,833</w:t>
            </w:r>
          </w:p>
        </w:tc>
        <w:tc>
          <w:tcPr>
            <w:tcW w:w="12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7,872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4"/>
                <w:szCs w:val="14"/>
                <w:color w:val="auto"/>
                <w:vertAlign w:val="superscript"/>
              </w:rPr>
              <w:t>(9)</w:t>
            </w:r>
          </w:p>
        </w:tc>
        <w:tc>
          <w:tcPr>
            <w:tcW w:w="262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1"/>
                <w:szCs w:val="11"/>
                <w:color w:val="auto"/>
              </w:rPr>
              <w:t xml:space="preserve">First-lien loan ($1,124 par, due 12/2025) </w:t>
            </w:r>
            <w:r>
              <w:rPr>
                <w:rFonts w:ascii="Times New Roman" w:cs="Times New Roman" w:eastAsia="Times New Roman" w:hAnsi="Times New Roman"/>
                <w:sz w:val="14"/>
                <w:szCs w:val="14"/>
                <w:color w:val="auto"/>
                <w:vertAlign w:val="superscript"/>
              </w:rPr>
              <w:t>(3)</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8/25/2023</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+ 3.90%</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9.23%</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1,067</w:t>
            </w:r>
          </w:p>
        </w:tc>
        <w:tc>
          <w:tcPr>
            <w:tcW w:w="12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1,096</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1720" w:type="dxa"/>
            <w:vAlign w:val="bottom"/>
          </w:tcPr>
          <w:p>
            <w:pPr>
              <w:spacing w:after="0"/>
              <w:rPr>
                <w:sz w:val="12"/>
                <w:szCs w:val="12"/>
                <w:color w:val="auto"/>
              </w:rPr>
            </w:pPr>
          </w:p>
        </w:tc>
        <w:tc>
          <w:tcPr>
            <w:tcW w:w="2620" w:type="dxa"/>
            <w:vAlign w:val="bottom"/>
          </w:tcPr>
          <w:p>
            <w:pPr>
              <w:ind w:left="80"/>
              <w:spacing w:after="0" w:line="144" w:lineRule="exact"/>
              <w:rPr>
                <w:sz w:val="20"/>
                <w:szCs w:val="20"/>
                <w:color w:val="auto"/>
              </w:rPr>
            </w:pPr>
            <w:r>
              <w:rPr>
                <w:rFonts w:ascii="Times New Roman" w:cs="Times New Roman" w:eastAsia="Times New Roman" w:hAnsi="Times New Roman"/>
                <w:sz w:val="11"/>
                <w:szCs w:val="11"/>
                <w:color w:val="auto"/>
              </w:rPr>
              <w:t xml:space="preserve">First-lien loan (EUR 1,023 par, due 12/2025) </w:t>
            </w:r>
            <w:r>
              <w:rPr>
                <w:rFonts w:ascii="Times New Roman" w:cs="Times New Roman" w:eastAsia="Times New Roman" w:hAnsi="Times New Roman"/>
                <w:sz w:val="14"/>
                <w:szCs w:val="14"/>
                <w:color w:val="auto"/>
                <w:vertAlign w:val="superscript"/>
              </w:rPr>
              <w:t>(3)</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9/14/2023</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+ 3.75%</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7.47%</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1,007</w:t>
            </w:r>
          </w:p>
        </w:tc>
        <w:tc>
          <w:tcPr>
            <w:tcW w:w="12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1,050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2"/>
        </w:trPr>
        <w:tc>
          <w:tcPr>
            <w:tcW w:w="17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(EUR 980)</w:t>
            </w:r>
          </w:p>
        </w:tc>
        <w:tc>
          <w:tcPr>
            <w:tcW w:w="580" w:type="dxa"/>
            <w:vAlign w:val="bottom"/>
          </w:tcPr>
          <w:p>
            <w:pPr>
              <w:spacing w:after="0"/>
              <w:rPr>
                <w:sz w:val="12"/>
                <w:szCs w:val="12"/>
                <w:color w:val="auto"/>
              </w:rPr>
            </w:pPr>
          </w:p>
        </w:tc>
      </w:tr>
      <w:tr>
        <w:trPr>
          <w:trHeight w:val="158"/>
        </w:trPr>
        <w:tc>
          <w:tcPr>
            <w:tcW w:w="1720" w:type="dxa"/>
            <w:vAlign w:val="bottom"/>
            <w:shd w:val="clear" w:color="auto" w:fill="CFF0FC"/>
          </w:tcPr>
          <w:p>
            <w:pPr>
              <w:spacing w:after="0"/>
              <w:rPr>
                <w:sz w:val="13"/>
                <w:szCs w:val="13"/>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Secured Note ($1,226 par, due 9/2028)</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12/19/2023</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5.25%</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5.25%</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867</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671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1720" w:type="dxa"/>
            <w:vAlign w:val="bottom"/>
          </w:tcPr>
          <w:p>
            <w:pPr>
              <w:spacing w:after="0"/>
              <w:rPr>
                <w:sz w:val="13"/>
                <w:szCs w:val="13"/>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Unsecured Note ($1,059 par, due 9/2029)</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8/31/2023</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7.50%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7.50%</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593</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535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14"/>
                <w:szCs w:val="14"/>
                <w:color w:val="auto"/>
                <w:vertAlign w:val="superscript"/>
              </w:rPr>
              <w:t>(3)</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($38,636 par, due 10/2028)</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10/19/2022</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12.08%</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37,809</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39,274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32"/>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Heritage Environmental Services,</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($12,346 par, due 1/2031)</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1/31/2024</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10.83%</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12,279</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12,381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Inc. </w:t>
            </w:r>
            <w:r>
              <w:rPr>
                <w:rFonts w:ascii="Times New Roman" w:cs="Times New Roman" w:eastAsia="Times New Roman" w:hAnsi="Times New Roman"/>
                <w:sz w:val="14"/>
                <w:szCs w:val="14"/>
                <w:color w:val="auto"/>
                <w:vertAlign w:val="superscript"/>
              </w:rPr>
              <w:t>(3)</w:t>
            </w: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Skylark UK DebtCo Limited </w:t>
            </w:r>
            <w:r>
              <w:rPr>
                <w:rFonts w:ascii="Times New Roman" w:cs="Times New Roman" w:eastAsia="Times New Roman" w:hAnsi="Times New Roman"/>
                <w:sz w:val="14"/>
                <w:szCs w:val="14"/>
                <w:color w:val="auto"/>
                <w:vertAlign w:val="superscript"/>
              </w:rPr>
              <w:t>(3)(4)</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($16,340 par, due 9/2030)</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9/7/2023</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11.08%</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15,926</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16,299</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44"/>
        </w:trPr>
        <w:tc>
          <w:tcPr>
            <w:tcW w:w="1720" w:type="dxa"/>
            <w:vAlign w:val="bottom"/>
          </w:tcPr>
          <w:p>
            <w:pPr>
              <w:spacing w:after="0"/>
              <w:rPr>
                <w:sz w:val="12"/>
                <w:szCs w:val="12"/>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4,851 par, due 9/2030)</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9/7/2023</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9.47%</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5,062</w:t>
            </w:r>
          </w:p>
        </w:tc>
        <w:tc>
          <w:tcPr>
            <w:tcW w:w="12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5,186</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42"/>
        </w:trPr>
        <w:tc>
          <w:tcPr>
            <w:tcW w:w="17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(EUR 4,839)</w:t>
            </w:r>
          </w:p>
        </w:tc>
        <w:tc>
          <w:tcPr>
            <w:tcW w:w="580" w:type="dxa"/>
            <w:vAlign w:val="bottom"/>
          </w:tcPr>
          <w:p>
            <w:pPr>
              <w:spacing w:after="0"/>
              <w:rPr>
                <w:sz w:val="12"/>
                <w:szCs w:val="12"/>
                <w:color w:val="auto"/>
              </w:rPr>
            </w:pPr>
          </w:p>
        </w:tc>
      </w:tr>
      <w:tr>
        <w:trPr>
          <w:trHeight w:val="146"/>
        </w:trPr>
        <w:tc>
          <w:tcPr>
            <w:tcW w:w="1720" w:type="dxa"/>
            <w:vAlign w:val="bottom"/>
            <w:shd w:val="clear" w:color="auto" w:fill="CFF0FC"/>
          </w:tcPr>
          <w:p>
            <w:pPr>
              <w:spacing w:after="0"/>
              <w:rPr>
                <w:sz w:val="12"/>
                <w:szCs w:val="12"/>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(GBP 16,640 par, due 9/2030)</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9/7/2023</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 + 5.75%</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10.95%</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20,069</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20,964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44"/>
        </w:trPr>
        <w:tc>
          <w:tcPr>
            <w:tcW w:w="1720" w:type="dxa"/>
            <w:vAlign w:val="bottom"/>
            <w:shd w:val="clear" w:color="auto" w:fill="CFF0FC"/>
          </w:tcPr>
          <w:p>
            <w:pPr>
              <w:spacing w:after="0"/>
              <w:rPr>
                <w:sz w:val="12"/>
                <w:szCs w:val="12"/>
                <w:color w:val="auto"/>
              </w:rPr>
            </w:pPr>
          </w:p>
        </w:tc>
        <w:tc>
          <w:tcPr>
            <w:tcW w:w="2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(GBP 16,584)</w:t>
            </w:r>
          </w:p>
        </w:tc>
        <w:tc>
          <w:tcPr>
            <w:tcW w:w="580" w:type="dxa"/>
            <w:vAlign w:val="bottom"/>
            <w:shd w:val="clear" w:color="auto" w:fill="CFF0FC"/>
          </w:tcPr>
          <w:p>
            <w:pPr>
              <w:spacing w:after="0"/>
              <w:rPr>
                <w:sz w:val="12"/>
                <w:szCs w:val="12"/>
                <w:color w:val="auto"/>
              </w:rPr>
            </w:pPr>
          </w:p>
        </w:tc>
      </w:tr>
      <w:tr>
        <w:trPr>
          <w:trHeight w:val="154"/>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102,512</w:t>
            </w:r>
          </w:p>
        </w:tc>
        <w:tc>
          <w:tcPr>
            <w:tcW w:w="12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105,328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5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Office Products</w:t>
            </w:r>
          </w:p>
        </w:tc>
        <w:tc>
          <w:tcPr>
            <w:tcW w:w="2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USR Parent, Inc. </w:t>
            </w:r>
            <w:r>
              <w:rPr>
                <w:rFonts w:ascii="Times New Roman" w:cs="Times New Roman" w:eastAsia="Times New Roman" w:hAnsi="Times New Roman"/>
                <w:sz w:val="14"/>
                <w:szCs w:val="14"/>
                <w:color w:val="auto"/>
                <w:vertAlign w:val="superscript"/>
              </w:rPr>
              <w:t>(3)(5)</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ABL FILO term loan ($16,000 par, due 4/2027)</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4/25/2022</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+ 7.60%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11.83%</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15,741</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15,960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6"/>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Laramie Energy, LLC </w:t>
            </w:r>
            <w:r>
              <w:rPr>
                <w:rFonts w:ascii="Times New Roman" w:cs="Times New Roman" w:eastAsia="Times New Roman" w:hAnsi="Times New Roman"/>
                <w:sz w:val="14"/>
                <w:szCs w:val="14"/>
                <w:color w:val="auto"/>
                <w:vertAlign w:val="superscript"/>
              </w:rPr>
              <w:t>(3)</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($27,317 par, due 2/2027)</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2/21/2023</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+ 7.10%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12.44%</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26,855</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27,580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Mach Natural Resources LP</w:t>
            </w:r>
            <w:r>
              <w:rPr>
                <w:rFonts w:ascii="Times New Roman" w:cs="Times New Roman" w:eastAsia="Times New Roman" w:hAnsi="Times New Roman"/>
                <w:sz w:val="14"/>
                <w:szCs w:val="14"/>
                <w:color w:val="auto"/>
                <w:vertAlign w:val="superscript"/>
              </w:rPr>
              <w:t>(3)(4)</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($4,875 par, due 12/2026)</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12/28/2023</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+ 6.65%</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11.98%</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4,792</w:t>
            </w:r>
          </w:p>
        </w:tc>
        <w:tc>
          <w:tcPr>
            <w:tcW w:w="12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4,851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14"/>
                <w:szCs w:val="14"/>
                <w:color w:val="auto"/>
                <w:vertAlign w:val="superscript"/>
              </w:rPr>
              <w:t>(3)</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($22,417 par, due 6/2026)</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6/30/2022</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+ 8.40%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13.74%</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22,144</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22,865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14"/>
                <w:szCs w:val="14"/>
                <w:color w:val="auto"/>
                <w:vertAlign w:val="superscript"/>
              </w:rPr>
              <w:t>(3)</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($65,000 par, due 12/2025)</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12/3/2021</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+ 7.76%</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13.10%</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64,528</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66,485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154"/>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118,319</w:t>
            </w:r>
          </w:p>
        </w:tc>
        <w:tc>
          <w:tcPr>
            <w:tcW w:w="12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121,781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r>
      <w:tr>
        <w:trPr>
          <w:trHeight w:val="15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Omnigo Software, LLC </w:t>
            </w:r>
            <w:r>
              <w:rPr>
                <w:rFonts w:ascii="Times New Roman" w:cs="Times New Roman" w:eastAsia="Times New Roman" w:hAnsi="Times New Roman"/>
                <w:sz w:val="14"/>
                <w:szCs w:val="14"/>
                <w:color w:val="auto"/>
                <w:vertAlign w:val="superscript"/>
              </w:rPr>
              <w:t>(3)(5)</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($39,738 par, due 3/2026)</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3/31/2021</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+ 6.60%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11.94%</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39,338</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39,738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4"/>
        </w:trPr>
        <w:tc>
          <w:tcPr>
            <w:tcW w:w="17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Scorpio Bidco </w:t>
            </w:r>
            <w:r>
              <w:rPr>
                <w:rFonts w:ascii="Times New Roman" w:cs="Times New Roman" w:eastAsia="Times New Roman" w:hAnsi="Times New Roman"/>
                <w:sz w:val="14"/>
                <w:szCs w:val="14"/>
                <w:color w:val="auto"/>
                <w:vertAlign w:val="superscript"/>
              </w:rPr>
              <w:t>(3)(4)</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2,511 par, due 4/2031)</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4/4/2024</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9.60%</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2,665</w:t>
            </w:r>
          </w:p>
        </w:tc>
        <w:tc>
          <w:tcPr>
            <w:tcW w:w="12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2,643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4"/>
        </w:trPr>
        <w:tc>
          <w:tcPr>
            <w:tcW w:w="1720" w:type="dxa"/>
            <w:vAlign w:val="bottom"/>
            <w:shd w:val="clear" w:color="auto" w:fill="CFF0FC"/>
          </w:tcPr>
          <w:p>
            <w:pPr>
              <w:spacing w:after="0"/>
              <w:rPr>
                <w:sz w:val="12"/>
                <w:szCs w:val="12"/>
                <w:color w:val="auto"/>
              </w:rPr>
            </w:pPr>
          </w:p>
        </w:tc>
        <w:tc>
          <w:tcPr>
            <w:tcW w:w="2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(EUR 2,466)</w:t>
            </w:r>
          </w:p>
        </w:tc>
        <w:tc>
          <w:tcPr>
            <w:tcW w:w="580" w:type="dxa"/>
            <w:vAlign w:val="bottom"/>
            <w:shd w:val="clear" w:color="auto" w:fill="CFF0FC"/>
          </w:tcPr>
          <w:p>
            <w:pPr>
              <w:spacing w:after="0"/>
              <w:rPr>
                <w:sz w:val="12"/>
                <w:szCs w:val="12"/>
                <w:color w:val="auto"/>
              </w:rPr>
            </w:pPr>
          </w:p>
        </w:tc>
      </w:tr>
      <w:tr>
        <w:trPr>
          <w:trHeight w:val="154"/>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42,003</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42,381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5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2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Apellis Pharmaceuticals, Inc. </w:t>
            </w:r>
            <w:r>
              <w:rPr>
                <w:rFonts w:ascii="Times New Roman" w:cs="Times New Roman" w:eastAsia="Times New Roman" w:hAnsi="Times New Roman"/>
                <w:sz w:val="14"/>
                <w:szCs w:val="14"/>
                <w:color w:val="auto"/>
                <w:vertAlign w:val="superscript"/>
              </w:rPr>
              <w:t>(3)(4)</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($19,737 par, due 5/2030)</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5/13/2024</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11.08%</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19,736</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19,799</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56"/>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4"/>
                <w:szCs w:val="14"/>
                <w:color w:val="auto"/>
                <w:vertAlign w:val="superscript"/>
              </w:rPr>
              <w:t>(3)(14)</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($26,957 par, due 9/2026)</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9/30/2015</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+ 6.35%</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11.68%</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26,132</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20,555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42"/>
        </w:trPr>
        <w:tc>
          <w:tcPr>
            <w:tcW w:w="17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(11.18% PIK)</w:t>
            </w: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6"/>
        </w:trPr>
        <w:tc>
          <w:tcPr>
            <w:tcW w:w="1720" w:type="dxa"/>
            <w:vAlign w:val="bottom"/>
            <w:shd w:val="clear" w:color="auto" w:fill="CFF0FC"/>
          </w:tcPr>
          <w:p>
            <w:pPr>
              <w:spacing w:after="0"/>
              <w:rPr>
                <w:sz w:val="12"/>
                <w:szCs w:val="12"/>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($1,347 par, due 9/2026)</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6/10/2021</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+ 14.10%</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19.43%</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1,347</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101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44"/>
        </w:trPr>
        <w:tc>
          <w:tcPr>
            <w:tcW w:w="1720" w:type="dxa"/>
            <w:vAlign w:val="bottom"/>
            <w:shd w:val="clear" w:color="auto" w:fill="CFF0FC"/>
          </w:tcPr>
          <w:p>
            <w:pPr>
              <w:spacing w:after="0"/>
              <w:rPr>
                <w:sz w:val="12"/>
                <w:szCs w:val="12"/>
                <w:color w:val="auto"/>
              </w:rPr>
            </w:pPr>
          </w:p>
        </w:tc>
        <w:tc>
          <w:tcPr>
            <w:tcW w:w="2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(18.93% PIK)</w:t>
            </w:r>
          </w:p>
        </w:tc>
        <w:tc>
          <w:tcPr>
            <w:tcW w:w="1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r>
      <w:tr>
        <w:trPr>
          <w:trHeight w:val="154"/>
        </w:trPr>
        <w:tc>
          <w:tcPr>
            <w:tcW w:w="1720" w:type="dxa"/>
            <w:vAlign w:val="bottom"/>
          </w:tcPr>
          <w:p>
            <w:pPr>
              <w:spacing w:after="0"/>
              <w:rPr>
                <w:sz w:val="13"/>
                <w:szCs w:val="13"/>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Subordinated note ($4,740 par, due 9/2026)</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3/16/2021</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+ 1.15%</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6.45% PIK</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545</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71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4"/>
                <w:szCs w:val="14"/>
                <w:color w:val="auto"/>
                <w:vertAlign w:val="superscript"/>
              </w:rPr>
              <w:t>(3)(15)</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ABL FILO term loan ($10,337 par, due 8/2027)</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9/2/2022</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+ 9.90%</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15.24%</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10,155</w:t>
            </w:r>
          </w:p>
        </w:tc>
        <w:tc>
          <w:tcPr>
            <w:tcW w:w="12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9,510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4"/>
        </w:trPr>
        <w:tc>
          <w:tcPr>
            <w:tcW w:w="1720" w:type="dxa"/>
            <w:vAlign w:val="bottom"/>
          </w:tcPr>
          <w:p>
            <w:pPr>
              <w:spacing w:after="0"/>
              <w:rPr>
                <w:sz w:val="13"/>
                <w:szCs w:val="13"/>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Roll Up DIP term loan ($24,446 par, due 9/2024)</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4/24/2023</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+ 7.90%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13.24% PIK</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24,446</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22,490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58"/>
        </w:trPr>
        <w:tc>
          <w:tcPr>
            <w:tcW w:w="1720" w:type="dxa"/>
            <w:vAlign w:val="bottom"/>
            <w:shd w:val="clear" w:color="auto" w:fill="CFF0FC"/>
          </w:tcPr>
          <w:p>
            <w:pPr>
              <w:spacing w:after="0"/>
              <w:rPr>
                <w:sz w:val="13"/>
                <w:szCs w:val="13"/>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Super-Priority DIP term loan ($4,180 par, due 9/2024)</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4/24/2023</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+ 7.90%</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13.24%</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4,180</w:t>
            </w:r>
          </w:p>
        </w:tc>
        <w:tc>
          <w:tcPr>
            <w:tcW w:w="12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3,846</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Cordance Operations, LLC </w:t>
            </w:r>
            <w:r>
              <w:rPr>
                <w:rFonts w:ascii="Times New Roman" w:cs="Times New Roman" w:eastAsia="Times New Roman" w:hAnsi="Times New Roman"/>
                <w:sz w:val="14"/>
                <w:szCs w:val="14"/>
                <w:color w:val="auto"/>
                <w:vertAlign w:val="superscript"/>
              </w:rPr>
              <w:t>(3)</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($54,710 par, due 7/2028)</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7/25/2022</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+ 9.14%</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14.48%</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53,717</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55,135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14"/>
                <w:szCs w:val="14"/>
                <w:color w:val="auto"/>
                <w:vertAlign w:val="superscript"/>
              </w:rPr>
              <w:t>(3)(5)</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($56,319 par, due 12/2026)</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12/20/2021</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+ 7.60%</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12.94%</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55,670</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56,460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PDI TA Holdings, Inc. </w:t>
            </w:r>
            <w:r>
              <w:rPr>
                <w:rFonts w:ascii="Times New Roman" w:cs="Times New Roman" w:eastAsia="Times New Roman" w:hAnsi="Times New Roman"/>
                <w:sz w:val="14"/>
                <w:szCs w:val="14"/>
                <w:color w:val="auto"/>
                <w:vertAlign w:val="superscript"/>
              </w:rPr>
              <w:t>(3)</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($16,132 par, due 2/2031)</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2/1/2024</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10.58%</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15,842</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16,078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2"/>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Rapid Data GmbH</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4,495 par, due 7/2029)</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7/11/2023</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+ 6.50%</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10.42%</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4,697</w:t>
            </w:r>
          </w:p>
        </w:tc>
        <w:tc>
          <w:tcPr>
            <w:tcW w:w="12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4,818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Unternehmensberatung </w:t>
            </w:r>
            <w:r>
              <w:rPr>
                <w:rFonts w:ascii="Times New Roman" w:cs="Times New Roman" w:eastAsia="Times New Roman" w:hAnsi="Times New Roman"/>
                <w:sz w:val="14"/>
                <w:szCs w:val="14"/>
                <w:color w:val="auto"/>
                <w:vertAlign w:val="superscript"/>
              </w:rPr>
              <w:t>(3)(4)</w:t>
            </w:r>
          </w:p>
        </w:tc>
        <w:tc>
          <w:tcPr>
            <w:tcW w:w="2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(EUR 4,495)</w:t>
            </w:r>
          </w:p>
        </w:tc>
        <w:tc>
          <w:tcPr>
            <w:tcW w:w="580" w:type="dxa"/>
            <w:vAlign w:val="bottom"/>
            <w:shd w:val="clear" w:color="auto" w:fill="CFF0FC"/>
          </w:tcPr>
          <w:p>
            <w:pPr>
              <w:spacing w:after="0"/>
              <w:rPr>
                <w:sz w:val="13"/>
                <w:szCs w:val="13"/>
                <w:color w:val="auto"/>
              </w:rPr>
            </w:pPr>
          </w:p>
        </w:tc>
      </w:tr>
      <w:tr>
        <w:trPr>
          <w:trHeight w:val="132"/>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Tango Management Consulting,</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($60,974 par, due 12/2027)</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12/1/2021</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+ 6.90%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12.21%</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60,348</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60,669</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r>
      <w:tr>
        <w:trPr>
          <w:trHeight w:val="156"/>
        </w:trPr>
        <w:tc>
          <w:tcPr>
            <w:tcW w:w="17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(3)(5)</w:t>
            </w: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720" w:type="dxa"/>
            <w:vAlign w:val="bottom"/>
            <w:shd w:val="clear" w:color="auto" w:fill="CFF0FC"/>
          </w:tcPr>
          <w:p>
            <w:pPr>
              <w:spacing w:after="0"/>
              <w:rPr>
                <w:sz w:val="13"/>
                <w:szCs w:val="13"/>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revolving loan ($2,333 par, due 12/2027)</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12/1/2021</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+ 6.85%</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12.18%</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2,280</w:t>
            </w:r>
          </w:p>
        </w:tc>
        <w:tc>
          <w:tcPr>
            <w:tcW w:w="12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2,315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259,359</w:t>
            </w:r>
          </w:p>
        </w:tc>
        <w:tc>
          <w:tcPr>
            <w:tcW w:w="12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252,048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r>
      <w:tr>
        <w:trPr>
          <w:trHeight w:val="15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2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7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Ben Nevis Midco Limited </w:t>
            </w:r>
            <w:r>
              <w:rPr>
                <w:rFonts w:ascii="Times New Roman" w:cs="Times New Roman" w:eastAsia="Times New Roman" w:hAnsi="Times New Roman"/>
                <w:sz w:val="14"/>
                <w:szCs w:val="14"/>
                <w:color w:val="auto"/>
                <w:vertAlign w:val="superscript"/>
              </w:rPr>
              <w:t>(3)(4)</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($3,296 par, due 3/2028)</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3/26/2024</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10.84%</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3,231</w:t>
            </w:r>
          </w:p>
        </w:tc>
        <w:tc>
          <w:tcPr>
            <w:tcW w:w="12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3,234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Marcura Equities LTD </w:t>
            </w:r>
            <w:r>
              <w:rPr>
                <w:rFonts w:ascii="Times New Roman" w:cs="Times New Roman" w:eastAsia="Times New Roman" w:hAnsi="Times New Roman"/>
                <w:sz w:val="14"/>
                <w:szCs w:val="14"/>
                <w:color w:val="auto"/>
                <w:vertAlign w:val="superscript"/>
              </w:rPr>
              <w:t>(3)(4)</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($32,007 par, due 8/2029)</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8/11/2023</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12.33%</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31,089</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31,797</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54"/>
        </w:trPr>
        <w:tc>
          <w:tcPr>
            <w:tcW w:w="1720" w:type="dxa"/>
            <w:vAlign w:val="bottom"/>
          </w:tcPr>
          <w:p>
            <w:pPr>
              <w:spacing w:after="0"/>
              <w:rPr>
                <w:sz w:val="13"/>
                <w:szCs w:val="13"/>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revolving loan ($1,667 par, due 8/2029)</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8/11/2023</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12.33%</w:t>
            </w: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1,596</w:t>
            </w:r>
          </w:p>
        </w:tc>
        <w:tc>
          <w:tcPr>
            <w:tcW w:w="12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1,650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Project44, Inc. </w:t>
            </w:r>
            <w:r>
              <w:rPr>
                <w:rFonts w:ascii="Times New Roman" w:cs="Times New Roman" w:eastAsia="Times New Roman" w:hAnsi="Times New Roman"/>
                <w:sz w:val="14"/>
                <w:szCs w:val="14"/>
                <w:color w:val="auto"/>
                <w:vertAlign w:val="superscript"/>
              </w:rPr>
              <w:t>(3)(5)</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($35,051 par, due 11/2027)</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11/12/2021</w:t>
            </w:r>
          </w:p>
        </w:tc>
        <w:tc>
          <w:tcPr>
            <w:tcW w:w="10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+ 6.40%</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11.72%</w:t>
            </w: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34,137</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35,051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4"/>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70,053</w:t>
            </w: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71,732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r>
      <w:tr>
        <w:trPr>
          <w:trHeight w:val="15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2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3,142,377</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3,149,926</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197.0%</w:t>
            </w:r>
          </w:p>
        </w:tc>
      </w:tr>
      <w:tr>
        <w:trPr>
          <w:trHeight w:val="156"/>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Equity and Other Investments</w:t>
            </w:r>
          </w:p>
        </w:tc>
        <w:tc>
          <w:tcPr>
            <w:tcW w:w="2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4"/>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Clarience Technologies, LLC </w:t>
            </w:r>
            <w:r>
              <w:rPr>
                <w:rFonts w:ascii="Times New Roman" w:cs="Times New Roman" w:eastAsia="Times New Roman" w:hAnsi="Times New Roman"/>
                <w:sz w:val="14"/>
                <w:szCs w:val="14"/>
                <w:color w:val="auto"/>
                <w:vertAlign w:val="superscript"/>
              </w:rPr>
              <w:t>(11)(12)</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Class A Units (333 units)</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2/12/2024</w:t>
            </w: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820</w:t>
            </w:r>
          </w:p>
        </w:tc>
        <w:tc>
          <w:tcPr>
            <w:tcW w:w="12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820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17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8"/>
        </w:trPr>
        <w:tc>
          <w:tcPr>
            <w:tcW w:w="17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Artisan Topco LP</w:t>
            </w:r>
            <w:r>
              <w:rPr>
                <w:rFonts w:ascii="Times New Roman" w:cs="Times New Roman" w:eastAsia="Times New Roman" w:hAnsi="Times New Roman"/>
                <w:sz w:val="14"/>
                <w:szCs w:val="14"/>
                <w:color w:val="auto"/>
                <w:vertAlign w:val="superscript"/>
              </w:rPr>
              <w:t>(11)(12)</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Class A Preferred Units (2,117,264 units)</w:t>
            </w:r>
          </w:p>
        </w:tc>
        <w:tc>
          <w:tcPr>
            <w:tcW w:w="9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11/7/2023</w:t>
            </w:r>
          </w:p>
        </w:tc>
        <w:tc>
          <w:tcPr>
            <w:tcW w:w="10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2,117</w:t>
            </w:r>
          </w:p>
        </w:tc>
        <w:tc>
          <w:tcPr>
            <w:tcW w:w="12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2,117</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Dye &amp; Durham, Ltd. </w:t>
            </w:r>
            <w:r>
              <w:rPr>
                <w:rFonts w:ascii="Times New Roman" w:cs="Times New Roman" w:eastAsia="Times New Roman" w:hAnsi="Times New Roman"/>
                <w:sz w:val="14"/>
                <w:szCs w:val="14"/>
                <w:color w:val="auto"/>
                <w:vertAlign w:val="superscript"/>
              </w:rPr>
              <w:t>(4)(10)</w:t>
            </w:r>
          </w:p>
        </w:tc>
        <w:tc>
          <w:tcPr>
            <w:tcW w:w="2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Shares (126,968 shares)</w:t>
            </w:r>
          </w:p>
        </w:tc>
        <w:tc>
          <w:tcPr>
            <w:tcW w:w="9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12/3/2021</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3,909</w:t>
            </w:r>
          </w:p>
        </w:tc>
        <w:tc>
          <w:tcPr>
            <w:tcW w:w="12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1,143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0"/>
        </w:trPr>
        <w:tc>
          <w:tcPr>
            <w:tcW w:w="17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(CAD 1,564)</w:t>
            </w:r>
          </w:p>
        </w:tc>
        <w:tc>
          <w:tcPr>
            <w:tcW w:w="580" w:type="dxa"/>
            <w:vAlign w:val="bottom"/>
          </w:tcPr>
          <w:p>
            <w:pPr>
              <w:spacing w:after="0"/>
              <w:rPr>
                <w:sz w:val="12"/>
                <w:szCs w:val="12"/>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414020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7" w:right="68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2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Insight Hideaway Aggregator, L.P.</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Partnership Interest (329,861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3/19/2024</w:t>
            </w:r>
          </w:p>
        </w:tc>
        <w:tc>
          <w:tcPr>
            <w:tcW w:w="11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3,299</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3,299</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12"/>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(11)(12)</w:t>
            </w:r>
          </w:p>
        </w:tc>
        <w:tc>
          <w:tcPr>
            <w:tcW w:w="2420" w:type="dxa"/>
            <w:vAlign w:val="bottom"/>
            <w:tcBorders>
              <w:bottom w:val="single" w:sz="8" w:color="CFF0FC"/>
            </w:tcBorders>
            <w:shd w:val="clear" w:color="auto" w:fill="CFF0FC"/>
          </w:tcPr>
          <w:p>
            <w:pPr>
              <w:spacing w:after="0"/>
              <w:rPr>
                <w:sz w:val="9"/>
                <w:szCs w:val="9"/>
                <w:color w:val="auto"/>
              </w:rPr>
            </w:pPr>
          </w:p>
        </w:tc>
        <w:tc>
          <w:tcPr>
            <w:tcW w:w="1120" w:type="dxa"/>
            <w:vAlign w:val="bottom"/>
            <w:tcBorders>
              <w:bottom w:val="single" w:sz="8" w:color="CFF0FC"/>
            </w:tcBorders>
            <w:shd w:val="clear" w:color="auto" w:fill="CFF0FC"/>
          </w:tcPr>
          <w:p>
            <w:pPr>
              <w:spacing w:after="0"/>
              <w:rPr>
                <w:sz w:val="9"/>
                <w:szCs w:val="9"/>
                <w:color w:val="auto"/>
              </w:rPr>
            </w:pPr>
          </w:p>
        </w:tc>
        <w:tc>
          <w:tcPr>
            <w:tcW w:w="1120" w:type="dxa"/>
            <w:vAlign w:val="bottom"/>
            <w:tcBorders>
              <w:bottom w:val="single" w:sz="8" w:color="CFF0FC"/>
            </w:tcBorders>
            <w:shd w:val="clear" w:color="auto" w:fill="CFF0FC"/>
          </w:tcPr>
          <w:p>
            <w:pPr>
              <w:spacing w:after="0"/>
              <w:rPr>
                <w:sz w:val="9"/>
                <w:szCs w:val="9"/>
                <w:color w:val="auto"/>
              </w:rPr>
            </w:pPr>
          </w:p>
        </w:tc>
        <w:tc>
          <w:tcPr>
            <w:tcW w:w="114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CFF0FC"/>
            </w:tcBorders>
            <w:shd w:val="clear" w:color="auto" w:fill="CFF0FC"/>
          </w:tcPr>
          <w:p>
            <w:pPr>
              <w:spacing w:after="0"/>
              <w:rPr>
                <w:sz w:val="9"/>
                <w:szCs w:val="9"/>
                <w:color w:val="auto"/>
              </w:rPr>
            </w:pPr>
          </w:p>
        </w:tc>
        <w:tc>
          <w:tcPr>
            <w:tcW w:w="132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Mitnick TA Aggregator, L.P. </w:t>
            </w:r>
            <w:r>
              <w:rPr>
                <w:rFonts w:ascii="Times New Roman" w:cs="Times New Roman" w:eastAsia="Times New Roman" w:hAnsi="Times New Roman"/>
                <w:sz w:val="14"/>
                <w:szCs w:val="14"/>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Membership Interest (0.43% ownership)</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5/2/2022</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5,247</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4,460</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Newark FP Co-Invest, L.P.</w:t>
            </w:r>
            <w:r>
              <w:rPr>
                <w:rFonts w:ascii="Times New Roman" w:cs="Times New Roman" w:eastAsia="Times New Roman" w:hAnsi="Times New Roman"/>
                <w:sz w:val="14"/>
                <w:szCs w:val="14"/>
                <w:color w:val="auto"/>
                <w:vertAlign w:val="superscript"/>
              </w:rPr>
              <w:t>(11)(12)</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Partnership (2,527,719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11/8/2023</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2,533</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2,533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ReliaQuest, LLC </w:t>
            </w:r>
            <w:r>
              <w:rPr>
                <w:rFonts w:ascii="Times New Roman" w:cs="Times New Roman" w:eastAsia="Times New Roman" w:hAnsi="Times New Roman"/>
                <w:sz w:val="14"/>
                <w:szCs w:val="14"/>
                <w:color w:val="auto"/>
                <w:vertAlign w:val="superscript"/>
              </w:rPr>
              <w:t>(13)</w:t>
            </w:r>
          </w:p>
        </w:tc>
        <w:tc>
          <w:tcPr>
            <w:tcW w:w="2420" w:type="dxa"/>
            <w:vAlign w:val="bottom"/>
          </w:tcPr>
          <w:p>
            <w:pPr>
              <w:ind w:left="60"/>
              <w:spacing w:after="0" w:line="156" w:lineRule="exact"/>
              <w:rPr>
                <w:sz w:val="20"/>
                <w:szCs w:val="20"/>
                <w:color w:val="auto"/>
              </w:rPr>
            </w:pPr>
            <w:r>
              <w:rPr>
                <w:rFonts w:ascii="Times New Roman" w:cs="Times New Roman" w:eastAsia="Times New Roman" w:hAnsi="Times New Roman"/>
                <w:sz w:val="11"/>
                <w:szCs w:val="11"/>
                <w:color w:val="auto"/>
              </w:rPr>
              <w:t xml:space="preserve">Class A-1 Units (637,713 units) </w:t>
            </w:r>
            <w:r>
              <w:rPr>
                <w:rFonts w:ascii="Times New Roman" w:cs="Times New Roman" w:eastAsia="Times New Roman" w:hAnsi="Times New Roman"/>
                <w:sz w:val="14"/>
                <w:szCs w:val="14"/>
                <w:color w:val="auto"/>
                <w:vertAlign w:val="superscript"/>
              </w:rPr>
              <w:t>(11)</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11/23/2021</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1,120</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1,414</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1"/>
                <w:szCs w:val="11"/>
                <w:color w:val="auto"/>
              </w:rPr>
              <w:t xml:space="preserve">Class A-2 Units (2,989 units) </w:t>
            </w:r>
            <w:r>
              <w:rPr>
                <w:rFonts w:ascii="Times New Roman" w:cs="Times New Roman" w:eastAsia="Times New Roman" w:hAnsi="Times New Roman"/>
                <w:sz w:val="14"/>
                <w:szCs w:val="14"/>
                <w:color w:val="auto"/>
                <w:vertAlign w:val="superscript"/>
              </w:rPr>
              <w:t>(11)</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6/21/2022</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6</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8</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2420" w:type="dxa"/>
            <w:vAlign w:val="bottom"/>
          </w:tcPr>
          <w:p>
            <w:pPr>
              <w:ind w:left="60"/>
              <w:spacing w:after="0" w:line="156" w:lineRule="exact"/>
              <w:rPr>
                <w:sz w:val="20"/>
                <w:szCs w:val="20"/>
                <w:color w:val="auto"/>
              </w:rPr>
            </w:pPr>
            <w:r>
              <w:rPr>
                <w:rFonts w:ascii="Times New Roman" w:cs="Times New Roman" w:eastAsia="Times New Roman" w:hAnsi="Times New Roman"/>
                <w:sz w:val="11"/>
                <w:szCs w:val="11"/>
                <w:color w:val="auto"/>
              </w:rPr>
              <w:t xml:space="preserve">Class A-3 Units (16,957 units) </w:t>
            </w:r>
            <w:r>
              <w:rPr>
                <w:rFonts w:ascii="Times New Roman" w:cs="Times New Roman" w:eastAsia="Times New Roman" w:hAnsi="Times New Roman"/>
                <w:sz w:val="14"/>
                <w:szCs w:val="14"/>
                <w:color w:val="auto"/>
                <w:vertAlign w:val="superscript"/>
              </w:rPr>
              <w:t>(11)(12)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11/10/2023</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36</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46</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1"/>
                <w:szCs w:val="11"/>
                <w:color w:val="auto"/>
              </w:rPr>
              <w:t xml:space="preserve">Series A Preferred Stock (1,824 units) </w:t>
            </w:r>
            <w:r>
              <w:rPr>
                <w:rFonts w:ascii="Times New Roman" w:cs="Times New Roman" w:eastAsia="Times New Roman" w:hAnsi="Times New Roman"/>
                <w:sz w:val="14"/>
                <w:szCs w:val="14"/>
                <w:color w:val="auto"/>
                <w:vertAlign w:val="superscript"/>
              </w:rPr>
              <w:t>(3)(12)</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12/20/2023</w:t>
            </w:r>
          </w:p>
        </w:tc>
        <w:tc>
          <w:tcPr>
            <w:tcW w:w="1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SOFR + 12.00%</w:t>
            </w:r>
          </w:p>
        </w:tc>
        <w:tc>
          <w:tcPr>
            <w:tcW w:w="1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17.30% PIK</w:t>
            </w: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1,659</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1,773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2420" w:type="dxa"/>
            <w:vAlign w:val="bottom"/>
          </w:tcPr>
          <w:p>
            <w:pPr>
              <w:ind w:left="60"/>
              <w:spacing w:after="0" w:line="156" w:lineRule="exact"/>
              <w:rPr>
                <w:sz w:val="20"/>
                <w:szCs w:val="20"/>
                <w:color w:val="auto"/>
              </w:rPr>
            </w:pPr>
            <w:r>
              <w:rPr>
                <w:rFonts w:ascii="Times New Roman" w:cs="Times New Roman" w:eastAsia="Times New Roman" w:hAnsi="Times New Roman"/>
                <w:sz w:val="11"/>
                <w:szCs w:val="11"/>
                <w:color w:val="auto"/>
              </w:rPr>
              <w:t xml:space="preserve">Warrants (90,634 warrants) </w:t>
            </w:r>
            <w:r>
              <w:rPr>
                <w:rFonts w:ascii="Times New Roman" w:cs="Times New Roman" w:eastAsia="Times New Roman" w:hAnsi="Times New Roman"/>
                <w:sz w:val="14"/>
                <w:szCs w:val="14"/>
                <w:color w:val="auto"/>
                <w:vertAlign w:val="superscript"/>
              </w:rPr>
              <w:t>(11)(12)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12/20/2023</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102</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102</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Sprinklr, Inc. </w:t>
            </w:r>
            <w:r>
              <w:rPr>
                <w:rFonts w:ascii="Times New Roman" w:cs="Times New Roman" w:eastAsia="Times New Roman" w:hAnsi="Times New Roman"/>
                <w:sz w:val="14"/>
                <w:szCs w:val="14"/>
                <w:color w:val="auto"/>
                <w:vertAlign w:val="superscript"/>
              </w:rPr>
              <w:t>(10)(11)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Common Shares (283,499 shares)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6/24/2021</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2,445</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2,727</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Warrior TopCo LP </w:t>
            </w:r>
            <w:r>
              <w:rPr>
                <w:rFonts w:ascii="Times New Roman" w:cs="Times New Roman" w:eastAsia="Times New Roman" w:hAnsi="Times New Roman"/>
                <w:sz w:val="14"/>
                <w:szCs w:val="14"/>
                <w:color w:val="auto"/>
                <w:vertAlign w:val="superscript"/>
              </w:rPr>
              <w:t>(11)(12)</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 A Units (423,729 units)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7/7/2023</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424</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424</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22,897</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20,046</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14"/>
                <w:szCs w:val="14"/>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 Units (1,250,000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11/19/2021</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1,250</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1,250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IntelePeer Holdings, Inc. </w:t>
            </w:r>
            <w:r>
              <w:rPr>
                <w:rFonts w:ascii="Times New Roman" w:cs="Times New Roman" w:eastAsia="Times New Roman" w:hAnsi="Times New Roman"/>
                <w:sz w:val="14"/>
                <w:szCs w:val="14"/>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C Preferred Shares (1,816,295 shares)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4/8/2021</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1,816</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2,021</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D Preferred Shares (1,598,874 shares)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4/8/2021</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2,925</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2,172</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C Warrants (280,000 warrants)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2/28/2020</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183</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D Warrants (106,592 warrants)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4/8/2021</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6,174</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5,443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Astra 2L Holdings II LLC </w:t>
            </w:r>
            <w:r>
              <w:rPr>
                <w:rFonts w:ascii="Times New Roman" w:cs="Times New Roman" w:eastAsia="Times New Roman" w:hAnsi="Times New Roman"/>
                <w:sz w:val="14"/>
                <w:szCs w:val="14"/>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Membership Interest (10.17% ownership)</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1/13/2022</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3,255</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14"/>
                <w:szCs w:val="14"/>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B Units (5,522,526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12/22/2021</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5,522</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4,763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RMCF IV CIV XXXV, LP. </w:t>
            </w:r>
            <w:r>
              <w:rPr>
                <w:rFonts w:ascii="Times New Roman" w:cs="Times New Roman" w:eastAsia="Times New Roman" w:hAnsi="Times New Roman"/>
                <w:sz w:val="14"/>
                <w:szCs w:val="14"/>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Partnership Interest (11.94% ownership)</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6/8/2021</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1,000</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1,505</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9,777</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6,268</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AF Eagle Parent, L.P.</w:t>
            </w:r>
            <w:r>
              <w:rPr>
                <w:rFonts w:ascii="Times New Roman" w:cs="Times New Roman" w:eastAsia="Times New Roman" w:hAnsi="Times New Roman"/>
                <w:sz w:val="14"/>
                <w:szCs w:val="14"/>
                <w:color w:val="auto"/>
                <w:vertAlign w:val="superscript"/>
              </w:rPr>
              <w:t>(11)(12)</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Partnership (121,329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11/27/2023</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4,091</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4,091</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CLGF Holdco 2, LLC</w:t>
            </w:r>
            <w:r>
              <w:rPr>
                <w:rFonts w:ascii="Times New Roman" w:cs="Times New Roman" w:eastAsia="Times New Roman" w:hAnsi="Times New Roman"/>
                <w:sz w:val="14"/>
                <w:szCs w:val="14"/>
                <w:color w:val="auto"/>
                <w:vertAlign w:val="superscript"/>
              </w:rPr>
              <w:t>(4)(11)(12)</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 (334,682 warrants)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11/7/2023</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183</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265</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Newport Parent Holdings, L.P. </w:t>
            </w:r>
            <w:r>
              <w:rPr>
                <w:rFonts w:ascii="Times New Roman" w:cs="Times New Roman" w:eastAsia="Times New Roman" w:hAnsi="Times New Roman"/>
                <w:sz w:val="14"/>
                <w:szCs w:val="14"/>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A-2 Units (131,569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12/10/2020</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4,177</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14,379</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Oxford Square Capital Corp. </w:t>
            </w:r>
            <w:r>
              <w:rPr>
                <w:rFonts w:ascii="Times New Roman" w:cs="Times New Roman" w:eastAsia="Times New Roman" w:hAnsi="Times New Roman"/>
                <w:sz w:val="14"/>
                <w:szCs w:val="14"/>
                <w:color w:val="auto"/>
                <w:vertAlign w:val="superscript"/>
              </w:rPr>
              <w:t>(4)(10)</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Common Shares (1,620 shares)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8/5/2015</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6</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Passport Labs, Inc. </w:t>
            </w:r>
            <w:r>
              <w:rPr>
                <w:rFonts w:ascii="Times New Roman" w:cs="Times New Roman" w:eastAsia="Times New Roman" w:hAnsi="Times New Roman"/>
                <w:sz w:val="14"/>
                <w:szCs w:val="14"/>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 (17,534 warrants)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4/28/2021</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192</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14"/>
                <w:szCs w:val="14"/>
                <w:color w:val="auto"/>
                <w:vertAlign w:val="superscript"/>
              </w:rPr>
              <w:t>(11)(13)</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 A Units (600,000 units)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5/14/2021</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600</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600</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9,249</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19,340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Caris Life Sciences, Inc. </w:t>
            </w:r>
            <w:r>
              <w:rPr>
                <w:rFonts w:ascii="Times New Roman" w:cs="Times New Roman" w:eastAsia="Times New Roman" w:hAnsi="Times New Roman"/>
                <w:sz w:val="14"/>
                <w:szCs w:val="14"/>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C Preferred Shares (1,915,114 shares)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10/13/2020</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3,500</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6,764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D Preferred Shares (1,240,740 shares)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5/11/2021</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10,050</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10,527</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 (633,376 warrants)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9/21/2018</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191</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1,217</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 (569,991 warrants)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4/2/2020</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250</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912</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Merative Topco L.P. </w:t>
            </w:r>
            <w:r>
              <w:rPr>
                <w:rFonts w:ascii="Times New Roman" w:cs="Times New Roman" w:eastAsia="Times New Roman" w:hAnsi="Times New Roman"/>
                <w:sz w:val="14"/>
                <w:szCs w:val="14"/>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A-1 Units (989,691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6/30/2022</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9,897</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9,600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Ordinary Shares (20,268 shares)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3/24/2023</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2,033</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2,033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25,921</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31,053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14"/>
                <w:szCs w:val="14"/>
                <w:color w:val="auto"/>
                <w:vertAlign w:val="superscript"/>
              </w:rPr>
              <w:t>(7)(11)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 Units (33,790,171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12/21/2018</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21,842</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84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 C-1 Units (8,800,000 units)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12/21/2018</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100</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21,942</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127</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14"/>
                <w:szCs w:val="14"/>
                <w:color w:val="auto"/>
                <w:vertAlign w:val="superscript"/>
              </w:rPr>
              <w:t>(4)(11)(13)</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A-1 Units (3,780,000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5/5/2021</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3,780</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4,564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 A-1 Units (2,393,509 units)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11/7/2022</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2,393</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2,752</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DaySmart Holdings, LLC </w:t>
            </w:r>
            <w:r>
              <w:rPr>
                <w:rFonts w:ascii="Times New Roman" w:cs="Times New Roman" w:eastAsia="Times New Roman" w:hAnsi="Times New Roman"/>
                <w:sz w:val="14"/>
                <w:szCs w:val="14"/>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 Units (166,811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12/18/2020</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1,347</w:t>
            </w:r>
          </w:p>
        </w:tc>
        <w:tc>
          <w:tcPr>
            <w:tcW w:w="132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2,088</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20"/>
        </w:trPr>
        <w:tc>
          <w:tcPr>
            <w:tcW w:w="174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Employment Hero Holdings Pty Ltd.</w:t>
            </w:r>
          </w:p>
        </w:tc>
        <w:tc>
          <w:tcPr>
            <w:tcW w:w="2420" w:type="dxa"/>
            <w:vAlign w:val="bottom"/>
          </w:tcPr>
          <w:p>
            <w:pPr>
              <w:ind w:left="60"/>
              <w:spacing w:after="0" w:line="120" w:lineRule="exact"/>
              <w:rPr>
                <w:sz w:val="20"/>
                <w:szCs w:val="20"/>
                <w:color w:val="auto"/>
              </w:rPr>
            </w:pPr>
            <w:r>
              <w:rPr>
                <w:rFonts w:ascii="Times New Roman" w:cs="Times New Roman" w:eastAsia="Times New Roman" w:hAnsi="Times New Roman"/>
                <w:sz w:val="11"/>
                <w:szCs w:val="11"/>
                <w:color w:val="auto"/>
              </w:rPr>
              <w:t>Series E Preferred Shares (113,250 shares)</w:t>
            </w:r>
          </w:p>
        </w:tc>
        <w:tc>
          <w:tcPr>
            <w:tcW w:w="1120" w:type="dxa"/>
            <w:vAlign w:val="bottom"/>
          </w:tcPr>
          <w:p>
            <w:pPr>
              <w:jc w:val="right"/>
              <w:ind w:right="186"/>
              <w:spacing w:after="0" w:line="120" w:lineRule="exact"/>
              <w:rPr>
                <w:sz w:val="20"/>
                <w:szCs w:val="20"/>
                <w:color w:val="auto"/>
              </w:rPr>
            </w:pPr>
            <w:r>
              <w:rPr>
                <w:rFonts w:ascii="Times New Roman" w:cs="Times New Roman" w:eastAsia="Times New Roman" w:hAnsi="Times New Roman"/>
                <w:sz w:val="11"/>
                <w:szCs w:val="11"/>
                <w:color w:val="auto"/>
              </w:rPr>
              <w:t>3/1/2022</w:t>
            </w: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80" w:type="dxa"/>
            <w:vAlign w:val="bottom"/>
          </w:tcPr>
          <w:p>
            <w:pPr>
              <w:jc w:val="right"/>
              <w:ind w:right="386"/>
              <w:spacing w:after="0" w:line="120" w:lineRule="exact"/>
              <w:rPr>
                <w:sz w:val="20"/>
                <w:szCs w:val="20"/>
                <w:color w:val="auto"/>
              </w:rPr>
            </w:pPr>
            <w:r>
              <w:rPr>
                <w:rFonts w:ascii="Times New Roman" w:cs="Times New Roman" w:eastAsia="Times New Roman" w:hAnsi="Times New Roman"/>
                <w:sz w:val="11"/>
                <w:szCs w:val="11"/>
                <w:color w:val="auto"/>
              </w:rPr>
              <w:t>2,134</w:t>
            </w:r>
          </w:p>
        </w:tc>
        <w:tc>
          <w:tcPr>
            <w:tcW w:w="1320" w:type="dxa"/>
            <w:vAlign w:val="bottom"/>
          </w:tcPr>
          <w:p>
            <w:pPr>
              <w:jc w:val="right"/>
              <w:ind w:right="246"/>
              <w:spacing w:after="0" w:line="120" w:lineRule="exact"/>
              <w:rPr>
                <w:sz w:val="20"/>
                <w:szCs w:val="20"/>
                <w:color w:val="auto"/>
              </w:rPr>
            </w:pPr>
            <w:r>
              <w:rPr>
                <w:rFonts w:ascii="Times New Roman" w:cs="Times New Roman" w:eastAsia="Times New Roman" w:hAnsi="Times New Roman"/>
                <w:sz w:val="11"/>
                <w:szCs w:val="11"/>
                <w:color w:val="auto"/>
              </w:rPr>
              <w:t>2,725</w:t>
            </w: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94"/>
        </w:trPr>
        <w:tc>
          <w:tcPr>
            <w:tcW w:w="1740" w:type="dxa"/>
            <w:vAlign w:val="bottom"/>
          </w:tcPr>
          <w:p>
            <w:pPr>
              <w:ind w:left="20"/>
              <w:spacing w:after="0"/>
              <w:rPr>
                <w:sz w:val="20"/>
                <w:szCs w:val="20"/>
                <w:color w:val="auto"/>
              </w:rPr>
            </w:pPr>
            <w:r>
              <w:rPr>
                <w:rFonts w:ascii="Times New Roman" w:cs="Times New Roman" w:eastAsia="Times New Roman" w:hAnsi="Times New Roman"/>
                <w:sz w:val="7"/>
                <w:szCs w:val="7"/>
                <w:color w:val="auto"/>
              </w:rPr>
              <w:t>(4)(11)</w:t>
            </w:r>
          </w:p>
        </w:tc>
        <w:tc>
          <w:tcPr>
            <w:tcW w:w="2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2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auto"/>
              </w:rPr>
              <w:t>(AUD 4,080)</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7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9,654</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12,129</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w w:val="99"/>
              </w:rPr>
              <w:t xml:space="preserve">Bayshore Intermediate #2, L.P. </w:t>
            </w:r>
            <w:r>
              <w:rPr>
                <w:rFonts w:ascii="Times New Roman" w:cs="Times New Roman" w:eastAsia="Times New Roman" w:hAnsi="Times New Roman"/>
                <w:sz w:val="14"/>
                <w:szCs w:val="14"/>
                <w:color w:val="auto"/>
                <w:w w:val="99"/>
                <w:vertAlign w:val="superscript"/>
              </w:rPr>
              <w:t>(11)(13)</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Co-Invest Common Units (8,837,008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10/1/2021</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8,837</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10,008</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Co-Invest 2 Common Units (3,493,701 units)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10/1/2021</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3,494</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3,957</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4"/>
                <w:szCs w:val="14"/>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F Preferred Shares (199,054 shares)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8/2/2019</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800</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800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4"/>
                <w:szCs w:val="14"/>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C-1 Preferred Shares (418,527 shares)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12/22/2021</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3,000</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3,000</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C-2 Preferred Shares (27,588 shares)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11/18/2022</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198</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198</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w w:val="97"/>
              </w:rPr>
              <w:t xml:space="preserve">SMA Technologies Holdings, LLC </w:t>
            </w:r>
            <w:r>
              <w:rPr>
                <w:rFonts w:ascii="Times New Roman" w:cs="Times New Roman" w:eastAsia="Times New Roman" w:hAnsi="Times New Roman"/>
                <w:sz w:val="14"/>
                <w:szCs w:val="14"/>
                <w:color w:val="auto"/>
                <w:w w:val="97"/>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 A Units (1,300 units)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11/21/2022</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1,300</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1,300</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spacing w:after="0"/>
              <w:rPr>
                <w:sz w:val="13"/>
                <w:szCs w:val="13"/>
                <w:color w:val="auto"/>
              </w:rPr>
            </w:pP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B Units (923,250 units)</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11/21/2022</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17,629</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19,263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Marketing Services</w:t>
            </w:r>
          </w:p>
        </w:tc>
        <w:tc>
          <w:tcPr>
            <w:tcW w:w="2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Validity, Inc.</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A Preferred Shares (3,840,000 shares)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5/31/2018</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3,840</w:t>
            </w:r>
          </w:p>
        </w:tc>
        <w:tc>
          <w:tcPr>
            <w:tcW w:w="13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9,984</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14"/>
                <w:szCs w:val="14"/>
                <w:color w:val="auto"/>
                <w:vertAlign w:val="superscript"/>
              </w:rPr>
              <w:t>(13)</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Preferred Units (13,355 units)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6/30/2022</w:t>
            </w: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13,355</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14,190</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14"/>
                <w:szCs w:val="14"/>
                <w:color w:val="auto"/>
                <w:vertAlign w:val="superscript"/>
              </w:rPr>
              <w:t>(11)(13)</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Partnership Interest (1.89% ownership)</w:t>
            </w:r>
          </w:p>
        </w:tc>
        <w:tc>
          <w:tcPr>
            <w:tcW w:w="11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8/25/2022</w:t>
            </w: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8,784</w:t>
            </w:r>
          </w:p>
        </w:tc>
        <w:tc>
          <w:tcPr>
            <w:tcW w:w="13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12,319</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22,139</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26,509</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2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TherapeuticsMD, Inc. </w:t>
            </w:r>
            <w:r>
              <w:rPr>
                <w:rFonts w:ascii="Times New Roman" w:cs="Times New Roman" w:eastAsia="Times New Roman" w:hAnsi="Times New Roman"/>
                <w:sz w:val="14"/>
                <w:szCs w:val="14"/>
                <w:color w:val="auto"/>
                <w:vertAlign w:val="superscript"/>
              </w:rPr>
              <w:t>(4)(11)</w:t>
            </w:r>
          </w:p>
        </w:tc>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 (14,256 warrants)</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8/5/2020</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1,029</w:t>
            </w:r>
          </w:p>
        </w:tc>
        <w:tc>
          <w:tcPr>
            <w:tcW w:w="13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91" w:right="680" w:bottom="1440" w:gutter="0" w:footer="0" w:header="0"/>
        </w:sectPr>
      </w:pPr>
    </w:p>
    <w:bookmarkStart w:id="10" w:name="page11"/>
    <w:bookmarkEnd w:id="10"/>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887730</wp:posOffset>
            </wp:positionV>
            <wp:extent cx="6707505" cy="99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8"/>
        </w:trPr>
        <w:tc>
          <w:tcPr>
            <w:tcW w:w="17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4"/>
                <w:szCs w:val="14"/>
                <w:color w:val="auto"/>
                <w:vertAlign w:val="superscript"/>
              </w:rPr>
              <w:t>(11)</w:t>
            </w:r>
          </w:p>
        </w:tc>
        <w:tc>
          <w:tcPr>
            <w:tcW w:w="2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 Units (687 units)</w:t>
            </w:r>
          </w:p>
        </w:tc>
        <w:tc>
          <w:tcPr>
            <w:tcW w:w="11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3/16/2021</w:t>
            </w:r>
          </w:p>
        </w:tc>
        <w:tc>
          <w:tcPr>
            <w:tcW w:w="1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7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Copper Bidco, LLC </w:t>
            </w:r>
            <w:r>
              <w:rPr>
                <w:rFonts w:ascii="Times New Roman" w:cs="Times New Roman" w:eastAsia="Times New Roman" w:hAnsi="Times New Roman"/>
                <w:sz w:val="14"/>
                <w:szCs w:val="14"/>
                <w:color w:val="auto"/>
                <w:vertAlign w:val="superscript"/>
              </w:rPr>
              <w:t>(9)</w:t>
            </w:r>
          </w:p>
        </w:tc>
        <w:tc>
          <w:tcPr>
            <w:tcW w:w="23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Trust Certificates (996,958 Certificates)</w:t>
            </w:r>
          </w:p>
        </w:tc>
        <w:tc>
          <w:tcPr>
            <w:tcW w:w="11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1/30/2021</w:t>
            </w: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9,072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14"/>
                <w:szCs w:val="14"/>
                <w:color w:val="auto"/>
                <w:vertAlign w:val="superscript"/>
              </w:rPr>
              <w:t>(11)(13)</w:t>
            </w:r>
          </w:p>
        </w:tc>
        <w:tc>
          <w:tcPr>
            <w:tcW w:w="2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 Units (1,176,494 units)</w:t>
            </w:r>
          </w:p>
        </w:tc>
        <w:tc>
          <w:tcPr>
            <w:tcW w:w="11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12/20/2021</w:t>
            </w:r>
          </w:p>
        </w:tc>
        <w:tc>
          <w:tcPr>
            <w:tcW w:w="1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17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8"/>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Structured Credit</w:t>
            </w:r>
          </w:p>
        </w:tc>
        <w:tc>
          <w:tcPr>
            <w:tcW w:w="23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r>
      <w:tr>
        <w:trPr>
          <w:trHeight w:val="132"/>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Cedar Funding CLO Ltd, Series 2018-</w:t>
            </w:r>
          </w:p>
        </w:tc>
        <w:tc>
          <w:tcPr>
            <w:tcW w:w="23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1/2031)</w:t>
            </w:r>
          </w:p>
        </w:tc>
        <w:tc>
          <w:tcPr>
            <w:tcW w:w="11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7/21/2022</w:t>
            </w:r>
          </w:p>
        </w:tc>
        <w:tc>
          <w:tcPr>
            <w:tcW w:w="1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SOFR + 4.81%</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10.14%</w:t>
            </w:r>
          </w:p>
        </w:tc>
        <w:tc>
          <w:tcPr>
            <w:tcW w:w="3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74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7A</w:t>
            </w:r>
            <w:r>
              <w:rPr>
                <w:rFonts w:ascii="Times New Roman" w:cs="Times New Roman" w:eastAsia="Times New Roman" w:hAnsi="Times New Roman"/>
                <w:sz w:val="7"/>
                <w:szCs w:val="7"/>
                <w:color w:val="auto"/>
              </w:rPr>
              <w:t xml:space="preserve"> (3)(4)(9)</w:t>
            </w:r>
          </w:p>
        </w:tc>
        <w:tc>
          <w:tcPr>
            <w:tcW w:w="2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2"/>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Dryden Senior Loan Fund, Series</w:t>
            </w:r>
          </w:p>
        </w:tc>
        <w:tc>
          <w:tcPr>
            <w:tcW w:w="2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($1,500 par, due 7/2034)</w:t>
            </w:r>
          </w:p>
        </w:tc>
        <w:tc>
          <w:tcPr>
            <w:tcW w:w="11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8/17/2022</w:t>
            </w:r>
          </w:p>
        </w:tc>
        <w:tc>
          <w:tcPr>
            <w:tcW w:w="1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SOFR + 6.76%</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12.08%</w:t>
            </w:r>
          </w:p>
        </w:tc>
        <w:tc>
          <w:tcPr>
            <w:tcW w:w="3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1,488</w:t>
            </w: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1,441</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74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2020-86A</w:t>
            </w:r>
            <w:r>
              <w:rPr>
                <w:rFonts w:ascii="Times New Roman" w:cs="Times New Roman" w:eastAsia="Times New Roman" w:hAnsi="Times New Roman"/>
                <w:sz w:val="7"/>
                <w:szCs w:val="7"/>
                <w:color w:val="auto"/>
              </w:rPr>
              <w:t xml:space="preserve"> (3)(4)(9)</w:t>
            </w:r>
          </w:p>
        </w:tc>
        <w:tc>
          <w:tcPr>
            <w:tcW w:w="23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r>
      <w:tr>
        <w:trPr>
          <w:trHeight w:val="132"/>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MidOcean Credit CLO Ltd, Series</w:t>
            </w:r>
          </w:p>
        </w:tc>
        <w:tc>
          <w:tcPr>
            <w:tcW w:w="23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($1,100 par, due 7/2031)</w:t>
            </w:r>
          </w:p>
        </w:tc>
        <w:tc>
          <w:tcPr>
            <w:tcW w:w="11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6/1/2022</w:t>
            </w:r>
          </w:p>
        </w:tc>
        <w:tc>
          <w:tcPr>
            <w:tcW w:w="1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SOFR + 6.31%</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11.64%</w:t>
            </w:r>
          </w:p>
        </w:tc>
        <w:tc>
          <w:tcPr>
            <w:tcW w:w="3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74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2018-9A</w:t>
            </w:r>
            <w:r>
              <w:rPr>
                <w:rFonts w:ascii="Times New Roman" w:cs="Times New Roman" w:eastAsia="Times New Roman" w:hAnsi="Times New Roman"/>
                <w:sz w:val="7"/>
                <w:szCs w:val="7"/>
                <w:color w:val="auto"/>
              </w:rPr>
              <w:t xml:space="preserve"> (3)(4)(9)</w:t>
            </w:r>
          </w:p>
        </w:tc>
        <w:tc>
          <w:tcPr>
            <w:tcW w:w="2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1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w w:val="96"/>
              </w:rPr>
              <w:t xml:space="preserve">Voya CLO Ltd, Series 2018-3A </w:t>
            </w:r>
            <w:r>
              <w:rPr>
                <w:rFonts w:ascii="Times New Roman" w:cs="Times New Roman" w:eastAsia="Times New Roman" w:hAnsi="Times New Roman"/>
                <w:sz w:val="14"/>
                <w:szCs w:val="14"/>
                <w:color w:val="auto"/>
                <w:w w:val="96"/>
                <w:vertAlign w:val="superscript"/>
              </w:rPr>
              <w:t>(3)(4)(9)</w:t>
            </w:r>
          </w:p>
        </w:tc>
        <w:tc>
          <w:tcPr>
            <w:tcW w:w="2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($2,750 par, due 10/2031)</w:t>
            </w:r>
          </w:p>
        </w:tc>
        <w:tc>
          <w:tcPr>
            <w:tcW w:w="11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6/22/2022</w:t>
            </w:r>
          </w:p>
        </w:tc>
        <w:tc>
          <w:tcPr>
            <w:tcW w:w="1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SOFR + 6.01%</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11.34%</w:t>
            </w: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2,453</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17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44"/>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and Other</w:t>
            </w:r>
          </w:p>
        </w:tc>
        <w:tc>
          <w:tcPr>
            <w:tcW w:w="23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162,186</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167,143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w:t>
            </w:r>
          </w:p>
        </w:tc>
      </w:tr>
      <w:tr>
        <w:trPr>
          <w:trHeight w:val="14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23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2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3,304,563</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3,317,069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207.4%</w:t>
            </w:r>
          </w:p>
        </w:tc>
      </w:tr>
      <w:tr>
        <w:trPr>
          <w:trHeight w:val="20"/>
        </w:trPr>
        <w:tc>
          <w:tcPr>
            <w:tcW w:w="1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20" w:type="dxa"/>
            <w:vAlign w:val="bottom"/>
            <w:gridSpan w:val="7"/>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Interest Rate Swaps as of June 30, 2024</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4"/>
                <w:szCs w:val="14"/>
                <w:color w:val="auto"/>
              </w:rPr>
            </w:pPr>
          </w:p>
        </w:tc>
        <w:tc>
          <w:tcPr>
            <w:tcW w:w="92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Upfront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40" w:type="dxa"/>
            <w:vAlign w:val="bottom"/>
          </w:tcPr>
          <w:p>
            <w:pPr>
              <w:spacing w:after="0"/>
              <w:rPr>
                <w:sz w:val="13"/>
                <w:szCs w:val="13"/>
                <w:color w:val="auto"/>
              </w:rPr>
            </w:pPr>
          </w:p>
        </w:tc>
        <w:tc>
          <w:tcPr>
            <w:tcW w:w="92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Pays</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8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40" w:type="dxa"/>
            <w:vAlign w:val="bottom"/>
          </w:tcPr>
          <w:p>
            <w:pPr>
              <w:spacing w:after="0"/>
              <w:rPr>
                <w:sz w:val="15"/>
                <w:szCs w:val="15"/>
                <w:color w:val="auto"/>
              </w:rPr>
            </w:pPr>
          </w:p>
        </w:tc>
        <w:tc>
          <w:tcPr>
            <w:tcW w:w="92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7"/>
              </w:rPr>
              <w:t>Receipts</w:t>
            </w:r>
          </w:p>
        </w:tc>
        <w:tc>
          <w:tcPr>
            <w:tcW w:w="200" w:type="dxa"/>
            <w:vAlign w:val="bottom"/>
          </w:tcPr>
          <w:p>
            <w:pPr>
              <w:spacing w:after="0"/>
              <w:rPr>
                <w:sz w:val="15"/>
                <w:szCs w:val="15"/>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Gains / (Losses)</w:t>
            </w:r>
          </w:p>
        </w:tc>
        <w:tc>
          <w:tcPr>
            <w:tcW w:w="0" w:type="dxa"/>
            <w:vAlign w:val="bottom"/>
          </w:tcPr>
          <w:p>
            <w:pPr>
              <w:spacing w:after="0"/>
              <w:rPr>
                <w:sz w:val="1"/>
                <w:szCs w:val="1"/>
                <w:color w:val="auto"/>
              </w:rPr>
            </w:pPr>
          </w:p>
        </w:tc>
      </w:tr>
      <w:tr>
        <w:trPr>
          <w:trHeight w:val="171"/>
        </w:trPr>
        <w:tc>
          <w:tcPr>
            <w:tcW w:w="18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w:t>
            </w:r>
          </w:p>
        </w:tc>
        <w:tc>
          <w:tcPr>
            <w:tcW w:w="1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64"/>
              <w:spacing w:after="0" w:line="171" w:lineRule="exact"/>
              <w:rPr>
                <w:sz w:val="20"/>
                <w:szCs w:val="20"/>
                <w:color w:val="auto"/>
              </w:rPr>
            </w:pPr>
            <w:r>
              <w:rPr>
                <w:rFonts w:ascii="Times New Roman" w:cs="Times New Roman" w:eastAsia="Times New Roman" w:hAnsi="Times New Roman"/>
                <w:sz w:val="16"/>
                <w:szCs w:val="16"/>
                <w:color w:val="auto"/>
              </w:rPr>
              <w:t>11/1/2024</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840" w:type="dxa"/>
            <w:vAlign w:val="bottom"/>
            <w:vMerge w:val="continue"/>
            <w:shd w:val="clear" w:color="auto" w:fill="CFF0FC"/>
          </w:tcPr>
          <w:p>
            <w:pPr>
              <w:spacing w:after="0"/>
              <w:rPr>
                <w:sz w:val="17"/>
                <w:szCs w:val="17"/>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+ 2.54%</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18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w w:val="99"/>
              </w:rPr>
              <w:t xml:space="preserve">Interest rate swap </w:t>
            </w:r>
            <w:r>
              <w:rPr>
                <w:rFonts w:ascii="Times New Roman" w:cs="Times New Roman" w:eastAsia="Times New Roman" w:hAnsi="Times New Roman"/>
                <w:sz w:val="21"/>
                <w:szCs w:val="21"/>
                <w:color w:val="auto"/>
                <w:w w:val="99"/>
                <w:vertAlign w:val="superscript"/>
              </w:rPr>
              <w:t>(a)(b)(c)(d)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+ 2.51%</w:t>
            </w:r>
          </w:p>
        </w:tc>
        <w:tc>
          <w:tcPr>
            <w:tcW w:w="12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(4,235 )</w:t>
            </w:r>
          </w:p>
        </w:tc>
        <w:tc>
          <w:tcPr>
            <w:tcW w:w="140" w:type="dxa"/>
            <w:vAlign w:val="bottom"/>
          </w:tcPr>
          <w:p>
            <w:pPr>
              <w:spacing w:after="0"/>
              <w:rPr>
                <w:sz w:val="17"/>
                <w:szCs w:val="17"/>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w w:val="99"/>
              </w:rPr>
              <w:t xml:space="preserve">Interest rate swap </w:t>
            </w:r>
            <w:r>
              <w:rPr>
                <w:rFonts w:ascii="Times New Roman" w:cs="Times New Roman" w:eastAsia="Times New Roman" w:hAnsi="Times New Roman"/>
                <w:sz w:val="21"/>
                <w:szCs w:val="21"/>
                <w:color w:val="auto"/>
                <w:w w:val="99"/>
                <w:vertAlign w:val="superscript"/>
              </w:rPr>
              <w:t>(a)(b)(c)(d)</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+ 2.72%</w:t>
            </w:r>
          </w:p>
        </w:tc>
        <w:tc>
          <w:tcPr>
            <w:tcW w:w="12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(743 )</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2.50%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+ 2.17%</w:t>
            </w:r>
          </w:p>
        </w:tc>
        <w:tc>
          <w:tcPr>
            <w:tcW w:w="12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8/1/2026</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(25,376 )</w:t>
            </w:r>
          </w:p>
        </w:tc>
        <w:tc>
          <w:tcPr>
            <w:tcW w:w="140" w:type="dxa"/>
            <w:vAlign w:val="bottom"/>
          </w:tcPr>
          <w:p>
            <w:pPr>
              <w:spacing w:after="0"/>
              <w:rPr>
                <w:sz w:val="17"/>
                <w:szCs w:val="17"/>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6.95%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+ 2.99%</w:t>
            </w:r>
          </w:p>
        </w:tc>
        <w:tc>
          <w:tcPr>
            <w:tcW w:w="12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rPr>
              <w:t>8/14/2028</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(2,542 )</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(7,222 )</w:t>
            </w:r>
          </w:p>
        </w:tc>
        <w:tc>
          <w:tcPr>
            <w:tcW w:w="0" w:type="dxa"/>
            <w:vAlign w:val="bottom"/>
          </w:tcPr>
          <w:p>
            <w:pPr>
              <w:spacing w:after="0"/>
              <w:rPr>
                <w:sz w:val="1"/>
                <w:szCs w:val="1"/>
                <w:color w:val="auto"/>
              </w:rPr>
            </w:pPr>
          </w:p>
        </w:tc>
      </w:tr>
      <w:tr>
        <w:trPr>
          <w:trHeight w:val="204"/>
        </w:trPr>
        <w:tc>
          <w:tcPr>
            <w:tcW w:w="18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6.125%</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+ 2.44%</w:t>
            </w:r>
          </w:p>
        </w:tc>
        <w:tc>
          <w:tcPr>
            <w:tcW w:w="12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3/1/2029</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(6,339 )</w:t>
            </w:r>
          </w:p>
        </w:tc>
        <w:tc>
          <w:tcPr>
            <w:tcW w:w="140" w:type="dxa"/>
            <w:vAlign w:val="bottom"/>
          </w:tcPr>
          <w:p>
            <w:pPr>
              <w:spacing w:after="0"/>
              <w:rPr>
                <w:sz w:val="17"/>
                <w:szCs w:val="17"/>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(6,339 )</w:t>
            </w:r>
          </w:p>
        </w:tc>
        <w:tc>
          <w:tcPr>
            <w:tcW w:w="0" w:type="dxa"/>
            <w:vAlign w:val="bottom"/>
          </w:tcPr>
          <w:p>
            <w:pPr>
              <w:spacing w:after="0"/>
              <w:rPr>
                <w:sz w:val="1"/>
                <w:szCs w:val="1"/>
                <w:color w:val="auto"/>
              </w:rPr>
            </w:pPr>
          </w:p>
        </w:tc>
      </w:tr>
      <w:tr>
        <w:trPr>
          <w:trHeight w:val="179"/>
        </w:trPr>
        <w:tc>
          <w:tcPr>
            <w:tcW w:w="184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6"/>
                <w:szCs w:val="16"/>
                <w:color w:val="auto"/>
              </w:rPr>
              <w:t>Total Hedge Accounting</w:t>
            </w:r>
          </w:p>
        </w:tc>
        <w:tc>
          <w:tcPr>
            <w:tcW w:w="1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Swaps</w:t>
            </w:r>
          </w:p>
        </w:tc>
        <w:tc>
          <w:tcPr>
            <w:tcW w:w="1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1,302,500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(39,235 )</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(7,395 )</w:t>
            </w:r>
          </w:p>
        </w:tc>
        <w:tc>
          <w:tcPr>
            <w:tcW w:w="0" w:type="dxa"/>
            <w:vAlign w:val="bottom"/>
          </w:tcPr>
          <w:p>
            <w:pPr>
              <w:spacing w:after="0"/>
              <w:rPr>
                <w:sz w:val="1"/>
                <w:szCs w:val="1"/>
                <w:color w:val="auto"/>
              </w:rPr>
            </w:pPr>
          </w:p>
        </w:tc>
      </w:tr>
      <w:tr>
        <w:trPr>
          <w:trHeight w:val="204"/>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w:t>
            </w: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1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1,302,500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29,527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FF0FC"/>
          </w:tcPr>
          <w:p>
            <w:pPr>
              <w:jc w:val="right"/>
              <w:ind w:right="20"/>
              <w:spacing w:after="0" w:line="324" w:lineRule="exact"/>
              <w:rPr>
                <w:sz w:val="20"/>
                <w:szCs w:val="20"/>
                <w:color w:val="auto"/>
              </w:rPr>
            </w:pPr>
            <w:r>
              <w:rPr>
                <w:rFonts w:ascii="Times New Roman" w:cs="Times New Roman" w:eastAsia="Times New Roman" w:hAnsi="Times New Roman"/>
                <w:sz w:val="16"/>
                <w:szCs w:val="16"/>
                <w:color w:val="auto"/>
              </w:rPr>
              <w:t xml:space="preserve">(7,395 </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220"/>
        <w:spacing w:after="0" w:line="234"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 w:lineRule="exact"/>
        <w:rPr>
          <w:sz w:val="20"/>
          <w:szCs w:val="20"/>
          <w:color w:val="auto"/>
        </w:rPr>
      </w:pPr>
    </w:p>
    <w:p>
      <w:pPr>
        <w:ind w:left="480" w:right="80"/>
        <w:spacing w:after="0" w:line="234" w:lineRule="auto"/>
        <w:rPr>
          <w:sz w:val="20"/>
          <w:szCs w:val="20"/>
          <w:color w:val="auto"/>
        </w:rPr>
      </w:pPr>
      <w:r>
        <w:rPr>
          <w:rFonts w:ascii="Times New Roman" w:cs="Times New Roman" w:eastAsia="Times New Roman" w:hAnsi="Times New Roman"/>
          <w:sz w:val="16"/>
          <w:szCs w:val="16"/>
          <w:color w:val="auto"/>
        </w:rPr>
        <w:t>(c)$2.5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sz w:val="20"/>
          <w:szCs w:val="20"/>
          <w:color w:val="auto"/>
        </w:rPr>
      </w:pPr>
    </w:p>
    <w:p>
      <w:pPr>
        <w:ind w:left="480"/>
        <w:spacing w:after="0" w:line="238" w:lineRule="auto"/>
        <w:rPr>
          <w:sz w:val="20"/>
          <w:szCs w:val="20"/>
          <w:color w:val="auto"/>
        </w:rPr>
      </w:pPr>
      <w:r>
        <w:rPr>
          <w:rFonts w:ascii="Times New Roman" w:cs="Times New Roman" w:eastAsia="Times New Roman" w:hAnsi="Times New Roman"/>
          <w:sz w:val="16"/>
          <w:szCs w:val="16"/>
          <w:color w:val="auto"/>
        </w:rPr>
        <w:t>(d)The fair market value of this instrument is presented net with the $2.5 million in aggregate notional value of instruments no longer designated as instruments in a hedge accounting relationship.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Euro Interbank Offer Rate (“Euribor” or “E”), Canadian Overnight Repo Rate Average (“CORRA” or “C”), Secured Overnight Financing Rate (“SOFR”) which may also contain a credit spread adjustment depending on the tenor election, Bank Bill Swap Bid Rate (“BBSY” or “B”), Sterling Overnight Interbank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2024.</w:t>
      </w:r>
    </w:p>
    <w:p>
      <w:pPr>
        <w:spacing w:after="0" w:line="5"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12.7% of total assets as of June 30, 2024.</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 Transactions during the six months ended June 30, 2024 in which the Company was an Affiliated Person of and was deemed to Control a portfolio company are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Controlled, Affiliated Investments during the six months ended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Value at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Net Change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Value at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ind w:right="246"/>
              <w:spacing w:after="0" w:line="111" w:lineRule="exact"/>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In Unrealized</w:t>
            </w:r>
          </w:p>
        </w:tc>
        <w:tc>
          <w:tcPr>
            <w:tcW w:w="680" w:type="dxa"/>
            <w:vAlign w:val="bottom"/>
          </w:tcPr>
          <w:p>
            <w:pPr>
              <w:jc w:val="right"/>
              <w:ind w:right="26"/>
              <w:spacing w:after="0" w:line="111" w:lineRule="exact"/>
              <w:rPr>
                <w:sz w:val="20"/>
                <w:szCs w:val="20"/>
                <w:color w:val="auto"/>
              </w:rPr>
            </w:pPr>
            <w:r>
              <w:rPr>
                <w:rFonts w:ascii="Times New Roman" w:cs="Times New Roman" w:eastAsia="Times New Roman" w:hAnsi="Times New Roman"/>
                <w:sz w:val="11"/>
                <w:szCs w:val="11"/>
                <w:b w:val="1"/>
                <w:bCs w:val="1"/>
                <w:color w:val="auto"/>
              </w:rPr>
              <w:t>Realized</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7"/>
              </w:rPr>
              <w:t>June 30,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86"/>
              <w:spacing w:after="0" w:line="111" w:lineRule="exact"/>
              <w:rPr>
                <w:sz w:val="20"/>
                <w:szCs w:val="20"/>
                <w:color w:val="auto"/>
              </w:rPr>
            </w:pPr>
            <w:r>
              <w:rPr>
                <w:rFonts w:ascii="Times New Roman" w:cs="Times New Roman" w:eastAsia="Times New Roman" w:hAnsi="Times New Roman"/>
                <w:sz w:val="11"/>
                <w:szCs w:val="11"/>
                <w:b w:val="1"/>
                <w:bCs w:val="1"/>
                <w:color w:val="auto"/>
              </w:rPr>
              <w:t>Other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0" w:type="dxa"/>
            <w:vAlign w:val="bottom"/>
          </w:tcPr>
          <w:p>
            <w:pPr>
              <w:spacing w:after="0"/>
              <w:rPr>
                <w:sz w:val="1"/>
                <w:szCs w:val="1"/>
                <w:color w:val="auto"/>
              </w:rPr>
            </w:pPr>
          </w:p>
        </w:tc>
      </w:tr>
      <w:tr>
        <w:trPr>
          <w:trHeight w:val="166"/>
        </w:trPr>
        <w:tc>
          <w:tcPr>
            <w:tcW w:w="1920" w:type="dxa"/>
            <w:vAlign w:val="bottom"/>
          </w:tcPr>
          <w:p>
            <w:pPr>
              <w:ind w:left="68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Pr>
          <w:p>
            <w:pPr>
              <w:spacing w:after="0"/>
              <w:rPr>
                <w:sz w:val="14"/>
                <w:szCs w:val="14"/>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Additions (a)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Reductions (b)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Gain/(Loss)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Transfers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58"/>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IRGSE Holding Corp.</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59,913</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5,010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(2,381 )</w:t>
            </w:r>
          </w:p>
        </w:tc>
        <w:tc>
          <w:tcPr>
            <w:tcW w:w="680" w:type="dxa"/>
            <w:vAlign w:val="bottom"/>
            <w:shd w:val="clear" w:color="auto" w:fill="CFF0FC"/>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shd w:val="clear" w:color="auto" w:fill="CFF0FC"/>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62,542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4,551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59,913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5,010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b w:val="1"/>
                <w:bCs w:val="1"/>
                <w:color w:val="auto"/>
              </w:rPr>
              <w:t xml:space="preserve">(2,381 </w:t>
            </w:r>
            <w:r>
              <w:rPr>
                <w:rFonts w:ascii="Times New Roman" w:cs="Times New Roman" w:eastAsia="Times New Roman" w:hAnsi="Times New Roman"/>
                <w:sz w:val="15"/>
                <w:szCs w:val="15"/>
                <w:b w:val="1"/>
                <w:bCs w:val="1"/>
                <w:color w:val="auto"/>
                <w:vertAlign w:val="subscript"/>
              </w:rPr>
              <w:t>)</w:t>
            </w:r>
          </w:p>
        </w:tc>
        <w:tc>
          <w:tcPr>
            <w:tcW w:w="68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20" w:type="dxa"/>
            <w:vAlign w:val="bottom"/>
            <w:gridSpan w:val="2"/>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62,542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480" w:right="14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right="80"/>
        <w:spacing w:after="0" w:line="237"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5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(7)As of June 30, 2024, the estimated cost basis of investments for U.S. federal tax purposes was $3,311,655, resulting in estimated gross unrealized gains and losses of $172,105 and $166,367, respectively.</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6"/>
          <w:szCs w:val="16"/>
          <w:color w:val="auto"/>
        </w:rPr>
        <w:t xml:space="preserve">(8)In accordance with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37" w:lineRule="auto"/>
        <w:rPr>
          <w:sz w:val="20"/>
          <w:szCs w:val="20"/>
          <w:color w:val="auto"/>
        </w:rPr>
      </w:pPr>
      <w:r>
        <w:rPr>
          <w:rFonts w:ascii="Times New Roman" w:cs="Times New Roman" w:eastAsia="Times New Roman" w:hAnsi="Times New Roman"/>
          <w:sz w:val="16"/>
          <w:szCs w:val="16"/>
          <w:color w:val="auto"/>
        </w:rPr>
        <w:t>(9)This investment is valued using observable inputs and is considered a Level 2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(10)This investment is valued using observable inputs and is considered a Level 1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(11)This investment is non-income producing.</w:t>
      </w:r>
    </w:p>
    <w:p>
      <w:pPr>
        <w:ind w:right="500"/>
        <w:spacing w:after="0" w:line="268" w:lineRule="auto"/>
        <w:rPr>
          <w:sz w:val="20"/>
          <w:szCs w:val="20"/>
          <w:color w:val="auto"/>
        </w:rPr>
      </w:pPr>
      <w:r>
        <w:rPr>
          <w:rFonts w:ascii="Times New Roman" w:cs="Times New Roman" w:eastAsia="Times New Roman" w:hAnsi="Times New Roman"/>
          <w:sz w:val="14"/>
          <w:szCs w:val="14"/>
          <w:color w:val="auto"/>
        </w:rPr>
        <w:t>(12)All or a portion of this security was acquired in a transaction exempt from registration under the Securities Act of 1933, and may be deemed to be “restricted securities” under the Securities Act. As of June 30, 2024, the aggregate fair value of these securities is $15,469, or 1.0%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(13)Ownership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(14)Investment is on non-accrual status as of June 30, 2024.</w:t>
      </w:r>
    </w:p>
    <w:p>
      <w:pPr>
        <w:ind w:right="280"/>
        <w:spacing w:after="0" w:line="236" w:lineRule="auto"/>
        <w:rPr>
          <w:sz w:val="20"/>
          <w:szCs w:val="20"/>
          <w:color w:val="auto"/>
        </w:rPr>
      </w:pPr>
      <w:r>
        <w:rPr>
          <w:rFonts w:ascii="Times New Roman" w:cs="Times New Roman" w:eastAsia="Times New Roman" w:hAnsi="Times New Roman"/>
          <w:sz w:val="16"/>
          <w:szCs w:val="16"/>
          <w:color w:val="auto"/>
        </w:rPr>
        <w:t>(15)In addition to the principal amount outstanding and accrued interest owed on this investment, the Company is entitled to a separate Make-Whole Amount (the “Make-Whole”) of $12.7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1" w:right="68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December 31, 2023</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2"/>
        </w:trPr>
        <w:tc>
          <w:tcPr>
            <w:tcW w:w="16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02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2"/>
        </w:trPr>
        <w:tc>
          <w:tcPr>
            <w:tcW w:w="16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0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020" w:type="dxa"/>
            <w:vAlign w:val="bottom"/>
          </w:tcPr>
          <w:p>
            <w:pPr>
              <w:jc w:val="right"/>
              <w:ind w:right="326"/>
              <w:spacing w:after="0" w:line="122" w:lineRule="exact"/>
              <w:rPr>
                <w:sz w:val="20"/>
                <w:szCs w:val="20"/>
                <w:color w:val="auto"/>
              </w:rPr>
            </w:pPr>
            <w:r>
              <w:rPr>
                <w:rFonts w:ascii="Times New Roman" w:cs="Times New Roman" w:eastAsia="Times New Roman" w:hAnsi="Times New Roman"/>
                <w:sz w:val="11"/>
                <w:szCs w:val="11"/>
                <w:b w:val="1"/>
                <w:bCs w:val="1"/>
                <w:color w:val="auto"/>
              </w:rPr>
              <w:t>Rate and</w:t>
            </w: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jc w:val="right"/>
              <w:ind w:right="306"/>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w:t>
            </w:r>
          </w:p>
        </w:tc>
        <w:tc>
          <w:tcPr>
            <w:tcW w:w="2660" w:type="dxa"/>
            <w:vAlign w:val="bottom"/>
          </w:tcPr>
          <w:p>
            <w:pPr>
              <w:ind w:left="10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2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280" w:type="dxa"/>
            <w:vAlign w:val="bottom"/>
          </w:tcPr>
          <w:p>
            <w:pPr>
              <w:spacing w:after="0"/>
              <w:rPr>
                <w:sz w:val="13"/>
                <w:szCs w:val="13"/>
                <w:color w:val="auto"/>
              </w:rPr>
            </w:pPr>
          </w:p>
        </w:tc>
        <w:tc>
          <w:tcPr>
            <w:tcW w:w="1020" w:type="dxa"/>
            <w:vAlign w:val="bottom"/>
          </w:tcPr>
          <w:p>
            <w:pPr>
              <w:jc w:val="right"/>
              <w:ind w:right="346"/>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(2)(7)</w:t>
            </w:r>
          </w:p>
        </w:tc>
        <w:tc>
          <w:tcPr>
            <w:tcW w:w="200" w:type="dxa"/>
            <w:vAlign w:val="bottom"/>
          </w:tcPr>
          <w:p>
            <w:pPr>
              <w:spacing w:after="0"/>
              <w:rPr>
                <w:sz w:val="13"/>
                <w:szCs w:val="13"/>
                <w:color w:val="auto"/>
              </w:rPr>
            </w:pPr>
          </w:p>
        </w:tc>
        <w:tc>
          <w:tcPr>
            <w:tcW w:w="920" w:type="dxa"/>
            <w:vAlign w:val="bottom"/>
          </w:tcPr>
          <w:p>
            <w:pPr>
              <w:jc w:val="right"/>
              <w:ind w:right="186"/>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(8)</w:t>
            </w: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of Net Assets</w:t>
            </w:r>
          </w:p>
        </w:tc>
      </w:tr>
      <w:tr>
        <w:trPr>
          <w:trHeight w:val="156"/>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Debt Investments</w:t>
            </w:r>
          </w:p>
        </w:tc>
        <w:tc>
          <w:tcPr>
            <w:tcW w:w="26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54"/>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8"/>
        </w:trPr>
        <w:tc>
          <w:tcPr>
            <w:tcW w:w="16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Bestpass, Inc. </w:t>
            </w:r>
            <w:r>
              <w:rPr>
                <w:rFonts w:ascii="Times New Roman" w:cs="Times New Roman" w:eastAsia="Times New Roman" w:hAnsi="Times New Roman"/>
                <w:sz w:val="14"/>
                <w:szCs w:val="14"/>
                <w:color w:val="auto"/>
                <w:vertAlign w:val="superscript"/>
              </w:rPr>
              <w:t>(3)(5)</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($44,800 par, due 5/2029)</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5/26/2023</w:t>
            </w:r>
          </w:p>
        </w:tc>
        <w:tc>
          <w:tcPr>
            <w:tcW w:w="1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SOFR + 5.75%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11.11%</w:t>
            </w:r>
          </w:p>
        </w:tc>
        <w:tc>
          <w:tcPr>
            <w:tcW w:w="2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43,571</w:t>
            </w:r>
          </w:p>
        </w:tc>
        <w:tc>
          <w:tcPr>
            <w:tcW w:w="2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44,240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54"/>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6"/>
        </w:trPr>
        <w:tc>
          <w:tcPr>
            <w:tcW w:w="162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 xml:space="preserve">Acceo Solutions, Inc. </w:t>
            </w:r>
            <w:r>
              <w:rPr>
                <w:rFonts w:ascii="Times New Roman" w:cs="Times New Roman" w:eastAsia="Times New Roman" w:hAnsi="Times New Roman"/>
                <w:sz w:val="14"/>
                <w:szCs w:val="14"/>
                <w:color w:val="auto"/>
                <w:vertAlign w:val="superscript"/>
              </w:rPr>
              <w:t>(3)(4)(5)</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(CAD 52,941 par, due 10/2025)</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7/6/2018</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C + 4.75%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10.21%</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40,026</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40,150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44"/>
        </w:trPr>
        <w:tc>
          <w:tcPr>
            <w:tcW w:w="16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(CAD 52,941)</w:t>
            </w:r>
          </w:p>
        </w:tc>
        <w:tc>
          <w:tcPr>
            <w:tcW w:w="840" w:type="dxa"/>
            <w:vAlign w:val="bottom"/>
            <w:shd w:val="clear" w:color="auto" w:fill="CFF0FC"/>
          </w:tcPr>
          <w:p>
            <w:pPr>
              <w:spacing w:after="0"/>
              <w:rPr>
                <w:sz w:val="12"/>
                <w:szCs w:val="12"/>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Alpha Midco, Inc. </w:t>
            </w:r>
            <w:r>
              <w:rPr>
                <w:rFonts w:ascii="Times New Roman" w:cs="Times New Roman" w:eastAsia="Times New Roman" w:hAnsi="Times New Roman"/>
                <w:sz w:val="14"/>
                <w:szCs w:val="14"/>
                <w:color w:val="auto"/>
                <w:vertAlign w:val="superscript"/>
              </w:rPr>
              <w:t>(3)(5)</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($68,885 par, due 8/2025)</w:t>
            </w: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8/15/2019</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+ 7.63%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12.97%</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68,287</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69,751</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Artisan Bidco, Inc.</w:t>
            </w:r>
            <w:r>
              <w:rPr>
                <w:rFonts w:ascii="Times New Roman" w:cs="Times New Roman" w:eastAsia="Times New Roman" w:hAnsi="Times New Roman"/>
                <w:sz w:val="14"/>
                <w:szCs w:val="14"/>
                <w:color w:val="auto"/>
                <w:vertAlign w:val="superscript"/>
              </w:rPr>
              <w:t>(3)</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($38,112 par, due 11/2029)</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11/7/2023</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12.38%</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37,250</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37,563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4"/>
        </w:trPr>
        <w:tc>
          <w:tcPr>
            <w:tcW w:w="1620" w:type="dxa"/>
            <w:vAlign w:val="bottom"/>
          </w:tcPr>
          <w:p>
            <w:pPr>
              <w:spacing w:after="0"/>
              <w:rPr>
                <w:sz w:val="12"/>
                <w:szCs w:val="12"/>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17,735 par, due 11/2029)</w:t>
            </w: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11/7/2023</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+ 7.00%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10.96%</w:t>
            </w:r>
          </w:p>
        </w:tc>
        <w:tc>
          <w:tcPr>
            <w:tcW w:w="28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18,681</w:t>
            </w:r>
          </w:p>
        </w:tc>
        <w:tc>
          <w:tcPr>
            <w:tcW w:w="20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19,346</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42"/>
        </w:trPr>
        <w:tc>
          <w:tcPr>
            <w:tcW w:w="1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(EUR 17,513)</w:t>
            </w:r>
          </w:p>
        </w:tc>
        <w:tc>
          <w:tcPr>
            <w:tcW w:w="840" w:type="dxa"/>
            <w:vAlign w:val="bottom"/>
          </w:tcPr>
          <w:p>
            <w:pPr>
              <w:spacing w:after="0"/>
              <w:rPr>
                <w:sz w:val="12"/>
                <w:szCs w:val="12"/>
                <w:color w:val="auto"/>
              </w:rPr>
            </w:pPr>
          </w:p>
        </w:tc>
      </w:tr>
      <w:tr>
        <w:trPr>
          <w:trHeight w:val="13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BCTO Ignition Purchaser,</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holdco loan ($31,935 par, due 10/2030)</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4/18/2023</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+ 9.00%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14.40% PIK</w:t>
            </w:r>
          </w:p>
        </w:tc>
        <w:tc>
          <w:tcPr>
            <w:tcW w:w="2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31,086</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31,775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Inc. </w:t>
            </w:r>
            <w:r>
              <w:rPr>
                <w:rFonts w:ascii="Times New Roman" w:cs="Times New Roman" w:eastAsia="Times New Roman" w:hAnsi="Times New Roman"/>
                <w:sz w:val="14"/>
                <w:szCs w:val="14"/>
                <w:color w:val="auto"/>
                <w:vertAlign w:val="superscript"/>
              </w:rPr>
              <w:t>(3)</w:t>
            </w:r>
          </w:p>
        </w:tc>
        <w:tc>
          <w:tcPr>
            <w:tcW w:w="26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Crewline Buyer, Inc.</w:t>
            </w:r>
            <w:r>
              <w:rPr>
                <w:rFonts w:ascii="Times New Roman" w:cs="Times New Roman" w:eastAsia="Times New Roman" w:hAnsi="Times New Roman"/>
                <w:sz w:val="14"/>
                <w:szCs w:val="14"/>
                <w:color w:val="auto"/>
                <w:vertAlign w:val="superscript"/>
              </w:rPr>
              <w:t>(3)</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($56,324 par, due 11/2030)</w:t>
            </w: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11/8/2023</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12.10%</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54,781</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55,236</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44"/>
        </w:trPr>
        <w:tc>
          <w:tcPr>
            <w:tcW w:w="16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14"/>
                <w:szCs w:val="14"/>
                <w:color w:val="auto"/>
                <w:vertAlign w:val="superscript"/>
              </w:rPr>
              <w:t>(3)(4)</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(CAD 37,874 par, due 12/2027)</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12/3/2021</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C + 5.75%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11.20%</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28,873</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28,938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44"/>
        </w:trPr>
        <w:tc>
          <w:tcPr>
            <w:tcW w:w="16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(CAD 38,158)</w:t>
            </w:r>
          </w:p>
        </w:tc>
        <w:tc>
          <w:tcPr>
            <w:tcW w:w="840" w:type="dxa"/>
            <w:vAlign w:val="bottom"/>
            <w:shd w:val="clear" w:color="auto" w:fill="CFF0FC"/>
          </w:tcPr>
          <w:p>
            <w:pPr>
              <w:spacing w:after="0"/>
              <w:rPr>
                <w:sz w:val="12"/>
                <w:szCs w:val="12"/>
                <w:color w:val="auto"/>
              </w:rPr>
            </w:pPr>
          </w:p>
        </w:tc>
      </w:tr>
      <w:tr>
        <w:trPr>
          <w:trHeight w:val="144"/>
        </w:trPr>
        <w:tc>
          <w:tcPr>
            <w:tcW w:w="1620" w:type="dxa"/>
            <w:vAlign w:val="bottom"/>
          </w:tcPr>
          <w:p>
            <w:pPr>
              <w:spacing w:after="0"/>
              <w:rPr>
                <w:sz w:val="12"/>
                <w:szCs w:val="12"/>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(CAD 1,086 par, due 12/2026)</w:t>
            </w: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12/3/2021</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C + 5.75%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11.20%</w:t>
            </w:r>
          </w:p>
        </w:tc>
        <w:tc>
          <w:tcPr>
            <w:tcW w:w="28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693</w:t>
            </w:r>
          </w:p>
        </w:tc>
        <w:tc>
          <w:tcPr>
            <w:tcW w:w="20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824</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2"/>
        </w:trPr>
        <w:tc>
          <w:tcPr>
            <w:tcW w:w="1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(CAD 1,086)</w:t>
            </w:r>
          </w:p>
        </w:tc>
        <w:tc>
          <w:tcPr>
            <w:tcW w:w="840" w:type="dxa"/>
            <w:vAlign w:val="bottom"/>
          </w:tcPr>
          <w:p>
            <w:pPr>
              <w:spacing w:after="0"/>
              <w:rPr>
                <w:sz w:val="12"/>
                <w:szCs w:val="12"/>
                <w:color w:val="auto"/>
              </w:rPr>
            </w:pPr>
          </w:p>
        </w:tc>
      </w:tr>
      <w:tr>
        <w:trPr>
          <w:trHeight w:val="158"/>
        </w:trPr>
        <w:tc>
          <w:tcPr>
            <w:tcW w:w="16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14"/>
                <w:szCs w:val="14"/>
                <w:color w:val="auto"/>
                <w:vertAlign w:val="superscript"/>
              </w:rPr>
              <w:t>(3)(5)</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($66,197 par, due 7/2027)</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7/22/2021</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+ 7.60%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12.96%</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65,245</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65,866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ForeScout Technologies, Inc. </w:t>
            </w:r>
            <w:r>
              <w:rPr>
                <w:rFonts w:ascii="Times New Roman" w:cs="Times New Roman" w:eastAsia="Times New Roman" w:hAnsi="Times New Roman"/>
                <w:sz w:val="14"/>
                <w:szCs w:val="14"/>
                <w:color w:val="auto"/>
                <w:vertAlign w:val="superscript"/>
              </w:rPr>
              <w:t>(3)</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($5,476 par, due 8/2026)</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7/1/2022</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+ 8.10%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13.45%</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5,420</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5,498</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Galileo Parent, Inc. </w:t>
            </w:r>
            <w:r>
              <w:rPr>
                <w:rFonts w:ascii="Times New Roman" w:cs="Times New Roman" w:eastAsia="Times New Roman" w:hAnsi="Times New Roman"/>
                <w:sz w:val="14"/>
                <w:szCs w:val="14"/>
                <w:color w:val="auto"/>
                <w:vertAlign w:val="superscript"/>
              </w:rPr>
              <w:t>(3)</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($64,742 par, due 5/2030)</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5/3/2023</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+ 7.25%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12.60%</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62,920</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63,770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154"/>
        </w:trPr>
        <w:tc>
          <w:tcPr>
            <w:tcW w:w="1620" w:type="dxa"/>
            <w:vAlign w:val="bottom"/>
          </w:tcPr>
          <w:p>
            <w:pPr>
              <w:spacing w:after="0"/>
              <w:rPr>
                <w:sz w:val="13"/>
                <w:szCs w:val="13"/>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($3,317 par, due 5/2029)</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5/3/2023</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+ 7.25%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12.60%</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3,048</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3,166</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6"/>
        </w:trPr>
        <w:tc>
          <w:tcPr>
            <w:tcW w:w="162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w w:val="97"/>
              </w:rPr>
              <w:t xml:space="preserve">Hornetsecurity Holding GmbH </w:t>
            </w:r>
            <w:r>
              <w:rPr>
                <w:rFonts w:ascii="Times New Roman" w:cs="Times New Roman" w:eastAsia="Times New Roman" w:hAnsi="Times New Roman"/>
                <w:sz w:val="14"/>
                <w:szCs w:val="14"/>
                <w:color w:val="auto"/>
                <w:w w:val="97"/>
                <w:vertAlign w:val="superscript"/>
              </w:rPr>
              <w:t>(3)(4)</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3,150 par, due 11/2029)</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11/14/2022</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+ 6.50%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10.50%</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3,154</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3,536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4"/>
        </w:trPr>
        <w:tc>
          <w:tcPr>
            <w:tcW w:w="16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(EUR 3,201)</w:t>
            </w:r>
          </w:p>
        </w:tc>
        <w:tc>
          <w:tcPr>
            <w:tcW w:w="840" w:type="dxa"/>
            <w:vAlign w:val="bottom"/>
            <w:shd w:val="clear" w:color="auto" w:fill="CFF0FC"/>
          </w:tcPr>
          <w:p>
            <w:pPr>
              <w:spacing w:after="0"/>
              <w:rPr>
                <w:sz w:val="12"/>
                <w:szCs w:val="12"/>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Information Clearinghouse, LLC</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($17,640 par, due 12/2026)</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12/20/2021</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+ 6.65%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12.02%</w:t>
            </w:r>
          </w:p>
        </w:tc>
        <w:tc>
          <w:tcPr>
            <w:tcW w:w="28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17,342</w:t>
            </w:r>
          </w:p>
        </w:tc>
        <w:tc>
          <w:tcPr>
            <w:tcW w:w="200" w:type="dxa"/>
            <w:vAlign w:val="bottom"/>
          </w:tcPr>
          <w:p>
            <w:pPr>
              <w:spacing w:after="0"/>
              <w:rPr>
                <w:sz w:val="11"/>
                <w:szCs w:val="11"/>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17,598</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and MS Market Service, LLC </w:t>
            </w:r>
            <w:r>
              <w:rPr>
                <w:rFonts w:ascii="Times New Roman" w:cs="Times New Roman" w:eastAsia="Times New Roman" w:hAnsi="Times New Roman"/>
                <w:sz w:val="14"/>
                <w:szCs w:val="14"/>
                <w:color w:val="auto"/>
                <w:vertAlign w:val="superscript"/>
              </w:rPr>
              <w:t>(3)(5)</w:t>
            </w:r>
          </w:p>
        </w:tc>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Mitnick Corporate Purchaser,</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($329 par, due 5/2029)</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5/2/2022</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+ 4.50%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9.98%</w:t>
            </w:r>
          </w:p>
        </w:tc>
        <w:tc>
          <w:tcPr>
            <w:tcW w:w="2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329</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Inc.</w:t>
            </w:r>
            <w:r>
              <w:rPr>
                <w:rFonts w:ascii="Times New Roman" w:cs="Times New Roman" w:eastAsia="Times New Roman" w:hAnsi="Times New Roman"/>
                <w:sz w:val="7"/>
                <w:szCs w:val="7"/>
                <w:color w:val="auto"/>
              </w:rPr>
              <w:t xml:space="preserve"> (3)(9)</w:t>
            </w:r>
          </w:p>
        </w:tc>
        <w:tc>
          <w:tcPr>
            <w:tcW w:w="26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Netwrix Corp. </w:t>
            </w:r>
            <w:r>
              <w:rPr>
                <w:rFonts w:ascii="Times New Roman" w:cs="Times New Roman" w:eastAsia="Times New Roman" w:hAnsi="Times New Roman"/>
                <w:sz w:val="14"/>
                <w:szCs w:val="14"/>
                <w:color w:val="auto"/>
                <w:vertAlign w:val="superscript"/>
              </w:rPr>
              <w:t>(3)</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($36,594 par, due 6/2029)</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6/9/2022</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10.39%</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36,074</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36,842</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44"/>
        </w:trPr>
        <w:tc>
          <w:tcPr>
            <w:tcW w:w="16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OutSystems Luxco SARL</w:t>
            </w:r>
            <w:r>
              <w:rPr>
                <w:rFonts w:ascii="Times New Roman" w:cs="Times New Roman" w:eastAsia="Times New Roman" w:hAnsi="Times New Roman"/>
                <w:sz w:val="14"/>
                <w:szCs w:val="14"/>
                <w:color w:val="auto"/>
                <w:vertAlign w:val="superscript"/>
              </w:rPr>
              <w:t>(3)(4)(5)</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3,004 par, due 12/2028)</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12/8/2022</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9.59%</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3,091</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3,332</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4"/>
        </w:trPr>
        <w:tc>
          <w:tcPr>
            <w:tcW w:w="16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(EUR 3,016)</w:t>
            </w:r>
          </w:p>
        </w:tc>
        <w:tc>
          <w:tcPr>
            <w:tcW w:w="840" w:type="dxa"/>
            <w:vAlign w:val="bottom"/>
            <w:shd w:val="clear" w:color="auto" w:fill="CFF0FC"/>
          </w:tcPr>
          <w:p>
            <w:pPr>
              <w:spacing w:after="0"/>
              <w:rPr>
                <w:sz w:val="12"/>
                <w:szCs w:val="12"/>
                <w:color w:val="auto"/>
              </w:rPr>
            </w:pPr>
          </w:p>
        </w:tc>
      </w:tr>
      <w:tr>
        <w:trPr>
          <w:trHeight w:val="144"/>
        </w:trPr>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Price Fx Inc. </w:t>
            </w:r>
            <w:r>
              <w:rPr>
                <w:rFonts w:ascii="Times New Roman" w:cs="Times New Roman" w:eastAsia="Times New Roman" w:hAnsi="Times New Roman"/>
                <w:sz w:val="14"/>
                <w:szCs w:val="14"/>
                <w:color w:val="auto"/>
                <w:vertAlign w:val="superscript"/>
              </w:rPr>
              <w:t>(3)(4)</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10/27/2023</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+ 7.00%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10.94%</w:t>
            </w:r>
          </w:p>
        </w:tc>
        <w:tc>
          <w:tcPr>
            <w:tcW w:w="28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962</w:t>
            </w:r>
          </w:p>
        </w:tc>
        <w:tc>
          <w:tcPr>
            <w:tcW w:w="20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983</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2"/>
        </w:trPr>
        <w:tc>
          <w:tcPr>
            <w:tcW w:w="1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(EUR 890)</w:t>
            </w:r>
          </w:p>
        </w:tc>
        <w:tc>
          <w:tcPr>
            <w:tcW w:w="840" w:type="dxa"/>
            <w:vAlign w:val="bottom"/>
          </w:tcPr>
          <w:p>
            <w:pPr>
              <w:spacing w:after="0"/>
              <w:rPr>
                <w:sz w:val="12"/>
                <w:szCs w:val="12"/>
                <w:color w:val="auto"/>
              </w:rPr>
            </w:pPr>
          </w:p>
        </w:tc>
      </w:tr>
      <w:tr>
        <w:trPr>
          <w:trHeight w:val="206"/>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xml:space="preserve">ReliaQuest Holdings, LLC </w:t>
            </w:r>
            <w:r>
              <w:rPr>
                <w:rFonts w:ascii="Times New Roman" w:cs="Times New Roman" w:eastAsia="Times New Roman" w:hAnsi="Times New Roman"/>
                <w:sz w:val="14"/>
                <w:szCs w:val="14"/>
                <w:color w:val="auto"/>
                <w:vertAlign w:val="superscript"/>
              </w:rPr>
              <w:t>(3)(5)</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($82,626 par, due 10/2026)</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10/8/2020</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+ 7.25%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12.63%</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81,711</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83,658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Wrangler TopCo, LLC </w:t>
            </w:r>
            <w:r>
              <w:rPr>
                <w:rFonts w:ascii="Times New Roman" w:cs="Times New Roman" w:eastAsia="Times New Roman" w:hAnsi="Times New Roman"/>
                <w:sz w:val="14"/>
                <w:szCs w:val="14"/>
                <w:color w:val="auto"/>
                <w:vertAlign w:val="superscript"/>
              </w:rPr>
              <w:t>(3)</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($4,153 par, due 7/2029)</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7/7/2023</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+ 7.50%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12.88%</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4,044</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4,118</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62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563,017</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572,260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38.3%</w:t>
            </w:r>
          </w:p>
        </w:tc>
      </w:tr>
      <w:tr>
        <w:trPr>
          <w:trHeight w:val="154"/>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Chemicals</w:t>
            </w:r>
          </w:p>
        </w:tc>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6"/>
        </w:trPr>
        <w:tc>
          <w:tcPr>
            <w:tcW w:w="162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Erling Lux Bidco SARL</w:t>
            </w:r>
            <w:r>
              <w:rPr>
                <w:rFonts w:ascii="Times New Roman" w:cs="Times New Roman" w:eastAsia="Times New Roman" w:hAnsi="Times New Roman"/>
                <w:sz w:val="14"/>
                <w:szCs w:val="14"/>
                <w:color w:val="auto"/>
                <w:vertAlign w:val="superscript"/>
              </w:rPr>
              <w:t>(3)(4)</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7,239 par, due 9/2028)</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9/6/2022</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+ 6.75%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10.70%</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6,954</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8,053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44"/>
        </w:trPr>
        <w:tc>
          <w:tcPr>
            <w:tcW w:w="16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(EUR 7,290)</w:t>
            </w:r>
          </w:p>
        </w:tc>
        <w:tc>
          <w:tcPr>
            <w:tcW w:w="840" w:type="dxa"/>
            <w:vAlign w:val="bottom"/>
            <w:shd w:val="clear" w:color="auto" w:fill="CFF0FC"/>
          </w:tcPr>
          <w:p>
            <w:pPr>
              <w:spacing w:after="0"/>
              <w:rPr>
                <w:sz w:val="12"/>
                <w:szCs w:val="12"/>
                <w:color w:val="auto"/>
              </w:rPr>
            </w:pPr>
          </w:p>
        </w:tc>
      </w:tr>
      <w:tr>
        <w:trPr>
          <w:trHeight w:val="144"/>
        </w:trPr>
        <w:tc>
          <w:tcPr>
            <w:tcW w:w="1620" w:type="dxa"/>
            <w:vAlign w:val="bottom"/>
          </w:tcPr>
          <w:p>
            <w:pPr>
              <w:spacing w:after="0"/>
              <w:rPr>
                <w:sz w:val="12"/>
                <w:szCs w:val="12"/>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(GBP 12,287 par, due 9/2028)</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9/6/2022</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 + 6.75%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11.98%</w:t>
            </w:r>
          </w:p>
        </w:tc>
        <w:tc>
          <w:tcPr>
            <w:tcW w:w="28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13,860</w:t>
            </w:r>
          </w:p>
        </w:tc>
        <w:tc>
          <w:tcPr>
            <w:tcW w:w="20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15,742</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42"/>
        </w:trPr>
        <w:tc>
          <w:tcPr>
            <w:tcW w:w="1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(GBP 12,349)</w:t>
            </w:r>
          </w:p>
        </w:tc>
        <w:tc>
          <w:tcPr>
            <w:tcW w:w="840" w:type="dxa"/>
            <w:vAlign w:val="bottom"/>
          </w:tcPr>
          <w:p>
            <w:pPr>
              <w:spacing w:after="0"/>
              <w:rPr>
                <w:sz w:val="12"/>
                <w:szCs w:val="12"/>
                <w:color w:val="auto"/>
              </w:rPr>
            </w:pPr>
          </w:p>
        </w:tc>
      </w:tr>
      <w:tr>
        <w:trPr>
          <w:trHeight w:val="146"/>
        </w:trPr>
        <w:tc>
          <w:tcPr>
            <w:tcW w:w="1620" w:type="dxa"/>
            <w:vAlign w:val="bottom"/>
            <w:shd w:val="clear" w:color="auto" w:fill="CFF0FC"/>
          </w:tcPr>
          <w:p>
            <w:pPr>
              <w:spacing w:after="0"/>
              <w:rPr>
                <w:sz w:val="12"/>
                <w:szCs w:val="12"/>
                <w:color w:val="auto"/>
              </w:rPr>
            </w:pP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(GBP 312 par, due 9/2028)</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9/6/2022</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 + 6.75%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11.98%</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400</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44"/>
        </w:trPr>
        <w:tc>
          <w:tcPr>
            <w:tcW w:w="16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(GBP 313)</w:t>
            </w:r>
          </w:p>
        </w:tc>
        <w:tc>
          <w:tcPr>
            <w:tcW w:w="840" w:type="dxa"/>
            <w:vAlign w:val="bottom"/>
            <w:shd w:val="clear" w:color="auto" w:fill="CFF0FC"/>
          </w:tcPr>
          <w:p>
            <w:pPr>
              <w:spacing w:after="0"/>
              <w:rPr>
                <w:sz w:val="12"/>
                <w:szCs w:val="12"/>
                <w:color w:val="auto"/>
              </w:rPr>
            </w:pPr>
          </w:p>
        </w:tc>
      </w:tr>
      <w:tr>
        <w:trPr>
          <w:trHeight w:val="154"/>
        </w:trPr>
        <w:tc>
          <w:tcPr>
            <w:tcW w:w="16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21,214</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24,194</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6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20"/>
        </w:trPr>
        <w:tc>
          <w:tcPr>
            <w:tcW w:w="16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Banyan Software Holdings, LLC </w:t>
            </w:r>
            <w:r>
              <w:rPr>
                <w:rFonts w:ascii="Times New Roman" w:cs="Times New Roman" w:eastAsia="Times New Roman" w:hAnsi="Times New Roman"/>
                <w:sz w:val="13"/>
                <w:szCs w:val="13"/>
                <w:color w:val="auto"/>
                <w:vertAlign w:val="superscript"/>
              </w:rPr>
              <w:t>(3)</w:t>
            </w:r>
          </w:p>
        </w:tc>
        <w:tc>
          <w:tcPr>
            <w:tcW w:w="2660" w:type="dxa"/>
            <w:vAlign w:val="bottom"/>
          </w:tcPr>
          <w:p>
            <w:pPr>
              <w:ind w:left="60"/>
              <w:spacing w:after="0" w:line="120" w:lineRule="exact"/>
              <w:rPr>
                <w:sz w:val="20"/>
                <w:szCs w:val="20"/>
                <w:color w:val="auto"/>
              </w:rPr>
            </w:pPr>
            <w:r>
              <w:rPr>
                <w:rFonts w:ascii="Times New Roman" w:cs="Times New Roman" w:eastAsia="Times New Roman" w:hAnsi="Times New Roman"/>
                <w:sz w:val="11"/>
                <w:szCs w:val="11"/>
                <w:color w:val="auto"/>
              </w:rPr>
              <w:t>First-lien loan ($29,739 par, due 10/2026)</w:t>
            </w:r>
          </w:p>
        </w:tc>
        <w:tc>
          <w:tcPr>
            <w:tcW w:w="1060" w:type="dxa"/>
            <w:vAlign w:val="bottom"/>
          </w:tcPr>
          <w:p>
            <w:pPr>
              <w:jc w:val="right"/>
              <w:ind w:right="106"/>
              <w:spacing w:after="0" w:line="120" w:lineRule="exact"/>
              <w:rPr>
                <w:sz w:val="20"/>
                <w:szCs w:val="20"/>
                <w:color w:val="auto"/>
              </w:rPr>
            </w:pPr>
            <w:r>
              <w:rPr>
                <w:rFonts w:ascii="Times New Roman" w:cs="Times New Roman" w:eastAsia="Times New Roman" w:hAnsi="Times New Roman"/>
                <w:sz w:val="11"/>
                <w:szCs w:val="11"/>
                <w:color w:val="auto"/>
              </w:rPr>
              <w:t>1/27/2023</w:t>
            </w:r>
          </w:p>
        </w:tc>
        <w:tc>
          <w:tcPr>
            <w:tcW w:w="102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SOFR + 7.35%</w:t>
            </w:r>
          </w:p>
        </w:tc>
        <w:tc>
          <w:tcPr>
            <w:tcW w:w="940" w:type="dxa"/>
            <w:vAlign w:val="bottom"/>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12.71%</w:t>
            </w:r>
          </w:p>
        </w:tc>
        <w:tc>
          <w:tcPr>
            <w:tcW w:w="280" w:type="dxa"/>
            <w:vAlign w:val="bottom"/>
          </w:tcPr>
          <w:p>
            <w:pPr>
              <w:spacing w:after="0"/>
              <w:rPr>
                <w:sz w:val="10"/>
                <w:szCs w:val="10"/>
                <w:color w:val="auto"/>
              </w:rPr>
            </w:pPr>
          </w:p>
        </w:tc>
        <w:tc>
          <w:tcPr>
            <w:tcW w:w="1020" w:type="dxa"/>
            <w:vAlign w:val="bottom"/>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28,771</w:t>
            </w:r>
          </w:p>
        </w:tc>
        <w:tc>
          <w:tcPr>
            <w:tcW w:w="200" w:type="dxa"/>
            <w:vAlign w:val="bottom"/>
          </w:tcPr>
          <w:p>
            <w:pPr>
              <w:spacing w:after="0"/>
              <w:rPr>
                <w:sz w:val="10"/>
                <w:szCs w:val="10"/>
                <w:color w:val="auto"/>
              </w:rPr>
            </w:pPr>
          </w:p>
        </w:tc>
        <w:tc>
          <w:tcPr>
            <w:tcW w:w="920" w:type="dxa"/>
            <w:vAlign w:val="bottom"/>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29,739</w:t>
            </w:r>
          </w:p>
        </w:tc>
        <w:tc>
          <w:tcPr>
            <w:tcW w:w="8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2.0%</w:t>
            </w:r>
          </w:p>
        </w:tc>
      </w:tr>
      <w:tr>
        <w:trPr>
          <w:trHeight w:val="94"/>
        </w:trPr>
        <w:tc>
          <w:tcPr>
            <w:tcW w:w="1620" w:type="dxa"/>
            <w:vAlign w:val="bottom"/>
          </w:tcPr>
          <w:p>
            <w:pPr>
              <w:ind w:left="20"/>
              <w:spacing w:after="0"/>
              <w:rPr>
                <w:sz w:val="20"/>
                <w:szCs w:val="20"/>
                <w:color w:val="auto"/>
              </w:rPr>
            </w:pPr>
            <w:r>
              <w:rPr>
                <w:rFonts w:ascii="Times New Roman" w:cs="Times New Roman" w:eastAsia="Times New Roman" w:hAnsi="Times New Roman"/>
                <w:sz w:val="7"/>
                <w:szCs w:val="7"/>
                <w:color w:val="auto"/>
              </w:rPr>
              <w:t>(4)</w:t>
            </w:r>
          </w:p>
        </w:tc>
        <w:tc>
          <w:tcPr>
            <w:tcW w:w="2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38"/>
        </w:trPr>
        <w:tc>
          <w:tcPr>
            <w:tcW w:w="16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14"/>
                <w:szCs w:val="14"/>
                <w:color w:val="auto"/>
                <w:vertAlign w:val="superscript"/>
              </w:rPr>
              <w:t>(3)(5)</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($34,038 par, due 11/2026)</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11/19/2021</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+ 6.35%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11.71%</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33,357</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34,038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56"/>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IntelePeer Holdings, Inc.</w:t>
            </w:r>
          </w:p>
        </w:tc>
        <w:tc>
          <w:tcPr>
            <w:tcW w:w="2660" w:type="dxa"/>
            <w:vAlign w:val="bottom"/>
          </w:tcPr>
          <w:p>
            <w:pPr>
              <w:ind w:left="60"/>
              <w:spacing w:after="0" w:line="156" w:lineRule="exact"/>
              <w:rPr>
                <w:sz w:val="20"/>
                <w:szCs w:val="20"/>
                <w:color w:val="auto"/>
              </w:rPr>
            </w:pPr>
            <w:r>
              <w:rPr>
                <w:rFonts w:ascii="Times New Roman" w:cs="Times New Roman" w:eastAsia="Times New Roman" w:hAnsi="Times New Roman"/>
                <w:sz w:val="11"/>
                <w:szCs w:val="11"/>
                <w:color w:val="auto"/>
              </w:rPr>
              <w:t xml:space="preserve">First-lien loan ($33,646 par, due 12/2024) </w:t>
            </w:r>
            <w:r>
              <w:rPr>
                <w:rFonts w:ascii="Times New Roman" w:cs="Times New Roman" w:eastAsia="Times New Roman" w:hAnsi="Times New Roman"/>
                <w:sz w:val="14"/>
                <w:szCs w:val="14"/>
                <w:color w:val="auto"/>
                <w:vertAlign w:val="superscript"/>
              </w:rPr>
              <w:t>(3)</w:t>
            </w: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12/2/2019</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+ 8.40%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13.75%</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33,625</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33,394</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6"/>
        </w:trPr>
        <w:tc>
          <w:tcPr>
            <w:tcW w:w="1620" w:type="dxa"/>
            <w:vAlign w:val="bottom"/>
            <w:shd w:val="clear" w:color="auto" w:fill="CFF0FC"/>
          </w:tcPr>
          <w:p>
            <w:pPr>
              <w:spacing w:after="0"/>
              <w:rPr>
                <w:sz w:val="13"/>
                <w:szCs w:val="13"/>
                <w:color w:val="auto"/>
              </w:rPr>
            </w:pP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Convertible note ($4,700 par, due 5/2028)</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5/12/2021</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7.50%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7.50% PIK</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4,674</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4,994</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4"/>
        </w:trPr>
        <w:tc>
          <w:tcPr>
            <w:tcW w:w="16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100,427</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102,165</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r>
      <w:tr>
        <w:trPr>
          <w:trHeight w:val="15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6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Astra Acquisition Corp. </w:t>
            </w:r>
            <w:r>
              <w:rPr>
                <w:rFonts w:ascii="Times New Roman" w:cs="Times New Roman" w:eastAsia="Times New Roman" w:hAnsi="Times New Roman"/>
                <w:sz w:val="14"/>
                <w:szCs w:val="14"/>
                <w:color w:val="auto"/>
                <w:vertAlign w:val="superscript"/>
              </w:rPr>
              <w:t>(3)</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Second-lien loan ($43,479 par, due 10/2029)</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10/22/2021</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+ 9.14%</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14.48%</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42,814</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27,174</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Destiny Solutions Parent Holding</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($59,550 par, due 6/2026)</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6/8/2021</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+ 5.85%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11.21%</w:t>
            </w:r>
          </w:p>
        </w:tc>
        <w:tc>
          <w:tcPr>
            <w:tcW w:w="2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58,858</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59,252</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Company </w:t>
            </w:r>
            <w:r>
              <w:rPr>
                <w:rFonts w:ascii="Times New Roman" w:cs="Times New Roman" w:eastAsia="Times New Roman" w:hAnsi="Times New Roman"/>
                <w:sz w:val="14"/>
                <w:szCs w:val="14"/>
                <w:color w:val="auto"/>
                <w:vertAlign w:val="superscript"/>
              </w:rPr>
              <w:t>(3)(5)</w:t>
            </w:r>
          </w:p>
        </w:tc>
        <w:tc>
          <w:tcPr>
            <w:tcW w:w="26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14"/>
                <w:szCs w:val="14"/>
                <w:color w:val="auto"/>
                <w:vertAlign w:val="superscript"/>
              </w:rPr>
              <w:t>(3)</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($56,216 par, due 12/2027)</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12/22/2021</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+ 6.35%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11.71%</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55,288</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55,079</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Kangaroo Bidco AS </w:t>
            </w:r>
            <w:r>
              <w:rPr>
                <w:rFonts w:ascii="Times New Roman" w:cs="Times New Roman" w:eastAsia="Times New Roman" w:hAnsi="Times New Roman"/>
                <w:sz w:val="14"/>
                <w:szCs w:val="14"/>
                <w:color w:val="auto"/>
                <w:vertAlign w:val="superscript"/>
              </w:rPr>
              <w:t>(3)(4)</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($25,582 par, due 11/2030)</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11/2/2023</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+ 7.50%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12.94%</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24,621</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24,794</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54"/>
        </w:trPr>
        <w:tc>
          <w:tcPr>
            <w:tcW w:w="16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181,581</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166,299</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r>
      <w:tr>
        <w:trPr>
          <w:trHeight w:val="15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6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4"/>
                <w:szCs w:val="14"/>
                <w:color w:val="auto"/>
                <w:vertAlign w:val="superscript"/>
              </w:rPr>
              <w:t>(3)(4)</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727 par, due 5/2030)</w:t>
            </w: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5/30/2023</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+ 6.25%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10.39%</w:t>
            </w:r>
          </w:p>
        </w:tc>
        <w:tc>
          <w:tcPr>
            <w:tcW w:w="28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755</w:t>
            </w:r>
          </w:p>
        </w:tc>
        <w:tc>
          <w:tcPr>
            <w:tcW w:w="20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796</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2"/>
        </w:trPr>
        <w:tc>
          <w:tcPr>
            <w:tcW w:w="1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(EUR 720)</w:t>
            </w:r>
          </w:p>
        </w:tc>
        <w:tc>
          <w:tcPr>
            <w:tcW w:w="840" w:type="dxa"/>
            <w:vAlign w:val="bottom"/>
          </w:tcPr>
          <w:p>
            <w:pPr>
              <w:spacing w:after="0"/>
              <w:rPr>
                <w:sz w:val="12"/>
                <w:szCs w:val="12"/>
                <w:color w:val="auto"/>
              </w:rPr>
            </w:pPr>
          </w:p>
        </w:tc>
      </w:tr>
      <w:tr>
        <w:trPr>
          <w:trHeight w:val="13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BCTO Bluebill Buyer,</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($28,640 par, due 7/2029)</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7/20/2023</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+ 7.25%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12.60%</w:t>
            </w:r>
          </w:p>
        </w:tc>
        <w:tc>
          <w:tcPr>
            <w:tcW w:w="2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27,635</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27,996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Inc.</w:t>
            </w:r>
            <w:r>
              <w:rPr>
                <w:rFonts w:ascii="Times New Roman" w:cs="Times New Roman" w:eastAsia="Times New Roman" w:hAnsi="Times New Roman"/>
                <w:sz w:val="7"/>
                <w:szCs w:val="7"/>
                <w:color w:val="auto"/>
              </w:rPr>
              <w:t xml:space="preserve"> (3)(5)</w:t>
            </w:r>
          </w:p>
        </w:tc>
        <w:tc>
          <w:tcPr>
            <w:tcW w:w="26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BTRS Holdings, Inc.</w:t>
            </w:r>
            <w:r>
              <w:rPr>
                <w:rFonts w:ascii="Times New Roman" w:cs="Times New Roman" w:eastAsia="Times New Roman" w:hAnsi="Times New Roman"/>
                <w:sz w:val="14"/>
                <w:szCs w:val="14"/>
                <w:color w:val="auto"/>
                <w:vertAlign w:val="superscript"/>
              </w:rPr>
              <w:t>(3)</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($47,051 par, due 12/2028)</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12/16/2022</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+ 8.00%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13.38%</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45,931</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47,168</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56"/>
        </w:trPr>
        <w:tc>
          <w:tcPr>
            <w:tcW w:w="1620" w:type="dxa"/>
            <w:vAlign w:val="bottom"/>
            <w:shd w:val="clear" w:color="auto" w:fill="CFF0FC"/>
          </w:tcPr>
          <w:p>
            <w:pPr>
              <w:spacing w:after="0"/>
              <w:rPr>
                <w:sz w:val="13"/>
                <w:szCs w:val="13"/>
                <w:color w:val="auto"/>
              </w:rPr>
            </w:pP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($1,205 par, due 12/2028)</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12/16/2022</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+ 7.25%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12.63%</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1,085</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Bear OpCo, LLC </w:t>
            </w:r>
            <w:r>
              <w:rPr>
                <w:rFonts w:ascii="Times New Roman" w:cs="Times New Roman" w:eastAsia="Times New Roman" w:hAnsi="Times New Roman"/>
                <w:sz w:val="14"/>
                <w:szCs w:val="14"/>
                <w:color w:val="auto"/>
                <w:vertAlign w:val="superscript"/>
              </w:rPr>
              <w:t>(3)(5)</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($21,392 par, due 10/2024)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10/10/2019</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+ 7.65%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13.01%</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21,294</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21,713</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BlueSnap, Inc. </w:t>
            </w:r>
            <w:r>
              <w:rPr>
                <w:rFonts w:ascii="Times New Roman" w:cs="Times New Roman" w:eastAsia="Times New Roman" w:hAnsi="Times New Roman"/>
                <w:sz w:val="14"/>
                <w:szCs w:val="14"/>
                <w:color w:val="auto"/>
                <w:vertAlign w:val="superscript"/>
              </w:rPr>
              <w:t>(3)(5)</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($41,895 par, due 10/2025)</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10/25/2019</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+ 7.15%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12.50%</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41,516</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42,117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CLGF Holdco 2, LLC</w:t>
            </w:r>
            <w:r>
              <w:rPr>
                <w:rFonts w:ascii="Times New Roman" w:cs="Times New Roman" w:eastAsia="Times New Roman" w:hAnsi="Times New Roman"/>
                <w:sz w:val="14"/>
                <w:szCs w:val="14"/>
                <w:color w:val="auto"/>
                <w:vertAlign w:val="superscript"/>
              </w:rPr>
              <w:t>(3)(4)</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($3,916 par, due 11/2027)</w:t>
            </w: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11/7/2023</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+ 8.50%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13.85%</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3,845</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3,867</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620" w:type="dxa"/>
            <w:vAlign w:val="bottom"/>
            <w:shd w:val="clear" w:color="auto" w:fill="CFF0FC"/>
          </w:tcPr>
          <w:p>
            <w:pPr>
              <w:spacing w:after="0"/>
              <w:rPr>
                <w:sz w:val="13"/>
                <w:szCs w:val="13"/>
                <w:color w:val="auto"/>
              </w:rPr>
            </w:pP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Second-lien loan ($3,357 par, due 11/2028)</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11/7/2023</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+ 12.00%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17.35%</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3,116</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3,164</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Fullsteam Operations, LLC</w:t>
            </w:r>
            <w:r>
              <w:rPr>
                <w:rFonts w:ascii="Times New Roman" w:cs="Times New Roman" w:eastAsia="Times New Roman" w:hAnsi="Times New Roman"/>
                <w:sz w:val="14"/>
                <w:szCs w:val="14"/>
                <w:color w:val="auto"/>
                <w:vertAlign w:val="superscript"/>
              </w:rPr>
              <w:t>(3)</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($29,663 par, due 11/2029)</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11/27/2023</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+ 8.40%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13.78%</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28,611</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29,049</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Ibis Intermediate Co. </w:t>
            </w:r>
            <w:r>
              <w:rPr>
                <w:rFonts w:ascii="Times New Roman" w:cs="Times New Roman" w:eastAsia="Times New Roman" w:hAnsi="Times New Roman"/>
                <w:sz w:val="14"/>
                <w:szCs w:val="14"/>
                <w:color w:val="auto"/>
                <w:vertAlign w:val="superscript"/>
              </w:rPr>
              <w:t>(3)(5)</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($1,201 par, due 5/2027)</w:t>
            </w:r>
          </w:p>
        </w:tc>
        <w:tc>
          <w:tcPr>
            <w:tcW w:w="106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5/28/2021</w:t>
            </w:r>
          </w:p>
        </w:tc>
        <w:tc>
          <w:tcPr>
            <w:tcW w:w="10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+ 4.65%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10.04%</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1,066</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1,257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Ibis US Blocker Co. </w:t>
            </w:r>
            <w:r>
              <w:rPr>
                <w:rFonts w:ascii="Times New Roman" w:cs="Times New Roman" w:eastAsia="Times New Roman" w:hAnsi="Times New Roman"/>
                <w:sz w:val="14"/>
                <w:szCs w:val="14"/>
                <w:color w:val="auto"/>
                <w:vertAlign w:val="superscript"/>
              </w:rPr>
              <w:t>(3)</w:t>
            </w:r>
          </w:p>
        </w:tc>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($15,958 par, due 5/2028)</w:t>
            </w: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5/28/2021</w:t>
            </w:r>
          </w:p>
        </w:tc>
        <w:tc>
          <w:tcPr>
            <w:tcW w:w="10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+ 8.40%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13.79% PIK</w:t>
            </w:r>
          </w:p>
        </w:tc>
        <w:tc>
          <w:tcPr>
            <w:tcW w:w="28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15,743</w:t>
            </w:r>
          </w:p>
        </w:tc>
        <w:tc>
          <w:tcPr>
            <w:tcW w:w="2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15,838</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44"/>
        </w:trPr>
        <w:tc>
          <w:tcPr>
            <w:tcW w:w="16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Kyriba Corp. </w:t>
            </w:r>
            <w:r>
              <w:rPr>
                <w:rFonts w:ascii="Times New Roman" w:cs="Times New Roman" w:eastAsia="Times New Roman" w:hAnsi="Times New Roman"/>
                <w:sz w:val="14"/>
                <w:szCs w:val="14"/>
                <w:color w:val="auto"/>
                <w:vertAlign w:val="superscript"/>
              </w:rPr>
              <w:t>(3)</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($35,634 par, due 4/2028)</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12/21/2023</w:t>
            </w:r>
          </w:p>
        </w:tc>
        <w:tc>
          <w:tcPr>
            <w:tcW w:w="19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SOFR + 8.50%   13.87% (incl. 8.50%</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34,875</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34,871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44"/>
        </w:trPr>
        <w:tc>
          <w:tcPr>
            <w:tcW w:w="16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PIK)</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32"/>
        </w:trPr>
        <w:tc>
          <w:tcPr>
            <w:tcW w:w="1620" w:type="dxa"/>
            <w:vAlign w:val="bottom"/>
          </w:tcPr>
          <w:p>
            <w:pPr>
              <w:spacing w:after="0"/>
              <w:rPr>
                <w:sz w:val="11"/>
                <w:szCs w:val="11"/>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10,924 par, due 4/2028)</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12/21/2023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E + 8.50%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12.42% (incl. 8.50%</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11,766</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11,825</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42"/>
        </w:trPr>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PIK)</w:t>
            </w:r>
          </w:p>
        </w:tc>
        <w:tc>
          <w:tcPr>
            <w:tcW w:w="1040" w:type="dxa"/>
            <w:vAlign w:val="bottom"/>
          </w:tcPr>
          <w:p>
            <w:pPr>
              <w:spacing w:after="0"/>
              <w:rPr>
                <w:sz w:val="12"/>
                <w:szCs w:val="12"/>
                <w:color w:val="auto"/>
              </w:rPr>
            </w:pP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(EUR 10,705)</w:t>
            </w:r>
          </w:p>
        </w:tc>
        <w:tc>
          <w:tcPr>
            <w:tcW w:w="620" w:type="dxa"/>
            <w:vAlign w:val="bottom"/>
          </w:tcPr>
          <w:p>
            <w:pPr>
              <w:spacing w:after="0"/>
              <w:rPr>
                <w:sz w:val="12"/>
                <w:szCs w:val="12"/>
                <w:color w:val="auto"/>
              </w:rPr>
            </w:pPr>
          </w:p>
        </w:tc>
      </w:tr>
      <w:tr>
        <w:trPr>
          <w:trHeight w:val="15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Passport Labs, Inc.</w:t>
            </w:r>
          </w:p>
        </w:tc>
        <w:tc>
          <w:tcPr>
            <w:tcW w:w="2800" w:type="dxa"/>
            <w:vAlign w:val="bottom"/>
            <w:shd w:val="clear" w:color="auto" w:fill="CFF0FC"/>
          </w:tcPr>
          <w:p>
            <w:pPr>
              <w:ind w:left="60"/>
              <w:spacing w:after="0" w:line="158" w:lineRule="exact"/>
              <w:rPr>
                <w:sz w:val="20"/>
                <w:szCs w:val="20"/>
                <w:color w:val="auto"/>
              </w:rPr>
            </w:pPr>
            <w:r>
              <w:rPr>
                <w:rFonts w:ascii="Times New Roman" w:cs="Times New Roman" w:eastAsia="Times New Roman" w:hAnsi="Times New Roman"/>
                <w:sz w:val="11"/>
                <w:szCs w:val="11"/>
                <w:color w:val="auto"/>
              </w:rPr>
              <w:t xml:space="preserve">First-lien loan ($24,603 par, due 4/2026) </w:t>
            </w:r>
            <w:r>
              <w:rPr>
                <w:rFonts w:ascii="Times New Roman" w:cs="Times New Roman" w:eastAsia="Times New Roman" w:hAnsi="Times New Roman"/>
                <w:sz w:val="14"/>
                <w:szCs w:val="14"/>
                <w:color w:val="auto"/>
                <w:vertAlign w:val="superscript"/>
              </w:rPr>
              <w:t>(3)</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4/28/2021</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+ 8.40%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13.75%</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24,444</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24,555</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4"/>
        </w:trPr>
        <w:tc>
          <w:tcPr>
            <w:tcW w:w="162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Convertible Promissory Note A ($1,086 par, due 8/2026)</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3/2/2023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8.00%</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1,086</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2,025</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8"/>
        </w:trPr>
        <w:tc>
          <w:tcPr>
            <w:tcW w:w="16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Ping Identity Holding Corp. </w:t>
            </w:r>
            <w:r>
              <w:rPr>
                <w:rFonts w:ascii="Times New Roman" w:cs="Times New Roman" w:eastAsia="Times New Roman" w:hAnsi="Times New Roman"/>
                <w:sz w:val="14"/>
                <w:szCs w:val="14"/>
                <w:color w:val="auto"/>
                <w:vertAlign w:val="superscript"/>
              </w:rPr>
              <w:t>(3)</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($22,727 par, due 10/2029)</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10/17/2022</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+ 7.00%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12.36%</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22,183</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23,165</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PrimeRevenue, Inc. </w:t>
            </w:r>
            <w:r>
              <w:rPr>
                <w:rFonts w:ascii="Times New Roman" w:cs="Times New Roman" w:eastAsia="Times New Roman" w:hAnsi="Times New Roman"/>
                <w:sz w:val="14"/>
                <w:szCs w:val="14"/>
                <w:color w:val="auto"/>
                <w:vertAlign w:val="superscript"/>
              </w:rPr>
              <w:t>(3)</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($9,007 par, due 12/2024)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12/31/2018</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+ 7.10%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12.46%</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8,996</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9,083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14"/>
                <w:szCs w:val="14"/>
                <w:color w:val="auto"/>
                <w:vertAlign w:val="superscript"/>
              </w:rPr>
              <w:t>(3)(5)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($47,198 par, due 4/2027)</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4/30/2021</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+ 6.35%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11.73%</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46,360</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47,080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54"/>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Volante Technologies, Inc.</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($2,604 par, due 9/2028)</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9/29/2023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16.50%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16.50% PIK</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2,578</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2,598</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8"/>
        </w:trPr>
        <w:tc>
          <w:tcPr>
            <w:tcW w:w="1620" w:type="dxa"/>
            <w:vAlign w:val="bottom"/>
            <w:shd w:val="clear" w:color="auto" w:fill="CFF0FC"/>
          </w:tcPr>
          <w:p>
            <w:pPr>
              <w:spacing w:after="0"/>
              <w:rPr>
                <w:sz w:val="13"/>
                <w:szCs w:val="13"/>
                <w:color w:val="auto"/>
              </w:rPr>
            </w:pPr>
          </w:p>
        </w:tc>
        <w:tc>
          <w:tcPr>
            <w:tcW w:w="28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342,885</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349,384</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w:t>
            </w:r>
          </w:p>
        </w:tc>
      </w:tr>
      <w:tr>
        <w:trPr>
          <w:trHeight w:val="154"/>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8"/>
        </w:trPr>
        <w:tc>
          <w:tcPr>
            <w:tcW w:w="16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BCTO Ace Purchaser, Inc. </w:t>
            </w:r>
            <w:r>
              <w:rPr>
                <w:rFonts w:ascii="Times New Roman" w:cs="Times New Roman" w:eastAsia="Times New Roman" w:hAnsi="Times New Roman"/>
                <w:sz w:val="14"/>
                <w:szCs w:val="14"/>
                <w:color w:val="auto"/>
                <w:vertAlign w:val="superscript"/>
              </w:rPr>
              <w:t>(3)</w:t>
            </w:r>
          </w:p>
        </w:tc>
        <w:tc>
          <w:tcPr>
            <w:tcW w:w="2800" w:type="dxa"/>
            <w:vAlign w:val="bottom"/>
            <w:shd w:val="clear" w:color="auto" w:fill="CFF0FC"/>
          </w:tcPr>
          <w:p>
            <w:pPr>
              <w:ind w:left="60"/>
              <w:spacing w:after="0" w:line="158" w:lineRule="exact"/>
              <w:rPr>
                <w:sz w:val="20"/>
                <w:szCs w:val="20"/>
                <w:color w:val="auto"/>
              </w:rPr>
            </w:pPr>
            <w:r>
              <w:rPr>
                <w:rFonts w:ascii="Times New Roman" w:cs="Times New Roman" w:eastAsia="Times New Roman" w:hAnsi="Times New Roman"/>
                <w:sz w:val="11"/>
                <w:szCs w:val="11"/>
                <w:color w:val="auto"/>
              </w:rPr>
              <w:t xml:space="preserve">First-lien loan ($69,231 par, due 11/2027) </w:t>
            </w:r>
            <w:r>
              <w:rPr>
                <w:rFonts w:ascii="Times New Roman" w:cs="Times New Roman" w:eastAsia="Times New Roman" w:hAnsi="Times New Roman"/>
                <w:sz w:val="14"/>
                <w:szCs w:val="14"/>
                <w:color w:val="auto"/>
                <w:vertAlign w:val="superscript"/>
              </w:rPr>
              <w:t>(5)</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11/23/2020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+ 7.45%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12.84%</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68,325</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69,746</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w:t>
            </w:r>
          </w:p>
        </w:tc>
      </w:tr>
      <w:tr>
        <w:trPr>
          <w:trHeight w:val="154"/>
        </w:trPr>
        <w:tc>
          <w:tcPr>
            <w:tcW w:w="162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Second-lien loan ($5,623 par, due 1/2030)</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1/23/2023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+ 10.70%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16.10%</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5,493</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5,637</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46"/>
        </w:trPr>
        <w:tc>
          <w:tcPr>
            <w:tcW w:w="162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 xml:space="preserve">Edge Bidco B.V. </w:t>
            </w:r>
            <w:r>
              <w:rPr>
                <w:rFonts w:ascii="Times New Roman" w:cs="Times New Roman" w:eastAsia="Times New Roman" w:hAnsi="Times New Roman"/>
                <w:sz w:val="14"/>
                <w:szCs w:val="14"/>
                <w:color w:val="auto"/>
                <w:vertAlign w:val="superscript"/>
              </w:rPr>
              <w:t>(3)(4)(5)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3,850 par, due 2/2029)</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2/24/2023</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E + 7.00%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16.10% (incl. 3.25%</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3,951</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4,266</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44"/>
        </w:trPr>
        <w:tc>
          <w:tcPr>
            <w:tcW w:w="1620" w:type="dxa"/>
            <w:vAlign w:val="bottom"/>
            <w:shd w:val="clear" w:color="auto" w:fill="CFF0FC"/>
          </w:tcPr>
          <w:p>
            <w:pPr>
              <w:spacing w:after="0"/>
              <w:rPr>
                <w:sz w:val="12"/>
                <w:szCs w:val="12"/>
                <w:color w:val="auto"/>
              </w:rPr>
            </w:pPr>
          </w:p>
        </w:tc>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PIK)</w:t>
            </w:r>
          </w:p>
        </w:tc>
        <w:tc>
          <w:tcPr>
            <w:tcW w:w="10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(EUR 3,862)</w:t>
            </w:r>
          </w:p>
        </w:tc>
        <w:tc>
          <w:tcPr>
            <w:tcW w:w="620" w:type="dxa"/>
            <w:vAlign w:val="bottom"/>
            <w:shd w:val="clear" w:color="auto" w:fill="CFF0FC"/>
          </w:tcPr>
          <w:p>
            <w:pPr>
              <w:spacing w:after="0"/>
              <w:rPr>
                <w:sz w:val="12"/>
                <w:szCs w:val="12"/>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Homecare Software Solutions,</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($65,000 par, due 10/2026)</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10/6/2021</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+ 5.70%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11.06%</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64,017</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64,838</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(3)(5)</w:t>
            </w:r>
          </w:p>
        </w:tc>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14"/>
                <w:szCs w:val="14"/>
                <w:color w:val="auto"/>
                <w:vertAlign w:val="superscript"/>
              </w:rPr>
              <w:t>(3)(5)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($70,103 par, due 6/2028)</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6/30/2022</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+ 7.25%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12.60%</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68,205</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69,753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(3)</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($15,569 par, due 3/2029)</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3/24/2023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+ 6.75%</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12.10%</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15,070</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15,491</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SL Buyer Corp. </w:t>
            </w:r>
            <w:r>
              <w:rPr>
                <w:rFonts w:ascii="Times New Roman" w:cs="Times New Roman" w:eastAsia="Times New Roman" w:hAnsi="Times New Roman"/>
                <w:sz w:val="14"/>
                <w:szCs w:val="14"/>
                <w:color w:val="auto"/>
                <w:vertAlign w:val="superscript"/>
              </w:rPr>
              <w:t>(3)(5)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($31,475 par, due 7/2029)</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7/7/2023</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+ 7.00%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12.36%</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30,139</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30,902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4"/>
        </w:trPr>
        <w:tc>
          <w:tcPr>
            <w:tcW w:w="16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255,200</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260,633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r>
      <w:tr>
        <w:trPr>
          <w:trHeight w:val="15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8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90"/>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ASG II, LLC </w:t>
            </w:r>
            <w:r>
              <w:rPr>
                <w:rFonts w:ascii="Times New Roman" w:cs="Times New Roman" w:eastAsia="Times New Roman" w:hAnsi="Times New Roman"/>
                <w:sz w:val="14"/>
                <w:szCs w:val="14"/>
                <w:color w:val="auto"/>
                <w:vertAlign w:val="superscript"/>
              </w:rPr>
              <w:t>(3)(5)</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($61,609 par, due 5/2028)</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5/25/2022</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+ 6.40%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11.77%</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60,383</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61,934</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38"/>
        </w:trPr>
        <w:tc>
          <w:tcPr>
            <w:tcW w:w="16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14"/>
                <w:szCs w:val="14"/>
                <w:color w:val="auto"/>
                <w:vertAlign w:val="superscript"/>
              </w:rPr>
              <w:t>(3)(6)</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($30,261 par, due 6/2024)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12/21/2018</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+ 9.65%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15.00%</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28,594</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30,109</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54"/>
        </w:trPr>
        <w:tc>
          <w:tcPr>
            <w:tcW w:w="162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($27,622 par, due 6/2024)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12/21/2018</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+ 9.65%</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15.03%</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27,622</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27,480</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58"/>
        </w:trPr>
        <w:tc>
          <w:tcPr>
            <w:tcW w:w="1620" w:type="dxa"/>
            <w:vAlign w:val="bottom"/>
            <w:shd w:val="clear" w:color="auto" w:fill="CFF0FC"/>
          </w:tcPr>
          <w:p>
            <w:pPr>
              <w:spacing w:after="0"/>
              <w:rPr>
                <w:sz w:val="13"/>
                <w:szCs w:val="13"/>
                <w:color w:val="auto"/>
              </w:rPr>
            </w:pPr>
          </w:p>
        </w:tc>
        <w:tc>
          <w:tcPr>
            <w:tcW w:w="28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116,599</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119,523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w:t>
            </w:r>
          </w:p>
        </w:tc>
      </w:tr>
      <w:tr>
        <w:trPr>
          <w:trHeight w:val="14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Human Resource Support</w:t>
            </w:r>
          </w:p>
        </w:tc>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Services</w:t>
            </w:r>
          </w:p>
        </w:tc>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8"/>
        </w:trPr>
        <w:tc>
          <w:tcPr>
            <w:tcW w:w="16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14"/>
                <w:szCs w:val="14"/>
                <w:color w:val="auto"/>
                <w:vertAlign w:val="superscript"/>
              </w:rPr>
              <w:t>(3)(4)(5)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($41,607 par, due 5/2027)</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5/5/2021</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+ 7.65%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13.04%</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41,035</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41,718</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(3)(5)</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($44,358 par, due 11/2028)</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11/7/2022</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+ 6.63%</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12.03%</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43,236</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44,802</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44"/>
        </w:trPr>
        <w:tc>
          <w:tcPr>
            <w:tcW w:w="16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Elysian Finco Ltd. </w:t>
            </w:r>
            <w:r>
              <w:rPr>
                <w:rFonts w:ascii="Times New Roman" w:cs="Times New Roman" w:eastAsia="Times New Roman" w:hAnsi="Times New Roman"/>
                <w:sz w:val="14"/>
                <w:szCs w:val="14"/>
                <w:color w:val="auto"/>
                <w:vertAlign w:val="superscript"/>
              </w:rPr>
              <w:t>(3)(4)(5)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($19,519 par, due 1/2028)</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1/31/2021</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+ 6.65%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12.03% (incl. 6.50%</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19,112</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19,987</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44"/>
        </w:trPr>
        <w:tc>
          <w:tcPr>
            <w:tcW w:w="1620" w:type="dxa"/>
            <w:vAlign w:val="bottom"/>
            <w:shd w:val="clear" w:color="auto" w:fill="CFF0FC"/>
          </w:tcPr>
          <w:p>
            <w:pPr>
              <w:spacing w:after="0"/>
              <w:rPr>
                <w:sz w:val="12"/>
                <w:szCs w:val="12"/>
                <w:color w:val="auto"/>
              </w:rPr>
            </w:pPr>
          </w:p>
        </w:tc>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PIK)</w:t>
            </w:r>
          </w:p>
        </w:tc>
        <w:tc>
          <w:tcPr>
            <w:tcW w:w="10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Employment Hero Holdings Pty</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(AUD 50,000 par, due 12/2026)</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12/6/2021</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B + 6.25%</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10.67%</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34,834</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34,117</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Ltd.</w:t>
            </w:r>
            <w:r>
              <w:rPr>
                <w:rFonts w:ascii="Times New Roman" w:cs="Times New Roman" w:eastAsia="Times New Roman" w:hAnsi="Times New Roman"/>
                <w:sz w:val="7"/>
                <w:szCs w:val="7"/>
                <w:color w:val="auto"/>
              </w:rPr>
              <w:t xml:space="preserve"> (3)(4)</w:t>
            </w:r>
          </w:p>
        </w:tc>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(AUD 50,000)</w:t>
            </w:r>
          </w:p>
        </w:tc>
        <w:tc>
          <w:tcPr>
            <w:tcW w:w="620" w:type="dxa"/>
            <w:vAlign w:val="bottom"/>
          </w:tcPr>
          <w:p>
            <w:pPr>
              <w:spacing w:after="0"/>
              <w:rPr>
                <w:sz w:val="13"/>
                <w:szCs w:val="13"/>
                <w:color w:val="auto"/>
              </w:rPr>
            </w:pP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HireVue, Inc.</w:t>
            </w:r>
            <w:r>
              <w:rPr>
                <w:rFonts w:ascii="Times New Roman" w:cs="Times New Roman" w:eastAsia="Times New Roman" w:hAnsi="Times New Roman"/>
                <w:sz w:val="14"/>
                <w:szCs w:val="14"/>
                <w:color w:val="auto"/>
                <w:vertAlign w:val="superscript"/>
              </w:rPr>
              <w:t>(3)</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($54,113 par, due 5/2029)</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5/3/2023</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+ 7.25%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12.63%</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52,478</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53,808</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Madcap Software, Inc.</w:t>
            </w:r>
            <w:r>
              <w:rPr>
                <w:rFonts w:ascii="Times New Roman" w:cs="Times New Roman" w:eastAsia="Times New Roman" w:hAnsi="Times New Roman"/>
                <w:sz w:val="14"/>
                <w:szCs w:val="14"/>
                <w:color w:val="auto"/>
                <w:vertAlign w:val="superscript"/>
              </w:rPr>
              <w:t>(3)(5)</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($32,500 par, due 12/2026)</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12/15/2023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+ 6.10%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11.46%</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31,713</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31,769</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44"/>
        </w:trPr>
        <w:tc>
          <w:tcPr>
            <w:tcW w:w="16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PageUp People, Ltd. </w:t>
            </w:r>
            <w:r>
              <w:rPr>
                <w:rFonts w:ascii="Times New Roman" w:cs="Times New Roman" w:eastAsia="Times New Roman" w:hAnsi="Times New Roman"/>
                <w:sz w:val="14"/>
                <w:szCs w:val="14"/>
                <w:color w:val="auto"/>
                <w:vertAlign w:val="superscript"/>
              </w:rPr>
              <w:t>(3)(4)(5)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(AUD 13,400 par, due 12/2025)</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1/11/2018</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B + 5.00%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9.36%</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10,114</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9,143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44"/>
        </w:trPr>
        <w:tc>
          <w:tcPr>
            <w:tcW w:w="1620" w:type="dxa"/>
            <w:vAlign w:val="bottom"/>
            <w:shd w:val="clear" w:color="auto" w:fill="CFF0FC"/>
          </w:tcPr>
          <w:p>
            <w:pPr>
              <w:spacing w:after="0"/>
              <w:rPr>
                <w:sz w:val="12"/>
                <w:szCs w:val="12"/>
                <w:color w:val="auto"/>
              </w:rPr>
            </w:pPr>
          </w:p>
        </w:tc>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(AUD 13,400)</w:t>
            </w:r>
          </w:p>
        </w:tc>
        <w:tc>
          <w:tcPr>
            <w:tcW w:w="620" w:type="dxa"/>
            <w:vAlign w:val="bottom"/>
            <w:shd w:val="clear" w:color="auto" w:fill="CFF0FC"/>
          </w:tcPr>
          <w:p>
            <w:pPr>
              <w:spacing w:after="0"/>
              <w:rPr>
                <w:sz w:val="12"/>
                <w:szCs w:val="12"/>
                <w:color w:val="auto"/>
              </w:rPr>
            </w:pPr>
          </w:p>
        </w:tc>
      </w:tr>
      <w:tr>
        <w:trPr>
          <w:trHeight w:val="144"/>
        </w:trPr>
        <w:tc>
          <w:tcPr>
            <w:tcW w:w="1620" w:type="dxa"/>
            <w:vAlign w:val="bottom"/>
          </w:tcPr>
          <w:p>
            <w:pPr>
              <w:spacing w:after="0"/>
              <w:rPr>
                <w:sz w:val="12"/>
                <w:szCs w:val="12"/>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(GBP 3,104 par, due 12/2025)</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10/28/2021</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 + 5.03%</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10.22%</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4,276</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3,957</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42"/>
        </w:trPr>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(GBP 3,104)</w:t>
            </w:r>
          </w:p>
        </w:tc>
        <w:tc>
          <w:tcPr>
            <w:tcW w:w="620" w:type="dxa"/>
            <w:vAlign w:val="bottom"/>
          </w:tcPr>
          <w:p>
            <w:pPr>
              <w:spacing w:after="0"/>
              <w:rPr>
                <w:sz w:val="12"/>
                <w:szCs w:val="12"/>
                <w:color w:val="auto"/>
              </w:rPr>
            </w:pPr>
          </w:p>
        </w:tc>
      </w:tr>
      <w:tr>
        <w:trPr>
          <w:trHeight w:val="158"/>
        </w:trPr>
        <w:tc>
          <w:tcPr>
            <w:tcW w:w="1620" w:type="dxa"/>
            <w:vAlign w:val="bottom"/>
            <w:shd w:val="clear" w:color="auto" w:fill="CFF0FC"/>
          </w:tcPr>
          <w:p>
            <w:pPr>
              <w:spacing w:after="0"/>
              <w:rPr>
                <w:sz w:val="13"/>
                <w:szCs w:val="13"/>
                <w:color w:val="auto"/>
              </w:rPr>
            </w:pP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($10,557 par, due 12/2025)</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10/28/2021</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+ 5.10%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10.45%</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10,549</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10,557</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PayScale Holdings, Inc. </w:t>
            </w:r>
            <w:r>
              <w:rPr>
                <w:rFonts w:ascii="Times New Roman" w:cs="Times New Roman" w:eastAsia="Times New Roman" w:hAnsi="Times New Roman"/>
                <w:sz w:val="14"/>
                <w:szCs w:val="14"/>
                <w:color w:val="auto"/>
                <w:vertAlign w:val="superscript"/>
              </w:rPr>
              <w:t>(3)(5)</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($71,196 par, due 5/2027)</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5/3/2019</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+ 6.35%</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11.70%</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70,826</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71,374</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PrimePay Intermediate, LLC </w:t>
            </w:r>
            <w:r>
              <w:rPr>
                <w:rFonts w:ascii="Times New Roman" w:cs="Times New Roman" w:eastAsia="Times New Roman" w:hAnsi="Times New Roman"/>
                <w:sz w:val="14"/>
                <w:szCs w:val="14"/>
                <w:color w:val="auto"/>
                <w:vertAlign w:val="superscript"/>
              </w:rPr>
              <w:t>(3)(5)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($34,375 par, due 12/2026)</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12/17/2021</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+ 7.15%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12.54%</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33,672</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34,375</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54"/>
        </w:trPr>
        <w:tc>
          <w:tcPr>
            <w:tcW w:w="16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351,845</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355,607</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r>
      <w:tr>
        <w:trPr>
          <w:trHeight w:val="15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8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Disco Parent, Inc. </w:t>
            </w:r>
            <w:r>
              <w:rPr>
                <w:rFonts w:ascii="Times New Roman" w:cs="Times New Roman" w:eastAsia="Times New Roman" w:hAnsi="Times New Roman"/>
                <w:sz w:val="14"/>
                <w:szCs w:val="14"/>
                <w:color w:val="auto"/>
                <w:vertAlign w:val="superscript"/>
              </w:rPr>
              <w:t>(3)</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($4,545 par, due 3/2029)</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3/30/2023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+ 7.50%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12.89%</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4,436</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4,533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8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Arrow Buyer, Inc. </w:t>
            </w:r>
            <w:r>
              <w:rPr>
                <w:rFonts w:ascii="Times New Roman" w:cs="Times New Roman" w:eastAsia="Times New Roman" w:hAnsi="Times New Roman"/>
                <w:sz w:val="14"/>
                <w:szCs w:val="14"/>
                <w:color w:val="auto"/>
                <w:vertAlign w:val="superscript"/>
              </w:rPr>
              <w:t>(3)</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($33,125 par, due 7/2030)</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6/30/2023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+ 6.50%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11.85%</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32,249</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32,820</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Bayshore Intermediate #2, L.P. </w:t>
            </w:r>
            <w:r>
              <w:rPr>
                <w:rFonts w:ascii="Times New Roman" w:cs="Times New Roman" w:eastAsia="Times New Roman" w:hAnsi="Times New Roman"/>
                <w:sz w:val="14"/>
                <w:szCs w:val="14"/>
                <w:color w:val="auto"/>
                <w:vertAlign w:val="superscript"/>
              </w:rPr>
              <w:t>(3)</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($36,629 par, due 10/2028)</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10/1/2021</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+ 7.60%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12.96% PIK</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36,129</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36,446</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54"/>
        </w:trPr>
        <w:tc>
          <w:tcPr>
            <w:tcW w:w="162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($480 par, due 10/2027)</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10/1/2021</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+ 6.60%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12.01%</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446</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468</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16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Coupa Holdings, LLC </w:t>
            </w:r>
            <w:r>
              <w:rPr>
                <w:rFonts w:ascii="Times New Roman" w:cs="Times New Roman" w:eastAsia="Times New Roman" w:hAnsi="Times New Roman"/>
                <w:sz w:val="14"/>
                <w:szCs w:val="14"/>
                <w:color w:val="auto"/>
                <w:vertAlign w:val="superscript"/>
              </w:rPr>
              <w:t>(3)</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($43,191 par, due 2/2030)</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2/27/2023</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+ 7.50%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12.86%</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42,135</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43,441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CrunchTime Information, Systems,</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($59,500 par, due 6/2028)</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6/17/2022</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+ 6.00%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11.36%</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58,477</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59,947</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Inc.</w:t>
            </w:r>
            <w:r>
              <w:rPr>
                <w:rFonts w:ascii="Times New Roman" w:cs="Times New Roman" w:eastAsia="Times New Roman" w:hAnsi="Times New Roman"/>
                <w:sz w:val="7"/>
                <w:szCs w:val="7"/>
                <w:color w:val="auto"/>
              </w:rPr>
              <w:t xml:space="preserve"> (3)(5)</w:t>
            </w:r>
          </w:p>
        </w:tc>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EDB Parent, LLC </w:t>
            </w:r>
            <w:r>
              <w:rPr>
                <w:rFonts w:ascii="Times New Roman" w:cs="Times New Roman" w:eastAsia="Times New Roman" w:hAnsi="Times New Roman"/>
                <w:sz w:val="14"/>
                <w:szCs w:val="14"/>
                <w:color w:val="auto"/>
                <w:vertAlign w:val="superscript"/>
              </w:rPr>
              <w:t>(3)(5)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($63,508 par, due 7/2028)</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7/7/2022</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+ 6.75%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12.10%</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62,301</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63,032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14"/>
                <w:szCs w:val="14"/>
                <w:color w:val="auto"/>
                <w:vertAlign w:val="superscript"/>
              </w:rPr>
              <w:t>(3)(5)</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($52,937 par, due 1/2025)</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6/18/2018</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+ 6.75%</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12.10%</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52,781</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53,069</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LeanTaaS Holdings, Inc. </w:t>
            </w:r>
            <w:r>
              <w:rPr>
                <w:rFonts w:ascii="Times New Roman" w:cs="Times New Roman" w:eastAsia="Times New Roman" w:hAnsi="Times New Roman"/>
                <w:sz w:val="14"/>
                <w:szCs w:val="14"/>
                <w:color w:val="auto"/>
                <w:vertAlign w:val="superscript"/>
              </w:rPr>
              <w:t>(3)(5)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($36,966 par, due 7/2028)</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7/12/2022</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+ 7.50%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12.85%</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36,190</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37,411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4"/>
        </w:trPr>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Lithium Technologies, LLC </w:t>
            </w:r>
            <w:r>
              <w:rPr>
                <w:rFonts w:ascii="Times New Roman" w:cs="Times New Roman" w:eastAsia="Times New Roman" w:hAnsi="Times New Roman"/>
                <w:sz w:val="14"/>
                <w:szCs w:val="14"/>
                <w:color w:val="auto"/>
                <w:vertAlign w:val="superscript"/>
              </w:rPr>
              <w:t>(3)</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($57,665 par, due 1/2025)</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10/3/2017</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+ 9.00%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14.39% (incl. 4.50%</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57,673</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56,367</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r>
      <w:tr>
        <w:trPr>
          <w:trHeight w:val="142"/>
        </w:trPr>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PIK)</w:t>
            </w: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6"/>
        </w:trPr>
        <w:tc>
          <w:tcPr>
            <w:tcW w:w="162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4"/>
                <w:szCs w:val="14"/>
                <w:color w:val="auto"/>
                <w:vertAlign w:val="superscript"/>
              </w:rPr>
              <w:t>(3)(5)</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($8,912 par, due 2/2027)</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2/11/2022</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+ 7.50%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12.86% (incl. 3.50%</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8,912</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8,912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44"/>
        </w:trPr>
        <w:tc>
          <w:tcPr>
            <w:tcW w:w="1620" w:type="dxa"/>
            <w:vAlign w:val="bottom"/>
            <w:shd w:val="clear" w:color="auto" w:fill="CFF0FC"/>
          </w:tcPr>
          <w:p>
            <w:pPr>
              <w:spacing w:after="0"/>
              <w:rPr>
                <w:sz w:val="12"/>
                <w:szCs w:val="12"/>
                <w:color w:val="auto"/>
              </w:rPr>
            </w:pPr>
          </w:p>
        </w:tc>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PIK)</w:t>
            </w:r>
          </w:p>
        </w:tc>
        <w:tc>
          <w:tcPr>
            <w:tcW w:w="10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4"/>
                <w:szCs w:val="14"/>
                <w:color w:val="auto"/>
                <w:vertAlign w:val="superscript"/>
              </w:rPr>
              <w:t>(3)(5)</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($50,889 par, due 2/2026)</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2/25/2021</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+ 7.10%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12.45%</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50,282</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50,508</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SMA Technologies Holdings,</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($36,833 par, due 10/2028)</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10/31/2022</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+ 6.75%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12.11%</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35,459</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37,110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(3)(5)</w:t>
            </w:r>
          </w:p>
        </w:tc>
        <w:tc>
          <w:tcPr>
            <w:tcW w:w="28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54"/>
        </w:trPr>
        <w:tc>
          <w:tcPr>
            <w:tcW w:w="16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473,034</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479,531</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w:t>
            </w:r>
          </w:p>
        </w:tc>
      </w:tr>
      <w:tr>
        <w:trPr>
          <w:trHeight w:val="15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Manufacturing</w:t>
            </w:r>
          </w:p>
        </w:tc>
        <w:tc>
          <w:tcPr>
            <w:tcW w:w="28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4"/>
                <w:szCs w:val="14"/>
                <w:color w:val="auto"/>
                <w:vertAlign w:val="superscript"/>
              </w:rPr>
              <w:t>(9)</w:t>
            </w:r>
          </w:p>
        </w:tc>
        <w:tc>
          <w:tcPr>
            <w:tcW w:w="2800" w:type="dxa"/>
            <w:vAlign w:val="bottom"/>
          </w:tcPr>
          <w:p>
            <w:pPr>
              <w:ind w:left="60"/>
              <w:spacing w:after="0" w:line="156" w:lineRule="exact"/>
              <w:rPr>
                <w:sz w:val="20"/>
                <w:szCs w:val="20"/>
                <w:color w:val="auto"/>
              </w:rPr>
            </w:pPr>
            <w:r>
              <w:rPr>
                <w:rFonts w:ascii="Times New Roman" w:cs="Times New Roman" w:eastAsia="Times New Roman" w:hAnsi="Times New Roman"/>
                <w:sz w:val="11"/>
                <w:szCs w:val="11"/>
                <w:color w:val="auto"/>
              </w:rPr>
              <w:t xml:space="preserve">First-lien loan ($1,130 par, due 12/2025) </w:t>
            </w:r>
            <w:r>
              <w:rPr>
                <w:rFonts w:ascii="Times New Roman" w:cs="Times New Roman" w:eastAsia="Times New Roman" w:hAnsi="Times New Roman"/>
                <w:sz w:val="14"/>
                <w:szCs w:val="14"/>
                <w:color w:val="auto"/>
                <w:vertAlign w:val="superscript"/>
              </w:rPr>
              <w:t>(3)</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8/25/2023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+ 3.90%</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9.25%</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1,053</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1,051</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1620" w:type="dxa"/>
            <w:vAlign w:val="bottom"/>
            <w:shd w:val="clear" w:color="auto" w:fill="CFF0FC"/>
          </w:tcPr>
          <w:p>
            <w:pPr>
              <w:spacing w:after="0"/>
              <w:rPr>
                <w:sz w:val="12"/>
                <w:szCs w:val="12"/>
                <w:color w:val="auto"/>
              </w:rPr>
            </w:pPr>
          </w:p>
        </w:tc>
        <w:tc>
          <w:tcPr>
            <w:tcW w:w="28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1"/>
                <w:szCs w:val="11"/>
                <w:color w:val="auto"/>
              </w:rPr>
              <w:t xml:space="preserve">First-lien loan (EUR 1,023 par, due 12/2025) </w:t>
            </w:r>
            <w:r>
              <w:rPr>
                <w:rFonts w:ascii="Times New Roman" w:cs="Times New Roman" w:eastAsia="Times New Roman" w:hAnsi="Times New Roman"/>
                <w:sz w:val="14"/>
                <w:szCs w:val="14"/>
                <w:color w:val="auto"/>
                <w:vertAlign w:val="superscript"/>
              </w:rPr>
              <w:t>(3)</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9/14/2023</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E + 3.75%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7.68%</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998</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1,030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1620" w:type="dxa"/>
            <w:vAlign w:val="bottom"/>
            <w:shd w:val="clear" w:color="auto" w:fill="CFF0FC"/>
          </w:tcPr>
          <w:p>
            <w:pPr>
              <w:spacing w:after="0"/>
              <w:rPr>
                <w:sz w:val="12"/>
                <w:szCs w:val="12"/>
                <w:color w:val="auto"/>
              </w:rPr>
            </w:pPr>
          </w:p>
        </w:tc>
        <w:tc>
          <w:tcPr>
            <w:tcW w:w="2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(EUR 932)</w:t>
            </w:r>
          </w:p>
        </w:tc>
        <w:tc>
          <w:tcPr>
            <w:tcW w:w="620" w:type="dxa"/>
            <w:vAlign w:val="bottom"/>
            <w:shd w:val="clear" w:color="auto" w:fill="CFF0FC"/>
          </w:tcPr>
          <w:p>
            <w:pPr>
              <w:spacing w:after="0"/>
              <w:rPr>
                <w:sz w:val="12"/>
                <w:szCs w:val="12"/>
                <w:color w:val="auto"/>
              </w:rPr>
            </w:pPr>
          </w:p>
        </w:tc>
      </w:tr>
      <w:tr>
        <w:trPr>
          <w:trHeight w:val="154"/>
        </w:trPr>
        <w:tc>
          <w:tcPr>
            <w:tcW w:w="162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Secured Note ($91 par, due 9/2028)</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12/19/2023</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5.25%</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5.25%</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62</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66</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1620" w:type="dxa"/>
            <w:vAlign w:val="bottom"/>
            <w:shd w:val="clear" w:color="auto" w:fill="CFF0FC"/>
          </w:tcPr>
          <w:p>
            <w:pPr>
              <w:spacing w:after="0"/>
              <w:rPr>
                <w:sz w:val="13"/>
                <w:szCs w:val="13"/>
                <w:color w:val="auto"/>
              </w:rPr>
            </w:pP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Unsecured Note ($1,059 par, due 9/2029)</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8/31/2023</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7.50%</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7.50%</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570</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540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14"/>
                <w:szCs w:val="14"/>
                <w:color w:val="auto"/>
                <w:vertAlign w:val="superscript"/>
              </w:rPr>
              <w:t>(3)</w:t>
            </w:r>
          </w:p>
        </w:tc>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($38,636 par, due 10/2028)</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10/19/2022</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SOFR + 7.25%</w:t>
            </w:r>
          </w:p>
        </w:tc>
        <w:tc>
          <w:tcPr>
            <w:tcW w:w="14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12.60%</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37,736</w:t>
            </w:r>
          </w:p>
        </w:tc>
        <w:tc>
          <w:tcPr>
            <w:tcW w:w="11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38,743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Skylark UK DebtCo Limited </w:t>
            </w:r>
            <w:r>
              <w:rPr>
                <w:rFonts w:ascii="Times New Roman" w:cs="Times New Roman" w:eastAsia="Times New Roman" w:hAnsi="Times New Roman"/>
                <w:sz w:val="14"/>
                <w:szCs w:val="14"/>
                <w:color w:val="auto"/>
                <w:vertAlign w:val="superscript"/>
              </w:rPr>
              <w:t>(3)(4)</w:t>
            </w:r>
          </w:p>
        </w:tc>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($16,340 par, due 9/2030)</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9/7/2023</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SOFR + 6.25%</w:t>
            </w:r>
          </w:p>
        </w:tc>
        <w:tc>
          <w:tcPr>
            <w:tcW w:w="144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11.60%</w:t>
            </w:r>
          </w:p>
        </w:tc>
        <w:tc>
          <w:tcPr>
            <w:tcW w:w="104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15,722</w:t>
            </w:r>
          </w:p>
        </w:tc>
        <w:tc>
          <w:tcPr>
            <w:tcW w:w="118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15,812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r>
    </w:tbl>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0" w:right="68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32"/>
        </w:trPr>
        <w:tc>
          <w:tcPr>
            <w:tcW w:w="1580" w:type="dxa"/>
            <w:vAlign w:val="bottom"/>
          </w:tcPr>
          <w:p>
            <w:pPr>
              <w:spacing w:after="0"/>
              <w:rPr>
                <w:sz w:val="11"/>
                <w:szCs w:val="11"/>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(EUR 4,851 par, due 9/2030)</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9/7/2023</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E + 6.25%</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10.18%</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5,055</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5,238</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42"/>
        </w:trPr>
        <w:tc>
          <w:tcPr>
            <w:tcW w:w="15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(EUR 4,742)</w:t>
            </w:r>
          </w:p>
        </w:tc>
        <w:tc>
          <w:tcPr>
            <w:tcW w:w="640" w:type="dxa"/>
            <w:vAlign w:val="bottom"/>
          </w:tcPr>
          <w:p>
            <w:pPr>
              <w:spacing w:after="0"/>
              <w:rPr>
                <w:sz w:val="12"/>
                <w:szCs w:val="12"/>
                <w:color w:val="auto"/>
              </w:rPr>
            </w:pPr>
          </w:p>
        </w:tc>
      </w:tr>
      <w:tr>
        <w:trPr>
          <w:trHeight w:val="146"/>
        </w:trPr>
        <w:tc>
          <w:tcPr>
            <w:tcW w:w="1580" w:type="dxa"/>
            <w:vAlign w:val="bottom"/>
            <w:shd w:val="clear" w:color="auto" w:fill="CFF0FC"/>
          </w:tcPr>
          <w:p>
            <w:pPr>
              <w:spacing w:after="0"/>
              <w:rPr>
                <w:sz w:val="12"/>
                <w:szCs w:val="12"/>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(GBP 16,640 par, due 9/2030)</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9/7/2023</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S + 6.25%</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11.52%</w:t>
            </w: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20,207</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20,735</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44"/>
        </w:trPr>
        <w:tc>
          <w:tcPr>
            <w:tcW w:w="1580" w:type="dxa"/>
            <w:vAlign w:val="bottom"/>
            <w:shd w:val="clear" w:color="auto" w:fill="CFF0FC"/>
          </w:tcPr>
          <w:p>
            <w:pPr>
              <w:spacing w:after="0"/>
              <w:rPr>
                <w:sz w:val="12"/>
                <w:szCs w:val="12"/>
                <w:color w:val="auto"/>
              </w:rPr>
            </w:pPr>
          </w:p>
        </w:tc>
        <w:tc>
          <w:tcPr>
            <w:tcW w:w="27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(GBP 16,265)</w:t>
            </w:r>
          </w:p>
        </w:tc>
        <w:tc>
          <w:tcPr>
            <w:tcW w:w="640" w:type="dxa"/>
            <w:vAlign w:val="bottom"/>
            <w:shd w:val="clear" w:color="auto" w:fill="CFF0FC"/>
          </w:tcPr>
          <w:p>
            <w:pPr>
              <w:spacing w:after="0"/>
              <w:rPr>
                <w:sz w:val="12"/>
                <w:szCs w:val="12"/>
                <w:color w:val="auto"/>
              </w:rPr>
            </w:pPr>
          </w:p>
        </w:tc>
      </w:tr>
      <w:tr>
        <w:trPr>
          <w:trHeight w:val="154"/>
        </w:trPr>
        <w:tc>
          <w:tcPr>
            <w:tcW w:w="15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81,403</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83,215</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r>
      <w:tr>
        <w:trPr>
          <w:trHeight w:val="15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Office Products</w:t>
            </w:r>
          </w:p>
        </w:tc>
        <w:tc>
          <w:tcPr>
            <w:tcW w:w="2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USR Parent, Inc. </w:t>
            </w:r>
            <w:r>
              <w:rPr>
                <w:rFonts w:ascii="Times New Roman" w:cs="Times New Roman" w:eastAsia="Times New Roman" w:hAnsi="Times New Roman"/>
                <w:sz w:val="14"/>
                <w:szCs w:val="14"/>
                <w:color w:val="auto"/>
                <w:vertAlign w:val="superscript"/>
              </w:rPr>
              <w:t>(3)(5)</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ABL FILO term loan ($17,000 par, due 4/2027)</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4/25/2022</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+ 6.50%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11.84%</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16,703</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16,914</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6"/>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Laramie Energy, LLC </w:t>
            </w:r>
            <w:r>
              <w:rPr>
                <w:rFonts w:ascii="Times New Roman" w:cs="Times New Roman" w:eastAsia="Times New Roman" w:hAnsi="Times New Roman"/>
                <w:sz w:val="14"/>
                <w:szCs w:val="14"/>
                <w:color w:val="auto"/>
                <w:vertAlign w:val="superscript"/>
              </w:rPr>
              <w:t>(3)</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($27,317 par, due 2/2027)</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2/21/2023</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+ 7.10%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12.46%</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26,768</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27,142</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56"/>
        </w:trPr>
        <w:tc>
          <w:tcPr>
            <w:tcW w:w="1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Mach Natural Resources LP</w:t>
            </w:r>
            <w:r>
              <w:rPr>
                <w:rFonts w:ascii="Times New Roman" w:cs="Times New Roman" w:eastAsia="Times New Roman" w:hAnsi="Times New Roman"/>
                <w:sz w:val="14"/>
                <w:szCs w:val="14"/>
                <w:color w:val="auto"/>
                <w:vertAlign w:val="superscript"/>
              </w:rPr>
              <w:t>(3)(4)</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($5,000 par, due 12/2026)</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12/28/2023</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SOFR + 6.65%</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12.00%</w:t>
            </w: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4,900</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4,900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14"/>
                <w:szCs w:val="14"/>
                <w:color w:val="auto"/>
                <w:vertAlign w:val="superscript"/>
              </w:rPr>
              <w:t>(3)</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($27,849 par, due 6/2026)</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6/30/2022</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+ 8.65%</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14.00%</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27,453</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28,267</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56"/>
        </w:trPr>
        <w:tc>
          <w:tcPr>
            <w:tcW w:w="1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14"/>
                <w:szCs w:val="14"/>
                <w:color w:val="auto"/>
                <w:vertAlign w:val="superscript"/>
              </w:rPr>
              <w:t>(3)</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($65,000 par, due 12/2025)</w:t>
            </w:r>
          </w:p>
        </w:tc>
        <w:tc>
          <w:tcPr>
            <w:tcW w:w="9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12/3/2021</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SOFR + 7.76%</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13.11%</w:t>
            </w: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64,372</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66,980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w:t>
            </w:r>
          </w:p>
        </w:tc>
      </w:tr>
      <w:tr>
        <w:trPr>
          <w:trHeight w:val="154"/>
        </w:trPr>
        <w:tc>
          <w:tcPr>
            <w:tcW w:w="15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123,493</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127,289</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r>
      <w:tr>
        <w:trPr>
          <w:trHeight w:val="15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Omnigo Software, LLC </w:t>
            </w:r>
            <w:r>
              <w:rPr>
                <w:rFonts w:ascii="Times New Roman" w:cs="Times New Roman" w:eastAsia="Times New Roman" w:hAnsi="Times New Roman"/>
                <w:sz w:val="14"/>
                <w:szCs w:val="14"/>
                <w:color w:val="auto"/>
                <w:vertAlign w:val="superscript"/>
              </w:rPr>
              <w:t>(3)(5)</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($39,943 par, due 3/2026)</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3/31/2021</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+ 6.60%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11.96%</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39,440</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39,743</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56"/>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99 Cents Only Stores LLC </w:t>
            </w:r>
            <w:r>
              <w:rPr>
                <w:rFonts w:ascii="Times New Roman" w:cs="Times New Roman" w:eastAsia="Times New Roman" w:hAnsi="Times New Roman"/>
                <w:sz w:val="14"/>
                <w:szCs w:val="14"/>
                <w:color w:val="auto"/>
                <w:vertAlign w:val="superscript"/>
              </w:rPr>
              <w:t>(3)</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ABL FILO term loan ($25,000 par, due 5/2025)</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9/6/2017</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+ 8.65%</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14.03%</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24,868</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25,000</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20"/>
        </w:trPr>
        <w:tc>
          <w:tcPr>
            <w:tcW w:w="158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American Achievement, Corp. </w:t>
            </w:r>
            <w:r>
              <w:rPr>
                <w:rFonts w:ascii="Times New Roman" w:cs="Times New Roman" w:eastAsia="Times New Roman" w:hAnsi="Times New Roman"/>
                <w:sz w:val="13"/>
                <w:szCs w:val="13"/>
                <w:color w:val="auto"/>
                <w:vertAlign w:val="superscript"/>
              </w:rPr>
              <w:t>(3)</w:t>
            </w:r>
          </w:p>
        </w:tc>
        <w:tc>
          <w:tcPr>
            <w:tcW w:w="278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1"/>
                <w:szCs w:val="11"/>
                <w:color w:val="auto"/>
              </w:rPr>
              <w:t>First-lien loan ($27,046 par, due 9/2026)</w:t>
            </w:r>
          </w:p>
        </w:tc>
        <w:tc>
          <w:tcPr>
            <w:tcW w:w="980" w:type="dxa"/>
            <w:vAlign w:val="bottom"/>
            <w:shd w:val="clear" w:color="auto" w:fill="CFF0FC"/>
          </w:tcPr>
          <w:p>
            <w:pPr>
              <w:jc w:val="right"/>
              <w:ind w:right="106"/>
              <w:spacing w:after="0" w:line="120" w:lineRule="exact"/>
              <w:rPr>
                <w:sz w:val="20"/>
                <w:szCs w:val="20"/>
                <w:color w:val="auto"/>
              </w:rPr>
            </w:pPr>
            <w:r>
              <w:rPr>
                <w:rFonts w:ascii="Times New Roman" w:cs="Times New Roman" w:eastAsia="Times New Roman" w:hAnsi="Times New Roman"/>
                <w:sz w:val="11"/>
                <w:szCs w:val="11"/>
                <w:color w:val="auto"/>
              </w:rPr>
              <w:t>9/30/2015</w:t>
            </w:r>
          </w:p>
        </w:tc>
        <w:tc>
          <w:tcPr>
            <w:tcW w:w="1100" w:type="dxa"/>
            <w:vAlign w:val="bottom"/>
            <w:shd w:val="clear" w:color="auto" w:fill="CFF0FC"/>
          </w:tcPr>
          <w:p>
            <w:pPr>
              <w:jc w:val="right"/>
              <w:ind w:right="166"/>
              <w:spacing w:after="0" w:line="120" w:lineRule="exact"/>
              <w:rPr>
                <w:sz w:val="20"/>
                <w:szCs w:val="20"/>
                <w:color w:val="auto"/>
              </w:rPr>
            </w:pPr>
            <w:r>
              <w:rPr>
                <w:rFonts w:ascii="Times New Roman" w:cs="Times New Roman" w:eastAsia="Times New Roman" w:hAnsi="Times New Roman"/>
                <w:sz w:val="11"/>
                <w:szCs w:val="11"/>
                <w:color w:val="auto"/>
              </w:rPr>
              <w:t>SOFR + 6.35%</w:t>
            </w:r>
          </w:p>
        </w:tc>
        <w:tc>
          <w:tcPr>
            <w:tcW w:w="1240" w:type="dxa"/>
            <w:vAlign w:val="bottom"/>
            <w:shd w:val="clear" w:color="auto" w:fill="CFF0FC"/>
          </w:tcPr>
          <w:p>
            <w:pPr>
              <w:jc w:val="right"/>
              <w:ind w:right="386"/>
              <w:spacing w:after="0" w:line="120" w:lineRule="exact"/>
              <w:rPr>
                <w:sz w:val="20"/>
                <w:szCs w:val="20"/>
                <w:color w:val="auto"/>
              </w:rPr>
            </w:pPr>
            <w:r>
              <w:rPr>
                <w:rFonts w:ascii="Times New Roman" w:cs="Times New Roman" w:eastAsia="Times New Roman" w:hAnsi="Times New Roman"/>
                <w:sz w:val="11"/>
                <w:szCs w:val="11"/>
                <w:color w:val="auto"/>
              </w:rPr>
              <w:t>11.19% PIK</w:t>
            </w:r>
          </w:p>
        </w:tc>
        <w:tc>
          <w:tcPr>
            <w:tcW w:w="1080" w:type="dxa"/>
            <w:vAlign w:val="bottom"/>
            <w:shd w:val="clear" w:color="auto" w:fill="CFF0FC"/>
          </w:tcPr>
          <w:p>
            <w:pPr>
              <w:jc w:val="right"/>
              <w:ind w:right="166"/>
              <w:spacing w:after="0" w:line="120" w:lineRule="exact"/>
              <w:rPr>
                <w:sz w:val="20"/>
                <w:szCs w:val="20"/>
                <w:color w:val="auto"/>
              </w:rPr>
            </w:pPr>
            <w:r>
              <w:rPr>
                <w:rFonts w:ascii="Times New Roman" w:cs="Times New Roman" w:eastAsia="Times New Roman" w:hAnsi="Times New Roman"/>
                <w:sz w:val="11"/>
                <w:szCs w:val="11"/>
                <w:color w:val="auto"/>
              </w:rPr>
              <w:t>26,219</w:t>
            </w:r>
          </w:p>
        </w:tc>
        <w:tc>
          <w:tcPr>
            <w:tcW w:w="1160" w:type="dxa"/>
            <w:vAlign w:val="bottom"/>
            <w:shd w:val="clear" w:color="auto" w:fill="CFF0FC"/>
          </w:tcPr>
          <w:p>
            <w:pPr>
              <w:jc w:val="right"/>
              <w:ind w:right="266"/>
              <w:spacing w:after="0" w:line="120" w:lineRule="exact"/>
              <w:rPr>
                <w:sz w:val="20"/>
                <w:szCs w:val="20"/>
                <w:color w:val="auto"/>
              </w:rPr>
            </w:pPr>
            <w:r>
              <w:rPr>
                <w:rFonts w:ascii="Times New Roman" w:cs="Times New Roman" w:eastAsia="Times New Roman" w:hAnsi="Times New Roman"/>
                <w:sz w:val="11"/>
                <w:szCs w:val="11"/>
                <w:color w:val="auto"/>
              </w:rPr>
              <w:t>20,488</w:t>
            </w:r>
          </w:p>
        </w:tc>
        <w:tc>
          <w:tcPr>
            <w:tcW w:w="6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1.4%</w:t>
            </w:r>
          </w:p>
        </w:tc>
      </w:tr>
      <w:tr>
        <w:trPr>
          <w:trHeight w:val="112"/>
        </w:trPr>
        <w:tc>
          <w:tcPr>
            <w:tcW w:w="1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(14)</w:t>
            </w:r>
          </w:p>
        </w:tc>
        <w:tc>
          <w:tcPr>
            <w:tcW w:w="2780" w:type="dxa"/>
            <w:vAlign w:val="bottom"/>
            <w:tcBorders>
              <w:bottom w:val="single" w:sz="8" w:color="CFF0FC"/>
            </w:tcBorders>
            <w:shd w:val="clear" w:color="auto" w:fill="CFF0FC"/>
          </w:tcPr>
          <w:p>
            <w:pPr>
              <w:spacing w:after="0"/>
              <w:rPr>
                <w:sz w:val="9"/>
                <w:szCs w:val="9"/>
                <w:color w:val="auto"/>
              </w:rPr>
            </w:pPr>
          </w:p>
        </w:tc>
        <w:tc>
          <w:tcPr>
            <w:tcW w:w="980" w:type="dxa"/>
            <w:vAlign w:val="bottom"/>
            <w:tcBorders>
              <w:bottom w:val="single" w:sz="8" w:color="CFF0FC"/>
            </w:tcBorders>
            <w:shd w:val="clear" w:color="auto" w:fill="CFF0FC"/>
          </w:tcPr>
          <w:p>
            <w:pPr>
              <w:spacing w:after="0"/>
              <w:rPr>
                <w:sz w:val="9"/>
                <w:szCs w:val="9"/>
                <w:color w:val="auto"/>
              </w:rPr>
            </w:pPr>
          </w:p>
        </w:tc>
        <w:tc>
          <w:tcPr>
            <w:tcW w:w="1100" w:type="dxa"/>
            <w:vAlign w:val="bottom"/>
            <w:tcBorders>
              <w:bottom w:val="single" w:sz="8" w:color="CFF0FC"/>
            </w:tcBorders>
            <w:shd w:val="clear" w:color="auto" w:fill="CFF0FC"/>
          </w:tcPr>
          <w:p>
            <w:pPr>
              <w:spacing w:after="0"/>
              <w:rPr>
                <w:sz w:val="9"/>
                <w:szCs w:val="9"/>
                <w:color w:val="auto"/>
              </w:rPr>
            </w:pPr>
          </w:p>
        </w:tc>
        <w:tc>
          <w:tcPr>
            <w:tcW w:w="1240" w:type="dxa"/>
            <w:vAlign w:val="bottom"/>
            <w:tcBorders>
              <w:bottom w:val="single" w:sz="8" w:color="CFF0FC"/>
            </w:tcBorders>
            <w:shd w:val="clear" w:color="auto" w:fill="CFF0FC"/>
          </w:tcPr>
          <w:p>
            <w:pPr>
              <w:spacing w:after="0"/>
              <w:rPr>
                <w:sz w:val="9"/>
                <w:szCs w:val="9"/>
                <w:color w:val="auto"/>
              </w:rPr>
            </w:pPr>
          </w:p>
        </w:tc>
        <w:tc>
          <w:tcPr>
            <w:tcW w:w="1080" w:type="dxa"/>
            <w:vAlign w:val="bottom"/>
            <w:tcBorders>
              <w:bottom w:val="single" w:sz="8" w:color="CFF0FC"/>
            </w:tcBorders>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CFF0FC"/>
            </w:tcBorders>
            <w:shd w:val="clear" w:color="auto" w:fill="CFF0FC"/>
          </w:tcPr>
          <w:p>
            <w:pPr>
              <w:spacing w:after="0"/>
              <w:rPr>
                <w:sz w:val="9"/>
                <w:szCs w:val="9"/>
                <w:color w:val="auto"/>
              </w:rPr>
            </w:pPr>
          </w:p>
        </w:tc>
      </w:tr>
      <w:tr>
        <w:trPr>
          <w:trHeight w:val="154"/>
        </w:trPr>
        <w:tc>
          <w:tcPr>
            <w:tcW w:w="1580" w:type="dxa"/>
            <w:vAlign w:val="bottom"/>
          </w:tcPr>
          <w:p>
            <w:pPr>
              <w:spacing w:after="0"/>
              <w:rPr>
                <w:sz w:val="13"/>
                <w:szCs w:val="13"/>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($1,352 par, due 9/2026)</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6/10/2021</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+ 14.10%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18.94% PIK</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1,352</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101</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1580" w:type="dxa"/>
            <w:vAlign w:val="bottom"/>
            <w:shd w:val="clear" w:color="auto" w:fill="CFF0FC"/>
          </w:tcPr>
          <w:p>
            <w:pPr>
              <w:spacing w:after="0"/>
              <w:rPr>
                <w:sz w:val="13"/>
                <w:szCs w:val="13"/>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Subordinated note ($4,740 par, due 9/2026)</w:t>
            </w:r>
          </w:p>
        </w:tc>
        <w:tc>
          <w:tcPr>
            <w:tcW w:w="9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3/16/2021</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SOFR + 1.15%</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6.54% PIK</w:t>
            </w: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545</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71</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4"/>
                <w:szCs w:val="14"/>
                <w:color w:val="auto"/>
                <w:vertAlign w:val="superscript"/>
              </w:rPr>
              <w:t>(3)(15)</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ABL FILO term loan ($14,065 par, due 8/2027)</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9/2/2022</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+ 9.90%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15.26%</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13,787</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13,468</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44"/>
        </w:trPr>
        <w:tc>
          <w:tcPr>
            <w:tcW w:w="1580" w:type="dxa"/>
            <w:vAlign w:val="bottom"/>
            <w:shd w:val="clear" w:color="auto" w:fill="CFF0FC"/>
          </w:tcPr>
          <w:p>
            <w:pPr>
              <w:spacing w:after="0"/>
              <w:rPr>
                <w:sz w:val="12"/>
                <w:szCs w:val="12"/>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Roll Up DIP term loan ($25,931 par, due 9/2024)</w:t>
            </w:r>
          </w:p>
        </w:tc>
        <w:tc>
          <w:tcPr>
            <w:tcW w:w="9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4/24/2023</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SOFR + 7.90%</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13.26% (incl.</w:t>
            </w: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25,931</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24,828</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44"/>
        </w:trPr>
        <w:tc>
          <w:tcPr>
            <w:tcW w:w="1580" w:type="dxa"/>
            <w:vAlign w:val="bottom"/>
            <w:shd w:val="clear" w:color="auto" w:fill="CFF0FC"/>
          </w:tcPr>
          <w:p>
            <w:pPr>
              <w:spacing w:after="0"/>
              <w:rPr>
                <w:sz w:val="12"/>
                <w:szCs w:val="12"/>
                <w:color w:val="auto"/>
              </w:rPr>
            </w:pPr>
          </w:p>
        </w:tc>
        <w:tc>
          <w:tcPr>
            <w:tcW w:w="27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13.26% PIK)</w:t>
            </w:r>
          </w:p>
        </w:tc>
        <w:tc>
          <w:tcPr>
            <w:tcW w:w="10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4"/>
        </w:trPr>
        <w:tc>
          <w:tcPr>
            <w:tcW w:w="1580" w:type="dxa"/>
            <w:vAlign w:val="bottom"/>
          </w:tcPr>
          <w:p>
            <w:pPr>
              <w:spacing w:after="0"/>
              <w:rPr>
                <w:sz w:val="13"/>
                <w:szCs w:val="13"/>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Super-Priority DIP term loan ($4,739 par, due 9/2024)</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4/24/2023</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+ 7.90%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13.26%</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4,739</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4,538</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8"/>
        </w:trPr>
        <w:tc>
          <w:tcPr>
            <w:tcW w:w="158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Cordance Operations, LLC </w:t>
            </w:r>
            <w:r>
              <w:rPr>
                <w:rFonts w:ascii="Times New Roman" w:cs="Times New Roman" w:eastAsia="Times New Roman" w:hAnsi="Times New Roman"/>
                <w:sz w:val="14"/>
                <w:szCs w:val="14"/>
                <w:color w:val="auto"/>
                <w:vertAlign w:val="superscript"/>
              </w:rPr>
              <w:t>(3)</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($49,543 par, due 7/2028)</w:t>
            </w:r>
          </w:p>
        </w:tc>
        <w:tc>
          <w:tcPr>
            <w:tcW w:w="9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7/25/2022</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SOFR + 9.25%</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14.66%</w:t>
            </w: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48,641</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49,801</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14"/>
                <w:szCs w:val="14"/>
                <w:color w:val="auto"/>
                <w:vertAlign w:val="superscript"/>
              </w:rPr>
              <w:t>(3)(5)</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($57,701 par, due 12/2026)</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12/20/2021</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+ 7.65%</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13.03%</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56,923</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58,134</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32"/>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Rapid Data GmbH</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(EUR 4,495 par, due 7/2029)</w:t>
            </w:r>
          </w:p>
        </w:tc>
        <w:tc>
          <w:tcPr>
            <w:tcW w:w="9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7/11/2023</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E + 6.50%</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10.48%</w:t>
            </w: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4,676</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4,853</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Unternehmensberatung </w:t>
            </w:r>
            <w:r>
              <w:rPr>
                <w:rFonts w:ascii="Times New Roman" w:cs="Times New Roman" w:eastAsia="Times New Roman" w:hAnsi="Times New Roman"/>
                <w:sz w:val="14"/>
                <w:szCs w:val="14"/>
                <w:color w:val="auto"/>
                <w:vertAlign w:val="superscript"/>
              </w:rPr>
              <w:t>(3)(4)</w:t>
            </w:r>
          </w:p>
        </w:tc>
        <w:tc>
          <w:tcPr>
            <w:tcW w:w="2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(EUR 4,393)</w:t>
            </w:r>
          </w:p>
        </w:tc>
        <w:tc>
          <w:tcPr>
            <w:tcW w:w="640" w:type="dxa"/>
            <w:vAlign w:val="bottom"/>
            <w:shd w:val="clear" w:color="auto" w:fill="CFF0FC"/>
          </w:tcPr>
          <w:p>
            <w:pPr>
              <w:spacing w:after="0"/>
              <w:rPr>
                <w:sz w:val="13"/>
                <w:szCs w:val="13"/>
                <w:color w:val="auto"/>
              </w:rPr>
            </w:pPr>
          </w:p>
        </w:tc>
      </w:tr>
      <w:tr>
        <w:trPr>
          <w:trHeight w:val="132"/>
        </w:trPr>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Tango Management Consulting,</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($57,007 par, due 12/2027)</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12/1/2021</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+ 6.85%</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12.20%</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56,247</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56,703</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r>
      <w:tr>
        <w:trPr>
          <w:trHeight w:val="156"/>
        </w:trPr>
        <w:tc>
          <w:tcPr>
            <w:tcW w:w="158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(3)(5)</w:t>
            </w:r>
          </w:p>
        </w:tc>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580" w:type="dxa"/>
            <w:vAlign w:val="bottom"/>
            <w:shd w:val="clear" w:color="auto" w:fill="CFF0FC"/>
          </w:tcPr>
          <w:p>
            <w:pPr>
              <w:spacing w:after="0"/>
              <w:rPr>
                <w:sz w:val="13"/>
                <w:szCs w:val="13"/>
                <w:color w:val="auto"/>
              </w:rPr>
            </w:pPr>
          </w:p>
        </w:tc>
        <w:tc>
          <w:tcPr>
            <w:tcW w:w="2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263,928</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257,985</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17.2%</w:t>
            </w:r>
          </w:p>
        </w:tc>
      </w:tr>
      <w:tr>
        <w:trPr>
          <w:trHeight w:val="154"/>
        </w:trPr>
        <w:tc>
          <w:tcPr>
            <w:tcW w:w="1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8"/>
        </w:trPr>
        <w:tc>
          <w:tcPr>
            <w:tcW w:w="158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Project44, Inc. </w:t>
            </w:r>
            <w:r>
              <w:rPr>
                <w:rFonts w:ascii="Times New Roman" w:cs="Times New Roman" w:eastAsia="Times New Roman" w:hAnsi="Times New Roman"/>
                <w:sz w:val="14"/>
                <w:szCs w:val="14"/>
                <w:color w:val="auto"/>
                <w:vertAlign w:val="superscript"/>
              </w:rPr>
              <w:t>(3)(5)</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($35,139 par, due 11/2027)</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11/12/2021</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SOFR + 6.40%</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11.78%</w:t>
            </w: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34,139</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35,001</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Marcura Equities LTD </w:t>
            </w:r>
            <w:r>
              <w:rPr>
                <w:rFonts w:ascii="Times New Roman" w:cs="Times New Roman" w:eastAsia="Times New Roman" w:hAnsi="Times New Roman"/>
                <w:sz w:val="14"/>
                <w:szCs w:val="14"/>
                <w:color w:val="auto"/>
                <w:vertAlign w:val="superscript"/>
              </w:rPr>
              <w:t>(3)(4)</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($32,007 par, due 8/2029)</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8/11/2023</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+ 7.00%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12.18%</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31,020</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31,482</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6"/>
        </w:trPr>
        <w:tc>
          <w:tcPr>
            <w:tcW w:w="1580" w:type="dxa"/>
            <w:vAlign w:val="bottom"/>
            <w:shd w:val="clear" w:color="auto" w:fill="CFF0FC"/>
          </w:tcPr>
          <w:p>
            <w:pPr>
              <w:spacing w:after="0"/>
              <w:rPr>
                <w:sz w:val="13"/>
                <w:szCs w:val="13"/>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revolving loan ($1,667 par, due 8/2029)</w:t>
            </w:r>
          </w:p>
        </w:tc>
        <w:tc>
          <w:tcPr>
            <w:tcW w:w="9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8/11/2023</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SOFR + 7.00%</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12.18%</w:t>
            </w: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1,589</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1,625</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15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66,748</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68,108</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r>
      <w:tr>
        <w:trPr>
          <w:trHeight w:val="15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2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3,045,524</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3,071,623</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205.3%</w:t>
            </w:r>
          </w:p>
        </w:tc>
      </w:tr>
      <w:tr>
        <w:trPr>
          <w:trHeight w:val="156"/>
        </w:trPr>
        <w:tc>
          <w:tcPr>
            <w:tcW w:w="15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Equity and Other Investments</w:t>
            </w:r>
          </w:p>
        </w:tc>
        <w:tc>
          <w:tcPr>
            <w:tcW w:w="2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4"/>
        </w:trPr>
        <w:tc>
          <w:tcPr>
            <w:tcW w:w="1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8"/>
        </w:trPr>
        <w:tc>
          <w:tcPr>
            <w:tcW w:w="158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Artisan Topco LP</w:t>
            </w:r>
            <w:r>
              <w:rPr>
                <w:rFonts w:ascii="Times New Roman" w:cs="Times New Roman" w:eastAsia="Times New Roman" w:hAnsi="Times New Roman"/>
                <w:sz w:val="14"/>
                <w:szCs w:val="14"/>
                <w:color w:val="auto"/>
                <w:vertAlign w:val="superscript"/>
              </w:rPr>
              <w:t>(11)(12)</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Class A Preferred Units (2,117,264 units)</w:t>
            </w:r>
          </w:p>
        </w:tc>
        <w:tc>
          <w:tcPr>
            <w:tcW w:w="9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11/7/2023</w:t>
            </w: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2,117</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2,117</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Newark FP Co-Invest, L.P.</w:t>
            </w:r>
            <w:r>
              <w:rPr>
                <w:rFonts w:ascii="Times New Roman" w:cs="Times New Roman" w:eastAsia="Times New Roman" w:hAnsi="Times New Roman"/>
                <w:sz w:val="14"/>
                <w:szCs w:val="14"/>
                <w:color w:val="auto"/>
                <w:vertAlign w:val="superscript"/>
              </w:rPr>
              <w:t>(11)(12)</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Partnership (2,527,719 units)</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11/8/2023</w:t>
            </w: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2,532</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2,532</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4"/>
        </w:trPr>
        <w:tc>
          <w:tcPr>
            <w:tcW w:w="1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Dye &amp; Durham, Ltd. </w:t>
            </w:r>
            <w:r>
              <w:rPr>
                <w:rFonts w:ascii="Times New Roman" w:cs="Times New Roman" w:eastAsia="Times New Roman" w:hAnsi="Times New Roman"/>
                <w:sz w:val="14"/>
                <w:szCs w:val="14"/>
                <w:color w:val="auto"/>
                <w:vertAlign w:val="superscript"/>
              </w:rPr>
              <w:t>(4)(10)</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Shares (126,968 shares)</w:t>
            </w:r>
          </w:p>
        </w:tc>
        <w:tc>
          <w:tcPr>
            <w:tcW w:w="9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12/3/2021</w:t>
            </w:r>
          </w:p>
        </w:tc>
        <w:tc>
          <w:tcPr>
            <w:tcW w:w="1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3,909</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1,383</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1580" w:type="dxa"/>
            <w:vAlign w:val="bottom"/>
            <w:shd w:val="clear" w:color="auto" w:fill="CFF0FC"/>
          </w:tcPr>
          <w:p>
            <w:pPr>
              <w:spacing w:after="0"/>
              <w:rPr>
                <w:sz w:val="12"/>
                <w:szCs w:val="12"/>
                <w:color w:val="auto"/>
              </w:rPr>
            </w:pPr>
          </w:p>
        </w:tc>
        <w:tc>
          <w:tcPr>
            <w:tcW w:w="27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(CAD 1,823)</w:t>
            </w:r>
          </w:p>
        </w:tc>
        <w:tc>
          <w:tcPr>
            <w:tcW w:w="640" w:type="dxa"/>
            <w:vAlign w:val="bottom"/>
            <w:shd w:val="clear" w:color="auto" w:fill="CFF0FC"/>
          </w:tcPr>
          <w:p>
            <w:pPr>
              <w:spacing w:after="0"/>
              <w:rPr>
                <w:sz w:val="12"/>
                <w:szCs w:val="12"/>
                <w:color w:val="auto"/>
              </w:rPr>
            </w:pP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Mitnick TA Aggregator, L.P. </w:t>
            </w:r>
            <w:r>
              <w:rPr>
                <w:rFonts w:ascii="Times New Roman" w:cs="Times New Roman" w:eastAsia="Times New Roman" w:hAnsi="Times New Roman"/>
                <w:sz w:val="14"/>
                <w:szCs w:val="14"/>
                <w:color w:val="auto"/>
                <w:vertAlign w:val="superscript"/>
              </w:rPr>
              <w:t>(11)</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Membership Interest (0.43% ownership)</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5/2/2022</w:t>
            </w: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5,243</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4,496</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ReliaQuest, LLC </w:t>
            </w:r>
            <w:r>
              <w:rPr>
                <w:rFonts w:ascii="Times New Roman" w:cs="Times New Roman" w:eastAsia="Times New Roman" w:hAnsi="Times New Roman"/>
                <w:sz w:val="14"/>
                <w:szCs w:val="14"/>
                <w:color w:val="auto"/>
                <w:vertAlign w:val="superscript"/>
              </w:rPr>
              <w:t>(13)</w:t>
            </w:r>
          </w:p>
        </w:tc>
        <w:tc>
          <w:tcPr>
            <w:tcW w:w="278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1"/>
                <w:szCs w:val="11"/>
                <w:color w:val="auto"/>
              </w:rPr>
              <w:t xml:space="preserve">Class A-1 Units (637,713 units) </w:t>
            </w:r>
            <w:r>
              <w:rPr>
                <w:rFonts w:ascii="Times New Roman" w:cs="Times New Roman" w:eastAsia="Times New Roman" w:hAnsi="Times New Roman"/>
                <w:sz w:val="14"/>
                <w:szCs w:val="14"/>
                <w:color w:val="auto"/>
                <w:vertAlign w:val="superscript"/>
              </w:rPr>
              <w:t>(11)</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11/23/2021</w:t>
            </w: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1,120</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1,414</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580" w:type="dxa"/>
            <w:vAlign w:val="bottom"/>
          </w:tcPr>
          <w:p>
            <w:pPr>
              <w:spacing w:after="0"/>
              <w:rPr>
                <w:sz w:val="13"/>
                <w:szCs w:val="13"/>
                <w:color w:val="auto"/>
              </w:rPr>
            </w:pPr>
          </w:p>
        </w:tc>
        <w:tc>
          <w:tcPr>
            <w:tcW w:w="2780" w:type="dxa"/>
            <w:vAlign w:val="bottom"/>
          </w:tcPr>
          <w:p>
            <w:pPr>
              <w:ind w:left="100"/>
              <w:spacing w:after="0" w:line="156" w:lineRule="exact"/>
              <w:rPr>
                <w:sz w:val="20"/>
                <w:szCs w:val="20"/>
                <w:color w:val="auto"/>
              </w:rPr>
            </w:pPr>
            <w:r>
              <w:rPr>
                <w:rFonts w:ascii="Times New Roman" w:cs="Times New Roman" w:eastAsia="Times New Roman" w:hAnsi="Times New Roman"/>
                <w:sz w:val="11"/>
                <w:szCs w:val="11"/>
                <w:color w:val="auto"/>
              </w:rPr>
              <w:t xml:space="preserve">Class A-2 Units (2,989 units) </w:t>
            </w:r>
            <w:r>
              <w:rPr>
                <w:rFonts w:ascii="Times New Roman" w:cs="Times New Roman" w:eastAsia="Times New Roman" w:hAnsi="Times New Roman"/>
                <w:sz w:val="14"/>
                <w:szCs w:val="14"/>
                <w:color w:val="auto"/>
                <w:vertAlign w:val="superscript"/>
              </w:rPr>
              <w:t>(11)</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6/21/2022</w:t>
            </w: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8</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580" w:type="dxa"/>
            <w:vAlign w:val="bottom"/>
            <w:shd w:val="clear" w:color="auto" w:fill="CFF0FC"/>
          </w:tcPr>
          <w:p>
            <w:pPr>
              <w:spacing w:after="0"/>
              <w:rPr>
                <w:sz w:val="13"/>
                <w:szCs w:val="13"/>
                <w:color w:val="auto"/>
              </w:rPr>
            </w:pPr>
          </w:p>
        </w:tc>
        <w:tc>
          <w:tcPr>
            <w:tcW w:w="278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1"/>
                <w:szCs w:val="11"/>
                <w:color w:val="auto"/>
              </w:rPr>
              <w:t xml:space="preserve">Class A-3 Units (16,957 units) </w:t>
            </w:r>
            <w:r>
              <w:rPr>
                <w:rFonts w:ascii="Times New Roman" w:cs="Times New Roman" w:eastAsia="Times New Roman" w:hAnsi="Times New Roman"/>
                <w:sz w:val="14"/>
                <w:szCs w:val="14"/>
                <w:color w:val="auto"/>
                <w:vertAlign w:val="superscript"/>
              </w:rPr>
              <w:t>(11)(12)</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11/10/2023</w:t>
            </w: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36</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46</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580" w:type="dxa"/>
            <w:vAlign w:val="bottom"/>
          </w:tcPr>
          <w:p>
            <w:pPr>
              <w:spacing w:after="0"/>
              <w:rPr>
                <w:sz w:val="13"/>
                <w:szCs w:val="13"/>
                <w:color w:val="auto"/>
              </w:rPr>
            </w:pPr>
          </w:p>
        </w:tc>
        <w:tc>
          <w:tcPr>
            <w:tcW w:w="2780" w:type="dxa"/>
            <w:vAlign w:val="bottom"/>
          </w:tcPr>
          <w:p>
            <w:pPr>
              <w:ind w:left="100"/>
              <w:spacing w:after="0" w:line="156" w:lineRule="exact"/>
              <w:rPr>
                <w:sz w:val="20"/>
                <w:szCs w:val="20"/>
                <w:color w:val="auto"/>
              </w:rPr>
            </w:pPr>
            <w:r>
              <w:rPr>
                <w:rFonts w:ascii="Times New Roman" w:cs="Times New Roman" w:eastAsia="Times New Roman" w:hAnsi="Times New Roman"/>
                <w:sz w:val="11"/>
                <w:szCs w:val="11"/>
                <w:color w:val="auto"/>
              </w:rPr>
              <w:t xml:space="preserve">Series A Preferred Stock (1,667 Units) </w:t>
            </w:r>
            <w:r>
              <w:rPr>
                <w:rFonts w:ascii="Times New Roman" w:cs="Times New Roman" w:eastAsia="Times New Roman" w:hAnsi="Times New Roman"/>
                <w:sz w:val="14"/>
                <w:szCs w:val="14"/>
                <w:color w:val="auto"/>
                <w:vertAlign w:val="superscript"/>
              </w:rPr>
              <w:t>(12)</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12/20/2023</w:t>
            </w: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1,502</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1,504</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580" w:type="dxa"/>
            <w:vAlign w:val="bottom"/>
            <w:shd w:val="clear" w:color="auto" w:fill="CFF0FC"/>
          </w:tcPr>
          <w:p>
            <w:pPr>
              <w:spacing w:after="0"/>
              <w:rPr>
                <w:sz w:val="13"/>
                <w:szCs w:val="13"/>
                <w:color w:val="auto"/>
              </w:rPr>
            </w:pPr>
          </w:p>
        </w:tc>
        <w:tc>
          <w:tcPr>
            <w:tcW w:w="278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1"/>
                <w:szCs w:val="11"/>
                <w:color w:val="auto"/>
              </w:rPr>
              <w:t xml:space="preserve">90,634 Warrants </w:t>
            </w:r>
            <w:r>
              <w:rPr>
                <w:rFonts w:ascii="Times New Roman" w:cs="Times New Roman" w:eastAsia="Times New Roman" w:hAnsi="Times New Roman"/>
                <w:sz w:val="14"/>
                <w:szCs w:val="14"/>
                <w:color w:val="auto"/>
                <w:vertAlign w:val="superscript"/>
              </w:rPr>
              <w:t>(11)(12)</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12/20/2023</w:t>
            </w: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102</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102</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Sprinklr, Inc. </w:t>
            </w:r>
            <w:r>
              <w:rPr>
                <w:rFonts w:ascii="Times New Roman" w:cs="Times New Roman" w:eastAsia="Times New Roman" w:hAnsi="Times New Roman"/>
                <w:sz w:val="14"/>
                <w:szCs w:val="14"/>
                <w:color w:val="auto"/>
                <w:vertAlign w:val="superscript"/>
              </w:rPr>
              <w:t>(10)(11)</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Shares (315,005 shares)</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6/24/2021</w:t>
            </w: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2,716</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3,793</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Warrior TopCo LP </w:t>
            </w:r>
            <w:r>
              <w:rPr>
                <w:rFonts w:ascii="Times New Roman" w:cs="Times New Roman" w:eastAsia="Times New Roman" w:hAnsi="Times New Roman"/>
                <w:sz w:val="14"/>
                <w:szCs w:val="14"/>
                <w:color w:val="auto"/>
                <w:vertAlign w:val="superscript"/>
              </w:rPr>
              <w:t>(11)(12)</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Class A Units (423,728 units)</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7/7/2023</w:t>
            </w: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424</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424</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15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19,707</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17,819</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5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14"/>
                <w:szCs w:val="14"/>
                <w:color w:val="auto"/>
                <w:vertAlign w:val="superscript"/>
              </w:rPr>
              <w:t>(11)</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 Units (1,250,000 units)</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11/19/2021</w:t>
            </w: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1,250</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1,250</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IntelePeer Holdings, Inc. </w:t>
            </w:r>
            <w:r>
              <w:rPr>
                <w:rFonts w:ascii="Times New Roman" w:cs="Times New Roman" w:eastAsia="Times New Roman" w:hAnsi="Times New Roman"/>
                <w:sz w:val="14"/>
                <w:szCs w:val="14"/>
                <w:color w:val="auto"/>
                <w:vertAlign w:val="superscript"/>
              </w:rPr>
              <w:t>(11)</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C Preferred Shares (1,816,295 shares)</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4/8/2021</w:t>
            </w: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1,816</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1,957</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1580" w:type="dxa"/>
            <w:vAlign w:val="bottom"/>
          </w:tcPr>
          <w:p>
            <w:pPr>
              <w:spacing w:after="0"/>
              <w:rPr>
                <w:sz w:val="13"/>
                <w:szCs w:val="13"/>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D Preferred Shares (1,598,874 shares)</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4/8/2021</w:t>
            </w: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2,925</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2,099</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8"/>
        </w:trPr>
        <w:tc>
          <w:tcPr>
            <w:tcW w:w="1580" w:type="dxa"/>
            <w:vAlign w:val="bottom"/>
            <w:shd w:val="clear" w:color="auto" w:fill="CFF0FC"/>
          </w:tcPr>
          <w:p>
            <w:pPr>
              <w:spacing w:after="0"/>
              <w:rPr>
                <w:sz w:val="13"/>
                <w:szCs w:val="13"/>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280,000 Series C Warrants</w:t>
            </w:r>
          </w:p>
        </w:tc>
        <w:tc>
          <w:tcPr>
            <w:tcW w:w="9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2/28/2020</w:t>
            </w: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183</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1580" w:type="dxa"/>
            <w:vAlign w:val="bottom"/>
          </w:tcPr>
          <w:p>
            <w:pPr>
              <w:spacing w:after="0"/>
              <w:rPr>
                <w:sz w:val="13"/>
                <w:szCs w:val="13"/>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106,592 Series D Warrants</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4/8/2021</w:t>
            </w: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1580" w:type="dxa"/>
            <w:vAlign w:val="bottom"/>
            <w:shd w:val="clear" w:color="auto" w:fill="CFF0FC"/>
          </w:tcPr>
          <w:p>
            <w:pPr>
              <w:spacing w:after="0"/>
              <w:rPr>
                <w:sz w:val="13"/>
                <w:szCs w:val="13"/>
                <w:color w:val="auto"/>
              </w:rPr>
            </w:pPr>
          </w:p>
        </w:tc>
        <w:tc>
          <w:tcPr>
            <w:tcW w:w="27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6,174</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5,306</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60"/>
        </w:trPr>
        <w:tc>
          <w:tcPr>
            <w:tcW w:w="1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xml:space="preserve">Astra 2L Holdings II LLC </w:t>
            </w:r>
            <w:r>
              <w:rPr>
                <w:rFonts w:ascii="Times New Roman" w:cs="Times New Roman" w:eastAsia="Times New Roman" w:hAnsi="Times New Roman"/>
                <w:sz w:val="14"/>
                <w:szCs w:val="14"/>
                <w:color w:val="auto"/>
                <w:vertAlign w:val="superscript"/>
              </w:rPr>
              <w:t>(11)</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Membership Interest (10.17% ownership)</w:t>
            </w:r>
          </w:p>
        </w:tc>
        <w:tc>
          <w:tcPr>
            <w:tcW w:w="9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1/13/2022</w:t>
            </w:r>
          </w:p>
        </w:tc>
        <w:tc>
          <w:tcPr>
            <w:tcW w:w="1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3,255</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309</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5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14"/>
                <w:szCs w:val="14"/>
                <w:color w:val="auto"/>
                <w:vertAlign w:val="superscript"/>
              </w:rPr>
              <w:t>(11)</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B Units (5,522,526 units)</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12/22/2021</w:t>
            </w: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5,522</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4,762</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56"/>
        </w:trPr>
        <w:tc>
          <w:tcPr>
            <w:tcW w:w="1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RMCF IV CIV XXXV, LP. </w:t>
            </w:r>
            <w:r>
              <w:rPr>
                <w:rFonts w:ascii="Times New Roman" w:cs="Times New Roman" w:eastAsia="Times New Roman" w:hAnsi="Times New Roman"/>
                <w:sz w:val="14"/>
                <w:szCs w:val="14"/>
                <w:color w:val="auto"/>
                <w:vertAlign w:val="superscript"/>
              </w:rPr>
              <w:t>(11)</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Partnership Interest (11.94% ownership)</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6/8/2021</w:t>
            </w:r>
          </w:p>
        </w:tc>
        <w:tc>
          <w:tcPr>
            <w:tcW w:w="1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1,000</w:t>
            </w:r>
          </w:p>
        </w:tc>
        <w:tc>
          <w:tcPr>
            <w:tcW w:w="116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1,455</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2"/>
        </w:trPr>
        <w:tc>
          <w:tcPr>
            <w:tcW w:w="15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9,777</w:t>
            </w:r>
          </w:p>
        </w:tc>
        <w:tc>
          <w:tcPr>
            <w:tcW w:w="11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6,526</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r>
    </w:tbl>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414020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0" w:right="68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6"/>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AF Eagle Parent, L.P.</w:t>
            </w:r>
            <w:r>
              <w:rPr>
                <w:rFonts w:ascii="Times New Roman" w:cs="Times New Roman" w:eastAsia="Times New Roman" w:hAnsi="Times New Roman"/>
                <w:sz w:val="14"/>
                <w:szCs w:val="14"/>
                <w:color w:val="auto"/>
                <w:vertAlign w:val="superscript"/>
              </w:rPr>
              <w:t>(11)(12)</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Partnership (121,329 units)</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11/27/2023</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4,091</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4,091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CLGF Holdco 2, LLC</w:t>
            </w:r>
            <w:r>
              <w:rPr>
                <w:rFonts w:ascii="Times New Roman" w:cs="Times New Roman" w:eastAsia="Times New Roman" w:hAnsi="Times New Roman"/>
                <w:sz w:val="14"/>
                <w:szCs w:val="14"/>
                <w:color w:val="auto"/>
                <w:vertAlign w:val="superscript"/>
              </w:rPr>
              <w:t>(4)(11)(12)</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334,682 Warrants</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11/7/2023</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183</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183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Newport Parent Holdings, L.P. </w:t>
            </w:r>
            <w:r>
              <w:rPr>
                <w:rFonts w:ascii="Times New Roman" w:cs="Times New Roman" w:eastAsia="Times New Roman" w:hAnsi="Times New Roman"/>
                <w:sz w:val="14"/>
                <w:szCs w:val="14"/>
                <w:color w:val="auto"/>
                <w:vertAlign w:val="superscript"/>
              </w:rPr>
              <w:t>(11)</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Class A-2 Units (131,569 units)</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12/10/2020</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4,177</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11,591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56"/>
        </w:trPr>
        <w:tc>
          <w:tcPr>
            <w:tcW w:w="1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w w:val="99"/>
              </w:rPr>
              <w:t xml:space="preserve">Oxford Square Capital Corp. </w:t>
            </w:r>
            <w:r>
              <w:rPr>
                <w:rFonts w:ascii="Times New Roman" w:cs="Times New Roman" w:eastAsia="Times New Roman" w:hAnsi="Times New Roman"/>
                <w:sz w:val="14"/>
                <w:szCs w:val="14"/>
                <w:color w:val="auto"/>
                <w:w w:val="99"/>
                <w:vertAlign w:val="superscript"/>
              </w:rPr>
              <w:t>(4)(10)</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Shares (1,620 shares)</w:t>
            </w: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8/5/2015</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6</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Passport Labs, Inc. </w:t>
            </w:r>
            <w:r>
              <w:rPr>
                <w:rFonts w:ascii="Times New Roman" w:cs="Times New Roman" w:eastAsia="Times New Roman" w:hAnsi="Times New Roman"/>
                <w:sz w:val="14"/>
                <w:szCs w:val="14"/>
                <w:color w:val="auto"/>
                <w:vertAlign w:val="superscript"/>
              </w:rPr>
              <w:t>(11)</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17,534 Warrants</w:t>
            </w:r>
          </w:p>
        </w:tc>
        <w:tc>
          <w:tcPr>
            <w:tcW w:w="11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4/28/2021</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192</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14"/>
                <w:szCs w:val="14"/>
                <w:color w:val="auto"/>
                <w:vertAlign w:val="superscript"/>
              </w:rPr>
              <w:t>(11)(13)</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Class A Units (600,000 units)</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5/14/2021</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600</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600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16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9,249</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16,470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Caris Life Sciences, Inc. </w:t>
            </w:r>
            <w:r>
              <w:rPr>
                <w:rFonts w:ascii="Times New Roman" w:cs="Times New Roman" w:eastAsia="Times New Roman" w:hAnsi="Times New Roman"/>
                <w:sz w:val="14"/>
                <w:szCs w:val="14"/>
                <w:color w:val="auto"/>
                <w:vertAlign w:val="superscript"/>
              </w:rPr>
              <w:t>(11)</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C Preferred Shares (1,915,114 shares)</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10/13/2020</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3,500</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6,676</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56"/>
        </w:trPr>
        <w:tc>
          <w:tcPr>
            <w:tcW w:w="1600" w:type="dxa"/>
            <w:vAlign w:val="bottom"/>
            <w:shd w:val="clear" w:color="auto" w:fill="CFF0FC"/>
          </w:tcPr>
          <w:p>
            <w:pPr>
              <w:spacing w:after="0"/>
              <w:rPr>
                <w:sz w:val="13"/>
                <w:szCs w:val="13"/>
                <w:color w:val="auto"/>
              </w:rPr>
            </w:pP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D Preferred Shares (1,240,740 shares)</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5/11/2021</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10,050</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9,899</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54"/>
        </w:trPr>
        <w:tc>
          <w:tcPr>
            <w:tcW w:w="160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633,376 Warrants</w:t>
            </w:r>
          </w:p>
        </w:tc>
        <w:tc>
          <w:tcPr>
            <w:tcW w:w="11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9/21/2018</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192</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1,187</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8"/>
        </w:trPr>
        <w:tc>
          <w:tcPr>
            <w:tcW w:w="1600" w:type="dxa"/>
            <w:vAlign w:val="bottom"/>
            <w:shd w:val="clear" w:color="auto" w:fill="CFF0FC"/>
          </w:tcPr>
          <w:p>
            <w:pPr>
              <w:spacing w:after="0"/>
              <w:rPr>
                <w:sz w:val="13"/>
                <w:szCs w:val="13"/>
                <w:color w:val="auto"/>
              </w:rPr>
            </w:pP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569,991 Warrants</w:t>
            </w: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4/2/2020</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250</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885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Merative Topco L.P. </w:t>
            </w:r>
            <w:r>
              <w:rPr>
                <w:rFonts w:ascii="Times New Roman" w:cs="Times New Roman" w:eastAsia="Times New Roman" w:hAnsi="Times New Roman"/>
                <w:sz w:val="14"/>
                <w:szCs w:val="14"/>
                <w:color w:val="auto"/>
                <w:vertAlign w:val="superscript"/>
              </w:rPr>
              <w:t>(11)</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989,691 Class A-1 Units</w:t>
            </w:r>
          </w:p>
        </w:tc>
        <w:tc>
          <w:tcPr>
            <w:tcW w:w="11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6/30/2022</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9,897</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9,600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6"/>
        </w:trPr>
        <w:tc>
          <w:tcPr>
            <w:tcW w:w="1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(11)(12)</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20,268 Ordinary Shares</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3/24/2023</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2,033</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2,033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16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25,922</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30,280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5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14"/>
                <w:szCs w:val="14"/>
                <w:color w:val="auto"/>
                <w:vertAlign w:val="superscript"/>
              </w:rPr>
              <w:t>(7)(11)</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Class A Units (33,790,171 units)</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12/21/2018</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21,842</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2,281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600" w:type="dxa"/>
            <w:vAlign w:val="bottom"/>
            <w:shd w:val="clear" w:color="auto" w:fill="CFF0FC"/>
          </w:tcPr>
          <w:p>
            <w:pPr>
              <w:spacing w:after="0"/>
              <w:rPr>
                <w:sz w:val="13"/>
                <w:szCs w:val="13"/>
                <w:color w:val="auto"/>
              </w:rPr>
            </w:pP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Class C-1 Units (8,800,000 units)</w:t>
            </w: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12/21/2018</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100</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43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16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21,942</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2,324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Human Resource Support</w:t>
            </w:r>
          </w:p>
        </w:tc>
        <w:tc>
          <w:tcPr>
            <w:tcW w:w="26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r>
      <w:tr>
        <w:trPr>
          <w:trHeight w:val="146"/>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Services</w:t>
            </w:r>
          </w:p>
        </w:tc>
        <w:tc>
          <w:tcPr>
            <w:tcW w:w="26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14"/>
                <w:szCs w:val="14"/>
                <w:color w:val="auto"/>
                <w:vertAlign w:val="superscript"/>
              </w:rPr>
              <w:t>(4)(11)(13)</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Class A-1 Units (3,780,000 units)</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5/5/2021</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3,780</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4,026</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1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(11)(12)</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Class A-1 Units (2,393,509 units)</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11/7/2022</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2,394</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2,394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DaySmart Holdings, LLC </w:t>
            </w:r>
            <w:r>
              <w:rPr>
                <w:rFonts w:ascii="Times New Roman" w:cs="Times New Roman" w:eastAsia="Times New Roman" w:hAnsi="Times New Roman"/>
                <w:sz w:val="14"/>
                <w:szCs w:val="14"/>
                <w:color w:val="auto"/>
                <w:vertAlign w:val="superscript"/>
              </w:rPr>
              <w:t>(11)</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Class A Units (166,811 units)</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12/18/2020</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1,347</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2,138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Employment Hero Holdings Pty</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E Preferred Shares (113,250 shares)</w:t>
            </w: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3/1/2022</w:t>
            </w:r>
          </w:p>
        </w:tc>
        <w:tc>
          <w:tcPr>
            <w:tcW w:w="11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2,134</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2,605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60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Ltd.</w:t>
            </w:r>
            <w:r>
              <w:rPr>
                <w:rFonts w:ascii="Times New Roman" w:cs="Times New Roman" w:eastAsia="Times New Roman" w:hAnsi="Times New Roman"/>
                <w:sz w:val="7"/>
                <w:szCs w:val="7"/>
                <w:color w:val="auto"/>
              </w:rPr>
              <w:t xml:space="preserve"> (4)(11)</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(AUD 3,817)</w:t>
            </w:r>
          </w:p>
        </w:tc>
        <w:tc>
          <w:tcPr>
            <w:tcW w:w="580" w:type="dxa"/>
            <w:vAlign w:val="bottom"/>
            <w:shd w:val="clear" w:color="auto" w:fill="CFF0FC"/>
          </w:tcPr>
          <w:p>
            <w:pPr>
              <w:spacing w:after="0"/>
              <w:rPr>
                <w:sz w:val="13"/>
                <w:szCs w:val="13"/>
                <w:color w:val="auto"/>
              </w:rPr>
            </w:pPr>
          </w:p>
        </w:tc>
      </w:tr>
      <w:tr>
        <w:trPr>
          <w:trHeight w:val="154"/>
        </w:trPr>
        <w:tc>
          <w:tcPr>
            <w:tcW w:w="16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9,655</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11,163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5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20"/>
        </w:trPr>
        <w:tc>
          <w:tcPr>
            <w:tcW w:w="16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Bayshore Intermediate #2, L.P. </w:t>
            </w:r>
            <w:r>
              <w:rPr>
                <w:rFonts w:ascii="Times New Roman" w:cs="Times New Roman" w:eastAsia="Times New Roman" w:hAnsi="Times New Roman"/>
                <w:sz w:val="13"/>
                <w:szCs w:val="13"/>
                <w:color w:val="auto"/>
                <w:vertAlign w:val="superscript"/>
              </w:rPr>
              <w:t>(11)</w:t>
            </w:r>
          </w:p>
        </w:tc>
        <w:tc>
          <w:tcPr>
            <w:tcW w:w="2600" w:type="dxa"/>
            <w:vAlign w:val="bottom"/>
          </w:tcPr>
          <w:p>
            <w:pPr>
              <w:ind w:left="80"/>
              <w:spacing w:after="0" w:line="120" w:lineRule="exact"/>
              <w:rPr>
                <w:sz w:val="20"/>
                <w:szCs w:val="20"/>
                <w:color w:val="auto"/>
              </w:rPr>
            </w:pPr>
            <w:r>
              <w:rPr>
                <w:rFonts w:ascii="Times New Roman" w:cs="Times New Roman" w:eastAsia="Times New Roman" w:hAnsi="Times New Roman"/>
                <w:sz w:val="11"/>
                <w:szCs w:val="11"/>
                <w:color w:val="auto"/>
              </w:rPr>
              <w:t>Co-Invest Common Units (8,837,008 units)</w:t>
            </w:r>
          </w:p>
        </w:tc>
        <w:tc>
          <w:tcPr>
            <w:tcW w:w="118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rPr>
              <w:t>10/1/2021</w:t>
            </w:r>
          </w:p>
        </w:tc>
        <w:tc>
          <w:tcPr>
            <w:tcW w:w="1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jc w:val="right"/>
              <w:ind w:right="186"/>
              <w:spacing w:after="0" w:line="120" w:lineRule="exact"/>
              <w:rPr>
                <w:sz w:val="20"/>
                <w:szCs w:val="20"/>
                <w:color w:val="auto"/>
              </w:rPr>
            </w:pPr>
            <w:r>
              <w:rPr>
                <w:rFonts w:ascii="Times New Roman" w:cs="Times New Roman" w:eastAsia="Times New Roman" w:hAnsi="Times New Roman"/>
                <w:sz w:val="11"/>
                <w:szCs w:val="11"/>
                <w:color w:val="auto"/>
              </w:rPr>
              <w:t>8,837</w:t>
            </w:r>
          </w:p>
        </w:tc>
        <w:tc>
          <w:tcPr>
            <w:tcW w:w="1200" w:type="dxa"/>
            <w:vAlign w:val="bottom"/>
          </w:tcPr>
          <w:p>
            <w:pPr>
              <w:jc w:val="right"/>
              <w:ind w:right="326"/>
              <w:spacing w:after="0" w:line="120" w:lineRule="exact"/>
              <w:rPr>
                <w:sz w:val="20"/>
                <w:szCs w:val="20"/>
                <w:color w:val="auto"/>
              </w:rPr>
            </w:pPr>
            <w:r>
              <w:rPr>
                <w:rFonts w:ascii="Times New Roman" w:cs="Times New Roman" w:eastAsia="Times New Roman" w:hAnsi="Times New Roman"/>
                <w:sz w:val="11"/>
                <w:szCs w:val="11"/>
                <w:color w:val="auto"/>
              </w:rPr>
              <w:t>8,461</w:t>
            </w:r>
          </w:p>
        </w:tc>
        <w:tc>
          <w:tcPr>
            <w:tcW w:w="5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0.5%</w:t>
            </w:r>
          </w:p>
        </w:tc>
      </w:tr>
      <w:tr>
        <w:trPr>
          <w:trHeight w:val="94"/>
        </w:trPr>
        <w:tc>
          <w:tcPr>
            <w:tcW w:w="1600" w:type="dxa"/>
            <w:vAlign w:val="bottom"/>
          </w:tcPr>
          <w:p>
            <w:pPr>
              <w:ind w:left="20"/>
              <w:spacing w:after="0"/>
              <w:rPr>
                <w:sz w:val="20"/>
                <w:szCs w:val="20"/>
                <w:color w:val="auto"/>
              </w:rPr>
            </w:pPr>
            <w:r>
              <w:rPr>
                <w:rFonts w:ascii="Times New Roman" w:cs="Times New Roman" w:eastAsia="Times New Roman" w:hAnsi="Times New Roman"/>
                <w:sz w:val="7"/>
                <w:szCs w:val="7"/>
                <w:color w:val="auto"/>
              </w:rPr>
              <w:t>(13)</w:t>
            </w:r>
          </w:p>
        </w:tc>
        <w:tc>
          <w:tcPr>
            <w:tcW w:w="2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38"/>
        </w:trPr>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56"/>
        </w:trPr>
        <w:tc>
          <w:tcPr>
            <w:tcW w:w="1600" w:type="dxa"/>
            <w:vAlign w:val="bottom"/>
            <w:shd w:val="clear" w:color="auto" w:fill="CFF0FC"/>
          </w:tcPr>
          <w:p>
            <w:pPr>
              <w:spacing w:after="0"/>
              <w:rPr>
                <w:sz w:val="13"/>
                <w:szCs w:val="13"/>
                <w:color w:val="auto"/>
              </w:rPr>
            </w:pP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Co-Invest 2 Common Units (3,493,701 units)</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10/1/2021</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3,494</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3,345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4"/>
                <w:szCs w:val="14"/>
                <w:color w:val="auto"/>
                <w:vertAlign w:val="superscript"/>
              </w:rPr>
              <w:t>(11)</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F Preferred Shares (199,054 shares)</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8/2/2019</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800</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800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4"/>
                <w:szCs w:val="14"/>
                <w:color w:val="auto"/>
                <w:vertAlign w:val="superscript"/>
              </w:rPr>
              <w:t>(11)</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C-1 Preferred Shares (418,527 shares)</w:t>
            </w: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12/22/2021</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3,000</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3,000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600" w:type="dxa"/>
            <w:vAlign w:val="bottom"/>
          </w:tcPr>
          <w:p>
            <w:pPr>
              <w:spacing w:after="0"/>
              <w:rPr>
                <w:sz w:val="13"/>
                <w:szCs w:val="13"/>
                <w:color w:val="auto"/>
              </w:rPr>
            </w:pPr>
          </w:p>
        </w:tc>
        <w:tc>
          <w:tcPr>
            <w:tcW w:w="2600" w:type="dxa"/>
            <w:vAlign w:val="bottom"/>
          </w:tcPr>
          <w:p>
            <w:pPr>
              <w:ind w:left="80"/>
              <w:spacing w:after="0" w:line="156" w:lineRule="exact"/>
              <w:rPr>
                <w:sz w:val="20"/>
                <w:szCs w:val="20"/>
                <w:color w:val="auto"/>
              </w:rPr>
            </w:pPr>
            <w:r>
              <w:rPr>
                <w:rFonts w:ascii="Times New Roman" w:cs="Times New Roman" w:eastAsia="Times New Roman" w:hAnsi="Times New Roman"/>
                <w:sz w:val="11"/>
                <w:szCs w:val="11"/>
                <w:color w:val="auto"/>
              </w:rPr>
              <w:t>Series C-2 Preferred Shares (27,588 shares)</w:t>
            </w:r>
            <w:r>
              <w:rPr>
                <w:rFonts w:ascii="Times New Roman" w:cs="Times New Roman" w:eastAsia="Times New Roman" w:hAnsi="Times New Roman"/>
                <w:sz w:val="14"/>
                <w:szCs w:val="14"/>
                <w:color w:val="auto"/>
                <w:vertAlign w:val="superscript"/>
              </w:rPr>
              <w:t>(12)</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11/18/2022</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198</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198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SMA Technologies Holdings,</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Class A Units (1,300 shares)</w:t>
            </w: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11/21/2022</w:t>
            </w:r>
          </w:p>
        </w:tc>
        <w:tc>
          <w:tcPr>
            <w:tcW w:w="11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1,300</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1,300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0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(11)(12)</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4"/>
        </w:trPr>
        <w:tc>
          <w:tcPr>
            <w:tcW w:w="160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Class B Units (923,250 shares)</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11/21/2022</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1600" w:type="dxa"/>
            <w:vAlign w:val="bottom"/>
            <w:shd w:val="clear" w:color="auto" w:fill="CFF0FC"/>
          </w:tcPr>
          <w:p>
            <w:pPr>
              <w:spacing w:after="0"/>
              <w:rPr>
                <w:sz w:val="13"/>
                <w:szCs w:val="13"/>
                <w:color w:val="auto"/>
              </w:rPr>
            </w:pP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17,629</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17,104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4"/>
        </w:trPr>
        <w:tc>
          <w:tcPr>
            <w:tcW w:w="1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Marketing Services</w:t>
            </w: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Validity, Inc.</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A Preferred Shares (3,840,000 shares)</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5/31/2018</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3,840</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10,368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54"/>
        </w:trPr>
        <w:tc>
          <w:tcPr>
            <w:tcW w:w="1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8"/>
        </w:trPr>
        <w:tc>
          <w:tcPr>
            <w:tcW w:w="160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14"/>
                <w:szCs w:val="14"/>
                <w:color w:val="auto"/>
                <w:vertAlign w:val="superscript"/>
              </w:rPr>
              <w:t>(13)</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13,355 Preferred Units</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6/30/2022</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13,355</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14,156</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14"/>
                <w:szCs w:val="14"/>
                <w:color w:val="auto"/>
                <w:vertAlign w:val="superscript"/>
              </w:rPr>
              <w:t>(11)(13)</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Partnership Interest (1.89% ownership)</w:t>
            </w:r>
          </w:p>
        </w:tc>
        <w:tc>
          <w:tcPr>
            <w:tcW w:w="11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8/25/2022</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8,755</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11,513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56"/>
        </w:trPr>
        <w:tc>
          <w:tcPr>
            <w:tcW w:w="1600" w:type="dxa"/>
            <w:vAlign w:val="bottom"/>
            <w:shd w:val="clear" w:color="auto" w:fill="CFF0FC"/>
          </w:tcPr>
          <w:p>
            <w:pPr>
              <w:spacing w:after="0"/>
              <w:rPr>
                <w:sz w:val="13"/>
                <w:szCs w:val="13"/>
                <w:color w:val="auto"/>
              </w:rPr>
            </w:pP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22,110</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25,669</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54"/>
        </w:trPr>
        <w:tc>
          <w:tcPr>
            <w:tcW w:w="1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8"/>
        </w:trPr>
        <w:tc>
          <w:tcPr>
            <w:tcW w:w="160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TherapeuticsMD, Inc. </w:t>
            </w:r>
            <w:r>
              <w:rPr>
                <w:rFonts w:ascii="Times New Roman" w:cs="Times New Roman" w:eastAsia="Times New Roman" w:hAnsi="Times New Roman"/>
                <w:sz w:val="14"/>
                <w:szCs w:val="14"/>
                <w:color w:val="auto"/>
                <w:vertAlign w:val="superscript"/>
              </w:rPr>
              <w:t>(4)(11)</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14,256 Warrants</w:t>
            </w: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8/5/2020</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1,029</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4"/>
                <w:szCs w:val="14"/>
                <w:color w:val="auto"/>
                <w:vertAlign w:val="superscript"/>
              </w:rPr>
              <w:t>(11)</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Class A Units (687 units)</w:t>
            </w:r>
          </w:p>
        </w:tc>
        <w:tc>
          <w:tcPr>
            <w:tcW w:w="11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3/16/2021</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50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Copper Bidco, LLC</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Trust Certificates (132,928 Certificates)</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12/7/2020</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00" w:type="dxa"/>
            <w:vAlign w:val="bottom"/>
          </w:tcPr>
          <w:p>
            <w:pPr>
              <w:spacing w:after="0"/>
              <w:rPr>
                <w:sz w:val="13"/>
                <w:szCs w:val="13"/>
                <w:color w:val="auto"/>
              </w:rPr>
            </w:pPr>
          </w:p>
        </w:tc>
        <w:tc>
          <w:tcPr>
            <w:tcW w:w="2600" w:type="dxa"/>
            <w:vAlign w:val="bottom"/>
          </w:tcPr>
          <w:p>
            <w:pPr>
              <w:ind w:left="80"/>
              <w:spacing w:after="0" w:line="156" w:lineRule="exact"/>
              <w:rPr>
                <w:sz w:val="20"/>
                <w:szCs w:val="20"/>
                <w:color w:val="auto"/>
              </w:rPr>
            </w:pPr>
            <w:r>
              <w:rPr>
                <w:rFonts w:ascii="Times New Roman" w:cs="Times New Roman" w:eastAsia="Times New Roman" w:hAnsi="Times New Roman"/>
                <w:sz w:val="11"/>
                <w:szCs w:val="11"/>
                <w:color w:val="auto"/>
              </w:rPr>
              <w:t xml:space="preserve">Trust Certificates (996,958 Certificates) </w:t>
            </w:r>
            <w:r>
              <w:rPr>
                <w:rFonts w:ascii="Times New Roman" w:cs="Times New Roman" w:eastAsia="Times New Roman" w:hAnsi="Times New Roman"/>
                <w:sz w:val="14"/>
                <w:szCs w:val="14"/>
                <w:color w:val="auto"/>
                <w:vertAlign w:val="superscript"/>
              </w:rPr>
              <w:t>(9)</w:t>
            </w:r>
          </w:p>
        </w:tc>
        <w:tc>
          <w:tcPr>
            <w:tcW w:w="11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1/30/2021</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2,589</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10,089</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6"/>
        </w:trPr>
        <w:tc>
          <w:tcPr>
            <w:tcW w:w="1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14"/>
                <w:szCs w:val="14"/>
                <w:color w:val="auto"/>
                <w:vertAlign w:val="superscript"/>
              </w:rPr>
              <w:t>(11)(13)</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Class A Units (1,176,494 units)</w:t>
            </w: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12/21/2021</w:t>
            </w: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3,000</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2,430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4"/>
        </w:trPr>
        <w:tc>
          <w:tcPr>
            <w:tcW w:w="16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5,589</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12,569</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5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Structured Credit</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20"/>
        </w:trPr>
        <w:tc>
          <w:tcPr>
            <w:tcW w:w="160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Allegro CLO Ltd, Series 2018-1A,</w:t>
            </w:r>
          </w:p>
        </w:tc>
        <w:tc>
          <w:tcPr>
            <w:tcW w:w="2600" w:type="dxa"/>
            <w:vAlign w:val="bottom"/>
          </w:tcPr>
          <w:p>
            <w:pPr>
              <w:ind w:left="80"/>
              <w:spacing w:after="0" w:line="120" w:lineRule="exact"/>
              <w:rPr>
                <w:sz w:val="20"/>
                <w:szCs w:val="20"/>
                <w:color w:val="auto"/>
              </w:rPr>
            </w:pPr>
            <w:r>
              <w:rPr>
                <w:rFonts w:ascii="Times New Roman" w:cs="Times New Roman" w:eastAsia="Times New Roman" w:hAnsi="Times New Roman"/>
                <w:sz w:val="11"/>
                <w:szCs w:val="11"/>
                <w:color w:val="auto"/>
              </w:rPr>
              <w:t>Structured Credit ($1,000 par, due 6/2031)</w:t>
            </w:r>
          </w:p>
        </w:tc>
        <w:tc>
          <w:tcPr>
            <w:tcW w:w="118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rPr>
              <w:t>5/26/2022</w:t>
            </w:r>
          </w:p>
        </w:tc>
        <w:tc>
          <w:tcPr>
            <w:tcW w:w="1180" w:type="dxa"/>
            <w:vAlign w:val="bottom"/>
          </w:tcPr>
          <w:p>
            <w:pPr>
              <w:ind w:left="180"/>
              <w:spacing w:after="0" w:line="120" w:lineRule="exact"/>
              <w:rPr>
                <w:sz w:val="20"/>
                <w:szCs w:val="20"/>
                <w:color w:val="auto"/>
              </w:rPr>
            </w:pPr>
            <w:r>
              <w:rPr>
                <w:rFonts w:ascii="Times New Roman" w:cs="Times New Roman" w:eastAsia="Times New Roman" w:hAnsi="Times New Roman"/>
                <w:sz w:val="11"/>
                <w:szCs w:val="11"/>
                <w:color w:val="auto"/>
              </w:rPr>
              <w:t>SOFR + 3.11%</w:t>
            </w:r>
          </w:p>
        </w:tc>
        <w:tc>
          <w:tcPr>
            <w:tcW w:w="1180" w:type="dxa"/>
            <w:vAlign w:val="bottom"/>
          </w:tcPr>
          <w:p>
            <w:pPr>
              <w:jc w:val="right"/>
              <w:ind w:right="446"/>
              <w:spacing w:after="0" w:line="120" w:lineRule="exact"/>
              <w:rPr>
                <w:sz w:val="20"/>
                <w:szCs w:val="20"/>
                <w:color w:val="auto"/>
              </w:rPr>
            </w:pPr>
            <w:r>
              <w:rPr>
                <w:rFonts w:ascii="Times New Roman" w:cs="Times New Roman" w:eastAsia="Times New Roman" w:hAnsi="Times New Roman"/>
                <w:sz w:val="11"/>
                <w:szCs w:val="11"/>
                <w:color w:val="auto"/>
              </w:rPr>
              <w:t>8.51%</w:t>
            </w:r>
          </w:p>
        </w:tc>
        <w:tc>
          <w:tcPr>
            <w:tcW w:w="1040" w:type="dxa"/>
            <w:vAlign w:val="bottom"/>
          </w:tcPr>
          <w:p>
            <w:pPr>
              <w:jc w:val="right"/>
              <w:ind w:right="186"/>
              <w:spacing w:after="0" w:line="120" w:lineRule="exact"/>
              <w:rPr>
                <w:sz w:val="20"/>
                <w:szCs w:val="20"/>
                <w:color w:val="auto"/>
              </w:rPr>
            </w:pPr>
            <w:r>
              <w:rPr>
                <w:rFonts w:ascii="Times New Roman" w:cs="Times New Roman" w:eastAsia="Times New Roman" w:hAnsi="Times New Roman"/>
                <w:sz w:val="11"/>
                <w:szCs w:val="11"/>
                <w:color w:val="auto"/>
              </w:rPr>
              <w:t>983</w:t>
            </w:r>
          </w:p>
        </w:tc>
        <w:tc>
          <w:tcPr>
            <w:tcW w:w="1200" w:type="dxa"/>
            <w:vAlign w:val="bottom"/>
          </w:tcPr>
          <w:p>
            <w:pPr>
              <w:jc w:val="right"/>
              <w:ind w:right="326"/>
              <w:spacing w:after="0" w:line="120" w:lineRule="exact"/>
              <w:rPr>
                <w:sz w:val="20"/>
                <w:szCs w:val="20"/>
                <w:color w:val="auto"/>
              </w:rPr>
            </w:pPr>
            <w:r>
              <w:rPr>
                <w:rFonts w:ascii="Times New Roman" w:cs="Times New Roman" w:eastAsia="Times New Roman" w:hAnsi="Times New Roman"/>
                <w:sz w:val="11"/>
                <w:szCs w:val="11"/>
                <w:color w:val="auto"/>
              </w:rPr>
              <w:t>971</w:t>
            </w:r>
          </w:p>
        </w:tc>
        <w:tc>
          <w:tcPr>
            <w:tcW w:w="5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0.0%</w:t>
            </w:r>
          </w:p>
        </w:tc>
      </w:tr>
      <w:tr>
        <w:trPr>
          <w:trHeight w:val="94"/>
        </w:trPr>
        <w:tc>
          <w:tcPr>
            <w:tcW w:w="1600" w:type="dxa"/>
            <w:vAlign w:val="bottom"/>
          </w:tcPr>
          <w:p>
            <w:pPr>
              <w:ind w:left="20"/>
              <w:spacing w:after="0"/>
              <w:rPr>
                <w:sz w:val="20"/>
                <w:szCs w:val="20"/>
                <w:color w:val="auto"/>
              </w:rPr>
            </w:pPr>
            <w:r>
              <w:rPr>
                <w:rFonts w:ascii="Times New Roman" w:cs="Times New Roman" w:eastAsia="Times New Roman" w:hAnsi="Times New Roman"/>
                <w:sz w:val="7"/>
                <w:szCs w:val="7"/>
                <w:color w:val="auto"/>
              </w:rPr>
              <w:t>(3)(4)(9)</w:t>
            </w:r>
          </w:p>
        </w:tc>
        <w:tc>
          <w:tcPr>
            <w:tcW w:w="2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38"/>
        </w:trPr>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32"/>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American Money Management</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Structured Credit ($1,500 par, due 5/2031)</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6/22/2022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+ 3.31%</w:t>
            </w:r>
          </w:p>
        </w:tc>
        <w:tc>
          <w:tcPr>
            <w:tcW w:w="118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11"/>
                <w:szCs w:val="11"/>
                <w:color w:val="auto"/>
              </w:rPr>
              <w:t>8.70%</w:t>
            </w: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1,359</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1,475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20"/>
        </w:trPr>
        <w:tc>
          <w:tcPr>
            <w:tcW w:w="160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Corp CLO Ltd, Series 2016-18A </w:t>
            </w:r>
            <w:r>
              <w:rPr>
                <w:rFonts w:ascii="Times New Roman" w:cs="Times New Roman" w:eastAsia="Times New Roman" w:hAnsi="Times New Roman"/>
                <w:sz w:val="13"/>
                <w:szCs w:val="13"/>
                <w:color w:val="auto"/>
                <w:vertAlign w:val="superscript"/>
              </w:rPr>
              <w:t>(3)</w:t>
            </w:r>
          </w:p>
        </w:tc>
        <w:tc>
          <w:tcPr>
            <w:tcW w:w="260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r>
      <w:tr>
        <w:trPr>
          <w:trHeight w:val="112"/>
        </w:trPr>
        <w:tc>
          <w:tcPr>
            <w:tcW w:w="1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(4)(9)</w:t>
            </w:r>
          </w:p>
        </w:tc>
        <w:tc>
          <w:tcPr>
            <w:tcW w:w="260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CFF0FC"/>
            </w:tcBorders>
            <w:shd w:val="clear" w:color="auto" w:fill="CFF0FC"/>
          </w:tcPr>
          <w:p>
            <w:pPr>
              <w:spacing w:after="0"/>
              <w:rPr>
                <w:sz w:val="9"/>
                <w:szCs w:val="9"/>
                <w:color w:val="auto"/>
              </w:rPr>
            </w:pPr>
          </w:p>
        </w:tc>
        <w:tc>
          <w:tcPr>
            <w:tcW w:w="1040" w:type="dxa"/>
            <w:vAlign w:val="bottom"/>
            <w:tcBorders>
              <w:bottom w:val="single" w:sz="8" w:color="CFF0FC"/>
            </w:tcBorders>
            <w:shd w:val="clear" w:color="auto" w:fill="CFF0FC"/>
          </w:tcPr>
          <w:p>
            <w:pPr>
              <w:spacing w:after="0"/>
              <w:rPr>
                <w:sz w:val="9"/>
                <w:szCs w:val="9"/>
                <w:color w:val="auto"/>
              </w:rPr>
            </w:pPr>
          </w:p>
        </w:tc>
        <w:tc>
          <w:tcPr>
            <w:tcW w:w="120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shd w:val="clear" w:color="auto" w:fill="CFF0FC"/>
          </w:tcPr>
          <w:p>
            <w:pPr>
              <w:spacing w:after="0"/>
              <w:rPr>
                <w:sz w:val="9"/>
                <w:szCs w:val="9"/>
                <w:color w:val="auto"/>
              </w:rPr>
            </w:pPr>
          </w:p>
        </w:tc>
      </w:tr>
      <w:tr>
        <w:trPr>
          <w:trHeight w:val="120"/>
        </w:trPr>
        <w:tc>
          <w:tcPr>
            <w:tcW w:w="16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Ares CLO Ltd, Series 2021-59A </w:t>
            </w:r>
            <w:r>
              <w:rPr>
                <w:rFonts w:ascii="Times New Roman" w:cs="Times New Roman" w:eastAsia="Times New Roman" w:hAnsi="Times New Roman"/>
                <w:sz w:val="13"/>
                <w:szCs w:val="13"/>
                <w:color w:val="auto"/>
                <w:vertAlign w:val="superscript"/>
              </w:rPr>
              <w:t>(3)</w:t>
            </w:r>
          </w:p>
        </w:tc>
        <w:tc>
          <w:tcPr>
            <w:tcW w:w="2600" w:type="dxa"/>
            <w:vAlign w:val="bottom"/>
          </w:tcPr>
          <w:p>
            <w:pPr>
              <w:ind w:left="80"/>
              <w:spacing w:after="0" w:line="120" w:lineRule="exact"/>
              <w:rPr>
                <w:sz w:val="20"/>
                <w:szCs w:val="20"/>
                <w:color w:val="auto"/>
              </w:rPr>
            </w:pPr>
            <w:r>
              <w:rPr>
                <w:rFonts w:ascii="Times New Roman" w:cs="Times New Roman" w:eastAsia="Times New Roman" w:hAnsi="Times New Roman"/>
                <w:sz w:val="11"/>
                <w:szCs w:val="11"/>
                <w:color w:val="auto"/>
              </w:rPr>
              <w:t>Structured Credit ($1,000 par, due 4/2034)</w:t>
            </w:r>
          </w:p>
        </w:tc>
        <w:tc>
          <w:tcPr>
            <w:tcW w:w="118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rPr>
              <w:t>6/23/2022</w:t>
            </w:r>
          </w:p>
        </w:tc>
        <w:tc>
          <w:tcPr>
            <w:tcW w:w="1180" w:type="dxa"/>
            <w:vAlign w:val="bottom"/>
          </w:tcPr>
          <w:p>
            <w:pPr>
              <w:ind w:left="180"/>
              <w:spacing w:after="0" w:line="120" w:lineRule="exact"/>
              <w:rPr>
                <w:sz w:val="20"/>
                <w:szCs w:val="20"/>
                <w:color w:val="auto"/>
              </w:rPr>
            </w:pPr>
            <w:r>
              <w:rPr>
                <w:rFonts w:ascii="Times New Roman" w:cs="Times New Roman" w:eastAsia="Times New Roman" w:hAnsi="Times New Roman"/>
                <w:sz w:val="11"/>
                <w:szCs w:val="11"/>
                <w:color w:val="auto"/>
              </w:rPr>
              <w:t>SOFR + 6.51%</w:t>
            </w:r>
          </w:p>
        </w:tc>
        <w:tc>
          <w:tcPr>
            <w:tcW w:w="1180" w:type="dxa"/>
            <w:vAlign w:val="bottom"/>
          </w:tcPr>
          <w:p>
            <w:pPr>
              <w:jc w:val="right"/>
              <w:ind w:right="446"/>
              <w:spacing w:after="0" w:line="120" w:lineRule="exact"/>
              <w:rPr>
                <w:sz w:val="20"/>
                <w:szCs w:val="20"/>
                <w:color w:val="auto"/>
              </w:rPr>
            </w:pPr>
            <w:r>
              <w:rPr>
                <w:rFonts w:ascii="Times New Roman" w:cs="Times New Roman" w:eastAsia="Times New Roman" w:hAnsi="Times New Roman"/>
                <w:sz w:val="11"/>
                <w:szCs w:val="11"/>
                <w:color w:val="auto"/>
              </w:rPr>
              <w:t>11.89%</w:t>
            </w:r>
          </w:p>
        </w:tc>
        <w:tc>
          <w:tcPr>
            <w:tcW w:w="1040" w:type="dxa"/>
            <w:vAlign w:val="bottom"/>
          </w:tcPr>
          <w:p>
            <w:pPr>
              <w:jc w:val="right"/>
              <w:ind w:right="186"/>
              <w:spacing w:after="0" w:line="120" w:lineRule="exact"/>
              <w:rPr>
                <w:sz w:val="20"/>
                <w:szCs w:val="20"/>
                <w:color w:val="auto"/>
              </w:rPr>
            </w:pPr>
            <w:r>
              <w:rPr>
                <w:rFonts w:ascii="Times New Roman" w:cs="Times New Roman" w:eastAsia="Times New Roman" w:hAnsi="Times New Roman"/>
                <w:sz w:val="11"/>
                <w:szCs w:val="11"/>
                <w:color w:val="auto"/>
              </w:rPr>
              <w:t>898</w:t>
            </w:r>
          </w:p>
        </w:tc>
        <w:tc>
          <w:tcPr>
            <w:tcW w:w="1200" w:type="dxa"/>
            <w:vAlign w:val="bottom"/>
          </w:tcPr>
          <w:p>
            <w:pPr>
              <w:jc w:val="right"/>
              <w:ind w:right="326"/>
              <w:spacing w:after="0" w:line="120" w:lineRule="exact"/>
              <w:rPr>
                <w:sz w:val="20"/>
                <w:szCs w:val="20"/>
                <w:color w:val="auto"/>
              </w:rPr>
            </w:pPr>
            <w:r>
              <w:rPr>
                <w:rFonts w:ascii="Times New Roman" w:cs="Times New Roman" w:eastAsia="Times New Roman" w:hAnsi="Times New Roman"/>
                <w:sz w:val="11"/>
                <w:szCs w:val="11"/>
                <w:color w:val="auto"/>
              </w:rPr>
              <w:t>967</w:t>
            </w:r>
          </w:p>
        </w:tc>
        <w:tc>
          <w:tcPr>
            <w:tcW w:w="5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0.0%</w:t>
            </w:r>
          </w:p>
        </w:tc>
      </w:tr>
      <w:tr>
        <w:trPr>
          <w:trHeight w:val="94"/>
        </w:trPr>
        <w:tc>
          <w:tcPr>
            <w:tcW w:w="1600" w:type="dxa"/>
            <w:vAlign w:val="bottom"/>
          </w:tcPr>
          <w:p>
            <w:pPr>
              <w:ind w:left="20"/>
              <w:spacing w:after="0"/>
              <w:rPr>
                <w:sz w:val="20"/>
                <w:szCs w:val="20"/>
                <w:color w:val="auto"/>
              </w:rPr>
            </w:pPr>
            <w:r>
              <w:rPr>
                <w:rFonts w:ascii="Times New Roman" w:cs="Times New Roman" w:eastAsia="Times New Roman" w:hAnsi="Times New Roman"/>
                <w:sz w:val="7"/>
                <w:szCs w:val="7"/>
                <w:color w:val="auto"/>
              </w:rPr>
              <w:t>(4)(9)</w:t>
            </w:r>
          </w:p>
        </w:tc>
        <w:tc>
          <w:tcPr>
            <w:tcW w:w="2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38"/>
        </w:trPr>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32"/>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Ares Loan Funding I Ltd, Series</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Structured Credit ($1,000 par, due 10/2034)</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6/24/2022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+ 6.96%</w:t>
            </w:r>
          </w:p>
        </w:tc>
        <w:tc>
          <w:tcPr>
            <w:tcW w:w="118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11"/>
                <w:szCs w:val="11"/>
                <w:color w:val="auto"/>
              </w:rPr>
              <w:t>12.36%</w:t>
            </w: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944</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988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2021-ALFA, Class E </w:t>
            </w:r>
            <w:r>
              <w:rPr>
                <w:rFonts w:ascii="Times New Roman" w:cs="Times New Roman" w:eastAsia="Times New Roman" w:hAnsi="Times New Roman"/>
                <w:sz w:val="14"/>
                <w:szCs w:val="14"/>
                <w:color w:val="auto"/>
                <w:vertAlign w:val="superscript"/>
              </w:rPr>
              <w:t>(3)(4)(9)</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32"/>
        </w:trPr>
        <w:tc>
          <w:tcPr>
            <w:tcW w:w="1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Bain Capital Credit CLO Ltd,</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Structured Credit ($500 par, due 4/2031)</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10/15/2020</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+ 5.61%</w:t>
            </w:r>
          </w:p>
        </w:tc>
        <w:tc>
          <w:tcPr>
            <w:tcW w:w="118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11.02%</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429</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445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Series 2018-1A </w:t>
            </w:r>
            <w:r>
              <w:rPr>
                <w:rFonts w:ascii="Times New Roman" w:cs="Times New Roman" w:eastAsia="Times New Roman" w:hAnsi="Times New Roman"/>
                <w:sz w:val="14"/>
                <w:szCs w:val="14"/>
                <w:color w:val="auto"/>
                <w:vertAlign w:val="superscript"/>
              </w:rPr>
              <w:t>(3)(4)(9)</w:t>
            </w: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32"/>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Battalion CLO Ltd, Series 2021-</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Structured Credit ($1,300 par, due 7/2034)</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7/13/2022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+ 3.56%</w:t>
            </w:r>
          </w:p>
        </w:tc>
        <w:tc>
          <w:tcPr>
            <w:tcW w:w="118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11"/>
                <w:szCs w:val="11"/>
                <w:color w:val="auto"/>
              </w:rPr>
              <w:t>8.96%</w:t>
            </w: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1,170</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1,252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0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21A</w:t>
            </w:r>
            <w:r>
              <w:rPr>
                <w:rFonts w:ascii="Times New Roman" w:cs="Times New Roman" w:eastAsia="Times New Roman" w:hAnsi="Times New Roman"/>
                <w:sz w:val="7"/>
                <w:szCs w:val="7"/>
                <w:color w:val="auto"/>
              </w:rPr>
              <w:t xml:space="preserve"> (3)(4)(9)</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32"/>
        </w:trPr>
        <w:tc>
          <w:tcPr>
            <w:tcW w:w="1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Benefit Street Partners CLO Ltd,</w:t>
            </w:r>
          </w:p>
        </w:tc>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Structured Credit ($2,500 par, due 7/2034)</w:t>
            </w:r>
          </w:p>
        </w:tc>
        <w:tc>
          <w:tcPr>
            <w:tcW w:w="11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7/13/2022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+ 4.11%</w:t>
            </w:r>
          </w:p>
        </w:tc>
        <w:tc>
          <w:tcPr>
            <w:tcW w:w="118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9.53%</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2,194</w:t>
            </w: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2,465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6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Series 2015-BR </w:t>
            </w:r>
            <w:r>
              <w:rPr>
                <w:rFonts w:ascii="Times New Roman" w:cs="Times New Roman" w:eastAsia="Times New Roman" w:hAnsi="Times New Roman"/>
                <w:sz w:val="14"/>
                <w:szCs w:val="14"/>
                <w:color w:val="auto"/>
                <w:vertAlign w:val="superscript"/>
              </w:rPr>
              <w:t>(3)(4)(9)</w:t>
            </w:r>
          </w:p>
        </w:tc>
        <w:tc>
          <w:tcPr>
            <w:tcW w:w="2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32"/>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Benefit Street Partners CLO Ltd,</w:t>
            </w: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Structured Credit ($1,425 par, due 1/2031)</w:t>
            </w:r>
          </w:p>
        </w:tc>
        <w:tc>
          <w:tcPr>
            <w:tcW w:w="11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9/13/2022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+ 3.01%</w:t>
            </w:r>
          </w:p>
        </w:tc>
        <w:tc>
          <w:tcPr>
            <w:tcW w:w="118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11"/>
                <w:szCs w:val="11"/>
                <w:color w:val="auto"/>
              </w:rPr>
              <w:t>8.43%</w:t>
            </w:r>
          </w:p>
        </w:tc>
        <w:tc>
          <w:tcPr>
            <w:tcW w:w="10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1,289</w:t>
            </w:r>
          </w:p>
        </w:tc>
        <w:tc>
          <w:tcPr>
            <w:tcW w:w="120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1,367</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Series 2015-8A </w:t>
            </w:r>
            <w:r>
              <w:rPr>
                <w:rFonts w:ascii="Times New Roman" w:cs="Times New Roman" w:eastAsia="Times New Roman" w:hAnsi="Times New Roman"/>
                <w:sz w:val="14"/>
                <w:szCs w:val="14"/>
                <w:color w:val="auto"/>
                <w:vertAlign w:val="superscript"/>
              </w:rPr>
              <w:t>(3)(4)(9)</w:t>
            </w:r>
          </w:p>
        </w:tc>
        <w:tc>
          <w:tcPr>
            <w:tcW w:w="2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98" w:right="68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26"/>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Carlyle Global Market Strategies</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7/2030)</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5/26/2022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+ 3.16%</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8.56%</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CLO Ltd, Series 2014-4RA </w:t>
            </w:r>
            <w:r>
              <w:rPr>
                <w:rFonts w:ascii="Times New Roman" w:cs="Times New Roman" w:eastAsia="Times New Roman" w:hAnsi="Times New Roman"/>
                <w:sz w:val="14"/>
                <w:szCs w:val="14"/>
                <w:color w:val="auto"/>
                <w:vertAlign w:val="superscript"/>
              </w:rPr>
              <w:t>(3)(4)(9)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Carlyle Global Market Strategies</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($1,600 par, due 4/2034)</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2/15/2023</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+ 6.86%</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12.28%</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1,430</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w w:val="97"/>
              </w:rPr>
              <w:t xml:space="preserve">CLO Ltd, Series 2016-1, Ltd </w:t>
            </w:r>
            <w:r>
              <w:rPr>
                <w:rFonts w:ascii="Times New Roman" w:cs="Times New Roman" w:eastAsia="Times New Roman" w:hAnsi="Times New Roman"/>
                <w:sz w:val="14"/>
                <w:szCs w:val="14"/>
                <w:color w:val="auto"/>
                <w:w w:val="97"/>
                <w:vertAlign w:val="superscript"/>
              </w:rPr>
              <w:t>(3)(4)(9)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Carlyle Global Market Strategies</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($1,550 par, due 4/2031)</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8/11/2020</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+ 6.01%</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11.42%</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CLO Ltd, Series 2018-1A </w:t>
            </w:r>
            <w:r>
              <w:rPr>
                <w:rFonts w:ascii="Times New Roman" w:cs="Times New Roman" w:eastAsia="Times New Roman" w:hAnsi="Times New Roman"/>
                <w:sz w:val="14"/>
                <w:szCs w:val="14"/>
                <w:color w:val="auto"/>
                <w:vertAlign w:val="superscript"/>
              </w:rPr>
              <w:t>(3)(4)(9)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CarVal CLO III Ltd, Series 2019-</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7/2032)</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6/30/2022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+ 6.70%</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12.11%</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Cedar Funding CLO Ltd, Series</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1/2031)</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7/21/2022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+ 4.81%</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10.23%</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2018-7A</w:t>
            </w:r>
            <w:r>
              <w:rPr>
                <w:rFonts w:ascii="Times New Roman" w:cs="Times New Roman" w:eastAsia="Times New Roman" w:hAnsi="Times New Roman"/>
                <w:sz w:val="7"/>
                <w:szCs w:val="7"/>
                <w:color w:val="auto"/>
              </w:rPr>
              <w:t xml:space="preserve"> (3)(4)(9)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0"/>
        </w:trPr>
        <w:tc>
          <w:tcPr>
            <w:tcW w:w="16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CIFC CLO Ltd, Series 2018-3A </w:t>
            </w:r>
            <w:r>
              <w:rPr>
                <w:rFonts w:ascii="Times New Roman" w:cs="Times New Roman" w:eastAsia="Times New Roman" w:hAnsi="Times New Roman"/>
                <w:sz w:val="13"/>
                <w:szCs w:val="13"/>
                <w:color w:val="auto"/>
                <w:vertAlign w:val="superscript"/>
              </w:rPr>
              <w:t>(3)</w:t>
            </w:r>
          </w:p>
        </w:tc>
        <w:tc>
          <w:tcPr>
            <w:tcW w:w="2520" w:type="dxa"/>
            <w:vAlign w:val="bottom"/>
            <w:shd w:val="clear" w:color="auto" w:fill="CFF0FC"/>
          </w:tcPr>
          <w:p>
            <w:pPr>
              <w:ind w:left="60"/>
              <w:spacing w:after="0" w:line="120" w:lineRule="exact"/>
              <w:rPr>
                <w:sz w:val="20"/>
                <w:szCs w:val="20"/>
                <w:color w:val="auto"/>
              </w:rPr>
            </w:pPr>
            <w:r>
              <w:rPr>
                <w:rFonts w:ascii="Times New Roman" w:cs="Times New Roman" w:eastAsia="Times New Roman" w:hAnsi="Times New Roman"/>
                <w:sz w:val="11"/>
                <w:szCs w:val="11"/>
                <w:color w:val="auto"/>
              </w:rPr>
              <w:t>Structured Credit ($1,000 par, due 7/2031)</w:t>
            </w:r>
          </w:p>
        </w:tc>
        <w:tc>
          <w:tcPr>
            <w:tcW w:w="1240" w:type="dxa"/>
            <w:vAlign w:val="bottom"/>
            <w:shd w:val="clear" w:color="auto" w:fill="CFF0FC"/>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rPr>
              <w:t>6/16/2022</w:t>
            </w:r>
          </w:p>
        </w:tc>
        <w:tc>
          <w:tcPr>
            <w:tcW w:w="1180" w:type="dxa"/>
            <w:vAlign w:val="bottom"/>
            <w:shd w:val="clear" w:color="auto" w:fill="CFF0FC"/>
          </w:tcPr>
          <w:p>
            <w:pPr>
              <w:ind w:left="180"/>
              <w:spacing w:after="0" w:line="120" w:lineRule="exact"/>
              <w:rPr>
                <w:sz w:val="20"/>
                <w:szCs w:val="20"/>
                <w:color w:val="auto"/>
              </w:rPr>
            </w:pPr>
            <w:r>
              <w:rPr>
                <w:rFonts w:ascii="Times New Roman" w:cs="Times New Roman" w:eastAsia="Times New Roman" w:hAnsi="Times New Roman"/>
                <w:sz w:val="11"/>
                <w:szCs w:val="11"/>
                <w:color w:val="auto"/>
              </w:rPr>
              <w:t>SOFR + 5.76%</w:t>
            </w:r>
          </w:p>
        </w:tc>
        <w:tc>
          <w:tcPr>
            <w:tcW w:w="800" w:type="dxa"/>
            <w:vAlign w:val="bottom"/>
            <w:shd w:val="clear" w:color="auto" w:fill="CFF0FC"/>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11.16%</w:t>
            </w: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904</w:t>
            </w: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956</w:t>
            </w:r>
          </w:p>
        </w:tc>
        <w:tc>
          <w:tcPr>
            <w:tcW w:w="960" w:type="dxa"/>
            <w:vAlign w:val="bottom"/>
            <w:gridSpan w:val="2"/>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0.0%</w:t>
            </w:r>
          </w:p>
        </w:tc>
      </w:tr>
      <w:tr>
        <w:trPr>
          <w:trHeight w:val="112"/>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(4)(9)</w:t>
            </w:r>
          </w:p>
        </w:tc>
        <w:tc>
          <w:tcPr>
            <w:tcW w:w="2520" w:type="dxa"/>
            <w:vAlign w:val="bottom"/>
            <w:tcBorders>
              <w:bottom w:val="single" w:sz="8" w:color="CFF0FC"/>
            </w:tcBorders>
            <w:shd w:val="clear" w:color="auto" w:fill="CFF0FC"/>
          </w:tcPr>
          <w:p>
            <w:pPr>
              <w:spacing w:after="0"/>
              <w:rPr>
                <w:sz w:val="9"/>
                <w:szCs w:val="9"/>
                <w:color w:val="auto"/>
              </w:rPr>
            </w:pPr>
          </w:p>
        </w:tc>
        <w:tc>
          <w:tcPr>
            <w:tcW w:w="124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r>
      <w:tr>
        <w:trPr>
          <w:trHeight w:val="120"/>
        </w:trPr>
        <w:tc>
          <w:tcPr>
            <w:tcW w:w="16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CIFC CLO Ltd, Series 2021-4A </w:t>
            </w:r>
            <w:r>
              <w:rPr>
                <w:rFonts w:ascii="Times New Roman" w:cs="Times New Roman" w:eastAsia="Times New Roman" w:hAnsi="Times New Roman"/>
                <w:sz w:val="13"/>
                <w:szCs w:val="13"/>
                <w:color w:val="auto"/>
                <w:vertAlign w:val="superscript"/>
              </w:rPr>
              <w:t>(3)</w:t>
            </w:r>
          </w:p>
        </w:tc>
        <w:tc>
          <w:tcPr>
            <w:tcW w:w="2520" w:type="dxa"/>
            <w:vAlign w:val="bottom"/>
          </w:tcPr>
          <w:p>
            <w:pPr>
              <w:ind w:left="60"/>
              <w:spacing w:after="0" w:line="120" w:lineRule="exact"/>
              <w:rPr>
                <w:sz w:val="20"/>
                <w:szCs w:val="20"/>
                <w:color w:val="auto"/>
              </w:rPr>
            </w:pPr>
            <w:r>
              <w:rPr>
                <w:rFonts w:ascii="Times New Roman" w:cs="Times New Roman" w:eastAsia="Times New Roman" w:hAnsi="Times New Roman"/>
                <w:sz w:val="11"/>
                <w:szCs w:val="11"/>
                <w:color w:val="auto"/>
              </w:rPr>
              <w:t>Structured Credit ($1,000 par, due 7/2033)</w:t>
            </w:r>
          </w:p>
        </w:tc>
        <w:tc>
          <w:tcPr>
            <w:tcW w:w="124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rPr>
              <w:t>7/14/2022</w:t>
            </w:r>
          </w:p>
        </w:tc>
        <w:tc>
          <w:tcPr>
            <w:tcW w:w="1180" w:type="dxa"/>
            <w:vAlign w:val="bottom"/>
          </w:tcPr>
          <w:p>
            <w:pPr>
              <w:ind w:left="180"/>
              <w:spacing w:after="0" w:line="120" w:lineRule="exact"/>
              <w:rPr>
                <w:sz w:val="20"/>
                <w:szCs w:val="20"/>
                <w:color w:val="auto"/>
              </w:rPr>
            </w:pPr>
            <w:r>
              <w:rPr>
                <w:rFonts w:ascii="Times New Roman" w:cs="Times New Roman" w:eastAsia="Times New Roman" w:hAnsi="Times New Roman"/>
                <w:sz w:val="11"/>
                <w:szCs w:val="11"/>
                <w:color w:val="auto"/>
              </w:rPr>
              <w:t>SOFR + 6.26%</w:t>
            </w:r>
          </w:p>
        </w:tc>
        <w:tc>
          <w:tcPr>
            <w:tcW w:w="800" w:type="dxa"/>
            <w:vAlign w:val="bottom"/>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11.66%</w:t>
            </w:r>
          </w:p>
        </w:tc>
        <w:tc>
          <w:tcPr>
            <w:tcW w:w="400" w:type="dxa"/>
            <w:vAlign w:val="bottom"/>
          </w:tcPr>
          <w:p>
            <w:pPr>
              <w:spacing w:after="0"/>
              <w:rPr>
                <w:sz w:val="10"/>
                <w:szCs w:val="10"/>
                <w:color w:val="auto"/>
              </w:rPr>
            </w:pPr>
          </w:p>
        </w:tc>
        <w:tc>
          <w:tcPr>
            <w:tcW w:w="8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900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991</w:t>
            </w:r>
          </w:p>
        </w:tc>
        <w:tc>
          <w:tcPr>
            <w:tcW w:w="9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0.1%</w:t>
            </w:r>
          </w:p>
        </w:tc>
      </w:tr>
      <w:tr>
        <w:trPr>
          <w:trHeight w:val="94"/>
        </w:trPr>
        <w:tc>
          <w:tcPr>
            <w:tcW w:w="1620" w:type="dxa"/>
            <w:vAlign w:val="bottom"/>
          </w:tcPr>
          <w:p>
            <w:pPr>
              <w:ind w:left="20"/>
              <w:spacing w:after="0"/>
              <w:rPr>
                <w:sz w:val="20"/>
                <w:szCs w:val="20"/>
                <w:color w:val="auto"/>
              </w:rPr>
            </w:pPr>
            <w:r>
              <w:rPr>
                <w:rFonts w:ascii="Times New Roman" w:cs="Times New Roman" w:eastAsia="Times New Roman" w:hAnsi="Times New Roman"/>
                <w:sz w:val="7"/>
                <w:szCs w:val="7"/>
                <w:color w:val="auto"/>
              </w:rPr>
              <w:t>(4)(9)</w:t>
            </w:r>
          </w:p>
        </w:tc>
        <w:tc>
          <w:tcPr>
            <w:tcW w:w="2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38"/>
        </w:trPr>
        <w:tc>
          <w:tcPr>
            <w:tcW w:w="16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Crown Point CLO Ltd, Series</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7/2034)</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6/14/2022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+ 7.11%</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12.53%</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2021-10A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Dryden Senior Loan Fund, Series</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4/2031)</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7/25/2022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+ 3.11%</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8.51%</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2018-55A</w:t>
            </w:r>
            <w:r>
              <w:rPr>
                <w:rFonts w:ascii="Times New Roman" w:cs="Times New Roman" w:eastAsia="Times New Roman" w:hAnsi="Times New Roman"/>
                <w:sz w:val="7"/>
                <w:szCs w:val="7"/>
                <w:color w:val="auto"/>
              </w:rPr>
              <w:t xml:space="preserve"> (3)(4)(9)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Dryden Senior Loan Fund, Series</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($1,500 par, due 7/2034)</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8/17/2022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+ 6.76%</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12.16%</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1,463</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2020-86A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20"/>
        </w:trPr>
        <w:tc>
          <w:tcPr>
            <w:tcW w:w="16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Eaton CLO Ltd, Series 2015-1A </w:t>
            </w:r>
            <w:r>
              <w:rPr>
                <w:rFonts w:ascii="Times New Roman" w:cs="Times New Roman" w:eastAsia="Times New Roman" w:hAnsi="Times New Roman"/>
                <w:sz w:val="13"/>
                <w:szCs w:val="13"/>
                <w:color w:val="auto"/>
                <w:vertAlign w:val="superscript"/>
              </w:rPr>
              <w:t>(3)</w:t>
            </w:r>
          </w:p>
        </w:tc>
        <w:tc>
          <w:tcPr>
            <w:tcW w:w="2520" w:type="dxa"/>
            <w:vAlign w:val="bottom"/>
          </w:tcPr>
          <w:p>
            <w:pPr>
              <w:ind w:left="60"/>
              <w:spacing w:after="0" w:line="120" w:lineRule="exact"/>
              <w:rPr>
                <w:sz w:val="20"/>
                <w:szCs w:val="20"/>
                <w:color w:val="auto"/>
              </w:rPr>
            </w:pPr>
            <w:r>
              <w:rPr>
                <w:rFonts w:ascii="Times New Roman" w:cs="Times New Roman" w:eastAsia="Times New Roman" w:hAnsi="Times New Roman"/>
                <w:sz w:val="11"/>
                <w:szCs w:val="11"/>
                <w:color w:val="auto"/>
              </w:rPr>
              <w:t>Structured Credit ($2,500 par, due 1/2030)</w:t>
            </w:r>
          </w:p>
        </w:tc>
        <w:tc>
          <w:tcPr>
            <w:tcW w:w="124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rPr>
              <w:t>6/23/2022</w:t>
            </w:r>
          </w:p>
        </w:tc>
        <w:tc>
          <w:tcPr>
            <w:tcW w:w="1180" w:type="dxa"/>
            <w:vAlign w:val="bottom"/>
          </w:tcPr>
          <w:p>
            <w:pPr>
              <w:ind w:left="180"/>
              <w:spacing w:after="0" w:line="120" w:lineRule="exact"/>
              <w:rPr>
                <w:sz w:val="20"/>
                <w:szCs w:val="20"/>
                <w:color w:val="auto"/>
              </w:rPr>
            </w:pPr>
            <w:r>
              <w:rPr>
                <w:rFonts w:ascii="Times New Roman" w:cs="Times New Roman" w:eastAsia="Times New Roman" w:hAnsi="Times New Roman"/>
                <w:sz w:val="11"/>
                <w:szCs w:val="11"/>
                <w:color w:val="auto"/>
              </w:rPr>
              <w:t>SOFR + 2.76%</w:t>
            </w:r>
          </w:p>
        </w:tc>
        <w:tc>
          <w:tcPr>
            <w:tcW w:w="800" w:type="dxa"/>
            <w:vAlign w:val="bottom"/>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8.18%</w:t>
            </w:r>
          </w:p>
        </w:tc>
        <w:tc>
          <w:tcPr>
            <w:tcW w:w="400" w:type="dxa"/>
            <w:vAlign w:val="bottom"/>
          </w:tcPr>
          <w:p>
            <w:pPr>
              <w:spacing w:after="0"/>
              <w:rPr>
                <w:sz w:val="10"/>
                <w:szCs w:val="10"/>
                <w:color w:val="auto"/>
              </w:rPr>
            </w:pPr>
          </w:p>
        </w:tc>
        <w:tc>
          <w:tcPr>
            <w:tcW w:w="8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2,260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2,410</w:t>
            </w:r>
          </w:p>
        </w:tc>
        <w:tc>
          <w:tcPr>
            <w:tcW w:w="9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0.2%</w:t>
            </w:r>
          </w:p>
        </w:tc>
      </w:tr>
      <w:tr>
        <w:trPr>
          <w:trHeight w:val="94"/>
        </w:trPr>
        <w:tc>
          <w:tcPr>
            <w:tcW w:w="1620" w:type="dxa"/>
            <w:vAlign w:val="bottom"/>
          </w:tcPr>
          <w:p>
            <w:pPr>
              <w:ind w:left="20"/>
              <w:spacing w:after="0"/>
              <w:rPr>
                <w:sz w:val="20"/>
                <w:szCs w:val="20"/>
                <w:color w:val="auto"/>
              </w:rPr>
            </w:pPr>
            <w:r>
              <w:rPr>
                <w:rFonts w:ascii="Times New Roman" w:cs="Times New Roman" w:eastAsia="Times New Roman" w:hAnsi="Times New Roman"/>
                <w:sz w:val="7"/>
                <w:szCs w:val="7"/>
                <w:color w:val="auto"/>
              </w:rPr>
              <w:t>(4)(9)</w:t>
            </w:r>
          </w:p>
        </w:tc>
        <w:tc>
          <w:tcPr>
            <w:tcW w:w="2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38"/>
        </w:trPr>
        <w:tc>
          <w:tcPr>
            <w:tcW w:w="16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20"/>
        </w:trPr>
        <w:tc>
          <w:tcPr>
            <w:tcW w:w="16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Eaton CLO Ltd, Series 2020-1A </w:t>
            </w:r>
            <w:r>
              <w:rPr>
                <w:rFonts w:ascii="Times New Roman" w:cs="Times New Roman" w:eastAsia="Times New Roman" w:hAnsi="Times New Roman"/>
                <w:sz w:val="13"/>
                <w:szCs w:val="13"/>
                <w:color w:val="auto"/>
                <w:vertAlign w:val="superscript"/>
              </w:rPr>
              <w:t>(3)</w:t>
            </w:r>
          </w:p>
        </w:tc>
        <w:tc>
          <w:tcPr>
            <w:tcW w:w="2520" w:type="dxa"/>
            <w:vAlign w:val="bottom"/>
            <w:shd w:val="clear" w:color="auto" w:fill="CFF0FC"/>
          </w:tcPr>
          <w:p>
            <w:pPr>
              <w:ind w:left="60"/>
              <w:spacing w:after="0" w:line="120" w:lineRule="exact"/>
              <w:rPr>
                <w:sz w:val="20"/>
                <w:szCs w:val="20"/>
                <w:color w:val="auto"/>
              </w:rPr>
            </w:pPr>
            <w:r>
              <w:rPr>
                <w:rFonts w:ascii="Times New Roman" w:cs="Times New Roman" w:eastAsia="Times New Roman" w:hAnsi="Times New Roman"/>
                <w:sz w:val="11"/>
                <w:szCs w:val="11"/>
                <w:color w:val="auto"/>
              </w:rPr>
              <w:t>Structured Credit ($1,000 par, due 10/2034)</w:t>
            </w:r>
          </w:p>
        </w:tc>
        <w:tc>
          <w:tcPr>
            <w:tcW w:w="1240" w:type="dxa"/>
            <w:vAlign w:val="bottom"/>
            <w:shd w:val="clear" w:color="auto" w:fill="CFF0FC"/>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rPr>
              <w:t>8/11/2022</w:t>
            </w:r>
          </w:p>
        </w:tc>
        <w:tc>
          <w:tcPr>
            <w:tcW w:w="1180" w:type="dxa"/>
            <w:vAlign w:val="bottom"/>
            <w:shd w:val="clear" w:color="auto" w:fill="CFF0FC"/>
          </w:tcPr>
          <w:p>
            <w:pPr>
              <w:ind w:left="180"/>
              <w:spacing w:after="0" w:line="120" w:lineRule="exact"/>
              <w:rPr>
                <w:sz w:val="20"/>
                <w:szCs w:val="20"/>
                <w:color w:val="auto"/>
              </w:rPr>
            </w:pPr>
            <w:r>
              <w:rPr>
                <w:rFonts w:ascii="Times New Roman" w:cs="Times New Roman" w:eastAsia="Times New Roman" w:hAnsi="Times New Roman"/>
                <w:sz w:val="11"/>
                <w:szCs w:val="11"/>
                <w:color w:val="auto"/>
              </w:rPr>
              <w:t>SOFR + 6.51%</w:t>
            </w:r>
          </w:p>
        </w:tc>
        <w:tc>
          <w:tcPr>
            <w:tcW w:w="800" w:type="dxa"/>
            <w:vAlign w:val="bottom"/>
            <w:shd w:val="clear" w:color="auto" w:fill="CFF0FC"/>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11.91%</w:t>
            </w: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936</w:t>
            </w: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970</w:t>
            </w:r>
          </w:p>
        </w:tc>
        <w:tc>
          <w:tcPr>
            <w:tcW w:w="960" w:type="dxa"/>
            <w:vAlign w:val="bottom"/>
            <w:gridSpan w:val="2"/>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0.1%</w:t>
            </w:r>
          </w:p>
        </w:tc>
      </w:tr>
      <w:tr>
        <w:trPr>
          <w:trHeight w:val="112"/>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(4)(9)</w:t>
            </w:r>
          </w:p>
        </w:tc>
        <w:tc>
          <w:tcPr>
            <w:tcW w:w="2520" w:type="dxa"/>
            <w:vAlign w:val="bottom"/>
            <w:tcBorders>
              <w:bottom w:val="single" w:sz="8" w:color="CFF0FC"/>
            </w:tcBorders>
            <w:shd w:val="clear" w:color="auto" w:fill="CFF0FC"/>
          </w:tcPr>
          <w:p>
            <w:pPr>
              <w:spacing w:after="0"/>
              <w:rPr>
                <w:sz w:val="9"/>
                <w:szCs w:val="9"/>
                <w:color w:val="auto"/>
              </w:rPr>
            </w:pPr>
          </w:p>
        </w:tc>
        <w:tc>
          <w:tcPr>
            <w:tcW w:w="124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GoldenTree CLO Ltd, Series 2020-</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4/2034)</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6/17/2022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+ 6.76%</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12.18%</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7A</w:t>
            </w:r>
            <w:r>
              <w:rPr>
                <w:rFonts w:ascii="Times New Roman" w:cs="Times New Roman" w:eastAsia="Times New Roman" w:hAnsi="Times New Roman"/>
                <w:sz w:val="7"/>
                <w:szCs w:val="7"/>
                <w:color w:val="auto"/>
              </w:rPr>
              <w:t xml:space="preserve"> (3)(4)(9)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Gulf Stream Meridian, Series</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($1,015 par, due 7/2034)</w:t>
            </w:r>
          </w:p>
        </w:tc>
        <w:tc>
          <w:tcPr>
            <w:tcW w:w="1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6/3/2022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+ 6.61%</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12.01%</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2021-4A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Gulf Stream Meridian, Series</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($2,000 par, due 1/2037)</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9/12/2022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+ 6.62%</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11.93%</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2021-6A</w:t>
            </w:r>
            <w:r>
              <w:rPr>
                <w:rFonts w:ascii="Times New Roman" w:cs="Times New Roman" w:eastAsia="Times New Roman" w:hAnsi="Times New Roman"/>
                <w:sz w:val="7"/>
                <w:szCs w:val="7"/>
                <w:color w:val="auto"/>
              </w:rPr>
              <w:t xml:space="preserve"> (3)(4)(9)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Jefferson Mill CLO Ltd, Series</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10/2031)</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5/23/2022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+ 3.81%</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9.22%</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908</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2015-1A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KKR CLO Ltd, 49A </w:t>
            </w:r>
            <w:r>
              <w:rPr>
                <w:rFonts w:ascii="Times New Roman" w:cs="Times New Roman" w:eastAsia="Times New Roman" w:hAnsi="Times New Roman"/>
                <w:sz w:val="14"/>
                <w:szCs w:val="14"/>
                <w:color w:val="auto"/>
                <w:vertAlign w:val="superscript"/>
              </w:rPr>
              <w:t>(3)(4)(9)</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7/2035)</w:t>
            </w: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6/2/2022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+ 8.26%</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13.42%</w:t>
            </w: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Madison Park CLO, Series 2018-</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7/2030)</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6/28/2022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+ 5.51%</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10.91%</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28A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Magnetite CLO Ltd, Series 2021-</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10/2034)</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6/13/2022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+ 6.46%</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11.84%</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30A</w:t>
            </w:r>
            <w:r>
              <w:rPr>
                <w:rFonts w:ascii="Times New Roman" w:cs="Times New Roman" w:eastAsia="Times New Roman" w:hAnsi="Times New Roman"/>
                <w:sz w:val="7"/>
                <w:szCs w:val="7"/>
                <w:color w:val="auto"/>
              </w:rPr>
              <w:t xml:space="preserve"> (3)(4)(9)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MidOcean Credit CLO Ltd, Series</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($3,500 par, due 4/2033)</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5/23/2022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+ 3.78%</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9.20%</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3,170</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3,274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2016-6A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MidOcean Credit CLO Ltd, Series</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($1,100 par, due 7/2031)</w:t>
            </w: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6/1/2022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+ 6.31%</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11.73%</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2018-9A</w:t>
            </w:r>
            <w:r>
              <w:rPr>
                <w:rFonts w:ascii="Times New Roman" w:cs="Times New Roman" w:eastAsia="Times New Roman" w:hAnsi="Times New Roman"/>
                <w:sz w:val="7"/>
                <w:szCs w:val="7"/>
                <w:color w:val="auto"/>
              </w:rPr>
              <w:t xml:space="preserve"> (3)(4)(9)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Octagon 57 LLC, Series 2021-</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10/2034)</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5/24/2022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+ 6.86%</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12.26%</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951</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1A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Octagon Investment Partners 18</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4/2031)</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7/26/2022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+ 2.96%</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8.36%</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Ltd, Series 2018-18A </w:t>
            </w:r>
            <w:r>
              <w:rPr>
                <w:rFonts w:ascii="Times New Roman" w:cs="Times New Roman" w:eastAsia="Times New Roman" w:hAnsi="Times New Roman"/>
                <w:sz w:val="14"/>
                <w:szCs w:val="14"/>
                <w:color w:val="auto"/>
                <w:vertAlign w:val="superscript"/>
              </w:rPr>
              <w:t>(3)(4)(9)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Octagon Investment Partners 38</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($2,800 par, due 7/2030)</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9/20/2022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+ 3.21%</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8.63%</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2,505</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2,713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Ltd, Series 2018-1A </w:t>
            </w:r>
            <w:r>
              <w:rPr>
                <w:rFonts w:ascii="Times New Roman" w:cs="Times New Roman" w:eastAsia="Times New Roman" w:hAnsi="Times New Roman"/>
                <w:sz w:val="14"/>
                <w:szCs w:val="14"/>
                <w:color w:val="auto"/>
                <w:vertAlign w:val="superscript"/>
              </w:rPr>
              <w:t>(3)(4)(9)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Park Avenue Institutional Advisers</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10/2031)</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9/23/2022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+ 3.59%</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9.01%</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CLO Ltd, Series 2018-1A </w:t>
            </w:r>
            <w:r>
              <w:rPr>
                <w:rFonts w:ascii="Times New Roman" w:cs="Times New Roman" w:eastAsia="Times New Roman" w:hAnsi="Times New Roman"/>
                <w:sz w:val="14"/>
                <w:szCs w:val="14"/>
                <w:color w:val="auto"/>
                <w:vertAlign w:val="superscript"/>
              </w:rPr>
              <w:t>(3)(4)(9)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0"/>
        </w:trPr>
        <w:tc>
          <w:tcPr>
            <w:tcW w:w="16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color w:val="auto"/>
              </w:rPr>
              <w:t>Pikes Peak CLO, Series 2021-9A</w:t>
            </w:r>
          </w:p>
        </w:tc>
        <w:tc>
          <w:tcPr>
            <w:tcW w:w="2520" w:type="dxa"/>
            <w:vAlign w:val="bottom"/>
            <w:shd w:val="clear" w:color="auto" w:fill="CFF0FC"/>
          </w:tcPr>
          <w:p>
            <w:pPr>
              <w:ind w:left="60"/>
              <w:spacing w:after="0" w:line="120" w:lineRule="exact"/>
              <w:rPr>
                <w:sz w:val="20"/>
                <w:szCs w:val="20"/>
                <w:color w:val="auto"/>
              </w:rPr>
            </w:pPr>
            <w:r>
              <w:rPr>
                <w:rFonts w:ascii="Times New Roman" w:cs="Times New Roman" w:eastAsia="Times New Roman" w:hAnsi="Times New Roman"/>
                <w:sz w:val="11"/>
                <w:szCs w:val="11"/>
                <w:color w:val="auto"/>
              </w:rPr>
              <w:t>Structured Credit ($2,000 par, due 10/2034)</w:t>
            </w:r>
          </w:p>
        </w:tc>
        <w:tc>
          <w:tcPr>
            <w:tcW w:w="1240" w:type="dxa"/>
            <w:vAlign w:val="bottom"/>
            <w:shd w:val="clear" w:color="auto" w:fill="CFF0FC"/>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rPr>
              <w:t>8/31/2022</w:t>
            </w:r>
          </w:p>
        </w:tc>
        <w:tc>
          <w:tcPr>
            <w:tcW w:w="1180" w:type="dxa"/>
            <w:vAlign w:val="bottom"/>
            <w:shd w:val="clear" w:color="auto" w:fill="CFF0FC"/>
          </w:tcPr>
          <w:p>
            <w:pPr>
              <w:ind w:left="180"/>
              <w:spacing w:after="0" w:line="120" w:lineRule="exact"/>
              <w:rPr>
                <w:sz w:val="20"/>
                <w:szCs w:val="20"/>
                <w:color w:val="auto"/>
              </w:rPr>
            </w:pPr>
            <w:r>
              <w:rPr>
                <w:rFonts w:ascii="Times New Roman" w:cs="Times New Roman" w:eastAsia="Times New Roman" w:hAnsi="Times New Roman"/>
                <w:sz w:val="11"/>
                <w:szCs w:val="11"/>
                <w:color w:val="auto"/>
              </w:rPr>
              <w:t>SOFR + 6.84%</w:t>
            </w:r>
          </w:p>
        </w:tc>
        <w:tc>
          <w:tcPr>
            <w:tcW w:w="800" w:type="dxa"/>
            <w:vAlign w:val="bottom"/>
            <w:shd w:val="clear" w:color="auto" w:fill="CFF0FC"/>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12.23%</w:t>
            </w: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1,787</w:t>
            </w: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1,890</w:t>
            </w:r>
          </w:p>
        </w:tc>
        <w:tc>
          <w:tcPr>
            <w:tcW w:w="960" w:type="dxa"/>
            <w:vAlign w:val="bottom"/>
            <w:gridSpan w:val="2"/>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0.1%</w:t>
            </w:r>
          </w:p>
        </w:tc>
      </w:tr>
      <w:tr>
        <w:trPr>
          <w:trHeight w:val="112"/>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(3)(4)(9)</w:t>
            </w:r>
          </w:p>
        </w:tc>
        <w:tc>
          <w:tcPr>
            <w:tcW w:w="2520" w:type="dxa"/>
            <w:vAlign w:val="bottom"/>
            <w:tcBorders>
              <w:bottom w:val="single" w:sz="8" w:color="CFF0FC"/>
            </w:tcBorders>
            <w:shd w:val="clear" w:color="auto" w:fill="CFF0FC"/>
          </w:tcPr>
          <w:p>
            <w:pPr>
              <w:spacing w:after="0"/>
              <w:rPr>
                <w:sz w:val="9"/>
                <w:szCs w:val="9"/>
                <w:color w:val="auto"/>
              </w:rPr>
            </w:pPr>
          </w:p>
        </w:tc>
        <w:tc>
          <w:tcPr>
            <w:tcW w:w="124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r>
      <w:tr>
        <w:trPr>
          <w:trHeight w:val="156"/>
        </w:trPr>
        <w:tc>
          <w:tcPr>
            <w:tcW w:w="16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RR Ltd, Series 2020-8A </w:t>
            </w:r>
            <w:r>
              <w:rPr>
                <w:rFonts w:ascii="Times New Roman" w:cs="Times New Roman" w:eastAsia="Times New Roman" w:hAnsi="Times New Roman"/>
                <w:sz w:val="14"/>
                <w:szCs w:val="14"/>
                <w:color w:val="auto"/>
                <w:vertAlign w:val="superscript"/>
              </w:rPr>
              <w:t>(3)(4)(9)</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4/2033)</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8/22/2022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+ 6.66%</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12.06%</w:t>
            </w: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Signal Peak CLO LLC, Series</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($333 par, due 4/2031)</w:t>
            </w:r>
          </w:p>
        </w:tc>
        <w:tc>
          <w:tcPr>
            <w:tcW w:w="1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8/9/2022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+ 5.91%</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11.29%</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2018-5A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Southwick Park CLO Ltd, Series</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7/2032)</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5/25/2022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+ 6.51%</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11.93%</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2019-4A</w:t>
            </w:r>
            <w:r>
              <w:rPr>
                <w:rFonts w:ascii="Times New Roman" w:cs="Times New Roman" w:eastAsia="Times New Roman" w:hAnsi="Times New Roman"/>
                <w:sz w:val="7"/>
                <w:szCs w:val="7"/>
                <w:color w:val="auto"/>
              </w:rPr>
              <w:t xml:space="preserve"> (3)(4)(9)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Stewart Park CLO Ltd, Series</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1/2030)</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7/25/2022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+ 2.86%</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8.26%</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2015-1A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20"/>
        </w:trPr>
        <w:tc>
          <w:tcPr>
            <w:tcW w:w="16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Voya CLO Ltd, Series 2018-3A </w:t>
            </w:r>
            <w:r>
              <w:rPr>
                <w:rFonts w:ascii="Times New Roman" w:cs="Times New Roman" w:eastAsia="Times New Roman" w:hAnsi="Times New Roman"/>
                <w:sz w:val="13"/>
                <w:szCs w:val="13"/>
                <w:color w:val="auto"/>
                <w:vertAlign w:val="superscript"/>
              </w:rPr>
              <w:t>(3)</w:t>
            </w:r>
          </w:p>
        </w:tc>
        <w:tc>
          <w:tcPr>
            <w:tcW w:w="2520" w:type="dxa"/>
            <w:vAlign w:val="bottom"/>
          </w:tcPr>
          <w:p>
            <w:pPr>
              <w:ind w:left="60"/>
              <w:spacing w:after="0" w:line="120" w:lineRule="exact"/>
              <w:rPr>
                <w:sz w:val="20"/>
                <w:szCs w:val="20"/>
                <w:color w:val="auto"/>
              </w:rPr>
            </w:pPr>
            <w:r>
              <w:rPr>
                <w:rFonts w:ascii="Times New Roman" w:cs="Times New Roman" w:eastAsia="Times New Roman" w:hAnsi="Times New Roman"/>
                <w:sz w:val="11"/>
                <w:szCs w:val="11"/>
                <w:color w:val="auto"/>
              </w:rPr>
              <w:t>Structured Credit ($2,750 par, due 10/2031)</w:t>
            </w:r>
          </w:p>
        </w:tc>
        <w:tc>
          <w:tcPr>
            <w:tcW w:w="124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rPr>
              <w:t>6/22/2022</w:t>
            </w:r>
          </w:p>
        </w:tc>
        <w:tc>
          <w:tcPr>
            <w:tcW w:w="1180" w:type="dxa"/>
            <w:vAlign w:val="bottom"/>
          </w:tcPr>
          <w:p>
            <w:pPr>
              <w:ind w:left="180"/>
              <w:spacing w:after="0" w:line="120" w:lineRule="exact"/>
              <w:rPr>
                <w:sz w:val="20"/>
                <w:szCs w:val="20"/>
                <w:color w:val="auto"/>
              </w:rPr>
            </w:pPr>
            <w:r>
              <w:rPr>
                <w:rFonts w:ascii="Times New Roman" w:cs="Times New Roman" w:eastAsia="Times New Roman" w:hAnsi="Times New Roman"/>
                <w:sz w:val="11"/>
                <w:szCs w:val="11"/>
                <w:color w:val="auto"/>
              </w:rPr>
              <w:t>SOFR + 6.01%</w:t>
            </w:r>
          </w:p>
        </w:tc>
        <w:tc>
          <w:tcPr>
            <w:tcW w:w="800" w:type="dxa"/>
            <w:vAlign w:val="bottom"/>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11.41%</w:t>
            </w:r>
          </w:p>
        </w:tc>
        <w:tc>
          <w:tcPr>
            <w:tcW w:w="400" w:type="dxa"/>
            <w:vAlign w:val="bottom"/>
          </w:tcPr>
          <w:p>
            <w:pPr>
              <w:spacing w:after="0"/>
              <w:rPr>
                <w:sz w:val="10"/>
                <w:szCs w:val="10"/>
                <w:color w:val="auto"/>
              </w:rPr>
            </w:pPr>
          </w:p>
        </w:tc>
        <w:tc>
          <w:tcPr>
            <w:tcW w:w="8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2,441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2,484</w:t>
            </w:r>
          </w:p>
        </w:tc>
        <w:tc>
          <w:tcPr>
            <w:tcW w:w="9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0.2%</w:t>
            </w:r>
          </w:p>
        </w:tc>
      </w:tr>
      <w:tr>
        <w:trPr>
          <w:trHeight w:val="94"/>
        </w:trPr>
        <w:tc>
          <w:tcPr>
            <w:tcW w:w="1620" w:type="dxa"/>
            <w:vAlign w:val="bottom"/>
          </w:tcPr>
          <w:p>
            <w:pPr>
              <w:ind w:left="20"/>
              <w:spacing w:after="0"/>
              <w:rPr>
                <w:sz w:val="20"/>
                <w:szCs w:val="20"/>
                <w:color w:val="auto"/>
              </w:rPr>
            </w:pPr>
            <w:r>
              <w:rPr>
                <w:rFonts w:ascii="Times New Roman" w:cs="Times New Roman" w:eastAsia="Times New Roman" w:hAnsi="Times New Roman"/>
                <w:sz w:val="7"/>
                <w:szCs w:val="7"/>
                <w:color w:val="auto"/>
              </w:rPr>
              <w:t>(4)(9)</w:t>
            </w:r>
          </w:p>
        </w:tc>
        <w:tc>
          <w:tcPr>
            <w:tcW w:w="2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38"/>
        </w:trPr>
        <w:tc>
          <w:tcPr>
            <w:tcW w:w="16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Wind River CLO Ltd, Series 2014-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($1,500 par, due 1/2031)</w:t>
            </w:r>
          </w:p>
        </w:tc>
        <w:tc>
          <w:tcPr>
            <w:tcW w:w="12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6/23/2022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+ 3.16%</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8.56%</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1,407</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3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Wind River CLO Ltd, Series 2017-</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($3,000 par, due 4/2036)</w:t>
            </w:r>
          </w:p>
        </w:tc>
        <w:tc>
          <w:tcPr>
            <w:tcW w:w="12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7/14/2022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+ 3.98%</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9.38%</w:t>
            </w: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1A</w:t>
            </w:r>
            <w:r>
              <w:rPr>
                <w:rFonts w:ascii="Times New Roman" w:cs="Times New Roman" w:eastAsia="Times New Roman" w:hAnsi="Times New Roman"/>
                <w:sz w:val="7"/>
                <w:szCs w:val="7"/>
                <w:color w:val="auto"/>
              </w:rPr>
              <w:t xml:space="preserve"> (3)(4)(9)</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Wind River CLO Ltd, Series 2018-</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($2,000 par, due 1/2031)</w:t>
            </w:r>
          </w:p>
        </w:tc>
        <w:tc>
          <w:tcPr>
            <w:tcW w:w="1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12/12/2022</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+ 5.91%</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11.33%</w:t>
            </w:r>
          </w:p>
        </w:tc>
        <w:tc>
          <w:tcPr>
            <w:tcW w:w="4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16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3A</w:t>
            </w:r>
            <w:r>
              <w:rPr>
                <w:rFonts w:ascii="Times New Roman" w:cs="Times New Roman" w:eastAsia="Times New Roman" w:hAnsi="Times New Roman"/>
                <w:sz w:val="7"/>
                <w:szCs w:val="7"/>
                <w:color w:val="auto"/>
              </w:rPr>
              <w:t xml:space="preserve"> (3)(4)(9)</w:t>
            </w:r>
          </w:p>
        </w:tc>
        <w:tc>
          <w:tcPr>
            <w:tcW w:w="25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54"/>
        </w:trPr>
        <w:tc>
          <w:tcPr>
            <w:tcW w:w="16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52,865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55,844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and Other</w:t>
            </w:r>
          </w:p>
        </w:tc>
        <w:tc>
          <w:tcPr>
            <w:tcW w:w="25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205,488</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211,442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w:t>
            </w:r>
          </w:p>
        </w:tc>
      </w:tr>
      <w:tr>
        <w:trPr>
          <w:trHeight w:val="146"/>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25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54"/>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2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3,251,012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3,283,065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219.4%</w:t>
            </w:r>
          </w:p>
        </w:tc>
      </w:tr>
      <w:tr>
        <w:trPr>
          <w:trHeight w:val="20"/>
        </w:trPr>
        <w:tc>
          <w:tcPr>
            <w:tcW w:w="1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3" w:right="68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0" w:type="dxa"/>
            <w:vAlign w:val="bottom"/>
            <w:gridSpan w:val="7"/>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2023</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4"/>
                <w:szCs w:val="1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8"/>
              </w:rPr>
              <w:t>Upfront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Change in</w:t>
            </w:r>
          </w:p>
        </w:tc>
      </w:tr>
      <w:tr>
        <w:trPr>
          <w:trHeight w:val="156"/>
        </w:trPr>
        <w:tc>
          <w:tcPr>
            <w:tcW w:w="1840" w:type="dxa"/>
            <w:vAlign w:val="bottom"/>
          </w:tcPr>
          <w:p>
            <w:pPr>
              <w:spacing w:after="0"/>
              <w:rPr>
                <w:sz w:val="13"/>
                <w:szCs w:val="13"/>
                <w:color w:val="auto"/>
              </w:rPr>
            </w:pPr>
          </w:p>
        </w:tc>
        <w:tc>
          <w:tcPr>
            <w:tcW w:w="1320" w:type="dxa"/>
            <w:vAlign w:val="bottom"/>
          </w:tcPr>
          <w:p>
            <w:pPr>
              <w:jc w:val="center"/>
              <w:ind w:left="5"/>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13"/>
                <w:szCs w:val="13"/>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8"/>
        </w:trPr>
        <w:tc>
          <w:tcPr>
            <w:tcW w:w="1840" w:type="dxa"/>
            <w:vAlign w:val="bottom"/>
          </w:tcPr>
          <w:p>
            <w:pPr>
              <w:spacing w:after="0"/>
              <w:rPr>
                <w:sz w:val="15"/>
                <w:szCs w:val="15"/>
                <w:color w:val="auto"/>
              </w:rPr>
            </w:pPr>
          </w:p>
        </w:tc>
        <w:tc>
          <w:tcPr>
            <w:tcW w:w="1320" w:type="dxa"/>
            <w:vAlign w:val="bottom"/>
          </w:tcPr>
          <w:p>
            <w:pPr>
              <w:jc w:val="center"/>
              <w:ind w:left="5"/>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Pays</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5"/>
                <w:szCs w:val="15"/>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20" w:type="dxa"/>
            <w:vAlign w:val="bottom"/>
          </w:tcPr>
          <w:p>
            <w:pPr>
              <w:spacing w:after="0"/>
              <w:rPr>
                <w:sz w:val="15"/>
                <w:szCs w:val="15"/>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Gains / (Losses)</w:t>
            </w:r>
          </w:p>
        </w:tc>
      </w:tr>
      <w:tr>
        <w:trPr>
          <w:trHeight w:val="208"/>
        </w:trPr>
        <w:tc>
          <w:tcPr>
            <w:tcW w:w="184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w:t>
            </w:r>
          </w:p>
        </w:tc>
        <w:tc>
          <w:tcPr>
            <w:tcW w:w="1320" w:type="dxa"/>
            <w:vAlign w:val="bottom"/>
            <w:shd w:val="clear" w:color="auto" w:fill="CFF0FC"/>
          </w:tcPr>
          <w:p>
            <w:pPr>
              <w:jc w:val="center"/>
              <w:ind w:left="5"/>
              <w:spacing w:after="0"/>
              <w:rPr>
                <w:sz w:val="20"/>
                <w:szCs w:val="20"/>
                <w:color w:val="auto"/>
              </w:rPr>
            </w:pPr>
            <w:r>
              <w:rPr>
                <w:rFonts w:ascii="Times New Roman" w:cs="Times New Roman" w:eastAsia="Times New Roman" w:hAnsi="Times New Roman"/>
                <w:sz w:val="16"/>
                <w:szCs w:val="16"/>
                <w:color w:val="auto"/>
                <w:w w:val="97"/>
              </w:rPr>
              <w:t>SOFR + 2.54%</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11/1/2024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18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w w:val="99"/>
              </w:rPr>
              <w:t xml:space="preserve">Interest rate swap </w:t>
            </w:r>
            <w:r>
              <w:rPr>
                <w:rFonts w:ascii="Times New Roman" w:cs="Times New Roman" w:eastAsia="Times New Roman" w:hAnsi="Times New Roman"/>
                <w:sz w:val="21"/>
                <w:szCs w:val="21"/>
                <w:color w:val="auto"/>
                <w:w w:val="99"/>
                <w:vertAlign w:val="superscript"/>
              </w:rPr>
              <w:t>(a)(b)(c)(d)</w:t>
            </w:r>
          </w:p>
        </w:tc>
        <w:tc>
          <w:tcPr>
            <w:tcW w:w="1320" w:type="dxa"/>
            <w:vAlign w:val="bottom"/>
          </w:tcPr>
          <w:p>
            <w:pPr>
              <w:jc w:val="center"/>
              <w:ind w:left="5"/>
              <w:spacing w:after="0"/>
              <w:rPr>
                <w:sz w:val="20"/>
                <w:szCs w:val="20"/>
                <w:color w:val="auto"/>
              </w:rPr>
            </w:pPr>
            <w:r>
              <w:rPr>
                <w:rFonts w:ascii="Times New Roman" w:cs="Times New Roman" w:eastAsia="Times New Roman" w:hAnsi="Times New Roman"/>
                <w:sz w:val="16"/>
                <w:szCs w:val="16"/>
                <w:color w:val="auto"/>
                <w:w w:val="97"/>
              </w:rPr>
              <w:t>3.875%</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+ 2.51%</w:t>
            </w:r>
          </w:p>
        </w:tc>
        <w:tc>
          <w:tcPr>
            <w:tcW w:w="13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(8,846 )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80" w:type="dxa"/>
            <w:vAlign w:val="bottom"/>
          </w:tcPr>
          <w:p>
            <w:pPr>
              <w:spacing w:after="0"/>
              <w:rPr>
                <w:sz w:val="17"/>
                <w:szCs w:val="17"/>
                <w:color w:val="auto"/>
              </w:rPr>
            </w:pPr>
          </w:p>
        </w:tc>
      </w:tr>
      <w:tr>
        <w:trPr>
          <w:trHeight w:val="204"/>
        </w:trPr>
        <w:tc>
          <w:tcPr>
            <w:tcW w:w="18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w w:val="99"/>
              </w:rPr>
              <w:t xml:space="preserve">Interest rate swap </w:t>
            </w:r>
            <w:r>
              <w:rPr>
                <w:rFonts w:ascii="Times New Roman" w:cs="Times New Roman" w:eastAsia="Times New Roman" w:hAnsi="Times New Roman"/>
                <w:sz w:val="21"/>
                <w:szCs w:val="21"/>
                <w:color w:val="auto"/>
                <w:w w:val="99"/>
                <w:vertAlign w:val="superscript"/>
              </w:rPr>
              <w:t>(a)(b)(c)(d)</w:t>
            </w:r>
          </w:p>
        </w:tc>
        <w:tc>
          <w:tcPr>
            <w:tcW w:w="1320" w:type="dxa"/>
            <w:vAlign w:val="bottom"/>
            <w:shd w:val="clear" w:color="auto" w:fill="CFF0FC"/>
          </w:tcPr>
          <w:p>
            <w:pPr>
              <w:jc w:val="center"/>
              <w:ind w:left="5"/>
              <w:spacing w:after="0"/>
              <w:rPr>
                <w:sz w:val="20"/>
                <w:szCs w:val="20"/>
                <w:color w:val="auto"/>
              </w:rPr>
            </w:pPr>
            <w:r>
              <w:rPr>
                <w:rFonts w:ascii="Times New Roman" w:cs="Times New Roman" w:eastAsia="Times New Roman" w:hAnsi="Times New Roman"/>
                <w:sz w:val="16"/>
                <w:szCs w:val="16"/>
                <w:color w:val="auto"/>
                <w:w w:val="97"/>
              </w:rPr>
              <w:t>3.875%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+ 2.72%</w:t>
            </w:r>
          </w:p>
        </w:tc>
        <w:tc>
          <w:tcPr>
            <w:tcW w:w="13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(1,563 )</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shd w:val="clear" w:color="auto" w:fill="CFF0FC"/>
          </w:tcPr>
          <w:p>
            <w:pPr>
              <w:spacing w:after="0"/>
              <w:rPr>
                <w:sz w:val="17"/>
                <w:szCs w:val="17"/>
                <w:color w:val="auto"/>
              </w:rPr>
            </w:pPr>
          </w:p>
        </w:tc>
      </w:tr>
      <w:tr>
        <w:trPr>
          <w:trHeight w:val="204"/>
        </w:trPr>
        <w:tc>
          <w:tcPr>
            <w:tcW w:w="18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320" w:type="dxa"/>
            <w:vAlign w:val="bottom"/>
          </w:tcPr>
          <w:p>
            <w:pPr>
              <w:jc w:val="center"/>
              <w:ind w:left="5"/>
              <w:spacing w:after="0"/>
              <w:rPr>
                <w:sz w:val="20"/>
                <w:szCs w:val="20"/>
                <w:color w:val="auto"/>
              </w:rPr>
            </w:pPr>
            <w:r>
              <w:rPr>
                <w:rFonts w:ascii="Times New Roman" w:cs="Times New Roman" w:eastAsia="Times New Roman" w:hAnsi="Times New Roman"/>
                <w:sz w:val="16"/>
                <w:szCs w:val="16"/>
                <w:color w:val="auto"/>
                <w:w w:val="96"/>
              </w:rPr>
              <w:t>2.50%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+ 2.17%</w:t>
            </w:r>
          </w:p>
        </w:tc>
        <w:tc>
          <w:tcPr>
            <w:tcW w:w="13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8/1/2026</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(26,111 )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9,554</w:t>
            </w:r>
          </w:p>
        </w:tc>
        <w:tc>
          <w:tcPr>
            <w:tcW w:w="80" w:type="dxa"/>
            <w:vAlign w:val="bottom"/>
          </w:tcPr>
          <w:p>
            <w:pPr>
              <w:spacing w:after="0"/>
              <w:rPr>
                <w:sz w:val="17"/>
                <w:szCs w:val="17"/>
                <w:color w:val="auto"/>
              </w:rPr>
            </w:pPr>
          </w:p>
        </w:tc>
      </w:tr>
      <w:tr>
        <w:trPr>
          <w:trHeight w:val="204"/>
        </w:trPr>
        <w:tc>
          <w:tcPr>
            <w:tcW w:w="18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320" w:type="dxa"/>
            <w:vAlign w:val="bottom"/>
            <w:shd w:val="clear" w:color="auto" w:fill="CFF0FC"/>
          </w:tcPr>
          <w:p>
            <w:pPr>
              <w:jc w:val="center"/>
              <w:ind w:left="5"/>
              <w:spacing w:after="0"/>
              <w:rPr>
                <w:sz w:val="20"/>
                <w:szCs w:val="20"/>
                <w:color w:val="auto"/>
              </w:rPr>
            </w:pPr>
            <w:r>
              <w:rPr>
                <w:rFonts w:ascii="Times New Roman" w:cs="Times New Roman" w:eastAsia="Times New Roman" w:hAnsi="Times New Roman"/>
                <w:sz w:val="16"/>
                <w:szCs w:val="16"/>
                <w:color w:val="auto"/>
                <w:w w:val="96"/>
              </w:rPr>
              <w:t>6.95%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+ 2.99%</w:t>
            </w:r>
          </w:p>
        </w:tc>
        <w:tc>
          <w:tcPr>
            <w:tcW w:w="13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8/14/2028</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80" w:type="dxa"/>
            <w:vAlign w:val="bottom"/>
            <w:shd w:val="clear" w:color="auto" w:fill="CFF0FC"/>
          </w:tcPr>
          <w:p>
            <w:pPr>
              <w:spacing w:after="0"/>
              <w:rPr>
                <w:sz w:val="17"/>
                <w:szCs w:val="17"/>
                <w:color w:val="auto"/>
              </w:rPr>
            </w:pPr>
          </w:p>
        </w:tc>
      </w:tr>
      <w:tr>
        <w:trPr>
          <w:trHeight w:val="179"/>
        </w:trPr>
        <w:tc>
          <w:tcPr>
            <w:tcW w:w="18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Total Hedge Accounting</w:t>
            </w: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Swaps</w:t>
            </w: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(31,840 )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23,243</w:t>
            </w:r>
          </w:p>
        </w:tc>
        <w:tc>
          <w:tcPr>
            <w:tcW w:w="80" w:type="dxa"/>
            <w:vAlign w:val="bottom"/>
          </w:tcPr>
          <w:p>
            <w:pPr>
              <w:spacing w:after="0"/>
              <w:rPr>
                <w:sz w:val="17"/>
                <w:szCs w:val="17"/>
                <w:color w:val="auto"/>
              </w:rPr>
            </w:pPr>
          </w:p>
        </w:tc>
      </w:tr>
      <w:tr>
        <w:trPr>
          <w:trHeight w:val="205"/>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collateral</w:t>
            </w:r>
          </w:p>
        </w:tc>
        <w:tc>
          <w:tcPr>
            <w:tcW w:w="1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55,819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18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23,243</w:t>
            </w:r>
          </w:p>
        </w:tc>
        <w:tc>
          <w:tcPr>
            <w:tcW w:w="80" w:type="dxa"/>
            <w:vAlign w:val="bottom"/>
          </w:tcPr>
          <w:p>
            <w:pPr>
              <w:spacing w:after="0"/>
              <w:rPr>
                <w:sz w:val="17"/>
                <w:szCs w:val="17"/>
                <w:color w:val="auto"/>
              </w:rPr>
            </w:pPr>
          </w:p>
        </w:tc>
      </w:tr>
      <w:tr>
        <w:trPr>
          <w:trHeight w:val="20"/>
        </w:trPr>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220"/>
        <w:spacing w:after="0" w:line="234"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 w:lineRule="exact"/>
        <w:rPr>
          <w:sz w:val="20"/>
          <w:szCs w:val="20"/>
          <w:color w:val="auto"/>
        </w:rPr>
      </w:pPr>
    </w:p>
    <w:p>
      <w:pPr>
        <w:ind w:left="480" w:right="80"/>
        <w:spacing w:after="0" w:line="234" w:lineRule="auto"/>
        <w:rPr>
          <w:sz w:val="20"/>
          <w:szCs w:val="20"/>
          <w:color w:val="auto"/>
        </w:rPr>
      </w:pPr>
      <w:r>
        <w:rPr>
          <w:rFonts w:ascii="Times New Roman" w:cs="Times New Roman" w:eastAsia="Times New Roman" w:hAnsi="Times New Roman"/>
          <w:sz w:val="16"/>
          <w:szCs w:val="16"/>
          <w:color w:val="auto"/>
        </w:rPr>
        <w:t>(c)$2.5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sz w:val="20"/>
          <w:szCs w:val="20"/>
          <w:color w:val="auto"/>
        </w:rPr>
      </w:pPr>
    </w:p>
    <w:p>
      <w:pPr>
        <w:ind w:left="480"/>
        <w:spacing w:after="0" w:line="238" w:lineRule="auto"/>
        <w:rPr>
          <w:sz w:val="20"/>
          <w:szCs w:val="20"/>
          <w:color w:val="auto"/>
        </w:rPr>
      </w:pPr>
      <w:r>
        <w:rPr>
          <w:rFonts w:ascii="Times New Roman" w:cs="Times New Roman" w:eastAsia="Times New Roman" w:hAnsi="Times New Roman"/>
          <w:sz w:val="16"/>
          <w:szCs w:val="16"/>
          <w:color w:val="auto"/>
        </w:rPr>
        <w:t>(d)The fair market value of this instrument is presented net with the $2.5 million in aggregate notional value of instruments no longer designated as instruments in a hedge accounting relationship.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Euro Interbank Offer Rate (“Euribor” or “E”), Sterling Overnight Index Average ("SONIA"),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2023.</w:t>
      </w:r>
    </w:p>
    <w:p>
      <w:pPr>
        <w:spacing w:after="0" w:line="4"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13.1% of total assets as of December 31, 2023.</w:t>
      </w:r>
    </w:p>
    <w:p>
      <w:pPr>
        <w:spacing w:after="0" w:line="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2023 in which the issuer was an Affiliated Person of and was deemed to Control a portfolio company are as follows: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96" w:right="6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Controlled, Affiliated Investments during the year ended December 31,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Value at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100" w:type="dxa"/>
            <w:vAlign w:val="bottom"/>
          </w:tcPr>
          <w:p>
            <w:pPr>
              <w:spacing w:after="0"/>
              <w:rPr>
                <w:sz w:val="13"/>
                <w:szCs w:val="13"/>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Value at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34"/>
              <w:spacing w:after="0" w:line="144" w:lineRule="exact"/>
              <w:rPr>
                <w:sz w:val="20"/>
                <w:szCs w:val="20"/>
                <w:color w:val="auto"/>
              </w:rPr>
            </w:pPr>
            <w:r>
              <w:rPr>
                <w:rFonts w:ascii="Times New Roman" w:cs="Times New Roman" w:eastAsia="Times New Roman" w:hAnsi="Times New Roman"/>
                <w:sz w:val="13"/>
                <w:szCs w:val="13"/>
                <w:b w:val="1"/>
                <w:bCs w:val="1"/>
                <w:color w:val="auto"/>
              </w:rPr>
              <w:t>Additions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auto"/>
              </w:rPr>
              <w:t>In Unrealized</w:t>
            </w:r>
          </w:p>
        </w:tc>
        <w:tc>
          <w:tcPr>
            <w:tcW w:w="74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Gain/(Losses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66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90"/>
        </w:trPr>
        <w:tc>
          <w:tcPr>
            <w:tcW w:w="192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80" w:type="dxa"/>
            <w:vAlign w:val="bottom"/>
          </w:tcPr>
          <w:p>
            <w:pPr>
              <w:spacing w:after="0"/>
              <w:rPr>
                <w:sz w:val="16"/>
                <w:szCs w:val="16"/>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w:t>
            </w:r>
          </w:p>
        </w:tc>
        <w:tc>
          <w:tcPr>
            <w:tcW w:w="2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Reductions (b)</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100" w:type="dxa"/>
            <w:vAlign w:val="bottom"/>
          </w:tcPr>
          <w:p>
            <w:pPr>
              <w:spacing w:after="0"/>
              <w:rPr>
                <w:sz w:val="16"/>
                <w:szCs w:val="16"/>
                <w:color w:val="auto"/>
              </w:rPr>
            </w:pPr>
          </w:p>
        </w:tc>
        <w:tc>
          <w:tcPr>
            <w:tcW w:w="64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6"/>
                <w:szCs w:val="16"/>
                <w:color w:val="auto"/>
              </w:rPr>
            </w:pPr>
          </w:p>
        </w:tc>
        <w:tc>
          <w:tcPr>
            <w:tcW w:w="5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6"/>
                <w:szCs w:val="16"/>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84"/>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IRGSE Holding Corp.</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70,755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10,875</w:t>
            </w:r>
          </w:p>
        </w:tc>
        <w:tc>
          <w:tcPr>
            <w:tcW w:w="38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(21,717 )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59,913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3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70,755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10,875</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1"/>
                <w:szCs w:val="11"/>
                <w:b w:val="1"/>
                <w:bCs w:val="1"/>
                <w:color w:val="auto"/>
              </w:rPr>
              <w:t xml:space="preserve">(21,717 </w:t>
            </w:r>
            <w:r>
              <w:rPr>
                <w:rFonts w:ascii="Times New Roman" w:cs="Times New Roman" w:eastAsia="Times New Roman" w:hAnsi="Times New Roman"/>
                <w:sz w:val="20"/>
                <w:szCs w:val="20"/>
                <w:b w:val="1"/>
                <w:bCs w:val="1"/>
                <w:color w:val="auto"/>
                <w:vertAlign w:val="subscript"/>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59,913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right="14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right="80"/>
        <w:spacing w:after="0" w:line="237"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57"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6"/>
          <w:szCs w:val="16"/>
          <w:color w:val="auto"/>
        </w:rPr>
        <w:t>(7)As of December 31, 2023, the estimated cost basis of investments for U.S. federal tax purposes was $3,256,630 resulting in estimated gross unrealized gains and losses of $159,281 and $135,606, respectively.</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6"/>
          <w:szCs w:val="16"/>
          <w:color w:val="auto"/>
        </w:rPr>
        <w:t>(8)In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37" w:lineRule="auto"/>
        <w:rPr>
          <w:sz w:val="20"/>
          <w:szCs w:val="20"/>
          <w:color w:val="auto"/>
        </w:rPr>
      </w:pPr>
      <w:r>
        <w:rPr>
          <w:rFonts w:ascii="Times New Roman" w:cs="Times New Roman" w:eastAsia="Times New Roman" w:hAnsi="Times New Roman"/>
          <w:sz w:val="16"/>
          <w:szCs w:val="16"/>
          <w:color w:val="auto"/>
        </w:rPr>
        <w:t>(9)This investment is valued using observable inputs and is considered a Level 2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(10)This investment is valued using observable inputs and is considered a Level 1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(11)This investment is non-income producing.</w:t>
      </w:r>
    </w:p>
    <w:p>
      <w:pPr>
        <w:ind w:right="500"/>
        <w:spacing w:after="0" w:line="268" w:lineRule="auto"/>
        <w:rPr>
          <w:sz w:val="20"/>
          <w:szCs w:val="20"/>
          <w:color w:val="auto"/>
        </w:rPr>
      </w:pPr>
      <w:r>
        <w:rPr>
          <w:rFonts w:ascii="Times New Roman" w:cs="Times New Roman" w:eastAsia="Times New Roman" w:hAnsi="Times New Roman"/>
          <w:sz w:val="14"/>
          <w:szCs w:val="14"/>
          <w:color w:val="auto"/>
        </w:rPr>
        <w:t>(12)All or a portion of this security was acquired in a transaction exempt from registration under the Securities Act of 1933, and may be deemed to be “restricted securities” under the Securities Act. As of December 31, 2023, the aggregate fair value of these securities is $13,032, or 0.9%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(13)Ownership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(14)Investment is on non-accrual status as of December 31, 2023.</w:t>
      </w:r>
    </w:p>
    <w:p>
      <w:pPr>
        <w:ind w:right="280"/>
        <w:spacing w:after="0" w:line="234" w:lineRule="auto"/>
        <w:rPr>
          <w:sz w:val="20"/>
          <w:szCs w:val="20"/>
          <w:color w:val="auto"/>
        </w:rPr>
      </w:pPr>
      <w:r>
        <w:rPr>
          <w:rFonts w:ascii="Times New Roman" w:cs="Times New Roman" w:eastAsia="Times New Roman" w:hAnsi="Times New Roman"/>
          <w:sz w:val="16"/>
          <w:szCs w:val="16"/>
          <w:color w:val="auto"/>
        </w:rPr>
        <w:t>(15)In addition to the principal amount outstanding and accrued interest owed on this investment, the Company is entitled to a separate Make-Whole Amount (the “Make-Whole”) of $11.8 million. The Make-Whole is a contractual obligation of the borrower and accrues interest on the balance outstanding. The Make -Whole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40" w:type="dxa"/>
            <w:vAlign w:val="bottom"/>
          </w:tcPr>
          <w:p>
            <w:pPr>
              <w:spacing w:after="0"/>
              <w:rPr>
                <w:sz w:val="12"/>
                <w:szCs w:val="12"/>
                <w:color w:val="auto"/>
              </w:rPr>
            </w:pPr>
          </w:p>
        </w:tc>
        <w:tc>
          <w:tcPr>
            <w:tcW w:w="158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7"/>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6"/>
        </w:trPr>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Par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Paid in Capital in</w:t>
            </w:r>
          </w:p>
        </w:tc>
        <w:tc>
          <w:tcPr>
            <w:tcW w:w="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Distributable</w:t>
            </w:r>
          </w:p>
        </w:tc>
        <w:tc>
          <w:tcPr>
            <w:tcW w:w="8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Total Net</w:t>
            </w:r>
          </w:p>
        </w:tc>
      </w:tr>
      <w:tr>
        <w:trPr>
          <w:trHeight w:val="144"/>
        </w:trPr>
        <w:tc>
          <w:tcPr>
            <w:tcW w:w="4340" w:type="dxa"/>
            <w:vAlign w:val="bottom"/>
          </w:tcPr>
          <w:p>
            <w:pPr>
              <w:spacing w:after="0"/>
              <w:rPr>
                <w:sz w:val="12"/>
                <w:szCs w:val="12"/>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Excess of Par</w:t>
            </w:r>
          </w:p>
        </w:tc>
        <w:tc>
          <w:tcPr>
            <w:tcW w:w="8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Assets</w:t>
            </w:r>
          </w:p>
        </w:tc>
      </w:tr>
      <w:tr>
        <w:trPr>
          <w:trHeight w:val="158"/>
        </w:trPr>
        <w:tc>
          <w:tcPr>
            <w:tcW w:w="43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87,829,499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885</w:t>
            </w:r>
          </w:p>
        </w:tc>
        <w:tc>
          <w:tcPr>
            <w:tcW w:w="8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664,250</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(10,459 )</w:t>
            </w:r>
          </w:p>
        </w:tc>
        <w:tc>
          <w:tcPr>
            <w:tcW w:w="12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1,405,173</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100,776</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1,496,375</w:t>
            </w:r>
          </w:p>
        </w:tc>
        <w:tc>
          <w:tcPr>
            <w:tcW w:w="80" w:type="dxa"/>
            <w:vAlign w:val="bottom"/>
            <w:shd w:val="clear" w:color="auto" w:fill="CFF0FC"/>
          </w:tcPr>
          <w:p>
            <w:pPr>
              <w:spacing w:after="0"/>
              <w:rPr>
                <w:sz w:val="13"/>
                <w:szCs w:val="13"/>
                <w:color w:val="auto"/>
              </w:rPr>
            </w:pPr>
          </w:p>
        </w:tc>
      </w:tr>
      <w:tr>
        <w:trPr>
          <w:trHeight w:val="154"/>
        </w:trPr>
        <w:tc>
          <w:tcPr>
            <w:tcW w:w="4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increase (decrease) in net assets resulting from operations: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Net investment income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52,362</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52,362</w:t>
            </w:r>
          </w:p>
        </w:tc>
        <w:tc>
          <w:tcPr>
            <w:tcW w:w="80" w:type="dxa"/>
            <w:vAlign w:val="bottom"/>
            <w:shd w:val="clear" w:color="auto" w:fill="CFF0FC"/>
          </w:tcPr>
          <w:p>
            <w:pPr>
              <w:spacing w:after="0"/>
              <w:rPr>
                <w:sz w:val="13"/>
                <w:szCs w:val="13"/>
                <w:color w:val="auto"/>
              </w:rPr>
            </w:pPr>
          </w:p>
        </w:tc>
      </w:tr>
      <w:tr>
        <w:trPr>
          <w:trHeight w:val="144"/>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change in unrealized gains (losses) on investments and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3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(6,969 )</w:t>
            </w:r>
          </w:p>
        </w:tc>
        <w:tc>
          <w:tcPr>
            <w:tcW w:w="8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(6,969 )</w:t>
            </w:r>
          </w:p>
        </w:tc>
      </w:tr>
      <w:tr>
        <w:trPr>
          <w:trHeight w:val="146"/>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Net realized gains (losses) on investments and foreign</w:t>
            </w:r>
          </w:p>
        </w:tc>
        <w:tc>
          <w:tcPr>
            <w:tcW w:w="7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4340" w:type="dxa"/>
            <w:vAlign w:val="bottom"/>
            <w:tcBorders>
              <w:right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currency transactions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2,125</w:t>
            </w: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2,125</w:t>
            </w:r>
          </w:p>
        </w:tc>
        <w:tc>
          <w:tcPr>
            <w:tcW w:w="80" w:type="dxa"/>
            <w:vAlign w:val="bottom"/>
            <w:shd w:val="clear" w:color="auto" w:fill="CFF0FC"/>
          </w:tcPr>
          <w:p>
            <w:pPr>
              <w:spacing w:after="0"/>
              <w:rPr>
                <w:sz w:val="12"/>
                <w:szCs w:val="12"/>
                <w:color w:val="auto"/>
              </w:rPr>
            </w:pPr>
          </w:p>
        </w:tc>
      </w:tr>
      <w:tr>
        <w:trPr>
          <w:trHeight w:val="144"/>
        </w:trPr>
        <w:tc>
          <w:tcPr>
            <w:tcW w:w="4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Increase (decrease) in Net Assets Resulting from Capital Share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Transactions: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6"/>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Issuance of common stock, net of offering and</w:t>
            </w:r>
          </w:p>
        </w:tc>
        <w:tc>
          <w:tcPr>
            <w:tcW w:w="7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4340" w:type="dxa"/>
            <w:vAlign w:val="bottom"/>
            <w:tcBorders>
              <w:right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underwriting costs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4,000,000</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81,417</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81,457</w:t>
            </w:r>
          </w:p>
        </w:tc>
        <w:tc>
          <w:tcPr>
            <w:tcW w:w="80" w:type="dxa"/>
            <w:vAlign w:val="bottom"/>
            <w:shd w:val="clear" w:color="auto" w:fill="CFF0FC"/>
          </w:tcPr>
          <w:p>
            <w:pPr>
              <w:spacing w:after="0"/>
              <w:rPr>
                <w:sz w:val="12"/>
                <w:szCs w:val="12"/>
                <w:color w:val="auto"/>
              </w:rPr>
            </w:pPr>
          </w:p>
        </w:tc>
      </w:tr>
      <w:tr>
        <w:trPr>
          <w:trHeight w:val="154"/>
        </w:trPr>
        <w:tc>
          <w:tcPr>
            <w:tcW w:w="4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Dividends to stockholders: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Stock issued in connection with dividend reinvestment plan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292,057</w:t>
            </w: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5,921</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5,924</w:t>
            </w:r>
          </w:p>
        </w:tc>
        <w:tc>
          <w:tcPr>
            <w:tcW w:w="80" w:type="dxa"/>
            <w:vAlign w:val="bottom"/>
            <w:shd w:val="clear" w:color="auto" w:fill="CFF0FC"/>
          </w:tcPr>
          <w:p>
            <w:pPr>
              <w:spacing w:after="0"/>
              <w:rPr>
                <w:sz w:val="13"/>
                <w:szCs w:val="13"/>
                <w:color w:val="auto"/>
              </w:rPr>
            </w:pPr>
          </w:p>
        </w:tc>
      </w:tr>
      <w:tr>
        <w:trPr>
          <w:trHeight w:val="154"/>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Dividends declared from distributable earnings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(49,268 )</w:t>
            </w: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(49,268 )</w:t>
            </w:r>
          </w:p>
        </w:tc>
      </w:tr>
      <w:tr>
        <w:trPr>
          <w:trHeight w:val="198"/>
        </w:trPr>
        <w:tc>
          <w:tcPr>
            <w:tcW w:w="43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92,121,556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928</w:t>
            </w:r>
          </w:p>
        </w:tc>
        <w:tc>
          <w:tcPr>
            <w:tcW w:w="8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664,250</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shd w:val="clear" w:color="auto" w:fill="CFF0FC"/>
          </w:tcPr>
          <w:p>
            <w:pPr>
              <w:jc w:val="right"/>
              <w:ind w:right="120"/>
              <w:spacing w:after="0" w:line="138" w:lineRule="exact"/>
              <w:rPr>
                <w:sz w:val="20"/>
                <w:szCs w:val="20"/>
                <w:color w:val="auto"/>
              </w:rPr>
            </w:pPr>
            <w:r>
              <w:rPr>
                <w:rFonts w:ascii="Times New Roman" w:cs="Times New Roman" w:eastAsia="Times New Roman" w:hAnsi="Times New Roman"/>
                <w:sz w:val="9"/>
                <w:szCs w:val="9"/>
                <w:b w:val="1"/>
                <w:bCs w:val="1"/>
                <w:color w:val="auto"/>
              </w:rPr>
              <w:t xml:space="preserve">(10,459 </w:t>
            </w:r>
            <w:r>
              <w:rPr>
                <w:rFonts w:ascii="Times New Roman" w:cs="Times New Roman" w:eastAsia="Times New Roman" w:hAnsi="Times New Roman"/>
                <w:sz w:val="16"/>
                <w:szCs w:val="16"/>
                <w:b w:val="1"/>
                <w:bCs w:val="1"/>
                <w:color w:val="auto"/>
                <w:vertAlign w:val="subscript"/>
              </w:rPr>
              <w:t>)</w:t>
            </w:r>
          </w:p>
        </w:tc>
        <w:tc>
          <w:tcPr>
            <w:tcW w:w="12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1,492,511</w:t>
            </w:r>
          </w:p>
        </w:tc>
        <w:tc>
          <w:tcPr>
            <w:tcW w:w="1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99,026</w:t>
            </w:r>
          </w:p>
        </w:tc>
        <w:tc>
          <w:tcPr>
            <w:tcW w:w="2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1,582,006</w:t>
            </w:r>
          </w:p>
        </w:tc>
        <w:tc>
          <w:tcPr>
            <w:tcW w:w="80" w:type="dxa"/>
            <w:vAlign w:val="bottom"/>
            <w:shd w:val="clear" w:color="auto" w:fill="CFF0FC"/>
          </w:tcPr>
          <w:p>
            <w:pPr>
              <w:spacing w:after="0"/>
              <w:rPr>
                <w:sz w:val="17"/>
                <w:szCs w:val="17"/>
                <w:color w:val="auto"/>
              </w:rPr>
            </w:pPr>
          </w:p>
        </w:tc>
      </w:tr>
      <w:tr>
        <w:trPr>
          <w:trHeight w:val="130"/>
        </w:trPr>
        <w:tc>
          <w:tcPr>
            <w:tcW w:w="43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1"/>
                <w:szCs w:val="11"/>
                <w:color w:val="auto"/>
              </w:rPr>
              <w:t>Net increase (decrease) in net assets resulting from operations:</w:t>
            </w: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r>
        <w:trPr>
          <w:trHeight w:val="158"/>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Net investment income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55,143</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55,143</w:t>
            </w:r>
          </w:p>
        </w:tc>
        <w:tc>
          <w:tcPr>
            <w:tcW w:w="80" w:type="dxa"/>
            <w:vAlign w:val="bottom"/>
            <w:shd w:val="clear" w:color="auto" w:fill="CFF0FC"/>
          </w:tcPr>
          <w:p>
            <w:pPr>
              <w:spacing w:after="0"/>
              <w:rPr>
                <w:sz w:val="13"/>
                <w:szCs w:val="13"/>
                <w:color w:val="auto"/>
              </w:rPr>
            </w:pPr>
          </w:p>
        </w:tc>
      </w:tr>
      <w:tr>
        <w:trPr>
          <w:trHeight w:val="144"/>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change in unrealized gains (losses) on investments and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3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(9,493 )</w:t>
            </w:r>
          </w:p>
        </w:tc>
        <w:tc>
          <w:tcPr>
            <w:tcW w:w="8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(9,493 )</w:t>
            </w:r>
          </w:p>
        </w:tc>
      </w:tr>
      <w:tr>
        <w:trPr>
          <w:trHeight w:val="146"/>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Net realized gains (losses) on investments and foreign</w:t>
            </w:r>
          </w:p>
        </w:tc>
        <w:tc>
          <w:tcPr>
            <w:tcW w:w="7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4340" w:type="dxa"/>
            <w:vAlign w:val="bottom"/>
            <w:tcBorders>
              <w:right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currency transactions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1,751</w:t>
            </w: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1,751</w:t>
            </w:r>
          </w:p>
        </w:tc>
        <w:tc>
          <w:tcPr>
            <w:tcW w:w="80" w:type="dxa"/>
            <w:vAlign w:val="bottom"/>
            <w:shd w:val="clear" w:color="auto" w:fill="CFF0FC"/>
          </w:tcPr>
          <w:p>
            <w:pPr>
              <w:spacing w:after="0"/>
              <w:rPr>
                <w:sz w:val="12"/>
                <w:szCs w:val="12"/>
                <w:color w:val="auto"/>
              </w:rPr>
            </w:pPr>
          </w:p>
        </w:tc>
      </w:tr>
      <w:tr>
        <w:trPr>
          <w:trHeight w:val="144"/>
        </w:trPr>
        <w:tc>
          <w:tcPr>
            <w:tcW w:w="4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Increase (decrease) in Net Assets Resulting from Capital Share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Transactions: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6"/>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Issuance of common stock, net of offering and</w:t>
            </w:r>
          </w:p>
        </w:tc>
        <w:tc>
          <w:tcPr>
            <w:tcW w:w="7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4340" w:type="dxa"/>
            <w:vAlign w:val="bottom"/>
            <w:tcBorders>
              <w:right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underwriting costs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600,000</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11,844</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11,850</w:t>
            </w:r>
          </w:p>
        </w:tc>
        <w:tc>
          <w:tcPr>
            <w:tcW w:w="80" w:type="dxa"/>
            <w:vAlign w:val="bottom"/>
            <w:shd w:val="clear" w:color="auto" w:fill="CFF0FC"/>
          </w:tcPr>
          <w:p>
            <w:pPr>
              <w:spacing w:after="0"/>
              <w:rPr>
                <w:sz w:val="12"/>
                <w:szCs w:val="12"/>
                <w:color w:val="auto"/>
              </w:rPr>
            </w:pPr>
          </w:p>
        </w:tc>
      </w:tr>
      <w:tr>
        <w:trPr>
          <w:trHeight w:val="154"/>
        </w:trPr>
        <w:tc>
          <w:tcPr>
            <w:tcW w:w="4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Dividends to stockholders: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Stock issued in connection with dividend reinvestment plan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295,649</w:t>
            </w: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5,990</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5,993</w:t>
            </w:r>
          </w:p>
        </w:tc>
        <w:tc>
          <w:tcPr>
            <w:tcW w:w="80" w:type="dxa"/>
            <w:vAlign w:val="bottom"/>
            <w:shd w:val="clear" w:color="auto" w:fill="CFF0FC"/>
          </w:tcPr>
          <w:p>
            <w:pPr>
              <w:spacing w:after="0"/>
              <w:rPr>
                <w:sz w:val="13"/>
                <w:szCs w:val="13"/>
                <w:color w:val="auto"/>
              </w:rPr>
            </w:pPr>
          </w:p>
        </w:tc>
      </w:tr>
      <w:tr>
        <w:trPr>
          <w:trHeight w:val="154"/>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Dividends declared from distributable earnings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(48,215 )</w:t>
            </w: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(48,215 )</w:t>
            </w:r>
          </w:p>
        </w:tc>
      </w:tr>
      <w:tr>
        <w:trPr>
          <w:trHeight w:val="178"/>
        </w:trPr>
        <w:tc>
          <w:tcPr>
            <w:tcW w:w="43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93,017,205</w:t>
            </w:r>
          </w:p>
        </w:tc>
        <w:tc>
          <w:tcPr>
            <w:tcW w:w="2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937</w:t>
            </w:r>
          </w:p>
        </w:tc>
        <w:tc>
          <w:tcPr>
            <w:tcW w:w="220" w:type="dxa"/>
            <w:vAlign w:val="bottom"/>
            <w:gridSpan w:val="2"/>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664,250</w:t>
            </w:r>
          </w:p>
        </w:tc>
        <w:tc>
          <w:tcPr>
            <w:tcW w:w="220" w:type="dxa"/>
            <w:vAlign w:val="bottom"/>
            <w:gridSpan w:val="2"/>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FF0FC"/>
          </w:tcPr>
          <w:p>
            <w:pPr>
              <w:jc w:val="right"/>
              <w:ind w:right="120"/>
              <w:spacing w:after="0" w:line="138" w:lineRule="exact"/>
              <w:rPr>
                <w:sz w:val="20"/>
                <w:szCs w:val="20"/>
                <w:color w:val="auto"/>
              </w:rPr>
            </w:pPr>
            <w:r>
              <w:rPr>
                <w:rFonts w:ascii="Times New Roman" w:cs="Times New Roman" w:eastAsia="Times New Roman" w:hAnsi="Times New Roman"/>
                <w:sz w:val="9"/>
                <w:szCs w:val="9"/>
                <w:b w:val="1"/>
                <w:bCs w:val="1"/>
                <w:color w:val="auto"/>
              </w:rPr>
              <w:t xml:space="preserve">(10,459 </w:t>
            </w:r>
            <w:r>
              <w:rPr>
                <w:rFonts w:ascii="Times New Roman" w:cs="Times New Roman" w:eastAsia="Times New Roman" w:hAnsi="Times New Roman"/>
                <w:sz w:val="16"/>
                <w:szCs w:val="16"/>
                <w:b w:val="1"/>
                <w:bCs w:val="1"/>
                <w:color w:val="auto"/>
                <w:vertAlign w:val="subscript"/>
              </w:rPr>
              <w:t>)</w:t>
            </w:r>
          </w:p>
        </w:tc>
        <w:tc>
          <w:tcPr>
            <w:tcW w:w="12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1,510,345</w:t>
            </w: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98,212</w:t>
            </w:r>
          </w:p>
        </w:tc>
        <w:tc>
          <w:tcPr>
            <w:tcW w:w="2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1,599,035</w:t>
            </w:r>
          </w:p>
        </w:tc>
        <w:tc>
          <w:tcPr>
            <w:tcW w:w="80" w:type="dxa"/>
            <w:vAlign w:val="bottom"/>
            <w:shd w:val="clear" w:color="auto" w:fill="CFF0FC"/>
          </w:tcPr>
          <w:p>
            <w:pPr>
              <w:spacing w:after="0"/>
              <w:rPr>
                <w:sz w:val="15"/>
                <w:szCs w:val="15"/>
                <w:color w:val="auto"/>
              </w:rPr>
            </w:pPr>
          </w:p>
        </w:tc>
      </w:tr>
      <w:tr>
        <w:trPr>
          <w:trHeight w:val="20"/>
        </w:trPr>
        <w:tc>
          <w:tcPr>
            <w:tcW w:w="4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92"/>
        </w:trPr>
        <w:tc>
          <w:tcPr>
            <w:tcW w:w="4340" w:type="dxa"/>
            <w:vAlign w:val="bottom"/>
          </w:tcPr>
          <w:p>
            <w:pPr>
              <w:spacing w:after="0"/>
              <w:rPr>
                <w:sz w:val="24"/>
                <w:szCs w:val="24"/>
                <w:color w:val="auto"/>
              </w:rPr>
            </w:pPr>
          </w:p>
        </w:tc>
        <w:tc>
          <w:tcPr>
            <w:tcW w:w="1580" w:type="dxa"/>
            <w:vAlign w:val="bottom"/>
            <w:gridSpan w:val="5"/>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7"/>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Par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Paid in Capital in</w:t>
            </w:r>
          </w:p>
        </w:tc>
        <w:tc>
          <w:tcPr>
            <w:tcW w:w="8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Distributable</w:t>
            </w:r>
          </w:p>
        </w:tc>
        <w:tc>
          <w:tcPr>
            <w:tcW w:w="8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Total Net</w:t>
            </w:r>
          </w:p>
        </w:tc>
      </w:tr>
      <w:tr>
        <w:trPr>
          <w:trHeight w:val="144"/>
        </w:trPr>
        <w:tc>
          <w:tcPr>
            <w:tcW w:w="4340" w:type="dxa"/>
            <w:vAlign w:val="bottom"/>
          </w:tcPr>
          <w:p>
            <w:pPr>
              <w:spacing w:after="0"/>
              <w:rPr>
                <w:sz w:val="12"/>
                <w:szCs w:val="1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5"/>
              </w:rPr>
              <w:t>Excess of Par</w:t>
            </w:r>
          </w:p>
        </w:tc>
        <w:tc>
          <w:tcPr>
            <w:tcW w:w="8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Assets</w:t>
            </w:r>
          </w:p>
        </w:tc>
      </w:tr>
      <w:tr>
        <w:trPr>
          <w:trHeight w:val="158"/>
        </w:trPr>
        <w:tc>
          <w:tcPr>
            <w:tcW w:w="43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81,389,287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821</w:t>
            </w:r>
          </w:p>
        </w:tc>
        <w:tc>
          <w:tcPr>
            <w:tcW w:w="100" w:type="dxa"/>
            <w:vAlign w:val="bottom"/>
            <w:shd w:val="clear" w:color="auto" w:fill="CFF0FC"/>
          </w:tcPr>
          <w:p>
            <w:pPr>
              <w:spacing w:after="0"/>
              <w:rPr>
                <w:sz w:val="13"/>
                <w:szCs w:val="13"/>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664,250</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(10,459 )</w:t>
            </w:r>
          </w:p>
        </w:tc>
        <w:tc>
          <w:tcPr>
            <w:tcW w:w="16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1,294,751</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56,456</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1,341,569</w:t>
            </w:r>
          </w:p>
        </w:tc>
        <w:tc>
          <w:tcPr>
            <w:tcW w:w="80" w:type="dxa"/>
            <w:vAlign w:val="bottom"/>
            <w:shd w:val="clear" w:color="auto" w:fill="CFF0FC"/>
          </w:tcPr>
          <w:p>
            <w:pPr>
              <w:spacing w:after="0"/>
              <w:rPr>
                <w:sz w:val="13"/>
                <w:szCs w:val="13"/>
                <w:color w:val="auto"/>
              </w:rPr>
            </w:pPr>
          </w:p>
        </w:tc>
      </w:tr>
      <w:tr>
        <w:trPr>
          <w:trHeight w:val="154"/>
        </w:trPr>
        <w:tc>
          <w:tcPr>
            <w:tcW w:w="4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increase (decrease) in net assets resulting from operations: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Net investment income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42,937</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42,937</w:t>
            </w:r>
          </w:p>
        </w:tc>
        <w:tc>
          <w:tcPr>
            <w:tcW w:w="80" w:type="dxa"/>
            <w:vAlign w:val="bottom"/>
            <w:shd w:val="clear" w:color="auto" w:fill="CFF0FC"/>
          </w:tcPr>
          <w:p>
            <w:pPr>
              <w:spacing w:after="0"/>
              <w:rPr>
                <w:sz w:val="13"/>
                <w:szCs w:val="13"/>
                <w:color w:val="auto"/>
              </w:rPr>
            </w:pPr>
          </w:p>
        </w:tc>
      </w:tr>
      <w:tr>
        <w:trPr>
          <w:trHeight w:val="144"/>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change in unrealized gains (losses) on investments and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3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4,777</w:t>
            </w:r>
          </w:p>
        </w:tc>
        <w:tc>
          <w:tcPr>
            <w:tcW w:w="80" w:type="dxa"/>
            <w:vAlign w:val="bottom"/>
          </w:tcPr>
          <w:p>
            <w:pPr>
              <w:spacing w:after="0"/>
              <w:rPr>
                <w:sz w:val="12"/>
                <w:szCs w:val="12"/>
                <w:color w:val="auto"/>
              </w:rPr>
            </w:pPr>
          </w:p>
        </w:tc>
      </w:tr>
      <w:tr>
        <w:trPr>
          <w:trHeight w:val="146"/>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Net realized gains (losses) on investments and foreign</w:t>
            </w:r>
          </w:p>
        </w:tc>
        <w:tc>
          <w:tcPr>
            <w:tcW w:w="7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4340" w:type="dxa"/>
            <w:vAlign w:val="bottom"/>
            <w:tcBorders>
              <w:right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currency transactions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5,238</w:t>
            </w: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5,238</w:t>
            </w:r>
          </w:p>
        </w:tc>
        <w:tc>
          <w:tcPr>
            <w:tcW w:w="80" w:type="dxa"/>
            <w:vAlign w:val="bottom"/>
            <w:shd w:val="clear" w:color="auto" w:fill="CFF0FC"/>
          </w:tcPr>
          <w:p>
            <w:pPr>
              <w:spacing w:after="0"/>
              <w:rPr>
                <w:sz w:val="12"/>
                <w:szCs w:val="12"/>
                <w:color w:val="auto"/>
              </w:rPr>
            </w:pPr>
          </w:p>
        </w:tc>
      </w:tr>
      <w:tr>
        <w:trPr>
          <w:trHeight w:val="154"/>
        </w:trPr>
        <w:tc>
          <w:tcPr>
            <w:tcW w:w="4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Dividends to stockholders: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Stock issued in connection with dividend reinvestment plan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362,578</w:t>
            </w: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6,245</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6,248</w:t>
            </w:r>
          </w:p>
        </w:tc>
        <w:tc>
          <w:tcPr>
            <w:tcW w:w="80" w:type="dxa"/>
            <w:vAlign w:val="bottom"/>
            <w:shd w:val="clear" w:color="auto" w:fill="CFF0FC"/>
          </w:tcPr>
          <w:p>
            <w:pPr>
              <w:spacing w:after="0"/>
              <w:rPr>
                <w:sz w:val="13"/>
                <w:szCs w:val="13"/>
                <w:color w:val="auto"/>
              </w:rPr>
            </w:pPr>
          </w:p>
        </w:tc>
      </w:tr>
      <w:tr>
        <w:trPr>
          <w:trHeight w:val="154"/>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Dividends declared from distributable earnings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(44,764 )</w:t>
            </w: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(44,764 )</w:t>
            </w:r>
          </w:p>
        </w:tc>
      </w:tr>
      <w:tr>
        <w:trPr>
          <w:trHeight w:val="134"/>
        </w:trPr>
        <w:tc>
          <w:tcPr>
            <w:tcW w:w="4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Tax reclassification of stockholders' equity in accordance with</w:t>
            </w:r>
          </w:p>
        </w:tc>
        <w:tc>
          <w:tcPr>
            <w:tcW w:w="7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6"/>
        </w:trPr>
        <w:tc>
          <w:tcPr>
            <w:tcW w:w="4340" w:type="dxa"/>
            <w:vAlign w:val="bottom"/>
            <w:tcBorders>
              <w:right w:val="single" w:sz="8" w:color="CFF0FC"/>
            </w:tcBorders>
            <w:shd w:val="clear" w:color="auto" w:fill="CFF0FC"/>
          </w:tcPr>
          <w:p>
            <w:pPr>
              <w:ind w:left="180"/>
              <w:spacing w:after="0" w:line="156" w:lineRule="exact"/>
              <w:rPr>
                <w:sz w:val="20"/>
                <w:szCs w:val="20"/>
                <w:color w:val="auto"/>
              </w:rPr>
            </w:pPr>
            <w:r>
              <w:rPr>
                <w:rFonts w:ascii="Times New Roman" w:cs="Times New Roman" w:eastAsia="Times New Roman" w:hAnsi="Times New Roman"/>
                <w:sz w:val="11"/>
                <w:szCs w:val="11"/>
                <w:color w:val="auto"/>
              </w:rPr>
              <w:t xml:space="preserve">GAAP </w:t>
            </w:r>
            <w:r>
              <w:rPr>
                <w:rFonts w:ascii="Times New Roman" w:cs="Times New Roman" w:eastAsia="Times New Roman" w:hAnsi="Times New Roman"/>
                <w:sz w:val="14"/>
                <w:szCs w:val="14"/>
                <w:color w:val="auto"/>
                <w:vertAlign w:val="superscript"/>
              </w:rPr>
              <w:t>(1)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(403 )</w:t>
            </w:r>
          </w:p>
        </w:tc>
        <w:tc>
          <w:tcPr>
            <w:tcW w:w="8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74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81,751,865</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664,250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3"/>
                <w:szCs w:val="13"/>
                <w:color w:val="auto"/>
              </w:rPr>
            </w:pP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9"/>
                <w:szCs w:val="9"/>
                <w:b w:val="1"/>
                <w:bCs w:val="1"/>
                <w:color w:val="auto"/>
              </w:rPr>
              <w:t xml:space="preserve">(10,459 </w:t>
            </w:r>
            <w:r>
              <w:rPr>
                <w:rFonts w:ascii="Times New Roman" w:cs="Times New Roman" w:eastAsia="Times New Roman" w:hAnsi="Times New Roman"/>
                <w:sz w:val="15"/>
                <w:szCs w:val="15"/>
                <w:b w:val="1"/>
                <w:bCs w:val="1"/>
                <w:color w:val="auto"/>
                <w:vertAlign w:val="subscript"/>
              </w:rPr>
              <w:t>)</w:t>
            </w:r>
          </w:p>
        </w:tc>
        <w:tc>
          <w:tcPr>
            <w:tcW w:w="16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1,300,593</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65,047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1,356,005</w:t>
            </w:r>
          </w:p>
        </w:tc>
        <w:tc>
          <w:tcPr>
            <w:tcW w:w="80" w:type="dxa"/>
            <w:vAlign w:val="bottom"/>
          </w:tcPr>
          <w:p>
            <w:pPr>
              <w:spacing w:after="0"/>
              <w:rPr>
                <w:sz w:val="13"/>
                <w:szCs w:val="13"/>
                <w:color w:val="auto"/>
              </w:rPr>
            </w:pPr>
          </w:p>
        </w:tc>
      </w:tr>
      <w:tr>
        <w:trPr>
          <w:trHeight w:val="20"/>
        </w:trPr>
        <w:tc>
          <w:tcPr>
            <w:tcW w:w="4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increase (decrease) in net assets resulting from operations:</w:t>
            </w:r>
          </w:p>
        </w:tc>
        <w:tc>
          <w:tcPr>
            <w:tcW w:w="7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4"/>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investment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48,784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48,784</w:t>
            </w:r>
          </w:p>
        </w:tc>
        <w:tc>
          <w:tcPr>
            <w:tcW w:w="80" w:type="dxa"/>
            <w:vAlign w:val="bottom"/>
          </w:tcPr>
          <w:p>
            <w:pPr>
              <w:spacing w:after="0"/>
              <w:rPr>
                <w:sz w:val="13"/>
                <w:szCs w:val="13"/>
                <w:color w:val="auto"/>
              </w:rPr>
            </w:pPr>
          </w:p>
        </w:tc>
      </w:tr>
      <w:tr>
        <w:trPr>
          <w:trHeight w:val="146"/>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Net change in unrealized gains (losses) on investments and</w:t>
            </w:r>
          </w:p>
        </w:tc>
        <w:tc>
          <w:tcPr>
            <w:tcW w:w="7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4340" w:type="dxa"/>
            <w:vAlign w:val="bottom"/>
            <w:tcBorders>
              <w:right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2,822</w:t>
            </w: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2,822</w:t>
            </w:r>
          </w:p>
        </w:tc>
        <w:tc>
          <w:tcPr>
            <w:tcW w:w="80" w:type="dxa"/>
            <w:vAlign w:val="bottom"/>
            <w:shd w:val="clear" w:color="auto" w:fill="CFF0FC"/>
          </w:tcPr>
          <w:p>
            <w:pPr>
              <w:spacing w:after="0"/>
              <w:rPr>
                <w:sz w:val="12"/>
                <w:szCs w:val="12"/>
                <w:color w:val="auto"/>
              </w:rPr>
            </w:pPr>
          </w:p>
        </w:tc>
      </w:tr>
      <w:tr>
        <w:trPr>
          <w:trHeight w:val="144"/>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realized gains (losses) on investments and foreign</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3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currency transactions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1,484</w:t>
            </w:r>
          </w:p>
        </w:tc>
        <w:tc>
          <w:tcPr>
            <w:tcW w:w="80" w:type="dxa"/>
            <w:vAlign w:val="bottom"/>
          </w:tcPr>
          <w:p>
            <w:pPr>
              <w:spacing w:after="0"/>
              <w:rPr>
                <w:sz w:val="12"/>
                <w:szCs w:val="12"/>
                <w:color w:val="auto"/>
              </w:rPr>
            </w:pPr>
          </w:p>
        </w:tc>
      </w:tr>
      <w:tr>
        <w:trPr>
          <w:trHeight w:val="146"/>
        </w:trPr>
        <w:tc>
          <w:tcPr>
            <w:tcW w:w="4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Increase (decrease) in Net Assets Resulting from Capital Share</w:t>
            </w:r>
          </w:p>
        </w:tc>
        <w:tc>
          <w:tcPr>
            <w:tcW w:w="7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Transactions:</w:t>
            </w:r>
          </w:p>
        </w:tc>
        <w:tc>
          <w:tcPr>
            <w:tcW w:w="7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Issuance of common stock, net of offering and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3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underwriting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5,175,000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89,238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89,290</w:t>
            </w:r>
          </w:p>
        </w:tc>
        <w:tc>
          <w:tcPr>
            <w:tcW w:w="80" w:type="dxa"/>
            <w:vAlign w:val="bottom"/>
          </w:tcPr>
          <w:p>
            <w:pPr>
              <w:spacing w:after="0"/>
              <w:rPr>
                <w:sz w:val="12"/>
                <w:szCs w:val="12"/>
                <w:color w:val="auto"/>
              </w:rPr>
            </w:pPr>
          </w:p>
        </w:tc>
      </w:tr>
      <w:tr>
        <w:trPr>
          <w:trHeight w:val="158"/>
        </w:trPr>
        <w:tc>
          <w:tcPr>
            <w:tcW w:w="4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Dividends to stockholders:</w:t>
            </w:r>
          </w:p>
        </w:tc>
        <w:tc>
          <w:tcPr>
            <w:tcW w:w="74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4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 issued in connection with dividend reinvestment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314,366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5,581</w:t>
            </w:r>
          </w:p>
        </w:tc>
        <w:tc>
          <w:tcPr>
            <w:tcW w:w="80" w:type="dxa"/>
            <w:vAlign w:val="bottom"/>
          </w:tcPr>
          <w:p>
            <w:pPr>
              <w:spacing w:after="0"/>
              <w:rPr>
                <w:sz w:val="13"/>
                <w:szCs w:val="13"/>
                <w:color w:val="auto"/>
              </w:rPr>
            </w:pPr>
          </w:p>
        </w:tc>
      </w:tr>
      <w:tr>
        <w:trPr>
          <w:trHeight w:val="158"/>
        </w:trPr>
        <w:tc>
          <w:tcPr>
            <w:tcW w:w="43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Dividends declared from distributable earnings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(43,437 )</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(43,437 )</w:t>
            </w:r>
          </w:p>
        </w:tc>
      </w:tr>
      <w:tr>
        <w:trPr>
          <w:trHeight w:val="156"/>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2023</w:t>
            </w:r>
          </w:p>
        </w:tc>
        <w:tc>
          <w:tcPr>
            <w:tcW w:w="74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87,241,231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879</w:t>
            </w:r>
          </w:p>
        </w:tc>
        <w:tc>
          <w:tcPr>
            <w:tcW w:w="10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664,250</w:t>
            </w:r>
          </w:p>
        </w:tc>
        <w:tc>
          <w:tcPr>
            <w:tcW w:w="10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9"/>
                <w:szCs w:val="9"/>
                <w:b w:val="1"/>
                <w:bCs w:val="1"/>
                <w:color w:val="auto"/>
              </w:rPr>
              <w:t xml:space="preserve">(10,459 </w:t>
            </w:r>
            <w:r>
              <w:rPr>
                <w:rFonts w:ascii="Times New Roman" w:cs="Times New Roman" w:eastAsia="Times New Roman" w:hAnsi="Times New Roman"/>
                <w:sz w:val="15"/>
                <w:szCs w:val="15"/>
                <w:b w:val="1"/>
                <w:bCs w:val="1"/>
                <w:color w:val="auto"/>
                <w:vertAlign w:val="subscript"/>
              </w:rPr>
              <w:t>)</w:t>
            </w:r>
          </w:p>
        </w:tc>
        <w:tc>
          <w:tcPr>
            <w:tcW w:w="16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1,395,409</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74,700</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1,460,529</w:t>
            </w:r>
          </w:p>
        </w:tc>
        <w:tc>
          <w:tcPr>
            <w:tcW w:w="80" w:type="dxa"/>
            <w:vAlign w:val="bottom"/>
          </w:tcPr>
          <w:p>
            <w:pPr>
              <w:spacing w:after="0"/>
              <w:rPr>
                <w:sz w:val="13"/>
                <w:szCs w:val="13"/>
                <w:color w:val="auto"/>
              </w:rPr>
            </w:pPr>
          </w:p>
        </w:tc>
      </w:tr>
      <w:tr>
        <w:trPr>
          <w:trHeight w:val="20"/>
        </w:trPr>
        <w:tc>
          <w:tcPr>
            <w:tcW w:w="4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Company changed its tax year end from March 31st to December 31st.</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194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84"/>
        </w:trPr>
        <w:tc>
          <w:tcPr>
            <w:tcW w:w="5800" w:type="dxa"/>
            <w:vAlign w:val="bottom"/>
          </w:tcPr>
          <w:p>
            <w:pPr>
              <w:spacing w:after="0"/>
              <w:rPr>
                <w:sz w:val="16"/>
                <w:szCs w:val="16"/>
                <w:color w:val="auto"/>
              </w:rPr>
            </w:pPr>
          </w:p>
        </w:tc>
        <w:tc>
          <w:tcPr>
            <w:tcW w:w="194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184"/>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9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76"/>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 net assets resulting from operations</w:t>
            </w:r>
          </w:p>
        </w:tc>
        <w:tc>
          <w:tcPr>
            <w:tcW w:w="1940" w:type="dxa"/>
            <w:vAlign w:val="bottom"/>
          </w:tcPr>
          <w:p>
            <w:pPr>
              <w:jc w:val="right"/>
              <w:ind w:right="182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94,919</w:t>
            </w:r>
          </w:p>
        </w:tc>
        <w:tc>
          <w:tcPr>
            <w:tcW w:w="100" w:type="dxa"/>
            <w:vAlign w:val="bottom"/>
          </w:tcPr>
          <w:p>
            <w:pPr>
              <w:spacing w:after="0"/>
              <w:rPr>
                <w:sz w:val="15"/>
                <w:szCs w:val="15"/>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106,042</w:t>
            </w:r>
          </w:p>
        </w:tc>
        <w:tc>
          <w:tcPr>
            <w:tcW w:w="240" w:type="dxa"/>
            <w:vAlign w:val="bottom"/>
          </w:tcPr>
          <w:p>
            <w:pPr>
              <w:spacing w:after="0"/>
              <w:rPr>
                <w:sz w:val="15"/>
                <w:szCs w:val="15"/>
                <w:color w:val="auto"/>
              </w:rPr>
            </w:pPr>
          </w:p>
        </w:tc>
      </w:tr>
      <w:tr>
        <w:trPr>
          <w:trHeight w:val="16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increase (decrease) in net assets resulting from operations to net cash provided</w:t>
            </w:r>
          </w:p>
        </w:tc>
        <w:tc>
          <w:tcPr>
            <w:tcW w:w="19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r>
      <w:tr>
        <w:trPr>
          <w:trHeight w:val="18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by (used in) operating activities:</w:t>
            </w:r>
          </w:p>
        </w:tc>
        <w:tc>
          <w:tcPr>
            <w:tcW w:w="1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investments</w:t>
            </w:r>
          </w:p>
        </w:tc>
        <w:tc>
          <w:tcPr>
            <w:tcW w:w="1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(10,429 )</w:t>
            </w: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foreign currency transactions</w:t>
            </w:r>
          </w:p>
        </w:tc>
        <w:tc>
          <w:tcPr>
            <w:tcW w:w="1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(3,085 )</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3,004</w:t>
            </w:r>
          </w:p>
        </w:tc>
        <w:tc>
          <w:tcPr>
            <w:tcW w:w="240" w:type="dxa"/>
            <w:vAlign w:val="bottom"/>
            <w:shd w:val="clear" w:color="auto" w:fill="CFF0FC"/>
          </w:tcPr>
          <w:p>
            <w:pPr>
              <w:spacing w:after="0"/>
              <w:rPr>
                <w:sz w:val="16"/>
                <w:szCs w:val="16"/>
                <w:color w:val="auto"/>
              </w:rPr>
            </w:pP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interest rate swaps</w:t>
            </w:r>
          </w:p>
        </w:tc>
        <w:tc>
          <w:tcPr>
            <w:tcW w:w="19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(174 )</w:t>
            </w: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(3,863 )</w:t>
            </w:r>
          </w:p>
        </w:tc>
        <w:tc>
          <w:tcPr>
            <w:tcW w:w="34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(6,436 )</w:t>
            </w: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foreign currency transactions</w:t>
            </w:r>
          </w:p>
        </w:tc>
        <w:tc>
          <w:tcPr>
            <w:tcW w:w="19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(765 )</w:t>
            </w:r>
          </w:p>
        </w:tc>
        <w:tc>
          <w:tcPr>
            <w:tcW w:w="340" w:type="dxa"/>
            <w:vAlign w:val="bottom"/>
          </w:tcPr>
          <w:p>
            <w:pPr>
              <w:spacing w:after="0"/>
              <w:rPr>
                <w:sz w:val="15"/>
                <w:szCs w:val="15"/>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(476 )</w:t>
            </w: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amortization of discount on investments</w:t>
            </w:r>
          </w:p>
        </w:tc>
        <w:tc>
          <w:tcPr>
            <w:tcW w:w="1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(10,557 )</w:t>
            </w:r>
          </w:p>
        </w:tc>
        <w:tc>
          <w:tcPr>
            <w:tcW w:w="34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(7,674 )</w:t>
            </w: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2,312</w:t>
            </w:r>
          </w:p>
        </w:tc>
        <w:tc>
          <w:tcPr>
            <w:tcW w:w="240" w:type="dxa"/>
            <w:vAlign w:val="bottom"/>
          </w:tcPr>
          <w:p>
            <w:pPr>
              <w:spacing w:after="0"/>
              <w:rPr>
                <w:sz w:val="15"/>
                <w:szCs w:val="15"/>
                <w:color w:val="auto"/>
              </w:rPr>
            </w:pP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Amortization of discount on debt</w:t>
            </w:r>
          </w:p>
        </w:tc>
        <w:tc>
          <w:tcPr>
            <w:tcW w:w="19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240" w:type="dxa"/>
            <w:vAlign w:val="bottom"/>
            <w:shd w:val="clear" w:color="auto" w:fill="CFF0FC"/>
          </w:tcPr>
          <w:p>
            <w:pPr>
              <w:spacing w:after="0"/>
              <w:rPr>
                <w:sz w:val="16"/>
                <w:szCs w:val="16"/>
                <w:color w:val="auto"/>
              </w:rPr>
            </w:pP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and originations of investments, net</w:t>
            </w:r>
          </w:p>
        </w:tc>
        <w:tc>
          <w:tcPr>
            <w:tcW w:w="19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(458,946 )</w:t>
            </w:r>
          </w:p>
        </w:tc>
        <w:tc>
          <w:tcPr>
            <w:tcW w:w="340" w:type="dxa"/>
            <w:vAlign w:val="bottom"/>
          </w:tcPr>
          <w:p>
            <w:pPr>
              <w:spacing w:after="0"/>
              <w:rPr>
                <w:sz w:val="15"/>
                <w:szCs w:val="15"/>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(455,596 )</w:t>
            </w: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Proceeds from investments, net</w:t>
            </w:r>
          </w:p>
        </w:tc>
        <w:tc>
          <w:tcPr>
            <w:tcW w:w="19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59,433</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9,049</w:t>
            </w:r>
          </w:p>
        </w:tc>
        <w:tc>
          <w:tcPr>
            <w:tcW w:w="240" w:type="dxa"/>
            <w:vAlign w:val="bottom"/>
            <w:shd w:val="clear" w:color="auto" w:fill="CFF0FC"/>
          </w:tcPr>
          <w:p>
            <w:pPr>
              <w:spacing w:after="0"/>
              <w:rPr>
                <w:sz w:val="16"/>
                <w:szCs w:val="16"/>
                <w:color w:val="auto"/>
              </w:rPr>
            </w:pP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Repayments on investments</w:t>
            </w:r>
          </w:p>
        </w:tc>
        <w:tc>
          <w:tcPr>
            <w:tcW w:w="1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374,283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176,630</w:t>
            </w:r>
          </w:p>
        </w:tc>
        <w:tc>
          <w:tcPr>
            <w:tcW w:w="240" w:type="dxa"/>
            <w:vAlign w:val="bottom"/>
          </w:tcPr>
          <w:p>
            <w:pPr>
              <w:spacing w:after="0"/>
              <w:rPr>
                <w:sz w:val="15"/>
                <w:szCs w:val="15"/>
                <w:color w:val="auto"/>
              </w:rPr>
            </w:pPr>
          </w:p>
        </w:tc>
      </w:tr>
      <w:tr>
        <w:trPr>
          <w:trHeight w:val="256"/>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Paid-in-kind interest</w:t>
            </w:r>
          </w:p>
        </w:tc>
        <w:tc>
          <w:tcPr>
            <w:tcW w:w="194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60"/>
              <w:spacing w:after="0" w:line="256" w:lineRule="exact"/>
              <w:rPr>
                <w:sz w:val="20"/>
                <w:szCs w:val="20"/>
                <w:color w:val="auto"/>
              </w:rPr>
            </w:pPr>
            <w:r>
              <w:rPr>
                <w:rFonts w:ascii="Times New Roman" w:cs="Times New Roman" w:eastAsia="Times New Roman" w:hAnsi="Times New Roman"/>
                <w:sz w:val="13"/>
                <w:szCs w:val="13"/>
                <w:color w:val="auto"/>
              </w:rPr>
              <w:t xml:space="preserve">(16,292 </w:t>
            </w:r>
            <w:r>
              <w:rPr>
                <w:rFonts w:ascii="Times New Roman" w:cs="Times New Roman" w:eastAsia="Times New Roman" w:hAnsi="Times New Roman"/>
                <w:sz w:val="26"/>
                <w:szCs w:val="26"/>
                <w:color w:val="auto"/>
                <w:vertAlign w:val="subscript"/>
              </w:rPr>
              <w:t>)</w:t>
            </w:r>
          </w:p>
        </w:tc>
        <w:tc>
          <w:tcPr>
            <w:tcW w:w="34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(6,634 )</w:t>
            </w:r>
          </w:p>
        </w:tc>
      </w:tr>
      <w:tr>
        <w:trPr>
          <w:trHeight w:val="176"/>
        </w:trPr>
        <w:tc>
          <w:tcPr>
            <w:tcW w:w="5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Interest receivable</w:t>
            </w:r>
          </w:p>
        </w:tc>
        <w:tc>
          <w:tcPr>
            <w:tcW w:w="1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(1,518 )</w:t>
            </w:r>
          </w:p>
        </w:tc>
        <w:tc>
          <w:tcPr>
            <w:tcW w:w="34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(3,380 )</w:t>
            </w: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receivable paid-in-kind</w:t>
            </w:r>
          </w:p>
        </w:tc>
        <w:tc>
          <w:tcPr>
            <w:tcW w:w="19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(1,251 )</w:t>
            </w:r>
          </w:p>
        </w:tc>
        <w:tc>
          <w:tcPr>
            <w:tcW w:w="340" w:type="dxa"/>
            <w:vAlign w:val="bottom"/>
          </w:tcPr>
          <w:p>
            <w:pPr>
              <w:spacing w:after="0"/>
              <w:rPr>
                <w:sz w:val="15"/>
                <w:szCs w:val="15"/>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(1,013 )</w:t>
            </w: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9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3,083</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240" w:type="dxa"/>
            <w:vAlign w:val="bottom"/>
            <w:shd w:val="clear" w:color="auto" w:fill="CFF0FC"/>
          </w:tcPr>
          <w:p>
            <w:pPr>
              <w:spacing w:after="0"/>
              <w:rPr>
                <w:sz w:val="16"/>
                <w:szCs w:val="16"/>
                <w:color w:val="auto"/>
              </w:rPr>
            </w:pP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1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240" w:type="dxa"/>
            <w:vAlign w:val="bottom"/>
          </w:tcPr>
          <w:p>
            <w:pPr>
              <w:spacing w:after="0"/>
              <w:rPr>
                <w:sz w:val="15"/>
                <w:szCs w:val="15"/>
                <w:color w:val="auto"/>
              </w:rPr>
            </w:pP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1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(37 )</w:t>
            </w:r>
          </w:p>
        </w:tc>
        <w:tc>
          <w:tcPr>
            <w:tcW w:w="34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(411 )</w:t>
            </w: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19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(2,180 )</w:t>
            </w: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2,506</w:t>
            </w:r>
          </w:p>
        </w:tc>
        <w:tc>
          <w:tcPr>
            <w:tcW w:w="240" w:type="dxa"/>
            <w:vAlign w:val="bottom"/>
          </w:tcPr>
          <w:p>
            <w:pPr>
              <w:spacing w:after="0"/>
              <w:rPr>
                <w:sz w:val="15"/>
                <w:szCs w:val="15"/>
                <w:color w:val="auto"/>
              </w:rPr>
            </w:pP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Payable to affiliate</w:t>
            </w:r>
          </w:p>
        </w:tc>
        <w:tc>
          <w:tcPr>
            <w:tcW w:w="19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1,782</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40" w:type="dxa"/>
            <w:vAlign w:val="bottom"/>
            <w:shd w:val="clear" w:color="auto" w:fill="CFF0FC"/>
          </w:tcPr>
          <w:p>
            <w:pPr>
              <w:spacing w:after="0"/>
              <w:rPr>
                <w:sz w:val="16"/>
                <w:szCs w:val="16"/>
                <w:color w:val="auto"/>
              </w:rPr>
            </w:pP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 liabilities</w:t>
            </w:r>
          </w:p>
        </w:tc>
        <w:tc>
          <w:tcPr>
            <w:tcW w:w="1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240" w:type="dxa"/>
            <w:vAlign w:val="bottom"/>
          </w:tcPr>
          <w:p>
            <w:pPr>
              <w:spacing w:after="0"/>
              <w:rPr>
                <w:sz w:val="15"/>
                <w:szCs w:val="15"/>
                <w:color w:val="auto"/>
              </w:rPr>
            </w:pP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19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59,729</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(186,581 )</w:t>
            </w:r>
          </w:p>
        </w:tc>
      </w:tr>
      <w:tr>
        <w:trPr>
          <w:trHeight w:val="177"/>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Borrowings on debt</w:t>
            </w:r>
          </w:p>
        </w:tc>
        <w:tc>
          <w:tcPr>
            <w:tcW w:w="19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855,943</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750,079</w:t>
            </w:r>
          </w:p>
        </w:tc>
        <w:tc>
          <w:tcPr>
            <w:tcW w:w="240" w:type="dxa"/>
            <w:vAlign w:val="bottom"/>
            <w:shd w:val="clear" w:color="auto" w:fill="CFF0FC"/>
          </w:tcPr>
          <w:p>
            <w:pPr>
              <w:spacing w:after="0"/>
              <w:rPr>
                <w:sz w:val="15"/>
                <w:szCs w:val="15"/>
                <w:color w:val="auto"/>
              </w:rPr>
            </w:pPr>
          </w:p>
        </w:tc>
      </w:tr>
      <w:tr>
        <w:trPr>
          <w:trHeight w:val="176"/>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Repayments on debt</w:t>
            </w:r>
          </w:p>
        </w:tc>
        <w:tc>
          <w:tcPr>
            <w:tcW w:w="19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(905,182 )</w:t>
            </w:r>
          </w:p>
        </w:tc>
        <w:tc>
          <w:tcPr>
            <w:tcW w:w="340" w:type="dxa"/>
            <w:vAlign w:val="bottom"/>
          </w:tcPr>
          <w:p>
            <w:pPr>
              <w:spacing w:after="0"/>
              <w:rPr>
                <w:sz w:val="15"/>
                <w:szCs w:val="15"/>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(571,126 )</w:t>
            </w:r>
          </w:p>
        </w:tc>
      </w:tr>
      <w:tr>
        <w:trPr>
          <w:trHeight w:val="184"/>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financing costs</w:t>
            </w:r>
          </w:p>
        </w:tc>
        <w:tc>
          <w:tcPr>
            <w:tcW w:w="1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(8,778 )</w:t>
            </w:r>
          </w:p>
        </w:tc>
        <w:tc>
          <w:tcPr>
            <w:tcW w:w="34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(5,083 )</w:t>
            </w:r>
          </w:p>
        </w:tc>
      </w:tr>
      <w:tr>
        <w:trPr>
          <w:trHeight w:val="156"/>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net of offering and</w:t>
            </w:r>
          </w:p>
        </w:tc>
        <w:tc>
          <w:tcPr>
            <w:tcW w:w="1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6"/>
        </w:trPr>
        <w:tc>
          <w:tcPr>
            <w:tcW w:w="5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underwriting costs</w:t>
            </w:r>
          </w:p>
        </w:tc>
        <w:tc>
          <w:tcPr>
            <w:tcW w:w="1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89,290</w:t>
            </w:r>
          </w:p>
        </w:tc>
        <w:tc>
          <w:tcPr>
            <w:tcW w:w="240" w:type="dxa"/>
            <w:vAlign w:val="bottom"/>
          </w:tcPr>
          <w:p>
            <w:pPr>
              <w:spacing w:after="0"/>
              <w:rPr>
                <w:sz w:val="15"/>
                <w:szCs w:val="15"/>
                <w:color w:val="auto"/>
              </w:rPr>
            </w:pPr>
          </w:p>
        </w:tc>
      </w:tr>
      <w:tr>
        <w:trPr>
          <w:trHeight w:val="184"/>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(85,566 )</w:t>
            </w:r>
          </w:p>
        </w:tc>
        <w:tc>
          <w:tcPr>
            <w:tcW w:w="34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(76,371 )</w:t>
            </w:r>
          </w:p>
        </w:tc>
      </w:tr>
      <w:tr>
        <w:trPr>
          <w:trHeight w:val="177"/>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9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(50,276 )</w:t>
            </w: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186,789</w:t>
            </w:r>
          </w:p>
        </w:tc>
        <w:tc>
          <w:tcPr>
            <w:tcW w:w="240" w:type="dxa"/>
            <w:vAlign w:val="bottom"/>
          </w:tcPr>
          <w:p>
            <w:pPr>
              <w:spacing w:after="0"/>
              <w:rPr>
                <w:sz w:val="15"/>
                <w:szCs w:val="15"/>
                <w:color w:val="auto"/>
              </w:rPr>
            </w:pPr>
          </w:p>
        </w:tc>
      </w:tr>
      <w:tr>
        <w:trPr>
          <w:trHeight w:val="183"/>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19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9,453</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40" w:type="dxa"/>
            <w:vAlign w:val="bottom"/>
            <w:shd w:val="clear" w:color="auto" w:fill="CFF0FC"/>
          </w:tcPr>
          <w:p>
            <w:pPr>
              <w:spacing w:after="0"/>
              <w:rPr>
                <w:sz w:val="15"/>
                <w:szCs w:val="15"/>
                <w:color w:val="auto"/>
              </w:rPr>
            </w:pPr>
          </w:p>
        </w:tc>
      </w:tr>
      <w:tr>
        <w:trPr>
          <w:trHeight w:val="176"/>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1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25,647</w:t>
            </w:r>
          </w:p>
        </w:tc>
        <w:tc>
          <w:tcPr>
            <w:tcW w:w="240" w:type="dxa"/>
            <w:vAlign w:val="bottom"/>
          </w:tcPr>
          <w:p>
            <w:pPr>
              <w:spacing w:after="0"/>
              <w:rPr>
                <w:sz w:val="15"/>
                <w:szCs w:val="15"/>
                <w:color w:val="auto"/>
              </w:rPr>
            </w:pPr>
          </w:p>
        </w:tc>
      </w:tr>
      <w:tr>
        <w:trPr>
          <w:trHeight w:val="221"/>
        </w:trPr>
        <w:tc>
          <w:tcPr>
            <w:tcW w:w="58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1940" w:type="dxa"/>
            <w:vAlign w:val="bottom"/>
            <w:tcBorders>
              <w:bottom w:val="single" w:sz="8" w:color="auto"/>
            </w:tcBorders>
            <w:shd w:val="clear" w:color="auto" w:fill="CFF0FC"/>
          </w:tcPr>
          <w:p>
            <w:pPr>
              <w:jc w:val="right"/>
              <w:ind w:right="182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34,649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25,855</w:t>
            </w:r>
          </w:p>
        </w:tc>
        <w:tc>
          <w:tcPr>
            <w:tcW w:w="240" w:type="dxa"/>
            <w:vAlign w:val="bottom"/>
            <w:tcBorders>
              <w:bottom w:val="single" w:sz="8" w:color="CFF0FC"/>
            </w:tcBorders>
            <w:shd w:val="clear" w:color="auto" w:fill="CFF0FC"/>
          </w:tcPr>
          <w:p>
            <w:pPr>
              <w:spacing w:after="0"/>
              <w:rPr>
                <w:sz w:val="19"/>
                <w:szCs w:val="19"/>
                <w:color w:val="auto"/>
              </w:rPr>
            </w:pPr>
          </w:p>
        </w:tc>
      </w:tr>
      <w:tr>
        <w:trPr>
          <w:trHeight w:val="155"/>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1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1940" w:type="dxa"/>
            <w:vAlign w:val="bottom"/>
            <w:shd w:val="clear" w:color="auto" w:fill="CFF0FC"/>
          </w:tcPr>
          <w:p>
            <w:pPr>
              <w:jc w:val="right"/>
              <w:ind w:right="182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68,168</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56,464</w:t>
            </w:r>
          </w:p>
        </w:tc>
        <w:tc>
          <w:tcPr>
            <w:tcW w:w="240" w:type="dxa"/>
            <w:vAlign w:val="bottom"/>
            <w:shd w:val="clear" w:color="auto" w:fill="CFF0FC"/>
          </w:tcPr>
          <w:p>
            <w:pPr>
              <w:spacing w:after="0"/>
              <w:rPr>
                <w:sz w:val="16"/>
                <w:szCs w:val="16"/>
                <w:color w:val="auto"/>
              </w:rPr>
            </w:pPr>
          </w:p>
        </w:tc>
      </w:tr>
      <w:tr>
        <w:trPr>
          <w:trHeight w:val="176"/>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Excise and other taxes paid during the period</w:t>
            </w:r>
          </w:p>
        </w:tc>
        <w:tc>
          <w:tcPr>
            <w:tcW w:w="1940" w:type="dxa"/>
            <w:vAlign w:val="bottom"/>
          </w:tcPr>
          <w:p>
            <w:pPr>
              <w:jc w:val="right"/>
              <w:ind w:right="182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w:t>
            </w:r>
          </w:p>
        </w:tc>
        <w:tc>
          <w:tcPr>
            <w:tcW w:w="100" w:type="dxa"/>
            <w:vAlign w:val="bottom"/>
          </w:tcPr>
          <w:p>
            <w:pPr>
              <w:spacing w:after="0"/>
              <w:rPr>
                <w:sz w:val="15"/>
                <w:szCs w:val="15"/>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w:t>
            </w:r>
          </w:p>
        </w:tc>
        <w:tc>
          <w:tcPr>
            <w:tcW w:w="240" w:type="dxa"/>
            <w:vAlign w:val="bottom"/>
          </w:tcPr>
          <w:p>
            <w:pPr>
              <w:spacing w:after="0"/>
              <w:rPr>
                <w:sz w:val="15"/>
                <w:szCs w:val="15"/>
                <w:color w:val="auto"/>
              </w:rPr>
            </w:pPr>
          </w:p>
        </w:tc>
      </w:tr>
      <w:tr>
        <w:trPr>
          <w:trHeight w:val="184"/>
        </w:trPr>
        <w:tc>
          <w:tcPr>
            <w:tcW w:w="5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Dividends declared during the period</w:t>
            </w:r>
          </w:p>
        </w:tc>
        <w:tc>
          <w:tcPr>
            <w:tcW w:w="1940" w:type="dxa"/>
            <w:vAlign w:val="bottom"/>
            <w:shd w:val="clear" w:color="auto" w:fill="CFF0FC"/>
          </w:tcPr>
          <w:p>
            <w:pPr>
              <w:jc w:val="right"/>
              <w:ind w:right="182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97,483</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88,201</w:t>
            </w:r>
          </w:p>
        </w:tc>
        <w:tc>
          <w:tcPr>
            <w:tcW w:w="240" w:type="dxa"/>
            <w:vAlign w:val="bottom"/>
            <w:shd w:val="clear" w:color="auto" w:fill="CFF0FC"/>
          </w:tcPr>
          <w:p>
            <w:pPr>
              <w:spacing w:after="0"/>
              <w:rPr>
                <w:sz w:val="16"/>
                <w:szCs w:val="16"/>
                <w:color w:val="auto"/>
              </w:rPr>
            </w:pPr>
          </w:p>
        </w:tc>
      </w:tr>
      <w:tr>
        <w:trPr>
          <w:trHeight w:val="180"/>
        </w:trPr>
        <w:tc>
          <w:tcPr>
            <w:tcW w:w="5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Non-Cash Financing Activities:</w:t>
            </w:r>
          </w:p>
        </w:tc>
        <w:tc>
          <w:tcPr>
            <w:tcW w:w="1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2"/>
        </w:trPr>
        <w:tc>
          <w:tcPr>
            <w:tcW w:w="5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Reinvestment of dividends during the period</w:t>
            </w:r>
          </w:p>
        </w:tc>
        <w:tc>
          <w:tcPr>
            <w:tcW w:w="1940" w:type="dxa"/>
            <w:vAlign w:val="bottom"/>
          </w:tcPr>
          <w:p>
            <w:pPr>
              <w:jc w:val="right"/>
              <w:ind w:right="182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11,917</w:t>
            </w:r>
          </w:p>
        </w:tc>
        <w:tc>
          <w:tcPr>
            <w:tcW w:w="100" w:type="dxa"/>
            <w:vAlign w:val="bottom"/>
          </w:tcPr>
          <w:p>
            <w:pPr>
              <w:spacing w:after="0"/>
              <w:rPr>
                <w:sz w:val="14"/>
                <w:szCs w:val="14"/>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11,829</w:t>
            </w:r>
          </w:p>
        </w:tc>
        <w:tc>
          <w:tcPr>
            <w:tcW w:w="240" w:type="dxa"/>
            <w:vAlign w:val="bottom"/>
          </w:tcPr>
          <w:p>
            <w:pPr>
              <w:spacing w:after="0"/>
              <w:rPr>
                <w:sz w:val="14"/>
                <w:szCs w:val="14"/>
                <w:color w:val="auto"/>
              </w:rPr>
            </w:pPr>
          </w:p>
        </w:tc>
      </w:tr>
    </w:tbl>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5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 unless otherwise indicated)</w:t>
      </w:r>
    </w:p>
    <w:p>
      <w:pPr>
        <w:spacing w:after="0" w:line="156" w:lineRule="exact"/>
        <w:rPr>
          <w:sz w:val="20"/>
          <w:szCs w:val="20"/>
          <w:color w:val="auto"/>
        </w:rPr>
      </w:pPr>
    </w:p>
    <w:p>
      <w:pPr>
        <w:ind w:right="7740" w:firstLine="6"/>
        <w:spacing w:after="0" w:line="361" w:lineRule="auto"/>
        <w:tabs>
          <w:tab w:leader="none" w:pos="156"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and Basis of Presentation </w:t>
      </w:r>
      <w:r>
        <w:rPr>
          <w:rFonts w:ascii="Times New Roman" w:cs="Times New Roman" w:eastAsia="Times New Roman" w:hAnsi="Times New Roman"/>
          <w:sz w:val="16"/>
          <w:szCs w:val="16"/>
          <w:i w:val="1"/>
          <w:iCs w:val="1"/>
          <w:color w:val="auto"/>
        </w:rPr>
        <w:t>Organization</w:t>
      </w:r>
    </w:p>
    <w:p>
      <w:pPr>
        <w:spacing w:after="0" w:line="1"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 -owned subsidiary, Sixth Street SL Holding, LLC, a Delaware limited liability company. On December 9, 2020, the Company formed a wholly-owned subsidiary, Sixth Street Specialty Lending Sub, LLC, a Cayman Islands limited liability company.</w:t>
      </w:r>
    </w:p>
    <w:p>
      <w:pPr>
        <w:spacing w:after="0" w:line="173" w:lineRule="exact"/>
        <w:rPr>
          <w:sz w:val="20"/>
          <w:szCs w:val="20"/>
          <w:color w:val="auto"/>
        </w:rPr>
      </w:pPr>
    </w:p>
    <w:p>
      <w:pPr>
        <w:ind w:right="620" w:firstLine="228"/>
        <w:spacing w:after="0" w:line="259" w:lineRule="auto"/>
        <w:rPr>
          <w:sz w:val="20"/>
          <w:szCs w:val="20"/>
          <w:color w:val="auto"/>
        </w:rPr>
      </w:pPr>
      <w:r>
        <w:rPr>
          <w:rFonts w:ascii="Times New Roman" w:cs="Times New Roman" w:eastAsia="Times New Roman" w:hAnsi="Times New Roman"/>
          <w:sz w:val="16"/>
          <w:szCs w:val="16"/>
          <w:color w:val="auto"/>
        </w:rPr>
        <w:t>On March 21, 2014, the Company completed its initial public offering (“IPO”) and the Company’s shares began trading on the New York Stock Exchange (“NYSE”) under the symbol “TSLX.”</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94" w:lineRule="exact"/>
        <w:rPr>
          <w:sz w:val="20"/>
          <w:szCs w:val="20"/>
          <w:color w:val="auto"/>
        </w:rPr>
      </w:pPr>
    </w:p>
    <w:p>
      <w:pPr>
        <w:ind w:right="280" w:firstLine="228"/>
        <w:spacing w:after="0" w:line="243"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67"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2023, which was filed with the Securities and Exchange Commission (“SEC”), on February 15, 2024.</w:t>
      </w:r>
    </w:p>
    <w:p>
      <w:pPr>
        <w:spacing w:after="0" w:line="167"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6"/>
          <w:szCs w:val="16"/>
          <w:i w:val="1"/>
          <w:iCs w:val="1"/>
          <w:color w:val="auto"/>
        </w:rPr>
        <w:t>Financial Services – Investment Companies.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End</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fiscal year ends on December 31.</w:t>
      </w:r>
    </w:p>
    <w:p>
      <w:pPr>
        <w:spacing w:after="0" w:line="282" w:lineRule="exact"/>
        <w:rPr>
          <w:sz w:val="20"/>
          <w:szCs w:val="20"/>
          <w:color w:val="auto"/>
        </w:rPr>
      </w:pPr>
    </w:p>
    <w:p>
      <w:pPr>
        <w:ind w:right="8280" w:firstLine="6"/>
        <w:spacing w:after="0" w:line="361" w:lineRule="auto"/>
        <w:tabs>
          <w:tab w:leader="none" w:pos="156"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Accounting Policies </w:t>
      </w:r>
      <w:r>
        <w:rPr>
          <w:rFonts w:ascii="Times New Roman" w:cs="Times New Roman" w:eastAsia="Times New Roman" w:hAnsi="Times New Roman"/>
          <w:sz w:val="16"/>
          <w:szCs w:val="16"/>
          <w:i w:val="1"/>
          <w:iCs w:val="1"/>
          <w:color w:val="auto"/>
        </w:rPr>
        <w:t>Use of Estimates</w:t>
      </w:r>
    </w:p>
    <w:p>
      <w:pPr>
        <w:spacing w:after="0" w:line="1"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94" w:lineRule="exact"/>
        <w:rPr>
          <w:sz w:val="20"/>
          <w:szCs w:val="20"/>
          <w:color w:val="auto"/>
        </w:rPr>
      </w:pPr>
    </w:p>
    <w:p>
      <w:pPr>
        <w:ind w:right="40" w:firstLine="228"/>
        <w:spacing w:after="0"/>
        <w:rPr>
          <w:sz w:val="20"/>
          <w:szCs w:val="20"/>
          <w:color w:val="auto"/>
        </w:rPr>
      </w:pPr>
      <w:r>
        <w:rPr>
          <w:rFonts w:ascii="Times New Roman" w:cs="Times New Roman" w:eastAsia="Times New Roman" w:hAnsi="Times New Roman"/>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59" w:right="740" w:bottom="1440" w:gutter="0" w:footer="0" w:header="0"/>
        </w:sectPr>
      </w:pPr>
    </w:p>
    <w:bookmarkStart w:id="23" w:name="page24"/>
    <w:bookmarkEnd w:id="2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 at Fair Value</w:t>
      </w:r>
    </w:p>
    <w:p>
      <w:pPr>
        <w:spacing w:after="0" w:line="94"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 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34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conducts this valuation process on a quarterly basis.</w:t>
      </w:r>
    </w:p>
    <w:p>
      <w:pPr>
        <w:spacing w:after="0" w:line="188" w:lineRule="exact"/>
        <w:rPr>
          <w:sz w:val="20"/>
          <w:szCs w:val="20"/>
          <w:color w:val="auto"/>
        </w:rPr>
      </w:pPr>
    </w:p>
    <w:p>
      <w:pPr>
        <w:jc w:val="both"/>
        <w:ind w:right="40"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June 30, 2024,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6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 xml:space="preserve">The Company applies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the Company has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 w:name="page25"/>
    <w:bookmarkEnd w:id="24"/>
    <w:p>
      <w:pPr>
        <w:spacing w:after="0" w:line="113"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3"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69" w:lineRule="exact"/>
        <w:rPr>
          <w:sz w:val="20"/>
          <w:szCs w:val="20"/>
          <w:color w:val="auto"/>
        </w:rPr>
      </w:pPr>
    </w:p>
    <w:p>
      <w:pPr>
        <w:ind w:firstLine="228"/>
        <w:spacing w:after="0" w:line="331" w:lineRule="auto"/>
        <w:rPr>
          <w:sz w:val="20"/>
          <w:szCs w:val="20"/>
          <w:color w:val="auto"/>
        </w:rPr>
      </w:pPr>
      <w:r>
        <w:rPr>
          <w:rFonts w:ascii="Times New Roman" w:cs="Times New Roman" w:eastAsia="Times New Roman" w:hAnsi="Times New Roman"/>
          <w:sz w:val="14"/>
          <w:szCs w:val="14"/>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and Derivative Instruments</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0"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Derivatives, including the Company’s interest rate swaps, for which broker quotes are available are typically valued at those broker quotes.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Offsetting Assets and Liabilities</w:t>
      </w:r>
    </w:p>
    <w:p>
      <w:pPr>
        <w:spacing w:after="0" w:line="94"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Foreign currency amounts are translated into U.S. dollars on the following basis: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•cash and cash equivalents, market value of investments, outstanding debt on revolving credit facilities, other assets and liabilities: at the spot exchange rate on the last business day of the period; and</w:t>
      </w:r>
    </w:p>
    <w:p>
      <w:pPr>
        <w:spacing w:after="0" w:line="59" w:lineRule="exact"/>
        <w:rPr>
          <w:sz w:val="20"/>
          <w:szCs w:val="20"/>
          <w:color w:val="auto"/>
        </w:rPr>
      </w:pPr>
    </w:p>
    <w:p>
      <w:pPr>
        <w:ind w:left="240" w:right="340"/>
        <w:spacing w:after="0" w:line="246" w:lineRule="auto"/>
        <w:rPr>
          <w:sz w:val="20"/>
          <w:szCs w:val="20"/>
          <w:color w:val="auto"/>
        </w:rPr>
      </w:pPr>
      <w:r>
        <w:rPr>
          <w:rFonts w:ascii="Times New Roman" w:cs="Times New Roman" w:eastAsia="Times New Roman" w:hAnsi="Times New Roman"/>
          <w:sz w:val="16"/>
          <w:szCs w:val="16"/>
          <w:color w:val="auto"/>
        </w:rPr>
        <w:t>•purchases and sales of investments, borrowings and repayments of such borrowings, income and expenses: at the rates of exchange prevailing on the respective dates of such transactions.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 w:name="page26"/>
    <w:bookmarkEnd w:id="25"/>
    <w:p>
      <w:pPr>
        <w:spacing w:after="0" w:line="11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3"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Offering Expenses</w:t>
      </w:r>
    </w:p>
    <w:p>
      <w:pPr>
        <w:spacing w:after="0" w:line="94"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Issuance Costs</w:t>
      </w:r>
    </w:p>
    <w:p>
      <w:pPr>
        <w:spacing w:after="0" w:line="94" w:lineRule="exact"/>
        <w:rPr>
          <w:sz w:val="20"/>
          <w:szCs w:val="20"/>
          <w:color w:val="auto"/>
        </w:rPr>
      </w:pPr>
    </w:p>
    <w:p>
      <w:pPr>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Dividend Income Recognition</w:t>
      </w:r>
    </w:p>
    <w:p>
      <w:pPr>
        <w:spacing w:after="0" w:line="9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55"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94"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per share</w:t>
      </w:r>
    </w:p>
    <w:p>
      <w:pPr>
        <w:spacing w:after="0" w:line="94" w:lineRule="exact"/>
        <w:rPr>
          <w:sz w:val="20"/>
          <w:szCs w:val="20"/>
          <w:color w:val="auto"/>
        </w:rPr>
      </w:pPr>
    </w:p>
    <w:p>
      <w:pPr>
        <w:ind w:right="220" w:firstLine="228"/>
        <w:spacing w:after="0" w:line="273" w:lineRule="auto"/>
        <w:rPr>
          <w:sz w:val="20"/>
          <w:szCs w:val="20"/>
          <w:color w:val="auto"/>
        </w:rPr>
      </w:pPr>
      <w:r>
        <w:rPr>
          <w:rFonts w:ascii="Times New Roman" w:cs="Times New Roman" w:eastAsia="Times New Roman" w:hAnsi="Times New Roman"/>
          <w:sz w:val="14"/>
          <w:szCs w:val="14"/>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 w:name="page27"/>
    <w:bookmarkEnd w:id="26"/>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Reimbursement of Transaction-Related Expenses</w:t>
      </w:r>
    </w:p>
    <w:p>
      <w:pPr>
        <w:spacing w:after="0" w:line="94" w:lineRule="exact"/>
        <w:rPr>
          <w:sz w:val="20"/>
          <w:szCs w:val="20"/>
          <w:color w:val="auto"/>
        </w:rPr>
      </w:pPr>
    </w:p>
    <w:p>
      <w:pPr>
        <w:ind w:right="180" w:firstLine="228"/>
        <w:spacing w:after="0" w:line="243" w:lineRule="auto"/>
        <w:rPr>
          <w:sz w:val="20"/>
          <w:szCs w:val="20"/>
          <w:color w:val="auto"/>
        </w:rPr>
      </w:pPr>
      <w:r>
        <w:rPr>
          <w:rFonts w:ascii="Times New Roman" w:cs="Times New Roman" w:eastAsia="Times New Roman" w:hAnsi="Times New Roman"/>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67"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 Including Excise Taxes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69"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The Company evaluates tax positions taken or expected to be taken in the course of preparing its financial statements to determine whether the tax positions are “more-likely-than -not”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69"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67"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For the three and six months ended June 30, 2024, the Company recorded a net expense of $1.2 million and $2.1 million, respectively, for U.S. federal excise tax and other taxes. For the three and six months ended June 30, 2023, the Company recorded a net expense of $0.9 million and $1.3 million, respectively, for U.S. federal excise tax and other taxes.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changed its tax year end from March 31st to December 31st.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 to Common Stockholders</w:t>
      </w:r>
    </w:p>
    <w:p>
      <w:pPr>
        <w:spacing w:after="0" w:line="94" w:lineRule="exact"/>
        <w:rPr>
          <w:sz w:val="20"/>
          <w:szCs w:val="20"/>
          <w:color w:val="auto"/>
        </w:rPr>
      </w:pPr>
    </w:p>
    <w:p>
      <w:pPr>
        <w:jc w:val="both"/>
        <w:ind w:right="40" w:firstLine="228"/>
        <w:spacing w:after="0" w:line="247" w:lineRule="auto"/>
        <w:rPr>
          <w:sz w:val="20"/>
          <w:szCs w:val="20"/>
          <w:color w:val="auto"/>
        </w:rPr>
      </w:pPr>
      <w:r>
        <w:rPr>
          <w:rFonts w:ascii="Times New Roman" w:cs="Times New Roman" w:eastAsia="Times New Roman" w:hAnsi="Times New Roman"/>
          <w:sz w:val="16"/>
          <w:szCs w:val="16"/>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64" w:lineRule="exact"/>
        <w:rPr>
          <w:sz w:val="20"/>
          <w:szCs w:val="20"/>
          <w:color w:val="auto"/>
        </w:rPr>
      </w:pPr>
    </w:p>
    <w:p>
      <w:pPr>
        <w:ind w:right="120" w:firstLine="228"/>
        <w:spacing w:after="0"/>
        <w:rPr>
          <w:sz w:val="20"/>
          <w:szCs w:val="20"/>
          <w:color w:val="auto"/>
        </w:rPr>
      </w:pPr>
      <w:r>
        <w:rPr>
          <w:rFonts w:ascii="Times New Roman" w:cs="Times New Roman" w:eastAsia="Times New Roman" w:hAnsi="Times New Roman"/>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7" w:name="page28"/>
    <w:bookmarkEnd w:id="27"/>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Standards and Regulatory Updates</w:t>
      </w:r>
    </w:p>
    <w:p>
      <w:pPr>
        <w:spacing w:after="0" w:line="94"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On June 28, 2024, the Canadian Dollar Offer Rates (“CDOR”) ceased to be published. In accordance with the cessation of CDOR, CDOR-based contracts were transitioned to the Canadian Overnight Repo Rate Average (“CORRA”).</w:t>
      </w:r>
    </w:p>
    <w:p>
      <w:pPr>
        <w:spacing w:after="0" w:line="249" w:lineRule="exact"/>
        <w:rPr>
          <w:sz w:val="20"/>
          <w:szCs w:val="20"/>
          <w:color w:val="auto"/>
        </w:rPr>
      </w:pPr>
    </w:p>
    <w:p>
      <w:pPr>
        <w:ind w:right="7420" w:firstLine="6"/>
        <w:spacing w:after="0" w:line="361" w:lineRule="auto"/>
        <w:tabs>
          <w:tab w:leader="none" w:pos="156"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Agreements and Related Party Transactions </w:t>
      </w:r>
      <w:r>
        <w:rPr>
          <w:rFonts w:ascii="Times New Roman" w:cs="Times New Roman" w:eastAsia="Times New Roman" w:hAnsi="Times New Roman"/>
          <w:sz w:val="16"/>
          <w:szCs w:val="16"/>
          <w:i w:val="1"/>
          <w:iCs w:val="1"/>
          <w:color w:val="auto"/>
        </w:rPr>
        <w:t>Administration Agreement</w:t>
      </w:r>
    </w:p>
    <w:p>
      <w:pPr>
        <w:spacing w:after="0" w:line="1"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3"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64"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64"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4"/>
          <w:szCs w:val="14"/>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32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For the three and six months ended June 30, 2024 the Company incurred expenses of $1.0 million and $1.9 million, respectively, for administrative services payable to the Adviser under the terms of the Administration Agreement, which is included in other general and administrative expenses in the Consolidated Statements of Operations. For the three and six months ended June 30, 2023, the Company incurred expenses of $0.6 million and $1.2 million, respectively, for administrative services payable to the Adviser under the terms of the Administration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w:t>
      </w:r>
    </w:p>
    <w:p>
      <w:pPr>
        <w:spacing w:after="0" w:line="94" w:lineRule="exact"/>
        <w:rPr>
          <w:sz w:val="20"/>
          <w:szCs w:val="20"/>
          <w:color w:val="auto"/>
        </w:rPr>
      </w:pPr>
    </w:p>
    <w:p>
      <w:pPr>
        <w:ind w:right="240" w:firstLine="228"/>
        <w:spacing w:after="0" w:line="241" w:lineRule="auto"/>
        <w:rPr>
          <w:sz w:val="20"/>
          <w:szCs w:val="20"/>
          <w:color w:val="auto"/>
        </w:rPr>
      </w:pPr>
      <w:r>
        <w:rPr>
          <w:rFonts w:ascii="Times New Roman" w:cs="Times New Roman" w:eastAsia="Times New Roman" w:hAnsi="Times New Roman"/>
          <w:sz w:val="16"/>
          <w:szCs w:val="16"/>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69" w:lineRule="exact"/>
        <w:rPr>
          <w:sz w:val="20"/>
          <w:szCs w:val="20"/>
          <w:color w:val="auto"/>
        </w:rPr>
      </w:pPr>
    </w:p>
    <w:p>
      <w:pPr>
        <w:jc w:val="both"/>
        <w:ind w:right="120" w:firstLine="228"/>
        <w:spacing w:after="0" w:line="331" w:lineRule="auto"/>
        <w:rPr>
          <w:sz w:val="20"/>
          <w:szCs w:val="20"/>
          <w:color w:val="auto"/>
        </w:rPr>
      </w:pPr>
      <w:r>
        <w:rPr>
          <w:rFonts w:ascii="Times New Roman" w:cs="Times New Roman" w:eastAsia="Times New Roman" w:hAnsi="Times New Roman"/>
          <w:sz w:val="14"/>
          <w:szCs w:val="14"/>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08" w:lineRule="exact"/>
        <w:rPr>
          <w:sz w:val="20"/>
          <w:szCs w:val="20"/>
          <w:color w:val="auto"/>
        </w:rPr>
      </w:pPr>
    </w:p>
    <w:p>
      <w:pPr>
        <w:ind w:right="240" w:firstLine="228"/>
        <w:spacing w:after="0" w:line="246" w:lineRule="auto"/>
        <w:rPr>
          <w:sz w:val="20"/>
          <w:szCs w:val="20"/>
          <w:color w:val="auto"/>
        </w:rPr>
      </w:pPr>
      <w:r>
        <w:rPr>
          <w:rFonts w:ascii="Times New Roman" w:cs="Times New Roman" w:eastAsia="Times New Roman" w:hAnsi="Times New Roman"/>
          <w:sz w:val="16"/>
          <w:szCs w:val="16"/>
          <w:color w:val="auto"/>
        </w:rPr>
        <w:t>For the three and six months ended June 30, 2024, Management Fees (gross of waivers) were $12.8 million and $25.4 million, respectively. For the three and six months ended June 30, 2023, Management Fees (gross of waivers) were $11.4 million and $22.1 million, respectively.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8" w:name="page29"/>
    <w:bookmarkEnd w:id="28"/>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88"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The Adviser waived Management Fees of $ 0.3 million and $0.7 million, respectively, for the three and six months ended June 30, 2024 pursuant to the Leverage Waiver. For the three and six months ended June 30, 2023, the Adviser waived Management Fees of $0.3 million and $0.6 million, respectively, pursuant to the Leverage Waiver.</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120"/>
        <w:spacing w:after="0" w:line="239" w:lineRule="auto"/>
        <w:rPr>
          <w:sz w:val="20"/>
          <w:szCs w:val="20"/>
          <w:color w:val="auto"/>
        </w:rPr>
      </w:pPr>
      <w:r>
        <w:rPr>
          <w:rFonts w:ascii="Times New Roman" w:cs="Times New Roman" w:eastAsia="Times New Roman" w:hAnsi="Times New Roman"/>
          <w:sz w:val="16"/>
          <w:szCs w:val="16"/>
          <w:color w:val="auto"/>
        </w:rPr>
        <w:t>1.The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 -Incentive Fee net investment income in excess of 1.82% quarterly, 17.5% of all remaining pre-Incentive Fee net investment income for that quarter. The 100% “catch- 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4" w:lineRule="exact"/>
        <w:rPr>
          <w:sz w:val="20"/>
          <w:szCs w:val="20"/>
          <w:color w:val="auto"/>
        </w:rPr>
      </w:pPr>
    </w:p>
    <w:p>
      <w:pPr>
        <w:ind w:left="480" w:right="100"/>
        <w:spacing w:after="0" w:line="239" w:lineRule="auto"/>
        <w:rPr>
          <w:sz w:val="20"/>
          <w:szCs w:val="20"/>
          <w:color w:val="auto"/>
        </w:rPr>
      </w:pPr>
      <w:r>
        <w:rPr>
          <w:rFonts w:ascii="Times New Roman" w:cs="Times New Roman" w:eastAsia="Times New Roman" w:hAnsi="Times New Roman"/>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 -Incentive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7" w:lineRule="exact"/>
        <w:rPr>
          <w:sz w:val="20"/>
          <w:szCs w:val="20"/>
          <w:color w:val="auto"/>
        </w:rPr>
      </w:pPr>
    </w:p>
    <w:p>
      <w:pPr>
        <w:ind w:left="240" w:right="240"/>
        <w:spacing w:after="0" w:line="275" w:lineRule="auto"/>
        <w:rPr>
          <w:sz w:val="20"/>
          <w:szCs w:val="20"/>
          <w:color w:val="auto"/>
        </w:rPr>
      </w:pPr>
      <w:r>
        <w:rPr>
          <w:rFonts w:ascii="Times New Roman" w:cs="Times New Roman" w:eastAsia="Times New Roman" w:hAnsi="Times New Roman"/>
          <w:sz w:val="14"/>
          <w:szCs w:val="14"/>
          <w:color w:val="auto"/>
        </w:rPr>
        <w:t>2.The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w:t>
      </w:r>
    </w:p>
    <w:p>
      <w:pPr>
        <w:ind w:left="240" w:right="80"/>
        <w:spacing w:after="0" w:line="235" w:lineRule="auto"/>
        <w:rPr>
          <w:sz w:val="20"/>
          <w:szCs w:val="20"/>
          <w:color w:val="auto"/>
        </w:rPr>
      </w:pPr>
      <w:r>
        <w:rPr>
          <w:rFonts w:ascii="Times New Roman" w:cs="Times New Roman" w:eastAsia="Times New Roman" w:hAnsi="Times New Roman"/>
          <w:sz w:val="16"/>
          <w:szCs w:val="16"/>
          <w:color w:val="auto"/>
        </w:rPr>
        <w:t>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were no remaining investments that were made prior to April 1, 2014, and as a result, the Incentive Fee rate of 17.5% is applicable to any future realized capital gains.</w:t>
      </w:r>
    </w:p>
    <w:p>
      <w:pPr>
        <w:spacing w:after="0" w:line="173"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55"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spacing w:after="0" w:line="155"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4"/>
          <w:szCs w:val="14"/>
          <w:color w:val="auto"/>
        </w:rPr>
        <w:t>For three and six months ended June 30, 2024, Incentive Fees were $ 10.1 million and $20.2 million, respectively, of which $11.4 million and $22.3 million, respectively, were realized and payable to the Adviser. For the three and six months ended June 30, 2023, Incentive Fees were $11.3 million and $22.5 million, respectively, of which $10.5 million and $20.0 million, respectively, were realized and payable to the Adviser. For the three and six months ended June 30, 2024, $(1.3) million and $(2.2) million, respectively, of Incentive Fees was accrued related to the reversal of Capital Gains Fees. For the three and six months ended June 30, 2023,</w:t>
      </w:r>
    </w:p>
    <w:p>
      <w:pPr>
        <w:ind w:right="260"/>
        <w:spacing w:after="0" w:line="238" w:lineRule="auto"/>
        <w:rPr>
          <w:sz w:val="20"/>
          <w:szCs w:val="20"/>
          <w:color w:val="auto"/>
        </w:rPr>
      </w:pPr>
      <w:r>
        <w:rPr>
          <w:rFonts w:ascii="Times New Roman" w:cs="Times New Roman" w:eastAsia="Times New Roman" w:hAnsi="Times New Roman"/>
          <w:sz w:val="16"/>
          <w:szCs w:val="16"/>
          <w:color w:val="auto"/>
        </w:rPr>
        <w:t>$0.7 million and $2.5 million, respectively, of Incentive Fees were accrued related to Capital Gains Fees. As of June 30, 2024, the Capital Gains Fees accrued are not contractually payable to the Adviser.</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Incentive Fees are not subject to recoupment by the Adviser.</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9" w:name="page30"/>
    <w:bookmarkEnd w:id="29"/>
    <w:p>
      <w:pPr>
        <w:spacing w:after="0" w:line="113" w:lineRule="exact"/>
        <w:rPr>
          <w:sz w:val="20"/>
          <w:szCs w:val="20"/>
          <w:color w:val="auto"/>
        </w:rPr>
      </w:pPr>
    </w:p>
    <w:p>
      <w:pPr>
        <w:jc w:val="both"/>
        <w:ind w:right="440" w:firstLine="228"/>
        <w:spacing w:after="0" w:line="247" w:lineRule="auto"/>
        <w:rPr>
          <w:sz w:val="20"/>
          <w:szCs w:val="20"/>
          <w:color w:val="auto"/>
        </w:rPr>
      </w:pPr>
      <w:r>
        <w:rPr>
          <w:rFonts w:ascii="Times New Roman" w:cs="Times New Roman" w:eastAsia="Times New Roman" w:hAnsi="Times New Roman"/>
          <w:sz w:val="16"/>
          <w:szCs w:val="16"/>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6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November 2023, the Board renewed the Investment Advisory Agreement. Unless earlier terminated as described below, the Investment Advisory Agreement will remain in effect until November 2024,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64" w:lineRule="exact"/>
        <w:rPr>
          <w:sz w:val="20"/>
          <w:szCs w:val="20"/>
          <w:color w:val="auto"/>
        </w:rPr>
      </w:pPr>
    </w:p>
    <w:p>
      <w:pPr>
        <w:jc w:val="both"/>
        <w:ind w:right="26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Investments at Fair Value</w:t>
      </w:r>
    </w:p>
    <w:p>
      <w:pPr>
        <w:spacing w:after="0" w:line="94"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 -controlled,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at fair value consisted of the following at June 30, 2024 and December 31, 2023:</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204"/>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3,048,775</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3,078,445</w:t>
            </w:r>
          </w:p>
        </w:tc>
        <w:tc>
          <w:tcPr>
            <w:tcW w:w="20" w:type="dxa"/>
            <w:vAlign w:val="bottom"/>
            <w:shd w:val="clear" w:color="auto" w:fill="CFF0FC"/>
          </w:tcPr>
          <w:p>
            <w:pPr>
              <w:spacing w:after="0"/>
              <w:rPr>
                <w:sz w:val="17"/>
                <w:szCs w:val="17"/>
                <w:color w:val="auto"/>
              </w:rPr>
            </w:pPr>
          </w:p>
        </w:tc>
        <w:tc>
          <w:tcPr>
            <w:tcW w:w="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52,535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(24,542 )</w:t>
            </w: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41,067</w:t>
            </w: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43,488</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156,390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161,019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5,796</w:t>
            </w: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6,124</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3,304,563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3,317,069</w:t>
            </w:r>
          </w:p>
        </w:tc>
        <w:tc>
          <w:tcPr>
            <w:tcW w:w="20" w:type="dxa"/>
            <w:vAlign w:val="bottom"/>
          </w:tcPr>
          <w:p>
            <w:pPr>
              <w:spacing w:after="0"/>
              <w:rPr>
                <w:sz w:val="17"/>
                <w:szCs w:val="17"/>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 xml:space="preserve">Amortized Cost </w:t>
            </w:r>
            <w:r>
              <w:rPr>
                <w:rFonts w:ascii="Times New Roman" w:cs="Times New Roman" w:eastAsia="Times New Roman" w:hAnsi="Times New Roman"/>
                <w:sz w:val="16"/>
                <w:szCs w:val="16"/>
                <w:b w:val="1"/>
                <w:bCs w:val="1"/>
                <w:color w:val="auto"/>
                <w:w w:val="96"/>
                <w:vertAlign w:val="superscript"/>
              </w:rPr>
              <w:t>(1)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0" w:type="dxa"/>
            <w:vAlign w:val="bottom"/>
          </w:tcPr>
          <w:p>
            <w:pPr>
              <w:spacing w:after="0"/>
              <w:rPr>
                <w:sz w:val="1"/>
                <w:szCs w:val="1"/>
                <w:color w:val="auto"/>
              </w:rPr>
            </w:pPr>
          </w:p>
        </w:tc>
      </w:tr>
      <w:tr>
        <w:trPr>
          <w:trHeight w:val="204"/>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2,956,079</w:t>
            </w:r>
          </w:p>
        </w:tc>
        <w:tc>
          <w:tcPr>
            <w:tcW w:w="4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2,996,177</w:t>
            </w:r>
          </w:p>
        </w:tc>
        <w:tc>
          <w:tcPr>
            <w:tcW w:w="20" w:type="dxa"/>
            <w:vAlign w:val="bottom"/>
            <w:shd w:val="clear" w:color="auto" w:fill="CFF0FC"/>
          </w:tcPr>
          <w:p>
            <w:pPr>
              <w:spacing w:after="0"/>
              <w:rPr>
                <w:sz w:val="17"/>
                <w:szCs w:val="17"/>
                <w:color w:val="auto"/>
              </w:rPr>
            </w:pPr>
          </w:p>
        </w:tc>
        <w:tc>
          <w:tcPr>
            <w:tcW w:w="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(15,448 )</w:t>
            </w: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38,022</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39,471</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152,623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52,865</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55,842</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3,251,012</w:t>
            </w:r>
          </w:p>
        </w:tc>
        <w:tc>
          <w:tcPr>
            <w:tcW w:w="40" w:type="dxa"/>
            <w:vAlign w:val="bottom"/>
          </w:tcPr>
          <w:p>
            <w:pPr>
              <w:spacing w:after="0"/>
              <w:rPr>
                <w:sz w:val="17"/>
                <w:szCs w:val="17"/>
                <w:color w:val="auto"/>
              </w:rPr>
            </w:pPr>
          </w:p>
        </w:tc>
        <w:tc>
          <w:tcPr>
            <w:tcW w:w="340" w:type="dxa"/>
            <w:vAlign w:val="bottom"/>
            <w:gridSpan w:val="3"/>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3,283,065</w:t>
            </w:r>
          </w:p>
        </w:tc>
        <w:tc>
          <w:tcPr>
            <w:tcW w:w="20" w:type="dxa"/>
            <w:vAlign w:val="bottom"/>
          </w:tcPr>
          <w:p>
            <w:pPr>
              <w:spacing w:after="0"/>
              <w:rPr>
                <w:sz w:val="17"/>
                <w:szCs w:val="17"/>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(1)The amortized cost represents the original cost adjusted for the amortization of discounts or premiums, as applicable, on debt investments using the effective interest method.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 w:name="page31"/>
    <w:bookmarkEnd w:id="30"/>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June 30, 2024 and December 31, 2023 is as follows:</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Services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Chemicals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Education</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Services</w:t>
            </w:r>
          </w:p>
        </w:tc>
        <w:tc>
          <w:tcPr>
            <w:tcW w:w="1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11.0 %</w:t>
            </w:r>
          </w:p>
        </w:tc>
        <w:tc>
          <w:tcPr>
            <w:tcW w:w="1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72"/>
        </w:trPr>
        <w:tc>
          <w:tcPr>
            <w:tcW w:w="8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 Gaming and Leisure</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Human Resource Support Services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Internet Services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16.8 %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Services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Products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Gas and Consumable Fuels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Pharmaceuticals</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0.6 %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 and Consumer Products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Transportation</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40" w:type="dxa"/>
            <w:vAlign w:val="bottom"/>
            <w:gridSpan w:val="4"/>
          </w:tcPr>
          <w:p>
            <w:pPr>
              <w:jc w:val="right"/>
              <w:ind w:right="780"/>
              <w:spacing w:after="0"/>
              <w:rPr>
                <w:sz w:val="20"/>
                <w:szCs w:val="20"/>
                <w:color w:val="auto"/>
              </w:rPr>
            </w:pPr>
            <w:r>
              <w:rPr>
                <w:rFonts w:ascii="Times New Roman" w:cs="Times New Roman" w:eastAsia="Times New Roman" w:hAnsi="Times New Roman"/>
                <w:sz w:val="16"/>
                <w:szCs w:val="16"/>
                <w:color w:val="auto"/>
                <w:w w:val="96"/>
              </w:rPr>
              <w:t>The geographic composition of investments at fair value at June 30, 2024 and December 31, 2023 is as follows: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Midwest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Northeast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23.6 %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West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31.6 %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1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53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Canada</w:t>
            </w:r>
          </w:p>
        </w:tc>
        <w:tc>
          <w:tcPr>
            <w:tcW w:w="158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color w:val="auto"/>
              </w:rPr>
              <w:t>2.8 %</w:t>
            </w:r>
          </w:p>
        </w:tc>
        <w:tc>
          <w:tcPr>
            <w:tcW w:w="158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5340" w:type="dxa"/>
            <w:vAlign w:val="bottom"/>
          </w:tcPr>
          <w:p>
            <w:pPr>
              <w:ind w:left="20"/>
              <w:spacing w:after="0" w:line="228" w:lineRule="exact"/>
              <w:rPr>
                <w:sz w:val="20"/>
                <w:szCs w:val="20"/>
                <w:color w:val="auto"/>
              </w:rPr>
            </w:pPr>
            <w:r>
              <w:rPr>
                <w:rFonts w:ascii="Times New Roman" w:cs="Times New Roman" w:eastAsia="Times New Roman" w:hAnsi="Times New Roman"/>
                <w:sz w:val="16"/>
                <w:szCs w:val="16"/>
                <w:color w:val="auto"/>
              </w:rPr>
              <w:t xml:space="preserve">Finland </w:t>
            </w:r>
            <w:r>
              <w:rPr>
                <w:rFonts w:ascii="Times New Roman" w:cs="Times New Roman" w:eastAsia="Times New Roman" w:hAnsi="Times New Roman"/>
                <w:sz w:val="21"/>
                <w:szCs w:val="21"/>
                <w:color w:val="auto"/>
                <w:vertAlign w:val="superscript"/>
              </w:rPr>
              <w:t>(1)</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France</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Norway</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Sweden</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8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15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-5387975</wp:posOffset>
            </wp:positionV>
            <wp:extent cx="5365750" cy="129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-5128895</wp:posOffset>
            </wp:positionV>
            <wp:extent cx="5365750" cy="129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-4869815</wp:posOffset>
            </wp:positionV>
            <wp:extent cx="5365750" cy="129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-4526915</wp:posOffset>
            </wp:positionV>
            <wp:extent cx="5365750" cy="129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-4267835</wp:posOffset>
            </wp:positionV>
            <wp:extent cx="5365750" cy="129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-4008755</wp:posOffset>
            </wp:positionV>
            <wp:extent cx="5365750" cy="129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-3749675</wp:posOffset>
            </wp:positionV>
            <wp:extent cx="5365750" cy="1295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-3490595</wp:posOffset>
            </wp:positionV>
            <wp:extent cx="5365750" cy="129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-2971800</wp:posOffset>
            </wp:positionV>
            <wp:extent cx="5365750" cy="129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-1943100</wp:posOffset>
            </wp:positionV>
            <wp:extent cx="5365750" cy="129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-1684020</wp:posOffset>
            </wp:positionV>
            <wp:extent cx="5365750" cy="1295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-1318260</wp:posOffset>
            </wp:positionV>
            <wp:extent cx="5365750" cy="129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-799465</wp:posOffset>
            </wp:positionV>
            <wp:extent cx="5365750" cy="129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-540385</wp:posOffset>
            </wp:positionV>
            <wp:extent cx="5365750" cy="1295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-281305</wp:posOffset>
            </wp:positionV>
            <wp:extent cx="5365750" cy="1295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65750" cy="12954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Derivatives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Swaps</w:t>
      </w:r>
    </w:p>
    <w:p>
      <w:pPr>
        <w:spacing w:after="0" w:line="94" w:lineRule="exact"/>
        <w:rPr>
          <w:sz w:val="20"/>
          <w:szCs w:val="20"/>
          <w:color w:val="auto"/>
        </w:rPr>
      </w:pPr>
    </w:p>
    <w:p>
      <w:pPr>
        <w:ind w:firstLine="228"/>
        <w:spacing w:after="0" w:line="242" w:lineRule="auto"/>
        <w:rPr>
          <w:sz w:val="20"/>
          <w:szCs w:val="20"/>
          <w:color w:val="auto"/>
        </w:rPr>
      </w:pPr>
      <w:r>
        <w:rPr>
          <w:rFonts w:ascii="Times New Roman" w:cs="Times New Roman" w:eastAsia="Times New Roman" w:hAnsi="Times New Roman"/>
          <w:sz w:val="16"/>
          <w:szCs w:val="16"/>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1" w:name="page32"/>
    <w:bookmarkEnd w:id="31"/>
    <w:p>
      <w:pPr>
        <w:spacing w:after="0" w:line="113"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amounts paid and received on the Company’s interest rate swap transactions, excluding upfront fees, for the three and six months ended June 30, 2024 and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10"/>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For the Three Months Ended June 30, 2024</w:t>
            </w:r>
          </w:p>
        </w:tc>
        <w:tc>
          <w:tcPr>
            <w:tcW w:w="240" w:type="dxa"/>
            <w:vAlign w:val="bottom"/>
          </w:tcPr>
          <w:p>
            <w:pPr>
              <w:spacing w:after="0"/>
              <w:rPr>
                <w:sz w:val="15"/>
                <w:szCs w:val="15"/>
                <w:color w:val="auto"/>
              </w:rPr>
            </w:pPr>
          </w:p>
        </w:tc>
        <w:tc>
          <w:tcPr>
            <w:tcW w:w="2880" w:type="dxa"/>
            <w:vAlign w:val="bottom"/>
            <w:gridSpan w:val="8"/>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2024</w:t>
            </w:r>
          </w:p>
        </w:tc>
      </w:tr>
      <w:tr>
        <w:trPr>
          <w:trHeight w:val="196"/>
        </w:trPr>
        <w:tc>
          <w:tcPr>
            <w:tcW w:w="1500" w:type="dxa"/>
            <w:vAlign w:val="bottom"/>
          </w:tcPr>
          <w:p>
            <w:pPr>
              <w:spacing w:after="0"/>
              <w:rPr>
                <w:sz w:val="17"/>
                <w:szCs w:val="17"/>
                <w:color w:val="auto"/>
              </w:rPr>
            </w:pPr>
          </w:p>
        </w:tc>
        <w:tc>
          <w:tcPr>
            <w:tcW w:w="126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Paid</w:t>
            </w:r>
          </w:p>
        </w:tc>
        <w:tc>
          <w:tcPr>
            <w:tcW w:w="16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20" w:type="dxa"/>
            <w:vAlign w:val="bottom"/>
          </w:tcPr>
          <w:p>
            <w:pPr>
              <w:spacing w:after="0"/>
              <w:rPr>
                <w:sz w:val="17"/>
                <w:szCs w:val="17"/>
                <w:color w:val="auto"/>
              </w:rPr>
            </w:pPr>
          </w:p>
        </w:tc>
        <w:tc>
          <w:tcPr>
            <w:tcW w:w="9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Net</w:t>
            </w:r>
          </w:p>
        </w:tc>
        <w:tc>
          <w:tcPr>
            <w:tcW w:w="240" w:type="dxa"/>
            <w:vAlign w:val="bottom"/>
          </w:tcPr>
          <w:p>
            <w:pPr>
              <w:spacing w:after="0"/>
              <w:rPr>
                <w:sz w:val="17"/>
                <w:szCs w:val="17"/>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6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208"/>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2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11/1/2024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(6,032 )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(3,126 )</w:t>
            </w:r>
          </w:p>
        </w:tc>
        <w:tc>
          <w:tcPr>
            <w:tcW w:w="240" w:type="dxa"/>
            <w:vAlign w:val="bottom"/>
            <w:tcBorders>
              <w:left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(11,932 )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(6,119 )</w:t>
            </w:r>
          </w:p>
        </w:tc>
      </w:tr>
      <w:tr>
        <w:trPr>
          <w:trHeight w:val="204"/>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2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11/1/2024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(1,032 )</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(548 )</w:t>
            </w:r>
          </w:p>
        </w:tc>
        <w:tc>
          <w:tcPr>
            <w:tcW w:w="2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(2,030 )</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(1,061 )</w:t>
            </w:r>
          </w:p>
        </w:tc>
      </w:tr>
      <w:tr>
        <w:trPr>
          <w:trHeight w:val="205"/>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2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11/1/2024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(24 )</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shd w:val="clear" w:color="auto" w:fill="CFF0FC"/>
          </w:tcPr>
          <w:p>
            <w:pPr>
              <w:spacing w:after="0"/>
              <w:rPr>
                <w:sz w:val="17"/>
                <w:szCs w:val="17"/>
                <w:color w:val="auto"/>
              </w:rPr>
            </w:pPr>
          </w:p>
        </w:tc>
        <w:tc>
          <w:tcPr>
            <w:tcW w:w="240" w:type="dxa"/>
            <w:vAlign w:val="bottom"/>
            <w:tcBorders>
              <w:left w:val="single" w:sz="8" w:color="CFF0FC"/>
            </w:tcBorders>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(48 )</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FF0FC"/>
          </w:tcPr>
          <w:p>
            <w:pPr>
              <w:spacing w:after="0"/>
              <w:rPr>
                <w:sz w:val="17"/>
                <w:szCs w:val="17"/>
                <w:color w:val="auto"/>
              </w:rPr>
            </w:pPr>
          </w:p>
        </w:tc>
      </w:tr>
      <w:tr>
        <w:trPr>
          <w:trHeight w:val="204"/>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2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8/1/2026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(5,770 )</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(3,895 )</w:t>
            </w:r>
          </w:p>
        </w:tc>
        <w:tc>
          <w:tcPr>
            <w:tcW w:w="2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(11,349 )</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(7,641 )</w:t>
            </w:r>
          </w:p>
        </w:tc>
      </w:tr>
      <w:tr>
        <w:trPr>
          <w:trHeight w:val="205"/>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2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8/14/2028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(6,398 )</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2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(1,185 )</w:t>
            </w:r>
          </w:p>
        </w:tc>
        <w:tc>
          <w:tcPr>
            <w:tcW w:w="240" w:type="dxa"/>
            <w:vAlign w:val="bottom"/>
            <w:tcBorders>
              <w:left w:val="single" w:sz="8" w:color="CFF0FC"/>
            </w:tcBorders>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(12,656 )</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(2,231 )</w:t>
            </w:r>
          </w:p>
        </w:tc>
      </w:tr>
      <w:tr>
        <w:trPr>
          <w:trHeight w:val="204"/>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2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3/1/2029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(6,968 )</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(1,609 )</w:t>
            </w:r>
          </w:p>
        </w:tc>
        <w:tc>
          <w:tcPr>
            <w:tcW w:w="2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(12,183 )</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(2,715 )</w:t>
            </w:r>
          </w:p>
        </w:tc>
      </w:tr>
      <w:tr>
        <w:trPr>
          <w:trHeight w:val="225"/>
        </w:trPr>
        <w:tc>
          <w:tcPr>
            <w:tcW w:w="1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1,302,500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2"/>
              <w:spacing w:after="0" w:line="204" w:lineRule="exact"/>
              <w:rPr>
                <w:sz w:val="20"/>
                <w:szCs w:val="20"/>
                <w:color w:val="auto"/>
              </w:rPr>
            </w:pPr>
            <w:r>
              <w:rPr>
                <w:rFonts w:ascii="Times New Roman" w:cs="Times New Roman" w:eastAsia="Times New Roman" w:hAnsi="Times New Roman"/>
                <w:sz w:val="13"/>
                <w:szCs w:val="13"/>
                <w:color w:val="auto"/>
              </w:rPr>
              <w:t xml:space="preserve">(26,224 </w:t>
            </w:r>
            <w:r>
              <w:rPr>
                <w:rFonts w:ascii="Times New Roman" w:cs="Times New Roman" w:eastAsia="Times New Roman" w:hAnsi="Times New Roman"/>
                <w:sz w:val="23"/>
                <w:szCs w:val="23"/>
                <w:color w:val="auto"/>
                <w:vertAlign w:val="subscript"/>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15,888</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160"/>
              <w:spacing w:after="0" w:line="204" w:lineRule="exact"/>
              <w:rPr>
                <w:sz w:val="20"/>
                <w:szCs w:val="20"/>
                <w:color w:val="auto"/>
              </w:rPr>
            </w:pPr>
            <w:r>
              <w:rPr>
                <w:rFonts w:ascii="Times New Roman" w:cs="Times New Roman" w:eastAsia="Times New Roman" w:hAnsi="Times New Roman"/>
                <w:sz w:val="13"/>
                <w:szCs w:val="13"/>
                <w:color w:val="auto"/>
              </w:rPr>
              <w:t xml:space="preserve">(10,336 </w:t>
            </w:r>
            <w:r>
              <w:rPr>
                <w:rFonts w:ascii="Times New Roman" w:cs="Times New Roman" w:eastAsia="Times New Roman" w:hAnsi="Times New Roman"/>
                <w:sz w:val="23"/>
                <w:szCs w:val="23"/>
                <w:color w:val="auto"/>
                <w:vertAlign w:val="subscript"/>
              </w:rPr>
              <w:t>)</w:t>
            </w:r>
          </w:p>
        </w:tc>
        <w:tc>
          <w:tcPr>
            <w:tcW w:w="240" w:type="dxa"/>
            <w:vAlign w:val="bottom"/>
            <w:tcBorders>
              <w:left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FF0FC"/>
          </w:tcPr>
          <w:p>
            <w:pPr>
              <w:jc w:val="right"/>
              <w:ind w:right="140"/>
              <w:spacing w:after="0" w:line="204" w:lineRule="exact"/>
              <w:rPr>
                <w:sz w:val="20"/>
                <w:szCs w:val="20"/>
                <w:color w:val="auto"/>
              </w:rPr>
            </w:pPr>
            <w:r>
              <w:rPr>
                <w:rFonts w:ascii="Times New Roman" w:cs="Times New Roman" w:eastAsia="Times New Roman" w:hAnsi="Times New Roman"/>
                <w:sz w:val="13"/>
                <w:szCs w:val="13"/>
                <w:color w:val="auto"/>
              </w:rPr>
              <w:t xml:space="preserve">(50,198 </w:t>
            </w:r>
            <w:r>
              <w:rPr>
                <w:rFonts w:ascii="Times New Roman" w:cs="Times New Roman" w:eastAsia="Times New Roman" w:hAnsi="Times New Roman"/>
                <w:sz w:val="23"/>
                <w:szCs w:val="23"/>
                <w:color w:val="auto"/>
                <w:vertAlign w:val="subscript"/>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30,482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(19,716 </w:t>
            </w:r>
            <w:r>
              <w:rPr>
                <w:rFonts w:ascii="Times New Roman" w:cs="Times New Roman" w:eastAsia="Times New Roman" w:hAnsi="Times New Roman"/>
                <w:sz w:val="23"/>
                <w:szCs w:val="23"/>
                <w:color w:val="auto"/>
                <w:vertAlign w:val="subscript"/>
              </w:rPr>
              <w:t>)</w:t>
            </w: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532"/>
        </w:trPr>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10"/>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For the Three Months Ended June 30, 2023</w:t>
            </w:r>
          </w:p>
        </w:tc>
        <w:tc>
          <w:tcPr>
            <w:tcW w:w="240" w:type="dxa"/>
            <w:vAlign w:val="bottom"/>
          </w:tcPr>
          <w:p>
            <w:pPr>
              <w:spacing w:after="0"/>
              <w:rPr>
                <w:sz w:val="24"/>
                <w:szCs w:val="24"/>
                <w:color w:val="auto"/>
              </w:rPr>
            </w:pPr>
          </w:p>
        </w:tc>
        <w:tc>
          <w:tcPr>
            <w:tcW w:w="2880" w:type="dxa"/>
            <w:vAlign w:val="bottom"/>
            <w:gridSpan w:val="8"/>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2023</w:t>
            </w:r>
          </w:p>
        </w:tc>
      </w:tr>
      <w:tr>
        <w:trPr>
          <w:trHeight w:val="184"/>
        </w:trPr>
        <w:tc>
          <w:tcPr>
            <w:tcW w:w="1500" w:type="dxa"/>
            <w:vAlign w:val="bottom"/>
          </w:tcPr>
          <w:p>
            <w:pPr>
              <w:spacing w:after="0"/>
              <w:rPr>
                <w:sz w:val="16"/>
                <w:szCs w:val="16"/>
                <w:color w:val="auto"/>
              </w:rPr>
            </w:pPr>
          </w:p>
        </w:tc>
        <w:tc>
          <w:tcPr>
            <w:tcW w:w="126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Paid</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20" w:type="dxa"/>
            <w:vAlign w:val="bottom"/>
          </w:tcPr>
          <w:p>
            <w:pPr>
              <w:spacing w:after="0"/>
              <w:rPr>
                <w:sz w:val="16"/>
                <w:szCs w:val="16"/>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Net</w:t>
            </w:r>
          </w:p>
        </w:tc>
        <w:tc>
          <w:tcPr>
            <w:tcW w:w="240" w:type="dxa"/>
            <w:vAlign w:val="bottom"/>
          </w:tcPr>
          <w:p>
            <w:pPr>
              <w:spacing w:after="0"/>
              <w:rPr>
                <w:sz w:val="16"/>
                <w:szCs w:val="16"/>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60" w:type="dxa"/>
            <w:vAlign w:val="bottom"/>
          </w:tcPr>
          <w:p>
            <w:pPr>
              <w:spacing w:after="0"/>
              <w:rPr>
                <w:sz w:val="16"/>
                <w:szCs w:val="16"/>
                <w:color w:val="auto"/>
              </w:rPr>
            </w:pPr>
          </w:p>
        </w:tc>
        <w:tc>
          <w:tcPr>
            <w:tcW w:w="74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208"/>
        </w:trPr>
        <w:tc>
          <w:tcPr>
            <w:tcW w:w="150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1/22/2023</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(663 )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(232 )</w:t>
            </w:r>
          </w:p>
        </w:tc>
      </w:tr>
      <w:tr>
        <w:trPr>
          <w:trHeight w:val="204"/>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(5,601 )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(2,695 )</w:t>
            </w:r>
          </w:p>
        </w:tc>
        <w:tc>
          <w:tcPr>
            <w:tcW w:w="2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(10,833 )</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(5,020 )</w:t>
            </w:r>
          </w:p>
        </w:tc>
      </w:tr>
      <w:tr>
        <w:trPr>
          <w:trHeight w:val="205"/>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11/1/2024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(960 )</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(476 )</w:t>
            </w:r>
          </w:p>
        </w:tc>
        <w:tc>
          <w:tcPr>
            <w:tcW w:w="240" w:type="dxa"/>
            <w:vAlign w:val="bottom"/>
            <w:tcBorders>
              <w:left w:val="single" w:sz="8" w:color="CFF0FC"/>
            </w:tcBorders>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(1,848 )</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(879 )</w:t>
            </w:r>
          </w:p>
        </w:tc>
      </w:tr>
      <w:tr>
        <w:trPr>
          <w:trHeight w:val="204"/>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(24 )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(48 )</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7"/>
                <w:szCs w:val="17"/>
                <w:color w:val="auto"/>
              </w:rPr>
            </w:pPr>
          </w:p>
        </w:tc>
      </w:tr>
      <w:tr>
        <w:trPr>
          <w:trHeight w:val="205"/>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8/1/2026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(5,341 )</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2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(3,487 )</w:t>
            </w:r>
          </w:p>
        </w:tc>
        <w:tc>
          <w:tcPr>
            <w:tcW w:w="240" w:type="dxa"/>
            <w:vAlign w:val="bottom"/>
            <w:tcBorders>
              <w:left w:val="single" w:sz="8" w:color="CFF0FC"/>
            </w:tcBorders>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(10,262 )</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(6,554 )</w:t>
            </w:r>
          </w:p>
        </w:tc>
      </w:tr>
      <w:tr>
        <w:trPr>
          <w:trHeight w:val="204"/>
        </w:trPr>
        <w:tc>
          <w:tcPr>
            <w:tcW w:w="15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652,500</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2"/>
              <w:spacing w:after="0" w:line="204" w:lineRule="exact"/>
              <w:rPr>
                <w:sz w:val="20"/>
                <w:szCs w:val="20"/>
                <w:color w:val="auto"/>
              </w:rPr>
            </w:pPr>
            <w:r>
              <w:rPr>
                <w:rFonts w:ascii="Times New Roman" w:cs="Times New Roman" w:eastAsia="Times New Roman" w:hAnsi="Times New Roman"/>
                <w:sz w:val="13"/>
                <w:szCs w:val="13"/>
                <w:color w:val="auto"/>
              </w:rPr>
              <w:t xml:space="preserve">(11,926 </w:t>
            </w:r>
            <w:r>
              <w:rPr>
                <w:rFonts w:ascii="Times New Roman" w:cs="Times New Roman" w:eastAsia="Times New Roman" w:hAnsi="Times New Roman"/>
                <w:sz w:val="23"/>
                <w:szCs w:val="23"/>
                <w:color w:val="auto"/>
                <w:vertAlign w:val="subscript"/>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22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line="204" w:lineRule="exact"/>
              <w:rPr>
                <w:sz w:val="20"/>
                <w:szCs w:val="20"/>
                <w:color w:val="auto"/>
              </w:rPr>
            </w:pPr>
            <w:r>
              <w:rPr>
                <w:rFonts w:ascii="Times New Roman" w:cs="Times New Roman" w:eastAsia="Times New Roman" w:hAnsi="Times New Roman"/>
                <w:sz w:val="13"/>
                <w:szCs w:val="13"/>
                <w:color w:val="auto"/>
              </w:rPr>
              <w:t xml:space="preserve">(6,635 </w:t>
            </w:r>
            <w:r>
              <w:rPr>
                <w:rFonts w:ascii="Times New Roman" w:cs="Times New Roman" w:eastAsia="Times New Roman" w:hAnsi="Times New Roman"/>
                <w:sz w:val="23"/>
                <w:szCs w:val="23"/>
                <w:color w:val="auto"/>
                <w:vertAlign w:val="subscript"/>
              </w:rPr>
              <w:t>)</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line="204" w:lineRule="exact"/>
              <w:rPr>
                <w:sz w:val="20"/>
                <w:szCs w:val="20"/>
                <w:color w:val="auto"/>
              </w:rPr>
            </w:pPr>
            <w:r>
              <w:rPr>
                <w:rFonts w:ascii="Times New Roman" w:cs="Times New Roman" w:eastAsia="Times New Roman" w:hAnsi="Times New Roman"/>
                <w:sz w:val="13"/>
                <w:szCs w:val="13"/>
                <w:color w:val="auto"/>
              </w:rPr>
              <w:t xml:space="preserve">(23,654 </w:t>
            </w:r>
            <w:r>
              <w:rPr>
                <w:rFonts w:ascii="Times New Roman" w:cs="Times New Roman" w:eastAsia="Times New Roman" w:hAnsi="Times New Roman"/>
                <w:sz w:val="23"/>
                <w:szCs w:val="23"/>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(12,643 </w:t>
            </w:r>
            <w:r>
              <w:rPr>
                <w:rFonts w:ascii="Times New Roman" w:cs="Times New Roman" w:eastAsia="Times New Roman" w:hAnsi="Times New Roman"/>
                <w:sz w:val="23"/>
                <w:szCs w:val="23"/>
                <w:color w:val="auto"/>
                <w:vertAlign w:val="subscript"/>
              </w:rPr>
              <w:t>)</w:t>
            </w:r>
          </w:p>
        </w:tc>
      </w:tr>
      <w:tr>
        <w:trPr>
          <w:trHeight w:val="20"/>
        </w:trPr>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(1)As of June 30, 2023, these interest rate swaps had either matured or been terminated due to repayment of the underlying investment or security.</w:t>
      </w:r>
    </w:p>
    <w:p>
      <w:pPr>
        <w:spacing w:after="0" w:line="188" w:lineRule="exact"/>
        <w:rPr>
          <w:sz w:val="20"/>
          <w:szCs w:val="20"/>
          <w:color w:val="auto"/>
        </w:rPr>
      </w:pPr>
    </w:p>
    <w:p>
      <w:pPr>
        <w:ind w:right="60" w:firstLine="228"/>
        <w:spacing w:after="0" w:line="277" w:lineRule="auto"/>
        <w:rPr>
          <w:sz w:val="20"/>
          <w:szCs w:val="20"/>
          <w:color w:val="auto"/>
        </w:rPr>
      </w:pPr>
      <w:r>
        <w:rPr>
          <w:rFonts w:ascii="Times New Roman" w:cs="Times New Roman" w:eastAsia="Times New Roman" w:hAnsi="Times New Roman"/>
          <w:sz w:val="14"/>
          <w:szCs w:val="14"/>
          <w:color w:val="auto"/>
        </w:rPr>
        <w:t>For the three and six months ended June 30, 2024, the Company recognized $3.0 million in unrealized gains and $ 7.4 million in unrealized losses, respectively, on interest rate swaps designated as hedging instruments in the Consolidated Statements of Operations. For the three and six months ended June 30, 2024, this amount is offset by an increase of $3.2 million and an increase of $5.4 million, respectively, for a change in the carrying value of the 2024 Notes (as defined below), an increase of</w:t>
      </w:r>
    </w:p>
    <w:p>
      <w:pPr>
        <w:spacing w:after="0" w:line="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$2.0 million and an increase of $0.7 million, respectively, for a change in carrying value of the 2026 Notes (as defined below), a decrease of $1.0 million and a decrease of $7.2 million, respectively, for a change in carrying value of the 2028 Notes (as defined below) and a decrease of $1.2 million and a decrease of $6.3 million, respectively, for a change in carrying value of the 2029 Notes (as defined below).</w:t>
      </w:r>
    </w:p>
    <w:p>
      <w:pPr>
        <w:spacing w:after="0" w:line="169"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For the three and six months ended June 30, 2023, the Company recognized $0.1 million in net unrealized losses and $0.2 million in net unrealized gains, respectively, on interest rate swaps not designated as hedging instruments in the Consolidated Statements of Operations related to the swap transactions. For the three and six months ended June 30, 2023, the Company recognized $4.8 million in net unrealized losses and $ 2.4 million in net unrealized gains, respectively, on interest rate swaps designated as hedging instruments in the Consolidated Statements of Operations. For the three and six months ended June 30, 2023, this amount is offset by a decrease of $1.3 million and an increase of $ 1.8 million, respectively, for a change in the carrying value of the 2024 Notes and a decrease of $3.5 million and an increase of $0.6 million, respectively, for a change in carrying value of the 2026 Notes.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June 30, 2024, the swap transactions had a fair value of $(39.2) million which is netted against cash collateral on the Company’s Consolidated Balance Sheet.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swap transactions had a fair value of $(31.8) million which is netted against cash collateral on the Company’s Consolidated Balance Sheet.</w:t>
      </w:r>
    </w:p>
    <w:p>
      <w:pPr>
        <w:spacing w:after="0" w:line="193" w:lineRule="exact"/>
        <w:rPr>
          <w:sz w:val="20"/>
          <w:szCs w:val="20"/>
          <w:color w:val="auto"/>
        </w:rPr>
      </w:pPr>
    </w:p>
    <w:p>
      <w:pPr>
        <w:jc w:val="both"/>
        <w:ind w:right="100" w:firstLine="228"/>
        <w:spacing w:after="0" w:line="243" w:lineRule="auto"/>
        <w:rPr>
          <w:sz w:val="20"/>
          <w:szCs w:val="20"/>
          <w:color w:val="auto"/>
        </w:rPr>
      </w:pPr>
      <w:r>
        <w:rPr>
          <w:rFonts w:ascii="Times New Roman" w:cs="Times New Roman" w:eastAsia="Times New Roman" w:hAnsi="Times New Roman"/>
          <w:sz w:val="16"/>
          <w:szCs w:val="16"/>
          <w:color w:val="auto"/>
        </w:rPr>
        <w:t>The Company is required under the terms of its derivatives agreements to pledge assets as collateral to secure its obligations underlying the derivatives. The amount of collateral required varies over time based on the mark -to- 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67" w:lineRule="exact"/>
        <w:rPr>
          <w:sz w:val="20"/>
          <w:szCs w:val="20"/>
          <w:color w:val="auto"/>
        </w:rPr>
      </w:pPr>
    </w:p>
    <w:p>
      <w:pPr>
        <w:ind w:right="20" w:firstLine="228"/>
        <w:spacing w:after="0" w:line="277" w:lineRule="auto"/>
        <w:rPr>
          <w:sz w:val="20"/>
          <w:szCs w:val="20"/>
          <w:color w:val="auto"/>
        </w:rPr>
      </w:pPr>
      <w:r>
        <w:rPr>
          <w:rFonts w:ascii="Times New Roman" w:cs="Times New Roman" w:eastAsia="Times New Roman" w:hAnsi="Times New Roman"/>
          <w:sz w:val="14"/>
          <w:szCs w:val="14"/>
          <w:color w:val="auto"/>
        </w:rPr>
        <w:t>As of June 30, 2024, $ 29.5 million of cash was pledged as collateral under the Company’s derivative agreements and is included in restricted cash as a component of cash and cash equivalents on the Company’s Consolidated Balance Sheet. As of December 31, 2023, $24.0 million of cash was pledged as collateral under the Company’s derivative agreements and is included in restricted cash as a component of cash and cash equivalents on the Company’s Consolidated Balance Sheet.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 w:name="page33"/>
    <w:bookmarkEnd w:id="32"/>
    <w:p>
      <w:pPr>
        <w:spacing w:after="0" w:line="207" w:lineRule="exact"/>
        <w:rPr>
          <w:sz w:val="20"/>
          <w:szCs w:val="20"/>
          <w:color w:val="auto"/>
        </w:rPr>
      </w:pPr>
    </w:p>
    <w:p>
      <w:pPr>
        <w:ind w:right="8020" w:firstLine="6"/>
        <w:spacing w:after="0" w:line="361" w:lineRule="auto"/>
        <w:tabs>
          <w:tab w:leader="none" w:pos="156"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of Financial Instruments </w:t>
      </w:r>
      <w:r>
        <w:rPr>
          <w:rFonts w:ascii="Times New Roman" w:cs="Times New Roman" w:eastAsia="Times New Roman" w:hAnsi="Times New Roman"/>
          <w:sz w:val="16"/>
          <w:szCs w:val="16"/>
          <w:i w:val="1"/>
          <w:iCs w:val="1"/>
          <w:color w:val="auto"/>
        </w:rPr>
        <w:t>Investments</w:t>
      </w: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tables present fair value measurements of investments as of June 30, 2024 and December 31, 2023:</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Hierarchy at June 30, 2024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3,074,994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3,078,445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4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42,282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43,488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148,072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19,853</w:t>
            </w:r>
          </w:p>
        </w:tc>
        <w:tc>
          <w:tcPr>
            <w:tcW w:w="24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3,293,341</w:t>
            </w:r>
          </w:p>
        </w:tc>
        <w:tc>
          <w:tcPr>
            <w:tcW w:w="2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3,317,069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(39,235 )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(39,235 )</w:t>
            </w:r>
          </w:p>
        </w:tc>
        <w:tc>
          <w:tcPr>
            <w:tcW w:w="0" w:type="dxa"/>
            <w:vAlign w:val="bottom"/>
          </w:tcPr>
          <w:p>
            <w:pPr>
              <w:spacing w:after="0"/>
              <w:rPr>
                <w:sz w:val="1"/>
                <w:szCs w:val="1"/>
                <w:color w:val="auto"/>
              </w:rPr>
            </w:pPr>
          </w:p>
        </w:tc>
      </w:tr>
      <w:tr>
        <w:trPr>
          <w:trHeight w:val="204"/>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24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80"/>
              <w:spacing w:after="0" w:line="204" w:lineRule="exact"/>
              <w:rPr>
                <w:sz w:val="20"/>
                <w:szCs w:val="20"/>
                <w:color w:val="auto"/>
              </w:rPr>
            </w:pPr>
            <w:r>
              <w:rPr>
                <w:rFonts w:ascii="Times New Roman" w:cs="Times New Roman" w:eastAsia="Times New Roman" w:hAnsi="Times New Roman"/>
                <w:sz w:val="13"/>
                <w:szCs w:val="13"/>
                <w:color w:val="auto"/>
              </w:rPr>
              <w:t xml:space="preserve">(19,382 </w:t>
            </w:r>
            <w:r>
              <w:rPr>
                <w:rFonts w:ascii="Times New Roman" w:cs="Times New Roman" w:eastAsia="Times New Roman" w:hAnsi="Times New Roman"/>
                <w:sz w:val="23"/>
                <w:szCs w:val="23"/>
                <w:color w:val="auto"/>
                <w:vertAlign w:val="subscript"/>
              </w:rPr>
              <w:t>)</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3,293,341</w:t>
            </w:r>
          </w:p>
        </w:tc>
        <w:tc>
          <w:tcPr>
            <w:tcW w:w="2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3,277,834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2023</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2,993,786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2,996,177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38,865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68,928</w:t>
            </w:r>
          </w:p>
        </w:tc>
        <w:tc>
          <w:tcPr>
            <w:tcW w:w="24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3,208,957</w:t>
            </w:r>
          </w:p>
        </w:tc>
        <w:tc>
          <w:tcPr>
            <w:tcW w:w="2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3,283,065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(31,840 )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(31,840 )</w:t>
            </w:r>
          </w:p>
        </w:tc>
        <w:tc>
          <w:tcPr>
            <w:tcW w:w="0" w:type="dxa"/>
            <w:vAlign w:val="bottom"/>
          </w:tcPr>
          <w:p>
            <w:pPr>
              <w:spacing w:after="0"/>
              <w:rPr>
                <w:sz w:val="1"/>
                <w:szCs w:val="1"/>
                <w:color w:val="auto"/>
              </w:rPr>
            </w:pPr>
          </w:p>
        </w:tc>
      </w:tr>
      <w:tr>
        <w:trPr>
          <w:trHeight w:val="204"/>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37,088</w:t>
            </w:r>
          </w:p>
        </w:tc>
        <w:tc>
          <w:tcPr>
            <w:tcW w:w="24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3,208,957</w:t>
            </w:r>
          </w:p>
        </w:tc>
        <w:tc>
          <w:tcPr>
            <w:tcW w:w="2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3,251,225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w:t>
      </w:r>
    </w:p>
    <w:p>
      <w:pPr>
        <w:spacing w:after="0" w:line="18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changes in the fair value of investments for which Level 3 inputs were used to determine the fair value as of and for the three and six months ended June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gridSpan w:val="7"/>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As of and for the Three Months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20" w:type="dxa"/>
            <w:vAlign w:val="bottom"/>
          </w:tcPr>
          <w:p>
            <w:pPr>
              <w:spacing w:after="0"/>
              <w:rPr>
                <w:sz w:val="14"/>
                <w:szCs w:val="14"/>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20" w:type="dxa"/>
            <w:vAlign w:val="bottom"/>
          </w:tcPr>
          <w:p>
            <w:pPr>
              <w:spacing w:after="0"/>
              <w:rPr>
                <w:sz w:val="13"/>
                <w:szCs w:val="13"/>
                <w:color w:val="auto"/>
              </w:rPr>
            </w:pPr>
          </w:p>
        </w:tc>
        <w:tc>
          <w:tcPr>
            <w:tcW w:w="8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debt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5"/>
                <w:szCs w:val="15"/>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3,114,679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28,669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40,077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147,344</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3,330,769</w:t>
            </w:r>
          </w:p>
        </w:tc>
        <w:tc>
          <w:tcPr>
            <w:tcW w:w="80" w:type="dxa"/>
            <w:vAlign w:val="bottom"/>
            <w:shd w:val="clear" w:color="auto" w:fill="CFF0FC"/>
          </w:tcPr>
          <w:p>
            <w:pPr>
              <w:spacing w:after="0"/>
              <w:rPr>
                <w:sz w:val="18"/>
                <w:szCs w:val="18"/>
                <w:color w:val="auto"/>
              </w:rPr>
            </w:pPr>
          </w:p>
        </w:tc>
      </w:tr>
      <w:tr>
        <w:trPr>
          <w:trHeight w:val="20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or originations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246,590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246,613</w:t>
            </w:r>
          </w:p>
        </w:tc>
        <w:tc>
          <w:tcPr>
            <w:tcW w:w="80" w:type="dxa"/>
            <w:vAlign w:val="bottom"/>
          </w:tcPr>
          <w:p>
            <w:pPr>
              <w:spacing w:after="0"/>
              <w:rPr>
                <w:sz w:val="17"/>
                <w:szCs w:val="17"/>
                <w:color w:val="auto"/>
              </w:rPr>
            </w:pPr>
          </w:p>
        </w:tc>
      </w:tr>
      <w:tr>
        <w:trPr>
          <w:trHeight w:val="20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Repayments / redemptions</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(282,738 )</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(1,535 )</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(284,273 )</w:t>
            </w:r>
          </w:p>
        </w:tc>
      </w:tr>
      <w:tr>
        <w:trPr>
          <w:trHeight w:val="24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Proceeds</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line="240" w:lineRule="exact"/>
              <w:rPr>
                <w:sz w:val="20"/>
                <w:szCs w:val="20"/>
                <w:color w:val="auto"/>
              </w:rPr>
            </w:pPr>
            <w:r>
              <w:rPr>
                <w:rFonts w:ascii="Times New Roman" w:cs="Times New Roman" w:eastAsia="Times New Roman" w:hAnsi="Times New Roman"/>
                <w:sz w:val="14"/>
                <w:szCs w:val="14"/>
                <w:color w:val="auto"/>
              </w:rPr>
              <w:t xml:space="preserve">(9,109 </w:t>
            </w:r>
            <w:r>
              <w:rPr>
                <w:rFonts w:ascii="Times New Roman" w:cs="Times New Roman" w:eastAsia="Times New Roman" w:hAnsi="Times New Roman"/>
                <w:sz w:val="27"/>
                <w:szCs w:val="27"/>
                <w:color w:val="auto"/>
                <w:vertAlign w:val="subscript"/>
              </w:rPr>
              <w:t>)</w:t>
            </w: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
              <w:spacing w:after="0" w:line="240" w:lineRule="exact"/>
              <w:rPr>
                <w:sz w:val="20"/>
                <w:szCs w:val="20"/>
                <w:color w:val="auto"/>
              </w:rPr>
            </w:pPr>
            <w:r>
              <w:rPr>
                <w:rFonts w:ascii="Times New Roman" w:cs="Times New Roman" w:eastAsia="Times New Roman" w:hAnsi="Times New Roman"/>
                <w:sz w:val="14"/>
                <w:szCs w:val="14"/>
                <w:color w:val="auto"/>
              </w:rPr>
              <w:t xml:space="preserve">(9,109 </w:t>
            </w:r>
            <w:r>
              <w:rPr>
                <w:rFonts w:ascii="Times New Roman" w:cs="Times New Roman" w:eastAsia="Times New Roman" w:hAnsi="Times New Roman"/>
                <w:sz w:val="27"/>
                <w:szCs w:val="27"/>
                <w:color w:val="auto"/>
                <w:vertAlign w:val="subscript"/>
              </w:rPr>
              <w:t>)</w:t>
            </w:r>
          </w:p>
        </w:tc>
      </w:tr>
      <w:tr>
        <w:trPr>
          <w:trHeight w:val="204"/>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Paid-in-kind interest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9,181</w:t>
            </w:r>
          </w:p>
        </w:tc>
        <w:tc>
          <w:tcPr>
            <w:tcW w:w="80" w:type="dxa"/>
            <w:vAlign w:val="bottom"/>
            <w:shd w:val="clear" w:color="auto" w:fill="CFF0FC"/>
          </w:tcPr>
          <w:p>
            <w:pPr>
              <w:spacing w:after="0"/>
              <w:rPr>
                <w:sz w:val="17"/>
                <w:szCs w:val="17"/>
                <w:color w:val="auto"/>
              </w:rPr>
            </w:pPr>
          </w:p>
        </w:tc>
      </w:tr>
      <w:tr>
        <w:trPr>
          <w:trHeight w:val="20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(6,705 )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(4,519 )</w:t>
            </w:r>
          </w:p>
        </w:tc>
      </w:tr>
      <w:tr>
        <w:trPr>
          <w:trHeight w:val="20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realized gains (losses)</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(1,772 )</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(1,772 )</w:t>
            </w:r>
          </w:p>
        </w:tc>
      </w:tr>
      <w:tr>
        <w:trPr>
          <w:trHeight w:val="20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w:t>
            </w:r>
          </w:p>
        </w:tc>
        <w:tc>
          <w:tcPr>
            <w:tcW w:w="80" w:type="dxa"/>
            <w:vAlign w:val="bottom"/>
          </w:tcPr>
          <w:p>
            <w:pPr>
              <w:spacing w:after="0"/>
              <w:rPr>
                <w:sz w:val="17"/>
                <w:szCs w:val="17"/>
                <w:color w:val="auto"/>
              </w:rPr>
            </w:pPr>
          </w:p>
        </w:tc>
      </w:tr>
      <w:tr>
        <w:trPr>
          <w:trHeight w:val="20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Transfers within Level 3</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into (out of) Level 3</w:t>
            </w: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3,074,994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27,993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42,282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148,072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3,293,341</w:t>
            </w:r>
          </w:p>
        </w:tc>
        <w:tc>
          <w:tcPr>
            <w:tcW w:w="80" w:type="dxa"/>
            <w:vAlign w:val="bottom"/>
            <w:shd w:val="clear" w:color="auto" w:fill="CFF0FC"/>
          </w:tcPr>
          <w:p>
            <w:pPr>
              <w:spacing w:after="0"/>
              <w:rPr>
                <w:sz w:val="21"/>
                <w:szCs w:val="21"/>
                <w:color w:val="auto"/>
              </w:rPr>
            </w:pPr>
          </w:p>
        </w:tc>
      </w:tr>
      <w:tr>
        <w:trPr>
          <w:trHeight w:val="346"/>
        </w:trPr>
        <w:tc>
          <w:tcPr>
            <w:tcW w:w="48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674"/>
        </w:trPr>
        <w:tc>
          <w:tcPr>
            <w:tcW w:w="48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3" w:name="page34"/>
    <w:bookmarkEnd w:id="33"/>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gridSpan w:val="7"/>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As of and for the Six Months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20" w:type="dxa"/>
            <w:vAlign w:val="bottom"/>
          </w:tcPr>
          <w:p>
            <w:pPr>
              <w:spacing w:after="0"/>
              <w:rPr>
                <w:sz w:val="14"/>
                <w:szCs w:val="14"/>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20" w:type="dxa"/>
            <w:vAlign w:val="bottom"/>
          </w:tcPr>
          <w:p>
            <w:pPr>
              <w:spacing w:after="0"/>
              <w:rPr>
                <w:sz w:val="13"/>
                <w:szCs w:val="13"/>
                <w:color w:val="auto"/>
              </w:rPr>
            </w:pPr>
          </w:p>
        </w:tc>
        <w:tc>
          <w:tcPr>
            <w:tcW w:w="8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debt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5"/>
                <w:szCs w:val="15"/>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2,993,786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38,865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140,331</w:t>
            </w:r>
          </w:p>
        </w:tc>
        <w:tc>
          <w:tcPr>
            <w:tcW w:w="4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3,208,957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or originations</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450,028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456,183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4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Repayments / redemptions</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(370,087 )</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(1,535 )</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(371,622 )</w:t>
            </w:r>
          </w:p>
        </w:tc>
        <w:tc>
          <w:tcPr>
            <w:tcW w:w="0" w:type="dxa"/>
            <w:vAlign w:val="bottom"/>
          </w:tcPr>
          <w:p>
            <w:pPr>
              <w:spacing w:after="0"/>
              <w:rPr>
                <w:sz w:val="1"/>
                <w:szCs w:val="1"/>
                <w:color w:val="auto"/>
              </w:rPr>
            </w:pPr>
          </w:p>
        </w:tc>
      </w:tr>
      <w:tr>
        <w:trPr>
          <w:trHeight w:val="20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Proceeds</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(9,109 )</w:t>
            </w:r>
          </w:p>
        </w:tc>
        <w:tc>
          <w:tcPr>
            <w:tcW w:w="1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(9,109 )</w:t>
            </w:r>
          </w:p>
        </w:tc>
        <w:tc>
          <w:tcPr>
            <w:tcW w:w="0" w:type="dxa"/>
            <w:vAlign w:val="bottom"/>
          </w:tcPr>
          <w:p>
            <w:pPr>
              <w:spacing w:after="0"/>
              <w:rPr>
                <w:sz w:val="1"/>
                <w:szCs w:val="1"/>
                <w:color w:val="auto"/>
              </w:rPr>
            </w:pPr>
          </w:p>
        </w:tc>
      </w:tr>
      <w:tr>
        <w:trPr>
          <w:trHeight w:val="20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Paid-in-kind interest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(10,482 )</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(9,093 )</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(14,942 )</w:t>
            </w:r>
          </w:p>
        </w:tc>
        <w:tc>
          <w:tcPr>
            <w:tcW w:w="0" w:type="dxa"/>
            <w:vAlign w:val="bottom"/>
          </w:tcPr>
          <w:p>
            <w:pPr>
              <w:spacing w:after="0"/>
              <w:rPr>
                <w:sz w:val="1"/>
                <w:szCs w:val="1"/>
                <w:color w:val="auto"/>
              </w:rPr>
            </w:pPr>
          </w:p>
        </w:tc>
      </w:tr>
      <w:tr>
        <w:trPr>
          <w:trHeight w:val="20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realized gains (losses)</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(2,391 )</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(2,391 )</w:t>
            </w:r>
          </w:p>
        </w:tc>
        <w:tc>
          <w:tcPr>
            <w:tcW w:w="0" w:type="dxa"/>
            <w:vAlign w:val="bottom"/>
          </w:tcPr>
          <w:p>
            <w:pPr>
              <w:spacing w:after="0"/>
              <w:rPr>
                <w:sz w:val="1"/>
                <w:szCs w:val="1"/>
                <w:color w:val="auto"/>
              </w:rPr>
            </w:pPr>
          </w:p>
        </w:tc>
      </w:tr>
      <w:tr>
        <w:trPr>
          <w:trHeight w:val="20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Transfers within Level 3</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into (out of) Level 3</w:t>
            </w: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5"/>
        </w:trPr>
        <w:tc>
          <w:tcPr>
            <w:tcW w:w="4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3,074,994</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27,993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42,282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148,072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3,293,341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firstLine="264"/>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changes in the fair value of investments for which Level 3 inputs were used to determine the fair value as of and for the three and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1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As of and for the Three Months Ended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debt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2,628,849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44,805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11,093</w:t>
            </w:r>
          </w:p>
        </w:tc>
        <w:tc>
          <w:tcPr>
            <w:tcW w:w="22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136,769</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2,821,516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or originations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249,417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Repayments / redemptions</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(119,056 )</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(119,056 )</w:t>
            </w: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Proceeds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(554 )</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(554 )</w:t>
            </w: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Paid-in-kind interest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3,081</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(5,315 )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(1,827 )</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realized gains (losses)</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(25 )</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amortization of discount on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3,758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Transfers within Level 3</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into (out of) Level 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2,777,390</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39,708</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40,237</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136,186</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2,993,521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64"/>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1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As of and for the Six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Second-lien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2,495,959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10,158</w:t>
            </w:r>
          </w:p>
        </w:tc>
        <w:tc>
          <w:tcPr>
            <w:tcW w:w="22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147,059</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2,693,938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or originations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417,459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454,175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Repayments / redemptions</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(5,809 )</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(5,809 )</w:t>
            </w: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Proceeds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(176,394 )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(176,394 )</w:t>
            </w: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Paid-in-kind interest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(6,142 )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(12,928 )</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realized gains (losses)</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(25 )</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amortization of discount on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Transfers within Level 3</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into (out of) Level 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2,777,390</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39,708</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40,237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136,186</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2,993,521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9"/>
              </w:rPr>
              <w:t>34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48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4" w:name="page35"/>
    <w:bookmarkEnd w:id="34"/>
    <w:p>
      <w:pPr>
        <w:spacing w:after="0" w:line="113"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Copper Bidco, LLC was transferred into Level 3 from Level 2 for fair value measurement purposes during the three and six months ended June 30, 2023, as a result of changes in observability of inputs into the security valuation for this portfolio company.</w:t>
      </w:r>
    </w:p>
    <w:p>
      <w:pPr>
        <w:spacing w:after="0" w:line="155" w:lineRule="exact"/>
        <w:rPr>
          <w:sz w:val="20"/>
          <w:szCs w:val="20"/>
          <w:color w:val="auto"/>
        </w:rPr>
      </w:pPr>
    </w:p>
    <w:p>
      <w:pPr>
        <w:ind w:right="66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 presents information with respect to the net change in unrealized gains or losses on investments for which Level 3 inputs were used in determining fair value that are still held by the Company at June 30, 2024 and 2023:</w:t>
      </w:r>
    </w:p>
    <w:p>
      <w:pPr>
        <w:spacing w:after="0" w:line="178"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r>
      <w:tr>
        <w:trPr>
          <w:trHeight w:val="180"/>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Gains or (Losses)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Gains or (Losses)</w:t>
            </w:r>
          </w:p>
        </w:tc>
      </w:tr>
      <w:tr>
        <w:trPr>
          <w:trHeight w:val="180"/>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80"/>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June 30, 2024 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June 30, 2023 on</w:t>
            </w:r>
          </w:p>
        </w:tc>
      </w:tr>
      <w:tr>
        <w:trPr>
          <w:trHeight w:val="276"/>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84"/>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208"/>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(4,758 )</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11,843</w:t>
            </w:r>
          </w:p>
        </w:tc>
        <w:tc>
          <w:tcPr>
            <w:tcW w:w="100" w:type="dxa"/>
            <w:vAlign w:val="bottom"/>
            <w:shd w:val="clear" w:color="auto" w:fill="CFF0FC"/>
          </w:tcPr>
          <w:p>
            <w:pPr>
              <w:spacing w:after="0"/>
              <w:rPr>
                <w:sz w:val="18"/>
                <w:szCs w:val="18"/>
                <w:color w:val="auto"/>
              </w:rPr>
            </w:pPr>
          </w:p>
        </w:tc>
      </w:tr>
      <w:tr>
        <w:trPr>
          <w:trHeight w:val="204"/>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40" w:type="dxa"/>
            <w:vAlign w:val="bottom"/>
          </w:tcPr>
          <w:p>
            <w:pPr>
              <w:spacing w:after="0"/>
              <w:rPr>
                <w:sz w:val="17"/>
                <w:szCs w:val="17"/>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(5,315 )</w:t>
            </w:r>
          </w:p>
        </w:tc>
      </w:tr>
      <w:tr>
        <w:trPr>
          <w:trHeight w:val="205"/>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4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(53 )</w:t>
            </w:r>
          </w:p>
        </w:tc>
      </w:tr>
      <w:tr>
        <w:trPr>
          <w:trHeight w:val="204"/>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40" w:type="dxa"/>
            <w:vAlign w:val="bottom"/>
          </w:tcPr>
          <w:p>
            <w:pPr>
              <w:spacing w:after="0"/>
              <w:rPr>
                <w:sz w:val="17"/>
                <w:szCs w:val="17"/>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(1,869 )</w:t>
            </w:r>
          </w:p>
        </w:tc>
      </w:tr>
      <w:tr>
        <w:trPr>
          <w:trHeight w:val="245"/>
        </w:trPr>
        <w:tc>
          <w:tcPr>
            <w:tcW w:w="498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gridSpan w:val="3"/>
            <w:shd w:val="clear" w:color="auto" w:fill="CFF0FC"/>
          </w:tcPr>
          <w:p>
            <w:pPr>
              <w:jc w:val="right"/>
              <w:ind w:right="60"/>
              <w:spacing w:after="0" w:line="204" w:lineRule="exact"/>
              <w:rPr>
                <w:sz w:val="20"/>
                <w:szCs w:val="20"/>
                <w:color w:val="auto"/>
              </w:rPr>
            </w:pPr>
            <w:r>
              <w:rPr>
                <w:rFonts w:ascii="Times New Roman" w:cs="Times New Roman" w:eastAsia="Times New Roman" w:hAnsi="Times New Roman"/>
                <w:sz w:val="13"/>
                <w:szCs w:val="13"/>
                <w:color w:val="auto"/>
              </w:rPr>
              <w:t xml:space="preserve">(2,573 </w:t>
            </w:r>
            <w:r>
              <w:rPr>
                <w:rFonts w:ascii="Times New Roman" w:cs="Times New Roman" w:eastAsia="Times New Roman" w:hAnsi="Times New Roman"/>
                <w:sz w:val="23"/>
                <w:szCs w:val="23"/>
                <w:color w:val="auto"/>
                <w:vertAlign w:val="subscript"/>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100" w:type="dxa"/>
            <w:vAlign w:val="bottom"/>
            <w:shd w:val="clear" w:color="auto" w:fill="CFF0FC"/>
          </w:tcPr>
          <w:p>
            <w:pPr>
              <w:spacing w:after="0"/>
              <w:rPr>
                <w:sz w:val="21"/>
                <w:szCs w:val="21"/>
                <w:color w:val="auto"/>
              </w:rPr>
            </w:pPr>
          </w:p>
        </w:tc>
      </w:tr>
      <w:tr>
        <w:trPr>
          <w:trHeight w:val="532"/>
        </w:trPr>
        <w:tc>
          <w:tcPr>
            <w:tcW w:w="49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100" w:type="dxa"/>
            <w:vAlign w:val="bottom"/>
            <w:tcBorders>
              <w:top w:val="single" w:sz="8" w:color="CFF0FC"/>
            </w:tcBorders>
          </w:tcPr>
          <w:p>
            <w:pPr>
              <w:spacing w:after="0"/>
              <w:rPr>
                <w:sz w:val="24"/>
                <w:szCs w:val="24"/>
                <w:color w:val="auto"/>
              </w:rPr>
            </w:pPr>
          </w:p>
        </w:tc>
      </w:tr>
      <w:tr>
        <w:trPr>
          <w:trHeight w:val="180"/>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Gains or (Losses)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Gains or (Losses)</w:t>
            </w:r>
          </w:p>
        </w:tc>
      </w:tr>
      <w:tr>
        <w:trPr>
          <w:trHeight w:val="180"/>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r>
      <w:tr>
        <w:trPr>
          <w:trHeight w:val="180"/>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June 30, 2024 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June 30, 2023 on</w:t>
            </w:r>
          </w:p>
        </w:tc>
      </w:tr>
      <w:tr>
        <w:trPr>
          <w:trHeight w:val="180"/>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84"/>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208"/>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(5,875 )</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29,123</w:t>
            </w:r>
          </w:p>
        </w:tc>
        <w:tc>
          <w:tcPr>
            <w:tcW w:w="100" w:type="dxa"/>
            <w:vAlign w:val="bottom"/>
            <w:shd w:val="clear" w:color="auto" w:fill="CFF0FC"/>
          </w:tcPr>
          <w:p>
            <w:pPr>
              <w:spacing w:after="0"/>
              <w:rPr>
                <w:sz w:val="18"/>
                <w:szCs w:val="18"/>
                <w:color w:val="auto"/>
              </w:rPr>
            </w:pPr>
          </w:p>
        </w:tc>
      </w:tr>
      <w:tr>
        <w:trPr>
          <w:trHeight w:val="204"/>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40" w:type="dxa"/>
            <w:vAlign w:val="bottom"/>
          </w:tcPr>
          <w:p>
            <w:pPr>
              <w:spacing w:after="0"/>
              <w:rPr>
                <w:sz w:val="17"/>
                <w:szCs w:val="17"/>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(9,094 )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(6,142 )</w:t>
            </w:r>
          </w:p>
        </w:tc>
      </w:tr>
      <w:tr>
        <w:trPr>
          <w:trHeight w:val="205"/>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17"/>
                <w:szCs w:val="17"/>
                <w:color w:val="auto"/>
              </w:rPr>
            </w:pPr>
          </w:p>
        </w:tc>
      </w:tr>
      <w:tr>
        <w:trPr>
          <w:trHeight w:val="204"/>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(8,430 )</w:t>
            </w:r>
          </w:p>
        </w:tc>
      </w:tr>
      <w:tr>
        <w:trPr>
          <w:trHeight w:val="225"/>
        </w:trPr>
        <w:tc>
          <w:tcPr>
            <w:tcW w:w="498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gridSpan w:val="2"/>
            <w:shd w:val="clear" w:color="auto" w:fill="CFF0FC"/>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(10,336 </w:t>
            </w:r>
            <w:r>
              <w:rPr>
                <w:rFonts w:ascii="Times New Roman" w:cs="Times New Roman" w:eastAsia="Times New Roman" w:hAnsi="Times New Roman"/>
                <w:sz w:val="23"/>
                <w:szCs w:val="23"/>
                <w:color w:val="auto"/>
                <w:vertAlign w:val="subscript"/>
              </w:rPr>
              <w:t>)</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14,654</w:t>
            </w:r>
          </w:p>
        </w:tc>
        <w:tc>
          <w:tcPr>
            <w:tcW w:w="100" w:type="dxa"/>
            <w:vAlign w:val="bottom"/>
            <w:shd w:val="clear" w:color="auto" w:fill="CFF0FC"/>
          </w:tcPr>
          <w:p>
            <w:pPr>
              <w:spacing w:after="0"/>
              <w:rPr>
                <w:sz w:val="19"/>
                <w:szCs w:val="19"/>
                <w:color w:val="auto"/>
              </w:rPr>
            </w:pPr>
          </w:p>
        </w:tc>
      </w:tr>
      <w:tr>
        <w:trPr>
          <w:trHeight w:val="20"/>
        </w:trPr>
        <w:tc>
          <w:tcPr>
            <w:tcW w:w="49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91"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tables present the fair value of Level 3 Investments at fair value and the significant unobservable inputs used in the valuations as of June 30, 2024 and December 31, 2023. The tables are not intended to be all-inclusive, but instead capture the significant unobservable inputs relevant to the Company’s determination of fair values.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7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2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Impact to Valuation</w:t>
            </w:r>
          </w:p>
        </w:tc>
      </w:tr>
      <w:tr>
        <w:trPr>
          <w:trHeight w:val="174"/>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00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72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from an</w:t>
            </w:r>
          </w:p>
        </w:tc>
      </w:tr>
      <w:tr>
        <w:trPr>
          <w:trHeight w:val="184"/>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4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00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72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Increase to Input</w:t>
            </w:r>
          </w:p>
        </w:tc>
      </w:tr>
      <w:tr>
        <w:trPr>
          <w:trHeight w:val="196"/>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3,074,994</w:t>
            </w:r>
          </w:p>
        </w:tc>
        <w:tc>
          <w:tcPr>
            <w:tcW w:w="1640" w:type="dxa"/>
            <w:vAlign w:val="bottom"/>
            <w:shd w:val="clear" w:color="auto" w:fill="CFF0FC"/>
          </w:tcPr>
          <w:p>
            <w:pPr>
              <w:ind w:left="220"/>
              <w:spacing w:after="0" w:line="196"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9.1% — 20.0% (13.7%)</w:t>
            </w:r>
          </w:p>
        </w:tc>
        <w:tc>
          <w:tcPr>
            <w:tcW w:w="1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27,993</w:t>
            </w:r>
          </w:p>
        </w:tc>
        <w:tc>
          <w:tcPr>
            <w:tcW w:w="1640" w:type="dxa"/>
            <w:vAlign w:val="bottom"/>
          </w:tcPr>
          <w:p>
            <w:pPr>
              <w:ind w:left="220"/>
              <w:spacing w:after="0" w:line="192"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(2)</w:t>
            </w:r>
          </w:p>
        </w:tc>
        <w:tc>
          <w:tcPr>
            <w:tcW w:w="2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14.9% — 20.6% (16.6%)</w:t>
            </w: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192"/>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42,282</w:t>
            </w:r>
          </w:p>
        </w:tc>
        <w:tc>
          <w:tcPr>
            <w:tcW w:w="1640" w:type="dxa"/>
            <w:vAlign w:val="bottom"/>
            <w:shd w:val="clear" w:color="auto" w:fill="CFF0FC"/>
          </w:tcPr>
          <w:p>
            <w:pPr>
              <w:ind w:left="220"/>
              <w:spacing w:after="0" w:line="192"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(3)</w:t>
            </w:r>
          </w:p>
        </w:tc>
        <w:tc>
          <w:tcPr>
            <w:tcW w:w="2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13.6% — 22.5% (14.5%)</w:t>
            </w:r>
          </w:p>
        </w:tc>
        <w:tc>
          <w:tcPr>
            <w:tcW w:w="1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148,072</w:t>
            </w:r>
          </w:p>
        </w:tc>
        <w:tc>
          <w:tcPr>
            <w:tcW w:w="1640" w:type="dxa"/>
            <w:vAlign w:val="bottom"/>
          </w:tcPr>
          <w:p>
            <w:pPr>
              <w:ind w:left="220"/>
              <w:spacing w:after="0" w:line="192"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(4)</w:t>
            </w:r>
          </w:p>
        </w:tc>
        <w:tc>
          <w:tcPr>
            <w:tcW w:w="2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Comparable multiple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2.0x — 20.0x (7.1x)</w:t>
            </w: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r>
      <w:tr>
        <w:trPr>
          <w:trHeight w:val="231"/>
        </w:trPr>
        <w:tc>
          <w:tcPr>
            <w:tcW w:w="2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3,293,341</w:t>
            </w:r>
          </w:p>
        </w:tc>
        <w:tc>
          <w:tcPr>
            <w:tcW w:w="1640" w:type="dxa"/>
            <w:vAlign w:val="bottom"/>
            <w:tcBorders>
              <w:bottom w:val="single" w:sz="8" w:color="CFF0FC"/>
            </w:tcBorders>
            <w:shd w:val="clear" w:color="auto" w:fill="CFF0FC"/>
          </w:tcPr>
          <w:p>
            <w:pPr>
              <w:spacing w:after="0"/>
              <w:rPr>
                <w:sz w:val="20"/>
                <w:szCs w:val="20"/>
                <w:color w:val="auto"/>
              </w:rPr>
            </w:pPr>
          </w:p>
        </w:tc>
        <w:tc>
          <w:tcPr>
            <w:tcW w:w="200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$165.5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$16.4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(3)Includes $0.1 million of debt investments which were valued using an asset valuation waterfall.</w:t>
      </w:r>
    </w:p>
    <w:p>
      <w:pPr>
        <w:spacing w:after="0" w:line="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(4)Includes $4.4 million of equity investments which were valued using an asset valuation waterfall, $0.4 million of equity investments using a Black-Scholes model, and $16.0 million using discounted cash flow analysis.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8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Impact to Valuation</w:t>
            </w:r>
          </w:p>
        </w:tc>
      </w:tr>
      <w:tr>
        <w:trPr>
          <w:trHeight w:val="174"/>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08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7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w w:val="98"/>
              </w:rPr>
              <w:t>from an</w:t>
            </w:r>
          </w:p>
        </w:tc>
      </w:tr>
      <w:tr>
        <w:trPr>
          <w:trHeight w:val="184"/>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2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08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Average)</w:t>
            </w:r>
          </w:p>
        </w:tc>
        <w:tc>
          <w:tcPr>
            <w:tcW w:w="17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Increase to Input</w:t>
            </w:r>
          </w:p>
        </w:tc>
      </w:tr>
      <w:tr>
        <w:trPr>
          <w:trHeight w:val="19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2,993,786</w:t>
            </w:r>
          </w:p>
        </w:tc>
        <w:tc>
          <w:tcPr>
            <w:tcW w:w="162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8.7% — 17.9% (14.2%)</w:t>
            </w:r>
          </w:p>
        </w:tc>
        <w:tc>
          <w:tcPr>
            <w:tcW w:w="1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19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35,975</w:t>
            </w:r>
          </w:p>
        </w:tc>
        <w:tc>
          <w:tcPr>
            <w:tcW w:w="1620" w:type="dxa"/>
            <w:vAlign w:val="bottom"/>
          </w:tcPr>
          <w:p>
            <w:pPr>
              <w:ind w:left="200"/>
              <w:spacing w:after="0" w:line="192"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(2)</w:t>
            </w:r>
          </w:p>
        </w:tc>
        <w:tc>
          <w:tcPr>
            <w:tcW w:w="2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15.3% — 21.7% (17.6%)</w:t>
            </w: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192"/>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38,865</w:t>
            </w:r>
          </w:p>
        </w:tc>
        <w:tc>
          <w:tcPr>
            <w:tcW w:w="1620" w:type="dxa"/>
            <w:vAlign w:val="bottom"/>
            <w:shd w:val="clear" w:color="auto" w:fill="CFF0FC"/>
          </w:tcPr>
          <w:p>
            <w:pPr>
              <w:ind w:left="200"/>
              <w:spacing w:after="0" w:line="192"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(3)</w:t>
            </w:r>
          </w:p>
        </w:tc>
        <w:tc>
          <w:tcPr>
            <w:tcW w:w="2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14.6% — 22.5% (15.4%)</w:t>
            </w:r>
          </w:p>
        </w:tc>
        <w:tc>
          <w:tcPr>
            <w:tcW w:w="1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19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140,331</w:t>
            </w:r>
          </w:p>
        </w:tc>
        <w:tc>
          <w:tcPr>
            <w:tcW w:w="1620" w:type="dxa"/>
            <w:vAlign w:val="bottom"/>
          </w:tcPr>
          <w:p>
            <w:pPr>
              <w:ind w:left="200"/>
              <w:spacing w:after="0" w:line="192"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(4)</w:t>
            </w:r>
          </w:p>
        </w:tc>
        <w:tc>
          <w:tcPr>
            <w:tcW w:w="2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Comparable multiple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2.0x — 19.2x (6.7x)</w:t>
            </w: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r>
      <w:tr>
        <w:trPr>
          <w:trHeight w:val="231"/>
        </w:trPr>
        <w:tc>
          <w:tcPr>
            <w:tcW w:w="24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3,208,957</w:t>
            </w:r>
          </w:p>
        </w:tc>
        <w:tc>
          <w:tcPr>
            <w:tcW w:w="1620" w:type="dxa"/>
            <w:vAlign w:val="bottom"/>
            <w:tcBorders>
              <w:bottom w:val="single" w:sz="8" w:color="CFF0FC"/>
            </w:tcBorders>
            <w:shd w:val="clear" w:color="auto" w:fill="CFF0FC"/>
          </w:tcPr>
          <w:p>
            <w:pPr>
              <w:spacing w:after="0"/>
              <w:rPr>
                <w:sz w:val="20"/>
                <w:szCs w:val="20"/>
                <w:color w:val="auto"/>
              </w:rPr>
            </w:pPr>
          </w:p>
        </w:tc>
        <w:tc>
          <w:tcPr>
            <w:tcW w:w="208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$63.4 million of first-lien debt investments which were valued using an asset valuation waterfall.</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(2)Includes $27.2 million of debt investments which were valued using an asset valuation waterfall.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(3)Includes $0.1 million of debt investments which were valued using an asset valuation waterfall.</w:t>
      </w:r>
    </w:p>
    <w:p>
      <w:pPr>
        <w:spacing w:after="0" w:line="234" w:lineRule="auto"/>
        <w:rPr>
          <w:sz w:val="20"/>
          <w:szCs w:val="20"/>
          <w:color w:val="auto"/>
        </w:rPr>
      </w:pPr>
      <w:r>
        <w:rPr>
          <w:rFonts w:ascii="Times New Roman" w:cs="Times New Roman" w:eastAsia="Times New Roman" w:hAnsi="Times New Roman"/>
          <w:sz w:val="16"/>
          <w:szCs w:val="16"/>
          <w:color w:val="auto"/>
        </w:rPr>
        <w:t>(4)Includes $6.4 million of equity investments which were valued using an asset valuation waterfall, $2.4 million of equity investments using a Black-Scholes model,</w:t>
      </w:r>
    </w:p>
    <w:p>
      <w:pPr>
        <w:spacing w:after="0" w:line="1"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6"/>
          <w:szCs w:val="16"/>
          <w:color w:val="auto"/>
        </w:rPr>
        <w:t>$15.7 million of equity investments using a discounted cash flow analysis and $6.2 million of equity investments which, due to the proximity of the transactions relative to the measurement dates, we valued using the cost of the investments.</w:t>
      </w:r>
    </w:p>
    <w:p>
      <w:pPr>
        <w:spacing w:after="0" w:line="169"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69"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 -down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Not Carried at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w:t>
      </w:r>
    </w:p>
    <w:p>
      <w:pPr>
        <w:spacing w:after="0" w:line="92"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The fair value of the Company’s Revolving Credit Facility, which is categorized as Level 3 within the fair value hierarchy, as of June 30, 2024 and December 31, 2023, approximates its carrying value as the outstanding balance is callable at carrying value.</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 presents the fair value of the Company’s 2024 Notes, 2026 Notes, 2028 Notes and 2029 Notes, as of June 30, 2024 and December 31, 2023.</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1"/>
        </w:trPr>
        <w:tc>
          <w:tcPr>
            <w:tcW w:w="3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Fair</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93"/>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 xml:space="preserve">Value </w:t>
            </w:r>
            <w:r>
              <w:rPr>
                <w:rFonts w:ascii="Times New Roman" w:cs="Times New Roman" w:eastAsia="Times New Roman" w:hAnsi="Times New Roman"/>
                <w:sz w:val="16"/>
                <w:szCs w:val="16"/>
                <w:b w:val="1"/>
                <w:bCs w:val="1"/>
                <w:color w:val="auto"/>
                <w:w w:val="95"/>
                <w:vertAlign w:val="superscript"/>
              </w:rPr>
              <w:t>(1)</w:t>
            </w:r>
          </w:p>
        </w:tc>
      </w:tr>
      <w:tr>
        <w:trPr>
          <w:trHeight w:val="204"/>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56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344,749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4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340,862</w:t>
            </w:r>
          </w:p>
        </w:tc>
        <w:tc>
          <w:tcPr>
            <w:tcW w:w="100" w:type="dxa"/>
            <w:vAlign w:val="bottom"/>
            <w:shd w:val="clear" w:color="auto" w:fill="CFF0FC"/>
          </w:tcPr>
          <w:p>
            <w:pPr>
              <w:spacing w:after="0"/>
              <w:rPr>
                <w:sz w:val="17"/>
                <w:szCs w:val="17"/>
                <w:color w:val="auto"/>
              </w:rPr>
            </w:pPr>
          </w:p>
        </w:tc>
      </w:tr>
      <w:tr>
        <w:trPr>
          <w:trHeight w:val="204"/>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279,180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273,410</w:t>
            </w:r>
          </w:p>
        </w:tc>
        <w:tc>
          <w:tcPr>
            <w:tcW w:w="100" w:type="dxa"/>
            <w:vAlign w:val="bottom"/>
          </w:tcPr>
          <w:p>
            <w:pPr>
              <w:spacing w:after="0"/>
              <w:rPr>
                <w:sz w:val="17"/>
                <w:szCs w:val="17"/>
                <w:color w:val="auto"/>
              </w:rPr>
            </w:pPr>
          </w:p>
        </w:tc>
      </w:tr>
      <w:tr>
        <w:trPr>
          <w:trHeight w:val="20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307,320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309,420</w:t>
            </w:r>
          </w:p>
        </w:tc>
        <w:tc>
          <w:tcPr>
            <w:tcW w:w="100" w:type="dxa"/>
            <w:vAlign w:val="bottom"/>
            <w:shd w:val="clear" w:color="auto" w:fill="CFF0FC"/>
          </w:tcPr>
          <w:p>
            <w:pPr>
              <w:spacing w:after="0"/>
              <w:rPr>
                <w:sz w:val="17"/>
                <w:szCs w:val="17"/>
                <w:color w:val="auto"/>
              </w:rPr>
            </w:pPr>
          </w:p>
        </w:tc>
      </w:tr>
      <w:tr>
        <w:trPr>
          <w:trHeight w:val="204"/>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346,978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3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1,297,500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1,278,227</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947,500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923,692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fair value is based on broker quotes received by the Company and is categorized as Level 2 within the fair value hierarchy.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Financial Assets and Liabilities</w:t>
      </w:r>
    </w:p>
    <w:p>
      <w:pPr>
        <w:spacing w:after="0" w:line="94"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Under the fair value hierarchy, cash and cash equivalents are classified as Level 1 while the Company’s other assets and liabilities, other than investments at fair value and Revolving Credit Facility, are classified as Level 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Debt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380" w:firstLine="228"/>
        <w:spacing w:after="0" w:line="331" w:lineRule="auto"/>
        <w:rPr>
          <w:sz w:val="20"/>
          <w:szCs w:val="20"/>
          <w:color w:val="auto"/>
        </w:rPr>
      </w:pPr>
      <w:r>
        <w:rPr>
          <w:rFonts w:ascii="Times New Roman" w:cs="Times New Roman" w:eastAsia="Times New Roman" w:hAnsi="Times New Roman"/>
          <w:sz w:val="14"/>
          <w:szCs w:val="14"/>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08"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As of June 30, 2024, aggregate commitments under the facility were $1.7 billion. The facility includes an uncommitted accordion feature that allows the Company, under certain circumstances, to increase the size of the facility to up to $2.0 billion.</w:t>
      </w:r>
    </w:p>
    <w:p>
      <w:pPr>
        <w:spacing w:after="0" w:line="155" w:lineRule="exact"/>
        <w:rPr>
          <w:sz w:val="20"/>
          <w:szCs w:val="20"/>
          <w:color w:val="auto"/>
        </w:rPr>
      </w:pPr>
    </w:p>
    <w:p>
      <w:pPr>
        <w:ind w:firstLine="228"/>
        <w:spacing w:after="0" w:line="242" w:lineRule="auto"/>
        <w:rPr>
          <w:sz w:val="20"/>
          <w:szCs w:val="20"/>
          <w:color w:val="auto"/>
        </w:rPr>
      </w:pPr>
      <w:r>
        <w:rPr>
          <w:rFonts w:ascii="Times New Roman" w:cs="Times New Roman" w:eastAsia="Times New Roman" w:hAnsi="Times New Roman"/>
          <w:sz w:val="16"/>
          <w:szCs w:val="16"/>
          <w:color w:val="auto"/>
        </w:rPr>
        <w:t>Pursuant to the Fourteenth Amendment dated June 12, 2023, with respect to $1.465 billion in commitments, the revolving period, during which period we, subject to certain conditions, may make borrowings under the facility, was extended to June 11, 2027 and the stated maturity date was extended to June 12, 2028. For the remaining $220.0 million of commitments, (A) with respect to $50.0</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361" w:right="620" w:bottom="1440" w:gutter="0" w:footer="0" w:header="0"/>
        </w:sectPr>
      </w:pPr>
    </w:p>
    <w:bookmarkStart w:id="36" w:name="page37"/>
    <w:bookmarkEnd w:id="36"/>
    <w:p>
      <w:pPr>
        <w:spacing w:after="0" w:line="113" w:lineRule="exact"/>
        <w:rPr>
          <w:sz w:val="20"/>
          <w:szCs w:val="20"/>
          <w:color w:val="auto"/>
        </w:rPr>
      </w:pPr>
    </w:p>
    <w:p>
      <w:pPr>
        <w:ind w:right="760" w:firstLine="39"/>
        <w:spacing w:after="0" w:line="259" w:lineRule="auto"/>
        <w:rPr>
          <w:sz w:val="20"/>
          <w:szCs w:val="20"/>
          <w:color w:val="auto"/>
        </w:rPr>
      </w:pPr>
      <w:r>
        <w:rPr>
          <w:rFonts w:ascii="Times New Roman" w:cs="Times New Roman" w:eastAsia="Times New Roman" w:hAnsi="Times New Roman"/>
          <w:sz w:val="16"/>
          <w:szCs w:val="16"/>
          <w:color w:val="auto"/>
        </w:rPr>
        <w:t>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55"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67"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The Company may borrow amounts in U.S. dollars or certain other permitted currencies. As of June 30, 2024, the Company had outstanding debt denominated in Australian dollars (AUD) of 64.9 million, British pounds (GBP) of 41.0 million, Canadian dollars (CAD) of 5.0 million, Swedish Krona (SEK) of 78.1 million and Euro (EUR) of 101.2 million on its Revolving Credit Facility, included in the Outstanding Principal amount in the table below. As of December 31, 2023, the Company had outstanding debt denominated in Australian dollars (AUD) of 66.4 million, British pounds (GBP) of 32.3 million, Canadian dollars (CAD) of 96.8 million, and Euro (EUR) of 57.2 million on our Revolving Credit Facility, included in the Outstanding Principal amount in the table below.</w:t>
      </w:r>
    </w:p>
    <w:p>
      <w:pPr>
        <w:spacing w:after="0" w:line="169"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 million. As of June 30, 2024 and December 31, 2023 the Company had $3.0 million and $0.2 million, respectively, of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3" w:lineRule="exact"/>
        <w:rPr>
          <w:sz w:val="20"/>
          <w:szCs w:val="20"/>
          <w:color w:val="auto"/>
        </w:rPr>
      </w:pPr>
    </w:p>
    <w:p>
      <w:pPr>
        <w:jc w:val="both"/>
        <w:ind w:right="22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Fifteenth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1.5 to 1 on the last day of any fiscal quarter;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•stockholders’ equity of at least $650 million plus 25% of the net proceeds of the sale of equity interests after April 24, 2024; and</w:t>
      </w:r>
    </w:p>
    <w:p>
      <w:pPr>
        <w:spacing w:after="0" w:line="92" w:lineRule="exact"/>
        <w:rPr>
          <w:sz w:val="20"/>
          <w:szCs w:val="20"/>
          <w:color w:val="auto"/>
        </w:rPr>
      </w:pPr>
    </w:p>
    <w:p>
      <w:pPr>
        <w:ind w:left="240" w:right="300"/>
        <w:spacing w:after="0" w:line="299" w:lineRule="auto"/>
        <w:rPr>
          <w:sz w:val="20"/>
          <w:szCs w:val="20"/>
          <w:color w:val="auto"/>
        </w:rPr>
      </w:pPr>
      <w:r>
        <w:rPr>
          <w:rFonts w:ascii="Times New Roman" w:cs="Times New Roman" w:eastAsia="Times New Roman" w:hAnsi="Times New Roman"/>
          <w:sz w:val="14"/>
          <w:szCs w:val="14"/>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31"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Net proceeds received from the Company’s common stock issuances in February 2024 and April 2024 and net proceeds received from the issuance of the 2029 Notes were used to pay down borrowings on the Revolving Credit Facility.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June 30, 2024 and December 31, 2023, the Company was in compliance with the terms of the Revolving Credit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Notes</w:t>
      </w:r>
    </w:p>
    <w:p>
      <w:pPr>
        <w:spacing w:after="0" w:line="94" w:lineRule="exact"/>
        <w:rPr>
          <w:sz w:val="20"/>
          <w:szCs w:val="20"/>
          <w:color w:val="auto"/>
        </w:rPr>
      </w:pPr>
    </w:p>
    <w:p>
      <w:pPr>
        <w:ind w:right="200" w:firstLine="228"/>
        <w:spacing w:after="0" w:line="242" w:lineRule="auto"/>
        <w:rPr>
          <w:sz w:val="20"/>
          <w:szCs w:val="20"/>
          <w:color w:val="auto"/>
        </w:rPr>
      </w:pPr>
      <w:r>
        <w:rPr>
          <w:rFonts w:ascii="Times New Roman" w:cs="Times New Roman" w:eastAsia="Times New Roman" w:hAnsi="Times New Roman"/>
          <w:sz w:val="16"/>
          <w:szCs w:val="16"/>
          <w:color w:val="auto"/>
        </w:rPr>
        <w:t>In January 2018, the Company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the Company’s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7" w:name="page38"/>
    <w:bookmarkEnd w:id="37"/>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 at any time at par plus a “make whole” premium. Total proceeds from the issuance of the 2023 Notes, net of underwriting discounts and offering costs, were</w:t>
      </w:r>
    </w:p>
    <w:p>
      <w:pPr>
        <w:spacing w:after="0" w:line="1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69" w:lineRule="exact"/>
        <w:rPr>
          <w:sz w:val="20"/>
          <w:szCs w:val="20"/>
          <w:color w:val="auto"/>
        </w:rPr>
      </w:pPr>
    </w:p>
    <w:p>
      <w:pPr>
        <w:ind w:right="240" w:firstLine="228"/>
        <w:spacing w:after="0" w:line="241" w:lineRule="auto"/>
        <w:rPr>
          <w:sz w:val="20"/>
          <w:szCs w:val="20"/>
          <w:color w:val="auto"/>
        </w:rPr>
      </w:pPr>
      <w:r>
        <w:rPr>
          <w:rFonts w:ascii="Times New Roman" w:cs="Times New Roman" w:eastAsia="Times New Roman" w:hAnsi="Times New Roman"/>
          <w:sz w:val="16"/>
          <w:szCs w:val="16"/>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69" w:lineRule="exact"/>
        <w:rPr>
          <w:sz w:val="20"/>
          <w:szCs w:val="20"/>
          <w:color w:val="auto"/>
        </w:rPr>
      </w:pPr>
    </w:p>
    <w:p>
      <w:pPr>
        <w:ind w:right="200" w:firstLine="228"/>
        <w:spacing w:after="0" w:line="278" w:lineRule="auto"/>
        <w:rPr>
          <w:sz w:val="20"/>
          <w:szCs w:val="20"/>
          <w:color w:val="auto"/>
        </w:rPr>
      </w:pPr>
      <w:r>
        <w:rPr>
          <w:rFonts w:ascii="Times New Roman" w:cs="Times New Roman" w:eastAsia="Times New Roman" w:hAnsi="Times New Roman"/>
          <w:sz w:val="14"/>
          <w:szCs w:val="14"/>
          <w:color w:val="auto"/>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 the 2024 Notes is SOFR plus 2.54% (on a weighted average basis). The interest expense related to the 2024 Notes is offset by proceeds received from the interest rate swaps designated as a hedge. The swap adjusted interest expense is included as a component of interest expense on the Company’s Consolidated Statements of Operations. As of June 30, 2024, and December 31, 2023, the effective hedge interest rate swaps had a fair value of $(5.0) million and $(10.4) million, respectively, which is offset within interest expense by an equal, but opposite, fair value change for the hedged risk on the 2024 Notes.</w:t>
      </w:r>
    </w:p>
    <w:p>
      <w:pPr>
        <w:spacing w:after="0" w:line="147"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2020, the Company repurchased on the open market and extinguished $2.5 million in aggregate principal amount of the 2024 Notes for $2.4 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SOFR plus 2.54% (on a weighted average basis).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w:t>
      </w:r>
    </w:p>
    <w:p>
      <w:pPr>
        <w:spacing w:after="0" w:line="73" w:lineRule="exact"/>
        <w:rPr>
          <w:sz w:val="20"/>
          <w:szCs w:val="20"/>
          <w:color w:val="auto"/>
        </w:rPr>
      </w:pPr>
    </w:p>
    <w:p>
      <w:pPr>
        <w:ind w:right="140" w:firstLine="228"/>
        <w:spacing w:after="0" w:line="238" w:lineRule="auto"/>
        <w:rPr>
          <w:sz w:val="20"/>
          <w:szCs w:val="20"/>
          <w:color w:val="auto"/>
        </w:rPr>
      </w:pPr>
      <w:r>
        <w:rPr>
          <w:rFonts w:ascii="Times New Roman" w:cs="Times New Roman" w:eastAsia="Times New Roman" w:hAnsi="Times New Roman"/>
          <w:sz w:val="16"/>
          <w:szCs w:val="16"/>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June 30, 2024 and December 31, 2023 the effective hedge interest rate swaps had a fair value of $(25.4) million and $(26.1) million, respectively, which is offset within interest expense by an equal, but opposite, fair value change for the hedged risk on the 2026 Notes.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8" w:name="page39"/>
    <w:bookmarkEnd w:id="38"/>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On August 14,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169"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June 30, 2024 and December 31, 2023, the effective hedge interest rate swaps had a fair value of $(2.5) million and $4.7 million, respectively, which is offset within interest expense by an equal, but opposite, fair value change for the hedged risk on the 2028 Notes.</w:t>
      </w:r>
    </w:p>
    <w:p>
      <w:pPr>
        <w:spacing w:after="0" w:line="2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On January 8, 2024, the Company issued $350.0 million aggregate principal amount of unsecured notes that mature on March 1, 2029 (the “2029 Notes”). The principal amount of the 2029 Notes is payable at maturity. The 2029 Notes bear interest at a rate of 6.125% per year, payable semi- 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spacing w:after="0" w:line="169"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As of June 30, 2024, the effective hedge interest rate swaps had a fair value of $(6.3) million which is offset within interest expense by an equal, but opposite, fair value change for the hedged risk on the 2029 Notes.</w:t>
      </w:r>
    </w:p>
    <w:p>
      <w:pPr>
        <w:spacing w:after="0" w:line="169"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For the three and six months ended June 30, 2024 and 2023, the components of interest expense related to the 2023 Notes, 2024 Notes, 2026 Notes, 2028 Notes and 2029 Notes were as follows:</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4"/>
          </w:tcPr>
          <w:p>
            <w:pPr>
              <w:jc w:val="right"/>
              <w:ind w:right="62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8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220"/>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15,813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30,733</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10,877</w:t>
            </w:r>
          </w:p>
        </w:tc>
        <w:tc>
          <w:tcPr>
            <w:tcW w:w="80" w:type="dxa"/>
            <w:vAlign w:val="bottom"/>
            <w:shd w:val="clear" w:color="auto" w:fill="CFF0FC"/>
          </w:tcPr>
          <w:p>
            <w:pPr>
              <w:spacing w:after="0"/>
              <w:rPr>
                <w:sz w:val="19"/>
                <w:szCs w:val="19"/>
                <w:color w:val="auto"/>
              </w:rPr>
            </w:pP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original issue discount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Pr>
          <w:p>
            <w:pPr>
              <w:spacing w:after="0"/>
              <w:rPr>
                <w:sz w:val="17"/>
                <w:szCs w:val="17"/>
                <w:color w:val="auto"/>
              </w:rPr>
            </w:pPr>
          </w:p>
        </w:tc>
      </w:tr>
      <w:tr>
        <w:trPr>
          <w:trHeight w:val="217"/>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shd w:val="clear" w:color="auto" w:fill="CFF0FC"/>
          </w:tcPr>
          <w:p>
            <w:pPr>
              <w:spacing w:after="0"/>
              <w:rPr>
                <w:sz w:val="18"/>
                <w:szCs w:val="18"/>
                <w:color w:val="auto"/>
              </w:rPr>
            </w:pPr>
          </w:p>
        </w:tc>
      </w:tr>
      <w:tr>
        <w:trPr>
          <w:trHeight w:val="204"/>
        </w:trPr>
        <w:tc>
          <w:tcPr>
            <w:tcW w:w="37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12,177</w:t>
            </w:r>
          </w:p>
        </w:tc>
        <w:tc>
          <w:tcPr>
            <w:tcW w:w="8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firstLine="228"/>
        <w:spacing w:after="0" w:line="239" w:lineRule="auto"/>
        <w:rPr>
          <w:sz w:val="20"/>
          <w:szCs w:val="20"/>
          <w:color w:val="auto"/>
        </w:rPr>
      </w:pPr>
      <w:r>
        <w:rPr>
          <w:rFonts w:ascii="Times New Roman" w:cs="Times New Roman" w:eastAsia="Times New Roman" w:hAnsi="Times New Roman"/>
          <w:sz w:val="16"/>
          <w:szCs w:val="16"/>
          <w:color w:val="auto"/>
        </w:rPr>
        <w:t>Total interest expense in the table above does not include the effect of the interest rate swaps related to the 2024 Notes, 2026 Notes, 2028 Notes and 2029 Notes. During the three and six months ended June 30, 2024, the Company received $15.9 million and $ 30.5 million, respectively, and paid $26.2 million and $50.2 million, respectively, related to the settlements of its interest rate swaps, excluding upfront fees, related to the 2024 Notes, 2026 Notes, 2028 Notes and 2029 Notes. During the three and six months ended June 30, 2023, the Company received $5.3 million and $ 11.0 million, respectively, and paid $11.9 million and $23.7 million, respectively, related to the settlements of its interest rate swaps, excluding upfront fees, related to the 2023, 2024 and 2026 Notes.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9" w:name="page40"/>
    <w:bookmarkEnd w:id="39"/>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June 30, 2024, the components of the carrying value of the 2024 Notes, 2026 Notes, 2028 Notes and 2029 Notes and the stated interest rate were as follows:</w:t>
      </w:r>
    </w:p>
    <w:p>
      <w:pPr>
        <w:spacing w:after="0" w:line="31" w:lineRule="exact"/>
        <w:rPr>
          <w:sz w:val="20"/>
          <w:szCs w:val="20"/>
          <w:color w:val="auto"/>
        </w:rPr>
      </w:pPr>
    </w:p>
    <w:tbl>
      <w:tblPr>
        <w:tblLayout w:type="fixed"/>
        <w:tblInd w:w="760" w:type="dxa"/>
        <w:tblCellMar>
          <w:top w:w="0" w:type="dxa"/>
          <w:left w:w="0" w:type="dxa"/>
          <w:bottom w:w="0" w:type="dxa"/>
          <w:right w:w="0" w:type="dxa"/>
        </w:tblCellMar>
      </w:tblPr>
      <w:tr>
        <w:trPr>
          <w:trHeight w:val="174"/>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4"/>
        </w:trPr>
        <w:tc>
          <w:tcPr>
            <w:tcW w:w="3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2024 Notes</w:t>
            </w:r>
          </w:p>
        </w:tc>
        <w:tc>
          <w:tcPr>
            <w:tcW w:w="220" w:type="dxa"/>
            <w:vAlign w:val="bottom"/>
          </w:tcPr>
          <w:p>
            <w:pPr>
              <w:spacing w:after="0"/>
              <w:rPr>
                <w:sz w:val="21"/>
                <w:szCs w:val="21"/>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24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2028 Notes</w:t>
            </w:r>
          </w:p>
        </w:tc>
        <w:tc>
          <w:tcPr>
            <w:tcW w:w="180" w:type="dxa"/>
            <w:vAlign w:val="bottom"/>
          </w:tcPr>
          <w:p>
            <w:pPr>
              <w:spacing w:after="0"/>
              <w:rPr>
                <w:sz w:val="21"/>
                <w:szCs w:val="21"/>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2029 Notes</w:t>
            </w:r>
          </w:p>
        </w:tc>
      </w:tr>
      <w:tr>
        <w:trPr>
          <w:trHeight w:val="208"/>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 amount of debt</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Original issue discount, net of accretion</w:t>
            </w:r>
          </w:p>
        </w:tc>
        <w:tc>
          <w:tcPr>
            <w:tcW w:w="1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(136 )</w:t>
            </w: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(871 )</w:t>
            </w:r>
          </w:p>
        </w:tc>
        <w:tc>
          <w:tcPr>
            <w:tcW w:w="2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(1,519 )</w:t>
            </w:r>
          </w:p>
        </w:tc>
        <w:tc>
          <w:tcPr>
            <w:tcW w:w="1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(3,114 )</w:t>
            </w:r>
          </w:p>
        </w:tc>
        <w:tc>
          <w:tcPr>
            <w:tcW w:w="60" w:type="dxa"/>
            <w:vAlign w:val="bottom"/>
          </w:tcPr>
          <w:p>
            <w:pPr>
              <w:spacing w:after="0"/>
              <w:rPr>
                <w:sz w:val="17"/>
                <w:szCs w:val="17"/>
                <w:color w:val="auto"/>
              </w:rPr>
            </w:pPr>
          </w:p>
        </w:tc>
      </w:tr>
      <w:tr>
        <w:trPr>
          <w:trHeight w:val="205"/>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(345 )</w:t>
            </w:r>
          </w:p>
        </w:tc>
        <w:tc>
          <w:tcPr>
            <w:tcW w:w="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(1,559 )</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(3,563 )</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(4,587 )</w:t>
            </w:r>
          </w:p>
        </w:tc>
        <w:tc>
          <w:tcPr>
            <w:tcW w:w="60" w:type="dxa"/>
            <w:vAlign w:val="bottom"/>
          </w:tcPr>
          <w:p>
            <w:pPr>
              <w:spacing w:after="0"/>
              <w:rPr>
                <w:sz w:val="17"/>
                <w:szCs w:val="17"/>
                <w:color w:val="auto"/>
              </w:rPr>
            </w:pPr>
          </w:p>
        </w:tc>
      </w:tr>
      <w:tr>
        <w:trPr>
          <w:trHeight w:val="20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an effective hedge</w:t>
            </w:r>
          </w:p>
        </w:tc>
        <w:tc>
          <w:tcPr>
            <w:tcW w:w="1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(4,979 )</w:t>
            </w: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(25,376 )</w:t>
            </w:r>
          </w:p>
        </w:tc>
        <w:tc>
          <w:tcPr>
            <w:tcW w:w="2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(2,542 )</w:t>
            </w:r>
          </w:p>
        </w:tc>
        <w:tc>
          <w:tcPr>
            <w:tcW w:w="1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(6,339 )</w:t>
            </w:r>
          </w:p>
        </w:tc>
        <w:tc>
          <w:tcPr>
            <w:tcW w:w="60" w:type="dxa"/>
            <w:vAlign w:val="bottom"/>
          </w:tcPr>
          <w:p>
            <w:pPr>
              <w:spacing w:after="0"/>
              <w:rPr>
                <w:sz w:val="17"/>
                <w:szCs w:val="17"/>
                <w:color w:val="auto"/>
              </w:rPr>
            </w:pPr>
          </w:p>
        </w:tc>
      </w:tr>
      <w:tr>
        <w:trPr>
          <w:trHeight w:val="245"/>
        </w:trPr>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Carrying value of debt</w:t>
            </w: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342,040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272,194</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292,376</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335,960</w:t>
            </w: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Stated interest rate</w:t>
            </w: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3.88 %</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2.50 %</w:t>
            </w: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6.95 %</w:t>
            </w: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6.13 %</w:t>
            </w:r>
          </w:p>
        </w:tc>
      </w:tr>
    </w:tbl>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2023, the components of the carrying value of the 2024 Notes, 2026 Notes, 2028 Notes and the stated interest rate were as follow:</w:t>
      </w:r>
    </w:p>
    <w:p>
      <w:pPr>
        <w:spacing w:after="0" w:line="31"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8"/>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2024 Notes</w:t>
            </w:r>
          </w:p>
        </w:tc>
        <w:tc>
          <w:tcPr>
            <w:tcW w:w="16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240" w:type="dxa"/>
            <w:vAlign w:val="bottom"/>
          </w:tcPr>
          <w:p>
            <w:pPr>
              <w:spacing w:after="0"/>
              <w:rPr>
                <w:sz w:val="18"/>
                <w:szCs w:val="18"/>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2028 Notes</w:t>
            </w:r>
          </w:p>
        </w:tc>
      </w:tr>
      <w:tr>
        <w:trPr>
          <w:trHeight w:val="208"/>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 amount of debt</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Original issue discount, net of accretion</w:t>
            </w: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(335 )</w:t>
            </w:r>
          </w:p>
        </w:tc>
        <w:tc>
          <w:tcPr>
            <w:tcW w:w="16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(1,072 )</w:t>
            </w:r>
          </w:p>
        </w:tc>
        <w:tc>
          <w:tcPr>
            <w:tcW w:w="24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(1,675 )</w:t>
            </w:r>
          </w:p>
        </w:tc>
        <w:tc>
          <w:tcPr>
            <w:tcW w:w="40" w:type="dxa"/>
            <w:vAlign w:val="bottom"/>
          </w:tcPr>
          <w:p>
            <w:pPr>
              <w:spacing w:after="0"/>
              <w:rPr>
                <w:sz w:val="17"/>
                <w:szCs w:val="17"/>
                <w:color w:val="auto"/>
              </w:rPr>
            </w:pPr>
          </w:p>
        </w:tc>
      </w:tr>
      <w:tr>
        <w:trPr>
          <w:trHeight w:val="20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(852 )</w:t>
            </w: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(1,932 )</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(3,994 )</w:t>
            </w:r>
          </w:p>
        </w:tc>
        <w:tc>
          <w:tcPr>
            <w:tcW w:w="40" w:type="dxa"/>
            <w:vAlign w:val="bottom"/>
          </w:tcPr>
          <w:p>
            <w:pPr>
              <w:spacing w:after="0"/>
              <w:rPr>
                <w:sz w:val="17"/>
                <w:szCs w:val="17"/>
                <w:color w:val="auto"/>
              </w:rPr>
            </w:pPr>
          </w:p>
        </w:tc>
      </w:tr>
      <w:tr>
        <w:trPr>
          <w:trHeight w:val="20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an effective hedge</w:t>
            </w: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(10,409 )</w:t>
            </w:r>
          </w:p>
        </w:tc>
        <w:tc>
          <w:tcPr>
            <w:tcW w:w="16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(26,111 )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5"/>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Carrying value of debt</w:t>
            </w:r>
          </w:p>
        </w:tc>
        <w:tc>
          <w:tcPr>
            <w:tcW w:w="2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335,904</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270,885</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299,011</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179"/>
        </w:trPr>
        <w:tc>
          <w:tcPr>
            <w:tcW w:w="44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Stated interest rate</w:t>
            </w:r>
          </w:p>
        </w:tc>
        <w:tc>
          <w:tcPr>
            <w:tcW w:w="220" w:type="dxa"/>
            <w:vAlign w:val="bottom"/>
          </w:tcPr>
          <w:p>
            <w:pPr>
              <w:spacing w:after="0"/>
              <w:rPr>
                <w:sz w:val="15"/>
                <w:szCs w:val="15"/>
                <w:color w:val="auto"/>
              </w:rPr>
            </w:pPr>
          </w:p>
        </w:tc>
        <w:tc>
          <w:tcPr>
            <w:tcW w:w="1300" w:type="dxa"/>
            <w:vAlign w:val="bottom"/>
            <w:gridSpan w:val="2"/>
          </w:tcPr>
          <w:p>
            <w:pPr>
              <w:jc w:val="right"/>
              <w:ind w:right="80"/>
              <w:spacing w:after="0" w:line="179" w:lineRule="exact"/>
              <w:rPr>
                <w:sz w:val="20"/>
                <w:szCs w:val="20"/>
                <w:color w:val="auto"/>
              </w:rPr>
            </w:pPr>
            <w:r>
              <w:rPr>
                <w:rFonts w:ascii="Times New Roman" w:cs="Times New Roman" w:eastAsia="Times New Roman" w:hAnsi="Times New Roman"/>
                <w:sz w:val="16"/>
                <w:szCs w:val="16"/>
                <w:color w:val="auto"/>
              </w:rPr>
              <w:t>3.88 %</w:t>
            </w:r>
          </w:p>
        </w:tc>
        <w:tc>
          <w:tcPr>
            <w:tcW w:w="160" w:type="dxa"/>
            <w:vAlign w:val="bottom"/>
          </w:tcPr>
          <w:p>
            <w:pPr>
              <w:spacing w:after="0"/>
              <w:rPr>
                <w:sz w:val="15"/>
                <w:szCs w:val="15"/>
                <w:color w:val="auto"/>
              </w:rPr>
            </w:pPr>
          </w:p>
        </w:tc>
        <w:tc>
          <w:tcPr>
            <w:tcW w:w="160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rPr>
              <w:t>2.50 %</w:t>
            </w:r>
          </w:p>
        </w:tc>
        <w:tc>
          <w:tcPr>
            <w:tcW w:w="240" w:type="dxa"/>
            <w:vAlign w:val="bottom"/>
          </w:tcPr>
          <w:p>
            <w:pPr>
              <w:spacing w:after="0"/>
              <w:rPr>
                <w:sz w:val="15"/>
                <w:szCs w:val="15"/>
                <w:color w:val="auto"/>
              </w:rPr>
            </w:pPr>
          </w:p>
        </w:tc>
        <w:tc>
          <w:tcPr>
            <w:tcW w:w="1220" w:type="dxa"/>
            <w:vAlign w:val="bottom"/>
            <w:gridSpan w:val="3"/>
          </w:tcPr>
          <w:p>
            <w:pPr>
              <w:jc w:val="right"/>
              <w:spacing w:after="0" w:line="179" w:lineRule="exact"/>
              <w:rPr>
                <w:sz w:val="20"/>
                <w:szCs w:val="20"/>
                <w:color w:val="auto"/>
              </w:rPr>
            </w:pPr>
            <w:r>
              <w:rPr>
                <w:rFonts w:ascii="Times New Roman" w:cs="Times New Roman" w:eastAsia="Times New Roman" w:hAnsi="Times New Roman"/>
                <w:sz w:val="16"/>
                <w:szCs w:val="16"/>
                <w:color w:val="auto"/>
              </w:rPr>
              <w:t>6.95 %</w:t>
            </w:r>
          </w:p>
        </w:tc>
      </w:tr>
    </w:tbl>
    <w:p>
      <w:pPr>
        <w:spacing w:after="0" w:line="180"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stated interest rate in the table above does not include the effect of the interest rate swaps. As of June 30, 2024, the Company's swap-adjusted interest rate on the 2024 Notes, 2026 Notes, 2028 Notes and 2029 Notes was SOFR plus 2.54% (on a weighted average basis), 2.17%, 2.99% and 2.44%, respectively. As of December 31, 2023, the Company's swap-adjusted interest rate on the 2024 Notes, 2026 Notes and 2028 Notes was SOFR plus 2.54% (on a weighted average basis), 2.17%, and 2.99%, respectively.</w:t>
      </w:r>
    </w:p>
    <w:p>
      <w:pPr>
        <w:spacing w:after="0" w:line="167"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As of June 30, 2024, the Company was in compliance with the terms of the indentures governing the 2024 Notes, 2026 Notes, 2028 Notes and 2029 Notes. As of December 31, 2023, the Company was in compliance with the terms of the indentures governing the 2024 Notes, 2026 Notes and 2028 Notes.</w:t>
      </w:r>
    </w:p>
    <w:p>
      <w:pPr>
        <w:spacing w:after="0" w:line="155"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In accordance with the 1940 Act, with certain limitations, the Company is allowed to borrow amounts such that its asset coverage, as defined in the 1940 Act, is at least 150% after such borrowing. As of June 30, 2024 and December 31, 2023, the Company’s asset coverage was 189.9% and 181.6%,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June 30, 2024 and December 31, 2023:</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705"/>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7"/>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0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0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487,542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1,209,456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470,335</w:t>
            </w:r>
          </w:p>
        </w:tc>
        <w:tc>
          <w:tcPr>
            <w:tcW w:w="100" w:type="dxa"/>
            <w:vAlign w:val="bottom"/>
            <w:shd w:val="clear" w:color="auto" w:fill="CFF0FC"/>
          </w:tcPr>
          <w:p>
            <w:pPr>
              <w:spacing w:after="0"/>
              <w:rPr>
                <w:sz w:val="17"/>
                <w:szCs w:val="17"/>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342,040</w:t>
            </w:r>
          </w:p>
        </w:tc>
        <w:tc>
          <w:tcPr>
            <w:tcW w:w="100" w:type="dxa"/>
            <w:vAlign w:val="bottom"/>
          </w:tcPr>
          <w:p>
            <w:pPr>
              <w:spacing w:after="0"/>
              <w:rPr>
                <w:sz w:val="17"/>
                <w:szCs w:val="17"/>
                <w:color w:val="auto"/>
              </w:rPr>
            </w:pPr>
          </w:p>
        </w:tc>
      </w:tr>
      <w:tr>
        <w:trPr>
          <w:trHeight w:val="20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272,194</w:t>
            </w:r>
          </w:p>
        </w:tc>
        <w:tc>
          <w:tcPr>
            <w:tcW w:w="100" w:type="dxa"/>
            <w:vAlign w:val="bottom"/>
            <w:shd w:val="clear" w:color="auto" w:fill="CFF0FC"/>
          </w:tcPr>
          <w:p>
            <w:pPr>
              <w:spacing w:after="0"/>
              <w:rPr>
                <w:sz w:val="17"/>
                <w:szCs w:val="17"/>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292,376</w:t>
            </w:r>
          </w:p>
        </w:tc>
        <w:tc>
          <w:tcPr>
            <w:tcW w:w="100" w:type="dxa"/>
            <w:vAlign w:val="bottom"/>
          </w:tcPr>
          <w:p>
            <w:pPr>
              <w:spacing w:after="0"/>
              <w:rPr>
                <w:sz w:val="17"/>
                <w:szCs w:val="17"/>
                <w:color w:val="auto"/>
              </w:rPr>
            </w:pPr>
          </w:p>
        </w:tc>
      </w:tr>
      <w:tr>
        <w:trPr>
          <w:trHeight w:val="20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335,960</w:t>
            </w:r>
          </w:p>
        </w:tc>
        <w:tc>
          <w:tcPr>
            <w:tcW w:w="100" w:type="dxa"/>
            <w:vAlign w:val="bottom"/>
            <w:shd w:val="clear" w:color="auto" w:fill="CFF0FC"/>
          </w:tcPr>
          <w:p>
            <w:pPr>
              <w:spacing w:after="0"/>
              <w:rPr>
                <w:sz w:val="17"/>
                <w:szCs w:val="17"/>
                <w:color w:val="auto"/>
              </w:rPr>
            </w:pPr>
          </w:p>
        </w:tc>
      </w:tr>
      <w:tr>
        <w:trPr>
          <w:trHeight w:val="204"/>
        </w:trPr>
        <w:tc>
          <w:tcPr>
            <w:tcW w:w="3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2,997,500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1,785,042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1,209,456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1,712,905</w:t>
            </w:r>
          </w:p>
        </w:tc>
        <w:tc>
          <w:tcPr>
            <w:tcW w:w="100" w:type="dxa"/>
            <w:vAlign w:val="bottom"/>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and asset coverage requirements.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2028 Notes and 2029 Notes are presented net of the combination of deferred financing costs and original issue discounts totaling $17.2 million, $0.5 million, $2.4 million, $5.1 million and $7.7 million, respectively.</w:t>
      </w:r>
    </w:p>
    <w:p>
      <w:pPr>
        <w:spacing w:after="0" w:line="1"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6"/>
          <w:szCs w:val="16"/>
          <w:color w:val="auto"/>
        </w:rPr>
        <w:t>(3)The carrying values of the 2024 Notes, 2026 Notes, 2028 Notes and 2029 Notes are presented inclusive of an incremental $ (5.0) million, $(25.4) million, $(2.5) million and $(6.3) million, respectively, which represents an adjustment in the carrying values of the 2024 Notes, 2026 Notes, 2028 Notes and 2029 Notes, each resulting from a hedge accounting relationship.</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0" w:name="page41"/>
    <w:bookmarkEnd w:id="40"/>
    <w:p>
      <w:pPr>
        <w:spacing w:after="0" w:line="65"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7"/>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0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0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889,659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820,160</w:t>
            </w:r>
          </w:p>
        </w:tc>
        <w:tc>
          <w:tcPr>
            <w:tcW w:w="38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874,507</w:t>
            </w:r>
          </w:p>
        </w:tc>
        <w:tc>
          <w:tcPr>
            <w:tcW w:w="100" w:type="dxa"/>
            <w:vAlign w:val="bottom"/>
            <w:shd w:val="clear" w:color="auto" w:fill="CFF0FC"/>
          </w:tcPr>
          <w:p>
            <w:pPr>
              <w:spacing w:after="0"/>
              <w:rPr>
                <w:sz w:val="17"/>
                <w:szCs w:val="17"/>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335,904</w:t>
            </w:r>
          </w:p>
        </w:tc>
        <w:tc>
          <w:tcPr>
            <w:tcW w:w="100" w:type="dxa"/>
            <w:vAlign w:val="bottom"/>
          </w:tcPr>
          <w:p>
            <w:pPr>
              <w:spacing w:after="0"/>
              <w:rPr>
                <w:sz w:val="17"/>
                <w:szCs w:val="17"/>
                <w:color w:val="auto"/>
              </w:rPr>
            </w:pPr>
          </w:p>
        </w:tc>
      </w:tr>
      <w:tr>
        <w:trPr>
          <w:trHeight w:val="20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270,885</w:t>
            </w:r>
          </w:p>
        </w:tc>
        <w:tc>
          <w:tcPr>
            <w:tcW w:w="100" w:type="dxa"/>
            <w:vAlign w:val="bottom"/>
            <w:shd w:val="clear" w:color="auto" w:fill="CFF0FC"/>
          </w:tcPr>
          <w:p>
            <w:pPr>
              <w:spacing w:after="0"/>
              <w:rPr>
                <w:sz w:val="17"/>
                <w:szCs w:val="17"/>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299,011</w:t>
            </w:r>
          </w:p>
        </w:tc>
        <w:tc>
          <w:tcPr>
            <w:tcW w:w="100" w:type="dxa"/>
            <w:vAlign w:val="bottom"/>
          </w:tcPr>
          <w:p>
            <w:pPr>
              <w:spacing w:after="0"/>
              <w:rPr>
                <w:sz w:val="17"/>
                <w:szCs w:val="17"/>
                <w:color w:val="auto"/>
              </w:rPr>
            </w:pPr>
          </w:p>
        </w:tc>
      </w:tr>
      <w:tr>
        <w:trPr>
          <w:trHeight w:val="245"/>
        </w:trPr>
        <w:tc>
          <w:tcPr>
            <w:tcW w:w="3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2,657,500</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1,837,159</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820,160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1,780,307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19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and asset coverage requirements.</w:t>
      </w:r>
    </w:p>
    <w:p>
      <w:pPr>
        <w:spacing w:after="0" w:line="1"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and 2028 Notes are presented net of the combination of deferred financing costs and original issue discounts totaling $15.2 million, $1.2 million, $3.0 million and $5.7 million, respectively.</w:t>
      </w:r>
    </w:p>
    <w:p>
      <w:pPr>
        <w:spacing w:after="0" w:line="1"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4"/>
          <w:szCs w:val="14"/>
          <w:color w:val="auto"/>
        </w:rPr>
        <w:t>(3)The carrying values of the 2024 Notes, 2026 Notes and 2028 Notes are presented inclusive of an incremental $(10.4) million, $ (26.1) million and $4.7 million, respectively, which represents an adjustment in the carrying values of the 2024 Notes, 2026 Notes and 2028 Notes, each resulting from a hedge accounting relationship.</w:t>
      </w:r>
    </w:p>
    <w:p>
      <w:pPr>
        <w:spacing w:after="0" w:line="1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three and six months ended June 30, 2024 and 2023, the components of interest expense were as follows:</w:t>
      </w:r>
    </w:p>
    <w:p>
      <w:pPr>
        <w:spacing w:after="0" w:line="212"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228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8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0" w:type="dxa"/>
            <w:vAlign w:val="bottom"/>
          </w:tcPr>
          <w:p>
            <w:pPr>
              <w:spacing w:after="0"/>
              <w:rPr>
                <w:sz w:val="16"/>
                <w:szCs w:val="16"/>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208"/>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25,646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44,320</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 fees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original issue discount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Swap settlement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19,716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12,643</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39,234</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32,442</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78,266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60,928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debt outstanding (in millions)</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1,857.8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1,713.0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1,870.9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1,641.8</w:t>
            </w: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16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6.9 %</w:t>
            </w:r>
          </w:p>
        </w:tc>
      </w:tr>
    </w:tbl>
    <w:p>
      <w:pPr>
        <w:spacing w:after="0" w:line="286" w:lineRule="exact"/>
        <w:rPr>
          <w:sz w:val="20"/>
          <w:szCs w:val="20"/>
          <w:color w:val="auto"/>
        </w:rPr>
      </w:pPr>
    </w:p>
    <w:p>
      <w:pPr>
        <w:ind w:right="8180" w:firstLine="6"/>
        <w:spacing w:after="0" w:line="413" w:lineRule="auto"/>
        <w:tabs>
          <w:tab w:leader="none" w:pos="156"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Portfolio Company Commitments</w:t>
      </w:r>
    </w:p>
    <w:p>
      <w:pPr>
        <w:ind w:right="260" w:firstLine="228"/>
        <w:spacing w:after="0" w:line="241" w:lineRule="auto"/>
        <w:rPr>
          <w:sz w:val="20"/>
          <w:szCs w:val="20"/>
          <w:color w:val="auto"/>
        </w:rPr>
      </w:pPr>
      <w:r>
        <w:rPr>
          <w:rFonts w:ascii="Times New Roman" w:cs="Times New Roman" w:eastAsia="Times New Roman" w:hAnsi="Times New Roman"/>
          <w:sz w:val="16"/>
          <w:szCs w:val="16"/>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June 30, 2024 and December 31, 2023, the Company had the following commitments to fund investments in current portfolio companies: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40" w:type="dxa"/>
            <w:vAlign w:val="bottom"/>
          </w:tcPr>
          <w:p>
            <w:pPr>
              <w:spacing w:after="0"/>
              <w:rPr>
                <w:sz w:val="15"/>
                <w:szCs w:val="15"/>
                <w:color w:val="auto"/>
              </w:rPr>
            </w:pPr>
          </w:p>
        </w:tc>
        <w:tc>
          <w:tcPr>
            <w:tcW w:w="142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80" w:type="dxa"/>
            <w:vAlign w:val="bottom"/>
          </w:tcPr>
          <w:p>
            <w:pPr>
              <w:spacing w:after="0"/>
              <w:rPr>
                <w:sz w:val="15"/>
                <w:szCs w:val="15"/>
                <w:color w:val="auto"/>
              </w:rPr>
            </w:pPr>
          </w:p>
        </w:tc>
      </w:tr>
      <w:tr>
        <w:trPr>
          <w:trHeight w:val="208"/>
        </w:trPr>
        <w:tc>
          <w:tcPr>
            <w:tcW w:w="70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Alaska Bidco Oy - Delayed Draw &amp; Revolver</w:t>
            </w:r>
          </w:p>
        </w:tc>
        <w:tc>
          <w:tcPr>
            <w:tcW w:w="8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224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231</w:t>
            </w:r>
          </w:p>
        </w:tc>
        <w:tc>
          <w:tcPr>
            <w:tcW w:w="680" w:type="dxa"/>
            <w:vAlign w:val="bottom"/>
          </w:tcPr>
          <w:p>
            <w:pPr>
              <w:spacing w:after="0"/>
              <w:rPr>
                <w:sz w:val="18"/>
                <w:szCs w:val="18"/>
                <w:color w:val="auto"/>
              </w:rPr>
            </w:pPr>
          </w:p>
        </w:tc>
      </w:tr>
      <w:tr>
        <w:trPr>
          <w:trHeight w:val="204"/>
        </w:trPr>
        <w:tc>
          <w:tcPr>
            <w:tcW w:w="7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Alpha Midco, Inc. - Delayed Draw &amp; Revolver</w:t>
            </w:r>
          </w:p>
        </w:tc>
        <w:tc>
          <w:tcPr>
            <w:tcW w:w="860" w:type="dxa"/>
            <w:vAlign w:val="bottom"/>
          </w:tcPr>
          <w:p>
            <w:pPr>
              <w:spacing w:after="0"/>
              <w:rPr>
                <w:sz w:val="17"/>
                <w:szCs w:val="17"/>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654</w:t>
            </w:r>
          </w:p>
        </w:tc>
        <w:tc>
          <w:tcPr>
            <w:tcW w:w="240" w:type="dxa"/>
            <w:vAlign w:val="bottom"/>
          </w:tcPr>
          <w:p>
            <w:pPr>
              <w:spacing w:after="0"/>
              <w:rPr>
                <w:sz w:val="17"/>
                <w:szCs w:val="17"/>
                <w:color w:val="auto"/>
              </w:rPr>
            </w:pPr>
          </w:p>
        </w:tc>
        <w:tc>
          <w:tcPr>
            <w:tcW w:w="14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470</w:t>
            </w:r>
          </w:p>
        </w:tc>
        <w:tc>
          <w:tcPr>
            <w:tcW w:w="680" w:type="dxa"/>
            <w:vAlign w:val="bottom"/>
          </w:tcPr>
          <w:p>
            <w:pPr>
              <w:spacing w:after="0"/>
              <w:rPr>
                <w:sz w:val="17"/>
                <w:szCs w:val="17"/>
                <w:color w:val="auto"/>
              </w:rPr>
            </w:pPr>
          </w:p>
        </w:tc>
      </w:tr>
      <w:tr>
        <w:trPr>
          <w:trHeight w:val="205"/>
        </w:trPr>
        <w:tc>
          <w:tcPr>
            <w:tcW w:w="70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American Achievement, Corp. - Revolver</w:t>
            </w:r>
          </w:p>
        </w:tc>
        <w:tc>
          <w:tcPr>
            <w:tcW w:w="8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2,403</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2,403</w:t>
            </w:r>
          </w:p>
        </w:tc>
        <w:tc>
          <w:tcPr>
            <w:tcW w:w="68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Apellis Pharmaceuticals, Inc. - Delayed Draw</w:t>
            </w:r>
          </w:p>
        </w:tc>
        <w:tc>
          <w:tcPr>
            <w:tcW w:w="860" w:type="dxa"/>
            <w:vAlign w:val="bottom"/>
          </w:tcPr>
          <w:p>
            <w:pPr>
              <w:spacing w:after="0"/>
              <w:rPr>
                <w:sz w:val="17"/>
                <w:szCs w:val="17"/>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5,263</w:t>
            </w:r>
          </w:p>
        </w:tc>
        <w:tc>
          <w:tcPr>
            <w:tcW w:w="240" w:type="dxa"/>
            <w:vAlign w:val="bottom"/>
          </w:tcPr>
          <w:p>
            <w:pPr>
              <w:spacing w:after="0"/>
              <w:rPr>
                <w:sz w:val="17"/>
                <w:szCs w:val="17"/>
                <w:color w:val="auto"/>
              </w:rPr>
            </w:pPr>
          </w:p>
        </w:tc>
        <w:tc>
          <w:tcPr>
            <w:tcW w:w="14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r>
      <w:tr>
        <w:trPr>
          <w:trHeight w:val="205"/>
        </w:trPr>
        <w:tc>
          <w:tcPr>
            <w:tcW w:w="70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Aptean, Inc. - Delayed Draw &amp; Revolver</w:t>
            </w:r>
          </w:p>
        </w:tc>
        <w:tc>
          <w:tcPr>
            <w:tcW w:w="8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2,078</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Arrow Buyer, Inc. - Delayed Draw</w:t>
            </w:r>
          </w:p>
        </w:tc>
        <w:tc>
          <w:tcPr>
            <w:tcW w:w="860" w:type="dxa"/>
            <w:vAlign w:val="bottom"/>
          </w:tcPr>
          <w:p>
            <w:pPr>
              <w:spacing w:after="0"/>
              <w:rPr>
                <w:sz w:val="17"/>
                <w:szCs w:val="17"/>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5,479</w:t>
            </w:r>
          </w:p>
        </w:tc>
        <w:tc>
          <w:tcPr>
            <w:tcW w:w="240" w:type="dxa"/>
            <w:vAlign w:val="bottom"/>
          </w:tcPr>
          <w:p>
            <w:pPr>
              <w:spacing w:after="0"/>
              <w:rPr>
                <w:sz w:val="17"/>
                <w:szCs w:val="17"/>
                <w:color w:val="auto"/>
              </w:rPr>
            </w:pPr>
          </w:p>
        </w:tc>
        <w:tc>
          <w:tcPr>
            <w:tcW w:w="14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7,644</w:t>
            </w:r>
          </w:p>
        </w:tc>
        <w:tc>
          <w:tcPr>
            <w:tcW w:w="680" w:type="dxa"/>
            <w:vAlign w:val="bottom"/>
          </w:tcPr>
          <w:p>
            <w:pPr>
              <w:spacing w:after="0"/>
              <w:rPr>
                <w:sz w:val="17"/>
                <w:szCs w:val="17"/>
                <w:color w:val="auto"/>
              </w:rPr>
            </w:pPr>
          </w:p>
        </w:tc>
      </w:tr>
      <w:tr>
        <w:trPr>
          <w:trHeight w:val="205"/>
        </w:trPr>
        <w:tc>
          <w:tcPr>
            <w:tcW w:w="70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Artisan Bidco, Inc. - Revolver</w:t>
            </w:r>
          </w:p>
        </w:tc>
        <w:tc>
          <w:tcPr>
            <w:tcW w:w="8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5,717</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5,716</w:t>
            </w:r>
          </w:p>
        </w:tc>
        <w:tc>
          <w:tcPr>
            <w:tcW w:w="68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ASG II, LLC - Delayed Draw</w:t>
            </w:r>
          </w:p>
        </w:tc>
        <w:tc>
          <w:tcPr>
            <w:tcW w:w="860" w:type="dxa"/>
            <w:vAlign w:val="bottom"/>
          </w:tcPr>
          <w:p>
            <w:pPr>
              <w:spacing w:after="0"/>
              <w:rPr>
                <w:sz w:val="17"/>
                <w:szCs w:val="17"/>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3,391</w:t>
            </w:r>
          </w:p>
        </w:tc>
        <w:tc>
          <w:tcPr>
            <w:tcW w:w="680" w:type="dxa"/>
            <w:vAlign w:val="bottom"/>
          </w:tcPr>
          <w:p>
            <w:pPr>
              <w:spacing w:after="0"/>
              <w:rPr>
                <w:sz w:val="17"/>
                <w:szCs w:val="17"/>
                <w:color w:val="auto"/>
              </w:rPr>
            </w:pPr>
          </w:p>
        </w:tc>
      </w:tr>
      <w:tr>
        <w:trPr>
          <w:trHeight w:val="205"/>
        </w:trPr>
        <w:tc>
          <w:tcPr>
            <w:tcW w:w="70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Avalara, Inc. - Revolver</w:t>
            </w:r>
          </w:p>
        </w:tc>
        <w:tc>
          <w:tcPr>
            <w:tcW w:w="8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3,864</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3,863</w:t>
            </w:r>
          </w:p>
        </w:tc>
        <w:tc>
          <w:tcPr>
            <w:tcW w:w="68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Axonify, Inc. - Delayed Draw</w:t>
            </w:r>
          </w:p>
        </w:tc>
        <w:tc>
          <w:tcPr>
            <w:tcW w:w="860" w:type="dxa"/>
            <w:vAlign w:val="bottom"/>
          </w:tcPr>
          <w:p>
            <w:pPr>
              <w:spacing w:after="0"/>
              <w:rPr>
                <w:sz w:val="17"/>
                <w:szCs w:val="17"/>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2,116</w:t>
            </w:r>
          </w:p>
        </w:tc>
        <w:tc>
          <w:tcPr>
            <w:tcW w:w="240" w:type="dxa"/>
            <w:vAlign w:val="bottom"/>
          </w:tcPr>
          <w:p>
            <w:pPr>
              <w:spacing w:after="0"/>
              <w:rPr>
                <w:sz w:val="17"/>
                <w:szCs w:val="17"/>
                <w:color w:val="auto"/>
              </w:rPr>
            </w:pPr>
          </w:p>
        </w:tc>
        <w:tc>
          <w:tcPr>
            <w:tcW w:w="14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3,506</w:t>
            </w:r>
          </w:p>
        </w:tc>
        <w:tc>
          <w:tcPr>
            <w:tcW w:w="680" w:type="dxa"/>
            <w:vAlign w:val="bottom"/>
          </w:tcPr>
          <w:p>
            <w:pPr>
              <w:spacing w:after="0"/>
              <w:rPr>
                <w:sz w:val="17"/>
                <w:szCs w:val="17"/>
                <w:color w:val="auto"/>
              </w:rPr>
            </w:pPr>
          </w:p>
        </w:tc>
      </w:tr>
      <w:tr>
        <w:trPr>
          <w:trHeight w:val="205"/>
        </w:trPr>
        <w:tc>
          <w:tcPr>
            <w:tcW w:w="70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Azurite Intermediate Holdings, Inc. - Delayed Draw, Revolver &amp; Equity</w:t>
            </w:r>
          </w:p>
        </w:tc>
        <w:tc>
          <w:tcPr>
            <w:tcW w:w="8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16,262</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80" w:type="dxa"/>
            <w:vAlign w:val="bottom"/>
          </w:tcPr>
          <w:p>
            <w:pPr>
              <w:ind w:left="4500"/>
              <w:spacing w:after="0"/>
              <w:rPr>
                <w:sz w:val="20"/>
                <w:szCs w:val="20"/>
                <w:color w:val="auto"/>
              </w:rPr>
            </w:pPr>
            <w:r>
              <w:rPr>
                <w:rFonts w:ascii="Times New Roman" w:cs="Times New Roman" w:eastAsia="Times New Roman" w:hAnsi="Times New Roman"/>
                <w:sz w:val="16"/>
                <w:szCs w:val="16"/>
                <w:color w:val="auto"/>
              </w:rPr>
              <w:t>41</w:t>
            </w: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61"/>
        </w:trPr>
        <w:tc>
          <w:tcPr>
            <w:tcW w:w="700" w:type="dxa"/>
            <w:vAlign w:val="bottom"/>
            <w:tcBorders>
              <w:bottom w:val="single" w:sz="8" w:color="EEEEEE"/>
            </w:tcBorders>
          </w:tcPr>
          <w:p>
            <w:pPr>
              <w:spacing w:after="0"/>
              <w:rPr>
                <w:sz w:val="24"/>
                <w:szCs w:val="24"/>
                <w:color w:val="auto"/>
              </w:rPr>
            </w:pPr>
          </w:p>
        </w:tc>
        <w:tc>
          <w:tcPr>
            <w:tcW w:w="52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1" w:name="page42"/>
    <w:bookmarkEnd w:id="41"/>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Babylon Finco Limited - Delayed Draw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Banyan Software Holdings, LLC - Delayed Draw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Bayshore Intermediate #2, L.P. - Revolver</w:t>
      </w:r>
    </w:p>
    <w:p>
      <w:pPr>
        <w:spacing w:after="0" w:line="44" w:lineRule="exact"/>
        <w:rPr>
          <w:sz w:val="20"/>
          <w:szCs w:val="20"/>
          <w:color w:val="auto"/>
        </w:rPr>
      </w:pPr>
    </w:p>
    <w:p>
      <w:pPr>
        <w:jc w:val="both"/>
        <w:ind w:right="1760"/>
        <w:spacing w:after="0" w:line="304" w:lineRule="auto"/>
        <w:rPr>
          <w:sz w:val="20"/>
          <w:szCs w:val="20"/>
          <w:color w:val="auto"/>
        </w:rPr>
      </w:pPr>
      <w:r>
        <w:rPr>
          <w:rFonts w:ascii="Times New Roman" w:cs="Times New Roman" w:eastAsia="Times New Roman" w:hAnsi="Times New Roman"/>
          <w:sz w:val="14"/>
          <w:szCs w:val="14"/>
          <w:color w:val="auto"/>
        </w:rPr>
        <w:t>BCTO Ace Purchaser, Inc. - Delayed Draw BCTO Bluebill Buyer, Inc. - Delayed Draw Bear OpCo, LLC - Delayed Draw</w:t>
      </w:r>
    </w:p>
    <w:p>
      <w:pPr>
        <w:ind w:right="980"/>
        <w:spacing w:after="0" w:line="266" w:lineRule="auto"/>
        <w:rPr>
          <w:sz w:val="20"/>
          <w:szCs w:val="20"/>
          <w:color w:val="auto"/>
        </w:rPr>
      </w:pPr>
      <w:r>
        <w:rPr>
          <w:rFonts w:ascii="Times New Roman" w:cs="Times New Roman" w:eastAsia="Times New Roman" w:hAnsi="Times New Roman"/>
          <w:sz w:val="16"/>
          <w:szCs w:val="16"/>
          <w:color w:val="auto"/>
        </w:rPr>
        <w:t>Ben Nevis Midco Limited - Delayed Draw BlueSnap, Inc. - Delayed Draw &amp; Revolver BTRS Holdings, Inc. - Delayed Draw &amp; Revolver Cordance Operations, LLC - Delayed Draw &amp; Revolver Coupa Holdings, LLC - Delayed Draw &amp; Revolver Crewline Buyer, Inc. - Revolver &amp; Equity Disco Parent, Inc. - Revolver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Dye &amp; Durham Corp. - Revolver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EDB Parent, LLC - Delayed Draw</w:t>
      </w:r>
    </w:p>
    <w:p>
      <w:pPr>
        <w:spacing w:after="0" w:line="20" w:lineRule="exact"/>
        <w:rPr>
          <w:sz w:val="20"/>
          <w:szCs w:val="20"/>
          <w:color w:val="auto"/>
        </w:rPr>
      </w:pPr>
    </w:p>
    <w:p>
      <w:pPr>
        <w:ind w:right="1520"/>
        <w:spacing w:after="0" w:line="304" w:lineRule="auto"/>
        <w:rPr>
          <w:sz w:val="20"/>
          <w:szCs w:val="20"/>
          <w:color w:val="auto"/>
        </w:rPr>
      </w:pPr>
      <w:r>
        <w:rPr>
          <w:rFonts w:ascii="Times New Roman" w:cs="Times New Roman" w:eastAsia="Times New Roman" w:hAnsi="Times New Roman"/>
          <w:sz w:val="14"/>
          <w:szCs w:val="14"/>
          <w:color w:val="auto"/>
        </w:rPr>
        <w:t>Edge Bidco B.V. - Delayed Draw &amp; Revolver Elements Finco Limited - Delayed Draw Elysian Finco Ltd. - Delayed Draw &amp; Revolver</w:t>
      </w:r>
    </w:p>
    <w:p>
      <w:pPr>
        <w:ind w:right="360"/>
        <w:spacing w:after="0" w:line="266" w:lineRule="auto"/>
        <w:rPr>
          <w:sz w:val="20"/>
          <w:szCs w:val="20"/>
          <w:color w:val="auto"/>
        </w:rPr>
      </w:pPr>
      <w:r>
        <w:rPr>
          <w:rFonts w:ascii="Times New Roman" w:cs="Times New Roman" w:eastAsia="Times New Roman" w:hAnsi="Times New Roman"/>
          <w:sz w:val="16"/>
          <w:szCs w:val="16"/>
          <w:color w:val="auto"/>
        </w:rPr>
        <w:t>Employment Hero Holdings Pty Ltd. - Delayed Draw &amp; Revolver EMS Linq, Inc. - Revolver</w:t>
      </w:r>
    </w:p>
    <w:p>
      <w:pPr>
        <w:ind w:right="840"/>
        <w:spacing w:after="0" w:line="266" w:lineRule="auto"/>
        <w:rPr>
          <w:sz w:val="20"/>
          <w:szCs w:val="20"/>
          <w:color w:val="auto"/>
        </w:rPr>
      </w:pPr>
      <w:r>
        <w:rPr>
          <w:rFonts w:ascii="Times New Roman" w:cs="Times New Roman" w:eastAsia="Times New Roman" w:hAnsi="Times New Roman"/>
          <w:sz w:val="16"/>
          <w:szCs w:val="16"/>
          <w:color w:val="auto"/>
        </w:rPr>
        <w:t>Erling Lux Bidco SARL - Delayed Draw &amp; Revolver ExtraHop Networks, Inc. - Delayed Draw &amp; Revolver ForeScout Technologies, Inc. - Delayed Draw &amp; Revolver Fullsteam Operations, LLC - Delayed Draw &amp; Revolver Galileo Parent, Inc. - Revolver Greenshoot Bidco B.V. - Revolver</w:t>
      </w:r>
    </w:p>
    <w:p>
      <w:pPr>
        <w:spacing w:after="0" w:line="1" w:lineRule="exact"/>
        <w:rPr>
          <w:sz w:val="20"/>
          <w:szCs w:val="20"/>
          <w:color w:val="auto"/>
        </w:rPr>
      </w:pPr>
    </w:p>
    <w:p>
      <w:pPr>
        <w:ind w:right="1260"/>
        <w:spacing w:after="0" w:line="266" w:lineRule="auto"/>
        <w:rPr>
          <w:sz w:val="20"/>
          <w:szCs w:val="20"/>
          <w:color w:val="auto"/>
        </w:rPr>
      </w:pPr>
      <w:r>
        <w:rPr>
          <w:rFonts w:ascii="Times New Roman" w:cs="Times New Roman" w:eastAsia="Times New Roman" w:hAnsi="Times New Roman"/>
          <w:sz w:val="16"/>
          <w:szCs w:val="16"/>
          <w:color w:val="auto"/>
        </w:rPr>
        <w:t>Heritage Environmental Services, Inc. - Revolver Hippo XPA Bidco AB - Delayed Draw &amp; Revolver Hirevue, Inc. - Revolver</w:t>
      </w:r>
    </w:p>
    <w:p>
      <w:pPr>
        <w:ind w:right="740"/>
        <w:spacing w:after="0" w:line="266" w:lineRule="auto"/>
        <w:rPr>
          <w:sz w:val="20"/>
          <w:szCs w:val="20"/>
          <w:color w:val="auto"/>
        </w:rPr>
      </w:pPr>
      <w:r>
        <w:rPr>
          <w:rFonts w:ascii="Times New Roman" w:cs="Times New Roman" w:eastAsia="Times New Roman" w:hAnsi="Times New Roman"/>
          <w:sz w:val="16"/>
          <w:szCs w:val="16"/>
          <w:color w:val="auto"/>
        </w:rPr>
        <w:t>Hornetsecurity Holding GmbH - Delayed Draw &amp; Revolver Ibis Intermediate Co. - Delayed Draw IRGSE Holding Corp. - Revolver</w:t>
      </w:r>
    </w:p>
    <w:p>
      <w:pPr>
        <w:spacing w:after="0"/>
        <w:rPr>
          <w:sz w:val="20"/>
          <w:szCs w:val="20"/>
          <w:color w:val="auto"/>
        </w:rPr>
      </w:pPr>
      <w:r>
        <w:rPr>
          <w:rFonts w:ascii="Times New Roman" w:cs="Times New Roman" w:eastAsia="Times New Roman" w:hAnsi="Times New Roman"/>
          <w:sz w:val="16"/>
          <w:szCs w:val="16"/>
          <w:color w:val="auto"/>
        </w:rPr>
        <w:t>Kangaroo Bidco AS - Delayed Draw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Kyriba Corp. - Revolver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Laramie Energy, LLC - Delayed Draw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LeanTaaS Holdings, Inc. - Delayed Draw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Lucidworks, Inc. - Delayed Draw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Marcura Equities LTD - Delayed Draw &amp; Revolver</w:t>
      </w:r>
    </w:p>
    <w:p>
      <w:pPr>
        <w:spacing w:after="0" w:line="2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6"/>
          <w:szCs w:val="16"/>
          <w:color w:val="auto"/>
        </w:rPr>
        <w:t>Merit Software Finance Holdings, LLC - Delayed Draw &amp; Revolver Netwrix Corp. - Delayed Draw &amp; Revolver</w:t>
      </w:r>
    </w:p>
    <w:p>
      <w:pPr>
        <w:ind w:right="1820"/>
        <w:spacing w:after="0" w:line="266" w:lineRule="auto"/>
        <w:rPr>
          <w:sz w:val="20"/>
          <w:szCs w:val="20"/>
          <w:color w:val="auto"/>
        </w:rPr>
      </w:pPr>
      <w:r>
        <w:rPr>
          <w:rFonts w:ascii="Times New Roman" w:cs="Times New Roman" w:eastAsia="Times New Roman" w:hAnsi="Times New Roman"/>
          <w:sz w:val="16"/>
          <w:szCs w:val="16"/>
          <w:color w:val="auto"/>
        </w:rPr>
        <w:t>OutSystems Luxco SARL - Delayed Draw Passport Labs, Inc. - Revolver</w:t>
      </w:r>
    </w:p>
    <w:p>
      <w:pPr>
        <w:ind w:right="1240"/>
        <w:spacing w:after="0" w:line="266" w:lineRule="auto"/>
        <w:rPr>
          <w:sz w:val="20"/>
          <w:szCs w:val="20"/>
          <w:color w:val="auto"/>
        </w:rPr>
      </w:pPr>
      <w:r>
        <w:rPr>
          <w:rFonts w:ascii="Times New Roman" w:cs="Times New Roman" w:eastAsia="Times New Roman" w:hAnsi="Times New Roman"/>
          <w:sz w:val="16"/>
          <w:szCs w:val="16"/>
          <w:color w:val="auto"/>
        </w:rPr>
        <w:t>PDI TA Holdings, Inc. - Delayed Draw &amp; Revolver Ping Identity Holding Corp. - Revolver PrimeRevenue, Inc. - Revolver Project44, Inc. - Delayed Draw</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Rapid Data GmbH Unternehmensberatung - Delayed Draw &amp; Revolver ReliaQuest Holdings, LLC - Delayed Draw &amp; Equity Scorpio Bidco - Delayed Draw</w:t>
      </w:r>
    </w:p>
    <w:p>
      <w:pPr>
        <w:ind w:right="1580"/>
        <w:spacing w:after="0" w:line="266" w:lineRule="auto"/>
        <w:rPr>
          <w:sz w:val="20"/>
          <w:szCs w:val="20"/>
          <w:color w:val="auto"/>
        </w:rPr>
      </w:pPr>
      <w:r>
        <w:rPr>
          <w:rFonts w:ascii="Times New Roman" w:cs="Times New Roman" w:eastAsia="Times New Roman" w:hAnsi="Times New Roman"/>
          <w:sz w:val="16"/>
          <w:szCs w:val="16"/>
          <w:color w:val="auto"/>
        </w:rPr>
        <w:t>SkyLark UK DebtCo Limited - Delayed Draw SL Buyer Corp. - Delayed Draw Sport Alliance GmbH - Revolver</w:t>
      </w:r>
    </w:p>
    <w:p>
      <w:pPr>
        <w:ind w:right="320"/>
        <w:spacing w:after="0" w:line="266" w:lineRule="auto"/>
        <w:rPr>
          <w:sz w:val="20"/>
          <w:szCs w:val="20"/>
          <w:color w:val="auto"/>
        </w:rPr>
      </w:pPr>
      <w:r>
        <w:rPr>
          <w:rFonts w:ascii="Times New Roman" w:cs="Times New Roman" w:eastAsia="Times New Roman" w:hAnsi="Times New Roman"/>
          <w:sz w:val="16"/>
          <w:szCs w:val="16"/>
          <w:color w:val="auto"/>
        </w:rPr>
        <w:t>Tango Management Consulting, LLC - Delayed Draw &amp; Revolver TRP Assets, LLC - Delayed Draw Truck-Lite Co., LLC - Delayed Draw &amp; Revolver</w:t>
      </w:r>
    </w:p>
    <w:p>
      <w:pPr>
        <w:ind w:right="1520"/>
        <w:spacing w:after="0" w:line="273" w:lineRule="auto"/>
        <w:rPr>
          <w:sz w:val="20"/>
          <w:szCs w:val="20"/>
          <w:color w:val="auto"/>
        </w:rPr>
      </w:pPr>
      <w:r>
        <w:rPr>
          <w:rFonts w:ascii="Times New Roman" w:cs="Times New Roman" w:eastAsia="Times New Roman" w:hAnsi="Times New Roman"/>
          <w:sz w:val="16"/>
          <w:szCs w:val="16"/>
          <w:color w:val="auto"/>
        </w:rPr>
        <w:t>USA Debusk LLC - Delayed Draw &amp; Revolver Wrangler TopCo, LLC - Revolver</w:t>
      </w:r>
    </w:p>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Total Portfolio Company Commitments </w:t>
      </w:r>
      <w:r>
        <w:rPr>
          <w:rFonts w:ascii="Times New Roman" w:cs="Times New Roman" w:eastAsia="Times New Roman" w:hAnsi="Times New Roman"/>
          <w:sz w:val="21"/>
          <w:szCs w:val="21"/>
          <w:b w:val="1"/>
          <w:bCs w:val="1"/>
          <w:color w:val="auto"/>
          <w:vertAlign w:val="superscript"/>
        </w:rPr>
        <w:t>(1)(2)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0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138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40" w:type="dxa"/>
            <w:vAlign w:val="bottom"/>
          </w:tcPr>
          <w:p>
            <w:pPr>
              <w:spacing w:after="0"/>
              <w:rPr>
                <w:sz w:val="15"/>
                <w:szCs w:val="15"/>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210"/>
        </w:trPr>
        <w:tc>
          <w:tcPr>
            <w:tcW w:w="240" w:type="dxa"/>
            <w:vAlign w:val="bottom"/>
          </w:tcPr>
          <w:p>
            <w:pPr>
              <w:spacing w:after="0"/>
              <w:rPr>
                <w:sz w:val="18"/>
                <w:szCs w:val="18"/>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287</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18,480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10,036</w:t>
            </w:r>
          </w:p>
        </w:tc>
      </w:tr>
      <w:tr>
        <w:trPr>
          <w:trHeight w:val="228"/>
        </w:trPr>
        <w:tc>
          <w:tcPr>
            <w:tcW w:w="240" w:type="dxa"/>
            <w:vAlign w:val="bottom"/>
          </w:tcPr>
          <w:p>
            <w:pPr>
              <w:spacing w:after="0"/>
              <w:rPr>
                <w:sz w:val="19"/>
                <w:szCs w:val="19"/>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2,398</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206</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4,144</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1,704</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7,517</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3,999</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5,563</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10,290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6,809</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6,148</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6,148</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455</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8,600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11,492</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1,028</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4,020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2,503</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8,682</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8,871</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3,338</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8,784</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10,436</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6,622</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9,803</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800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10,171</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11,246</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4,038</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421</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1,698</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4,426</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6,002</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6,887</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868</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4,375</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9,418</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2,488</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7,683</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7,683</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23,091</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38,034</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11,667</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15,714</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2,870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13,056</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2,146</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5,368</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2,273</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6,250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19,861</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19,861</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4,565</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821</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524</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7,011</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7,071</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12,126</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13,175</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670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4,743</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11,043</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8,597</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3,179</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424</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04"/>
        </w:trPr>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327,596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-7399020</wp:posOffset>
            </wp:positionV>
            <wp:extent cx="5831205" cy="1295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-7124700</wp:posOffset>
            </wp:positionV>
            <wp:extent cx="5831205" cy="129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-6865620</wp:posOffset>
            </wp:positionV>
            <wp:extent cx="5831205" cy="1295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-6606540</wp:posOffset>
            </wp:positionV>
            <wp:extent cx="5831205" cy="1295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-6347460</wp:posOffset>
            </wp:positionV>
            <wp:extent cx="5831205" cy="1295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-6088380</wp:posOffset>
            </wp:positionV>
            <wp:extent cx="5831205" cy="1295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-5829300</wp:posOffset>
            </wp:positionV>
            <wp:extent cx="5831205" cy="1295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-5569585</wp:posOffset>
            </wp:positionV>
            <wp:extent cx="5831205" cy="129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-5310505</wp:posOffset>
            </wp:positionV>
            <wp:extent cx="5831205" cy="129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-5051425</wp:posOffset>
            </wp:positionV>
            <wp:extent cx="5831205" cy="1295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-4792345</wp:posOffset>
            </wp:positionV>
            <wp:extent cx="5831205" cy="1295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-4533265</wp:posOffset>
            </wp:positionV>
            <wp:extent cx="5831205" cy="1295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-4274185</wp:posOffset>
            </wp:positionV>
            <wp:extent cx="5831205" cy="1295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-4015105</wp:posOffset>
            </wp:positionV>
            <wp:extent cx="5831205" cy="1295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-3756025</wp:posOffset>
            </wp:positionV>
            <wp:extent cx="5831205" cy="129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-3496945</wp:posOffset>
            </wp:positionV>
            <wp:extent cx="5831205" cy="1295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-3237230</wp:posOffset>
            </wp:positionV>
            <wp:extent cx="5831205" cy="1295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-2978150</wp:posOffset>
            </wp:positionV>
            <wp:extent cx="5831205" cy="1295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-2719070</wp:posOffset>
            </wp:positionV>
            <wp:extent cx="5831205" cy="1295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-2459990</wp:posOffset>
            </wp:positionV>
            <wp:extent cx="5831205" cy="1295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-2200910</wp:posOffset>
            </wp:positionV>
            <wp:extent cx="5831205" cy="1295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-1941830</wp:posOffset>
            </wp:positionV>
            <wp:extent cx="5831205" cy="1295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-1682750</wp:posOffset>
            </wp:positionV>
            <wp:extent cx="5831205" cy="1295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-1423670</wp:posOffset>
            </wp:positionV>
            <wp:extent cx="5831205" cy="1295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-1163955</wp:posOffset>
            </wp:positionV>
            <wp:extent cx="5831205" cy="1295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-904875</wp:posOffset>
            </wp:positionV>
            <wp:extent cx="5831205" cy="1295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-645795</wp:posOffset>
            </wp:positionV>
            <wp:extent cx="5831205" cy="1295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-386715</wp:posOffset>
            </wp:positionV>
            <wp:extent cx="5831205" cy="1295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31205" cy="12954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-127635</wp:posOffset>
            </wp:positionV>
            <wp:extent cx="5831205" cy="152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31205" cy="15240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419735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4480" w:space="20"/>
            <w:col w:w="4600"/>
          </w:cols>
          <w:pgMar w:left="1360" w:top="1396" w:right="1440" w:bottom="1440" w:gutter="0" w:footer="0" w:header="0"/>
        </w:sectPr>
      </w:pPr>
    </w:p>
    <w:bookmarkStart w:id="42" w:name="page43"/>
    <w:bookmarkEnd w:id="42"/>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(1)Represents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(2)The Company’s estimate of the fair value of the current investments in these portfolio companies includes an analysis of the fair value of any unfunded commitments.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Commitments and Contingencies</w:t>
      </w:r>
    </w:p>
    <w:p>
      <w:pPr>
        <w:spacing w:after="0" w:line="94"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As of June 30, 2024 and December 31, 2023, the Company did not have any unfunded commitments to fund investments to new borrowers that were not current portfolio companies as of such date.</w:t>
      </w:r>
    </w:p>
    <w:p>
      <w:pPr>
        <w:spacing w:after="0" w:line="155" w:lineRule="exact"/>
        <w:rPr>
          <w:sz w:val="20"/>
          <w:szCs w:val="20"/>
          <w:color w:val="auto"/>
        </w:rPr>
      </w:pPr>
    </w:p>
    <w:p>
      <w:pPr>
        <w:ind w:right="60" w:firstLine="228"/>
        <w:spacing w:after="0" w:line="331" w:lineRule="auto"/>
        <w:rPr>
          <w:sz w:val="20"/>
          <w:szCs w:val="20"/>
          <w:color w:val="auto"/>
        </w:rPr>
      </w:pPr>
      <w:r>
        <w:rPr>
          <w:rFonts w:ascii="Times New Roman" w:cs="Times New Roman" w:eastAsia="Times New Roman" w:hAnsi="Times New Roman"/>
          <w:sz w:val="14"/>
          <w:szCs w:val="14"/>
          <w:color w:val="auto"/>
        </w:rPr>
        <w:t>From time to time, the Company may become a party to certain legal proceedings incidental to the normal course of its business. As of June 30, 2024 and December 31, 2023, management is not aware of any material pending or threatened litigation that would require accounting recognition or financial statement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Net Assets</w:t>
      </w:r>
    </w:p>
    <w:p>
      <w:pPr>
        <w:spacing w:after="0" w:line="190"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On May 15, 2023, the Company issued a total of 4,500,000 shares of common stock at $17.33 per share. Net of underwriting fees and offering costs, the Company received total cash proceeds of $77.6 million. Subsequent to the offering, the Company issued an additional 675,000 shares on June 12, 2023 pursuant to the overallotment option granted to underwriters and received, net of underwriting fees, additional total cash proceeds of $11.7 million.</w:t>
      </w:r>
    </w:p>
    <w:p>
      <w:pPr>
        <w:spacing w:after="0" w:line="16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On March 5, 2024, the Company issued a total of 4,000,000 shares of common stock at $20.52 per share. Net of underwriting fees and offering costs, the Company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spacing w:after="0" w:line="164"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73" w:lineRule="exact"/>
        <w:rPr>
          <w:sz w:val="20"/>
          <w:szCs w:val="20"/>
          <w:color w:val="auto"/>
        </w:rPr>
      </w:pPr>
    </w:p>
    <w:p>
      <w:pPr>
        <w:ind w:right="120" w:firstLine="228"/>
        <w:spacing w:after="0" w:line="331" w:lineRule="auto"/>
        <w:rPr>
          <w:sz w:val="20"/>
          <w:szCs w:val="20"/>
          <w:color w:val="auto"/>
        </w:rPr>
      </w:pPr>
      <w:r>
        <w:rPr>
          <w:rFonts w:ascii="Times New Roman" w:cs="Times New Roman" w:eastAsia="Times New Roman" w:hAnsi="Times New Roman"/>
          <w:sz w:val="14"/>
          <w:szCs w:val="14"/>
          <w:color w:val="auto"/>
        </w:rPr>
        <w:t>Pursuant to the Company’s dividend reinvestment plan, the following tables summarize the shares issued to stockholders who have not opted out of the Company’s dividend reinvestment plan during the six months ended June 30, 2024 and 2023. All shares issued to stockholders in the tables below are newly issued shares.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560" w:type="dxa"/>
            <w:vAlign w:val="bottom"/>
            <w:gridSpan w:val="4"/>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vMerge w:val="restart"/>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20" w:type="dxa"/>
            <w:vAlign w:val="bottom"/>
            <w:gridSpan w:val="2"/>
          </w:tcPr>
          <w:p>
            <w:pPr>
              <w:jc w:val="right"/>
              <w:ind w:right="114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6"/>
                <w:szCs w:val="16"/>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780" w:type="dxa"/>
            <w:vAlign w:val="bottom"/>
            <w:vMerge w:val="continue"/>
          </w:tcPr>
          <w:p>
            <w:pPr>
              <w:spacing w:after="0"/>
              <w:rPr>
                <w:sz w:val="16"/>
                <w:szCs w:val="16"/>
                <w:color w:val="auto"/>
              </w:rPr>
            </w:pPr>
          </w:p>
        </w:tc>
        <w:tc>
          <w:tcPr>
            <w:tcW w:w="940" w:type="dxa"/>
            <w:vAlign w:val="bottom"/>
          </w:tcPr>
          <w:p>
            <w:pPr>
              <w:jc w:val="center"/>
              <w:ind w:left="126"/>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2620" w:type="dxa"/>
            <w:vAlign w:val="bottom"/>
            <w:gridSpan w:val="3"/>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15, 2024</w:t>
            </w:r>
          </w:p>
        </w:tc>
        <w:tc>
          <w:tcPr>
            <w:tcW w:w="1780" w:type="dxa"/>
            <w:vAlign w:val="bottom"/>
            <w:shd w:val="clear" w:color="auto" w:fill="CFF0FC"/>
          </w:tcPr>
          <w:p>
            <w:pPr>
              <w:jc w:val="center"/>
              <w:ind w:right="4"/>
              <w:spacing w:after="0"/>
              <w:rPr>
                <w:sz w:val="20"/>
                <w:szCs w:val="20"/>
                <w:color w:val="auto"/>
              </w:rPr>
            </w:pPr>
            <w:r>
              <w:rPr>
                <w:rFonts w:ascii="Times New Roman" w:cs="Times New Roman" w:eastAsia="Times New Roman" w:hAnsi="Times New Roman"/>
                <w:sz w:val="16"/>
                <w:szCs w:val="16"/>
                <w:color w:val="auto"/>
                <w:w w:val="97"/>
              </w:rPr>
              <w:t>Supplemental</w:t>
            </w:r>
          </w:p>
        </w:tc>
        <w:tc>
          <w:tcPr>
            <w:tcW w:w="2040" w:type="dxa"/>
            <w:vAlign w:val="bottom"/>
            <w:gridSpan w:val="2"/>
            <w:shd w:val="clear" w:color="auto" w:fill="CFF0FC"/>
          </w:tcPr>
          <w:p>
            <w:pPr>
              <w:jc w:val="right"/>
              <w:ind w:right="649"/>
              <w:spacing w:after="0"/>
              <w:rPr>
                <w:sz w:val="20"/>
                <w:szCs w:val="20"/>
                <w:color w:val="auto"/>
              </w:rPr>
            </w:pPr>
            <w:r>
              <w:rPr>
                <w:rFonts w:ascii="Times New Roman" w:cs="Times New Roman" w:eastAsia="Times New Roman" w:hAnsi="Times New Roman"/>
                <w:sz w:val="16"/>
                <w:szCs w:val="16"/>
                <w:color w:val="auto"/>
              </w:rPr>
              <w:t>February 29, 2024</w:t>
            </w:r>
          </w:p>
        </w:tc>
        <w:tc>
          <w:tcPr>
            <w:tcW w:w="15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March 20,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36,749</w:t>
            </w:r>
          </w:p>
        </w:tc>
        <w:tc>
          <w:tcPr>
            <w:tcW w:w="1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15, 2024</w:t>
            </w:r>
          </w:p>
        </w:tc>
        <w:tc>
          <w:tcPr>
            <w:tcW w:w="178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rPr>
              <w:t>Base</w:t>
            </w:r>
          </w:p>
        </w:tc>
        <w:tc>
          <w:tcPr>
            <w:tcW w:w="2040" w:type="dxa"/>
            <w:vAlign w:val="bottom"/>
            <w:gridSpan w:val="2"/>
          </w:tcPr>
          <w:p>
            <w:pPr>
              <w:jc w:val="right"/>
              <w:ind w:right="649"/>
              <w:spacing w:after="0"/>
              <w:rPr>
                <w:sz w:val="20"/>
                <w:szCs w:val="20"/>
                <w:color w:val="auto"/>
              </w:rPr>
            </w:pPr>
            <w:r>
              <w:rPr>
                <w:rFonts w:ascii="Times New Roman" w:cs="Times New Roman" w:eastAsia="Times New Roman" w:hAnsi="Times New Roman"/>
                <w:sz w:val="16"/>
                <w:szCs w:val="16"/>
                <w:color w:val="auto"/>
              </w:rPr>
              <w:t>March 15, 2024</w:t>
            </w: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March 28,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255,308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1, 2024</w:t>
            </w:r>
          </w:p>
        </w:tc>
        <w:tc>
          <w:tcPr>
            <w:tcW w:w="1780" w:type="dxa"/>
            <w:vAlign w:val="bottom"/>
            <w:shd w:val="clear" w:color="auto" w:fill="CFF0FC"/>
          </w:tcPr>
          <w:p>
            <w:pPr>
              <w:jc w:val="center"/>
              <w:ind w:right="4"/>
              <w:spacing w:after="0"/>
              <w:rPr>
                <w:sz w:val="20"/>
                <w:szCs w:val="20"/>
                <w:color w:val="auto"/>
              </w:rPr>
            </w:pPr>
            <w:r>
              <w:rPr>
                <w:rFonts w:ascii="Times New Roman" w:cs="Times New Roman" w:eastAsia="Times New Roman" w:hAnsi="Times New Roman"/>
                <w:sz w:val="16"/>
                <w:szCs w:val="16"/>
                <w:color w:val="auto"/>
                <w:w w:val="97"/>
              </w:rPr>
              <w:t>Supplemental</w:t>
            </w:r>
          </w:p>
        </w:tc>
        <w:tc>
          <w:tcPr>
            <w:tcW w:w="2040" w:type="dxa"/>
            <w:vAlign w:val="bottom"/>
            <w:gridSpan w:val="2"/>
            <w:shd w:val="clear" w:color="auto" w:fill="CFF0FC"/>
          </w:tcPr>
          <w:p>
            <w:pPr>
              <w:jc w:val="right"/>
              <w:ind w:right="649"/>
              <w:spacing w:after="0"/>
              <w:rPr>
                <w:sz w:val="20"/>
                <w:szCs w:val="20"/>
                <w:color w:val="auto"/>
              </w:rPr>
            </w:pPr>
            <w:r>
              <w:rPr>
                <w:rFonts w:ascii="Times New Roman" w:cs="Times New Roman" w:eastAsia="Times New Roman" w:hAnsi="Times New Roman"/>
                <w:sz w:val="16"/>
                <w:szCs w:val="16"/>
                <w:color w:val="auto"/>
              </w:rPr>
              <w:t>May 31, 2024</w:t>
            </w:r>
          </w:p>
        </w:tc>
        <w:tc>
          <w:tcPr>
            <w:tcW w:w="15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June 20,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34,318</w:t>
            </w:r>
          </w:p>
        </w:tc>
        <w:tc>
          <w:tcPr>
            <w:tcW w:w="1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2024</w:t>
            </w:r>
          </w:p>
        </w:tc>
        <w:tc>
          <w:tcPr>
            <w:tcW w:w="178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rPr>
              <w:t>Base</w:t>
            </w:r>
          </w:p>
        </w:tc>
        <w:tc>
          <w:tcPr>
            <w:tcW w:w="2040" w:type="dxa"/>
            <w:vAlign w:val="bottom"/>
            <w:gridSpan w:val="2"/>
          </w:tcPr>
          <w:p>
            <w:pPr>
              <w:jc w:val="right"/>
              <w:ind w:right="649"/>
              <w:spacing w:after="0"/>
              <w:rPr>
                <w:sz w:val="20"/>
                <w:szCs w:val="20"/>
                <w:color w:val="auto"/>
              </w:rPr>
            </w:pPr>
            <w:r>
              <w:rPr>
                <w:rFonts w:ascii="Times New Roman" w:cs="Times New Roman" w:eastAsia="Times New Roman" w:hAnsi="Times New Roman"/>
                <w:sz w:val="16"/>
                <w:szCs w:val="16"/>
                <w:color w:val="auto"/>
              </w:rPr>
              <w:t>June 14, 2024</w:t>
            </w: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June 28,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261,331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1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Shares Issued</w:t>
            </w:r>
          </w:p>
        </w:tc>
        <w:tc>
          <w:tcPr>
            <w:tcW w:w="17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587,706</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20" w:type="dxa"/>
            <w:vAlign w:val="bottom"/>
            <w:gridSpan w:val="3"/>
          </w:tcPr>
          <w:p>
            <w:pPr>
              <w:jc w:val="right"/>
              <w:ind w:right="1080"/>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20" w:type="dxa"/>
            <w:vAlign w:val="bottom"/>
            <w:gridSpan w:val="3"/>
          </w:tcPr>
          <w:p>
            <w:pPr>
              <w:jc w:val="right"/>
              <w:ind w:right="144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vMerge w:val="restart"/>
          </w:tcPr>
          <w:p>
            <w:pPr>
              <w:jc w:val="center"/>
              <w:ind w:left="504"/>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6"/>
                <w:szCs w:val="16"/>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780" w:type="dxa"/>
            <w:vAlign w:val="bottom"/>
            <w:vMerge w:val="continue"/>
          </w:tcPr>
          <w:p>
            <w:pPr>
              <w:spacing w:after="0"/>
              <w:rPr>
                <w:sz w:val="16"/>
                <w:szCs w:val="16"/>
                <w:color w:val="auto"/>
              </w:rPr>
            </w:pPr>
          </w:p>
        </w:tc>
        <w:tc>
          <w:tcPr>
            <w:tcW w:w="2040" w:type="dxa"/>
            <w:vAlign w:val="bottom"/>
            <w:gridSpan w:val="2"/>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16, 2023</w:t>
            </w:r>
          </w:p>
        </w:tc>
        <w:tc>
          <w:tcPr>
            <w:tcW w:w="1780" w:type="dxa"/>
            <w:vAlign w:val="bottom"/>
            <w:shd w:val="clear" w:color="auto" w:fill="CFF0FC"/>
          </w:tcPr>
          <w:p>
            <w:pPr>
              <w:jc w:val="center"/>
              <w:ind w:left="524"/>
              <w:spacing w:after="0"/>
              <w:rPr>
                <w:sz w:val="20"/>
                <w:szCs w:val="20"/>
                <w:color w:val="auto"/>
              </w:rPr>
            </w:pPr>
            <w:r>
              <w:rPr>
                <w:rFonts w:ascii="Times New Roman" w:cs="Times New Roman" w:eastAsia="Times New Roman" w:hAnsi="Times New Roman"/>
                <w:sz w:val="16"/>
                <w:szCs w:val="16"/>
                <w:color w:val="auto"/>
                <w:w w:val="97"/>
              </w:rPr>
              <w:t>Supplemental</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February 28, 2023</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March 20,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61,590</w:t>
            </w:r>
          </w:p>
        </w:tc>
        <w:tc>
          <w:tcPr>
            <w:tcW w:w="1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16, 2023</w:t>
            </w:r>
          </w:p>
        </w:tc>
        <w:tc>
          <w:tcPr>
            <w:tcW w:w="1780" w:type="dxa"/>
            <w:vAlign w:val="bottom"/>
          </w:tcPr>
          <w:p>
            <w:pPr>
              <w:jc w:val="center"/>
              <w:ind w:left="524"/>
              <w:spacing w:after="0"/>
              <w:rPr>
                <w:sz w:val="20"/>
                <w:szCs w:val="20"/>
                <w:color w:val="auto"/>
              </w:rPr>
            </w:pPr>
            <w:r>
              <w:rPr>
                <w:rFonts w:ascii="Times New Roman" w:cs="Times New Roman" w:eastAsia="Times New Roman" w:hAnsi="Times New Roman"/>
                <w:sz w:val="16"/>
                <w:szCs w:val="16"/>
                <w:color w:val="auto"/>
                <w:w w:val="96"/>
              </w:rPr>
              <w:t>Base</w:t>
            </w:r>
          </w:p>
        </w:tc>
        <w:tc>
          <w:tcPr>
            <w:tcW w:w="9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15, 2023</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March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300,988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8, 2023</w:t>
            </w:r>
          </w:p>
        </w:tc>
        <w:tc>
          <w:tcPr>
            <w:tcW w:w="1780" w:type="dxa"/>
            <w:vAlign w:val="bottom"/>
            <w:shd w:val="clear" w:color="auto" w:fill="CFF0FC"/>
          </w:tcPr>
          <w:p>
            <w:pPr>
              <w:jc w:val="center"/>
              <w:ind w:left="524"/>
              <w:spacing w:after="0"/>
              <w:rPr>
                <w:sz w:val="20"/>
                <w:szCs w:val="20"/>
                <w:color w:val="auto"/>
              </w:rPr>
            </w:pPr>
            <w:r>
              <w:rPr>
                <w:rFonts w:ascii="Times New Roman" w:cs="Times New Roman" w:eastAsia="Times New Roman" w:hAnsi="Times New Roman"/>
                <w:sz w:val="16"/>
                <w:szCs w:val="16"/>
                <w:color w:val="auto"/>
                <w:w w:val="97"/>
              </w:rPr>
              <w:t>Supplemental</w:t>
            </w:r>
          </w:p>
        </w:tc>
        <w:tc>
          <w:tcPr>
            <w:tcW w:w="9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May 31, 2023</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June 20,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23,686</w:t>
            </w:r>
          </w:p>
        </w:tc>
        <w:tc>
          <w:tcPr>
            <w:tcW w:w="1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8, 2023</w:t>
            </w:r>
          </w:p>
        </w:tc>
        <w:tc>
          <w:tcPr>
            <w:tcW w:w="1780" w:type="dxa"/>
            <w:vAlign w:val="bottom"/>
          </w:tcPr>
          <w:p>
            <w:pPr>
              <w:jc w:val="center"/>
              <w:ind w:left="524"/>
              <w:spacing w:after="0"/>
              <w:rPr>
                <w:sz w:val="20"/>
                <w:szCs w:val="20"/>
                <w:color w:val="auto"/>
              </w:rPr>
            </w:pPr>
            <w:r>
              <w:rPr>
                <w:rFonts w:ascii="Times New Roman" w:cs="Times New Roman" w:eastAsia="Times New Roman" w:hAnsi="Times New Roman"/>
                <w:sz w:val="16"/>
                <w:szCs w:val="16"/>
                <w:color w:val="auto"/>
                <w:w w:val="96"/>
              </w:rPr>
              <w:t>Base</w:t>
            </w:r>
          </w:p>
        </w:tc>
        <w:tc>
          <w:tcPr>
            <w:tcW w:w="9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15, 2023</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30,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290,680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1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Shares Issued</w:t>
            </w:r>
          </w:p>
        </w:tc>
        <w:tc>
          <w:tcPr>
            <w:tcW w:w="17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676,944</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jc w:val="right"/>
              <w:ind w:right="246"/>
              <w:spacing w:after="0"/>
              <w:rPr>
                <w:sz w:val="20"/>
                <w:szCs w:val="20"/>
                <w:color w:val="auto"/>
              </w:rPr>
            </w:pPr>
            <w:r>
              <w:rPr>
                <w:rFonts w:ascii="Times New Roman" w:cs="Times New Roman" w:eastAsia="Times New Roman" w:hAnsi="Times New Roman"/>
                <w:sz w:val="16"/>
                <w:szCs w:val="16"/>
                <w:color w:val="auto"/>
              </w:rPr>
              <w:t>43</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6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78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5" w:right="680" w:bottom="1440" w:gutter="0" w:footer="0" w:header="0"/>
        </w:sectPr>
      </w:pPr>
    </w:p>
    <w:bookmarkStart w:id="43" w:name="page44"/>
    <w:bookmarkEnd w:id="43"/>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(1)See Note 11 for further information on base, supplemental and special dividends.</w:t>
      </w:r>
    </w:p>
    <w:p>
      <w:pPr>
        <w:spacing w:after="0" w:line="18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1, 2024. The amount and timing of stock repurchases under the program may vary depending on market conditions, and no assurance can be given that any particular amount of common stock will be repurchased.</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 shares were repurchased during the six months ended June 30, 2024 and 2023.</w:t>
      </w:r>
    </w:p>
    <w:p>
      <w:pPr>
        <w:spacing w:after="0" w:line="282" w:lineRule="exact"/>
        <w:rPr>
          <w:sz w:val="20"/>
          <w:szCs w:val="20"/>
          <w:color w:val="auto"/>
        </w:rPr>
      </w:pPr>
    </w:p>
    <w:p>
      <w:pPr>
        <w:ind w:left="240" w:hanging="234"/>
        <w:spacing w:after="0"/>
        <w:tabs>
          <w:tab w:leader="none" w:pos="24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the computation of basic and diluted earnings per common share for the three and six months ended June 30, 2024 and 2023:</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4"/>
          </w:tcPr>
          <w:p>
            <w:pPr>
              <w:jc w:val="right"/>
              <w:ind w:right="505"/>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208"/>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47,401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53,090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94,919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106,042</w:t>
            </w:r>
          </w:p>
        </w:tc>
        <w:tc>
          <w:tcPr>
            <w:tcW w:w="80" w:type="dxa"/>
            <w:vAlign w:val="bottom"/>
            <w:shd w:val="clear" w:color="auto" w:fill="CFF0FC"/>
          </w:tcPr>
          <w:p>
            <w:pPr>
              <w:spacing w:after="0"/>
              <w:rPr>
                <w:sz w:val="18"/>
                <w:szCs w:val="18"/>
                <w:color w:val="auto"/>
              </w:rPr>
            </w:pPr>
          </w:p>
        </w:tc>
      </w:tr>
      <w:tr>
        <w:trPr>
          <w:trHeight w:val="179"/>
        </w:trPr>
        <w:tc>
          <w:tcPr>
            <w:tcW w:w="46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Weighted average shares of common stock outstanding—basic and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92,734,320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84,223,032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90,883,350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82,819,734</w:t>
            </w:r>
          </w:p>
        </w:tc>
        <w:tc>
          <w:tcPr>
            <w:tcW w:w="80" w:type="dxa"/>
            <w:vAlign w:val="bottom"/>
          </w:tcPr>
          <w:p>
            <w:pPr>
              <w:spacing w:after="0"/>
              <w:rPr>
                <w:sz w:val="17"/>
                <w:szCs w:val="17"/>
                <w:color w:val="auto"/>
              </w:rPr>
            </w:pPr>
          </w:p>
        </w:tc>
      </w:tr>
      <w:tr>
        <w:trPr>
          <w:trHeight w:val="245"/>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per common share—basic and diluted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Dividends</w:t>
      </w:r>
    </w:p>
    <w:p>
      <w:pPr>
        <w:spacing w:after="0" w:line="94" w:lineRule="exact"/>
        <w:rPr>
          <w:sz w:val="20"/>
          <w:szCs w:val="20"/>
          <w:color w:val="auto"/>
        </w:rPr>
      </w:pPr>
    </w:p>
    <w:p>
      <w:pPr>
        <w:ind w:right="480" w:firstLine="228"/>
        <w:spacing w:after="0" w:line="259" w:lineRule="auto"/>
        <w:rPr>
          <w:sz w:val="20"/>
          <w:szCs w:val="20"/>
          <w:color w:val="auto"/>
        </w:rPr>
      </w:pPr>
      <w:r>
        <w:rPr>
          <w:rFonts w:ascii="Times New Roman" w:cs="Times New Roman" w:eastAsia="Times New Roman" w:hAnsi="Times New Roman"/>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tables summarize dividends declared during the six months ended June 30, 2024 and 2023:</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2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2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1700" w:type="dxa"/>
            <w:vAlign w:val="bottom"/>
          </w:tcPr>
          <w:p>
            <w:pPr>
              <w:jc w:val="right"/>
              <w:ind w:right="567"/>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34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Dividend per Share</w:t>
            </w:r>
          </w:p>
        </w:tc>
      </w:tr>
      <w:tr>
        <w:trPr>
          <w:trHeight w:val="208"/>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15, 2024</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170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6"/>
                <w:szCs w:val="16"/>
                <w:color w:val="auto"/>
              </w:rPr>
              <w:t>February 29, 2024</w:t>
            </w:r>
          </w:p>
        </w:tc>
        <w:tc>
          <w:tcPr>
            <w:tcW w:w="13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March 20,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FF0FC"/>
          </w:tcPr>
          <w:p>
            <w:pPr>
              <w:spacing w:after="0"/>
              <w:rPr>
                <w:sz w:val="18"/>
                <w:szCs w:val="18"/>
                <w:color w:val="auto"/>
              </w:rPr>
            </w:pP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15, 2024</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Base</w:t>
            </w:r>
          </w:p>
        </w:tc>
        <w:tc>
          <w:tcPr>
            <w:tcW w:w="1700" w:type="dxa"/>
            <w:vAlign w:val="bottom"/>
          </w:tcPr>
          <w:p>
            <w:pPr>
              <w:jc w:val="right"/>
              <w:ind w:right="167"/>
              <w:spacing w:after="0"/>
              <w:rPr>
                <w:sz w:val="20"/>
                <w:szCs w:val="20"/>
                <w:color w:val="auto"/>
              </w:rPr>
            </w:pPr>
            <w:r>
              <w:rPr>
                <w:rFonts w:ascii="Times New Roman" w:cs="Times New Roman" w:eastAsia="Times New Roman" w:hAnsi="Times New Roman"/>
                <w:sz w:val="16"/>
                <w:szCs w:val="16"/>
                <w:color w:val="auto"/>
              </w:rPr>
              <w:t>March 15, 2024</w:t>
            </w:r>
          </w:p>
        </w:tc>
        <w:tc>
          <w:tcPr>
            <w:tcW w:w="13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March 28, 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7"/>
                <w:szCs w:val="17"/>
                <w:color w:val="auto"/>
              </w:rPr>
            </w:pPr>
          </w:p>
        </w:tc>
      </w:tr>
      <w:tr>
        <w:trPr>
          <w:trHeight w:val="205"/>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1, 2024</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170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6"/>
                <w:szCs w:val="16"/>
                <w:color w:val="auto"/>
              </w:rPr>
              <w:t>May 31, 2024</w:t>
            </w:r>
          </w:p>
        </w:tc>
        <w:tc>
          <w:tcPr>
            <w:tcW w:w="13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June 20, 2024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FF0FC"/>
          </w:tcPr>
          <w:p>
            <w:pPr>
              <w:spacing w:after="0"/>
              <w:rPr>
                <w:sz w:val="17"/>
                <w:szCs w:val="17"/>
                <w:color w:val="auto"/>
              </w:rPr>
            </w:pP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2024</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Base</w:t>
            </w:r>
          </w:p>
        </w:tc>
        <w:tc>
          <w:tcPr>
            <w:tcW w:w="1700" w:type="dxa"/>
            <w:vAlign w:val="bottom"/>
          </w:tcPr>
          <w:p>
            <w:pPr>
              <w:jc w:val="right"/>
              <w:ind w:right="167"/>
              <w:spacing w:after="0"/>
              <w:rPr>
                <w:sz w:val="20"/>
                <w:szCs w:val="20"/>
                <w:color w:val="auto"/>
              </w:rPr>
            </w:pPr>
            <w:r>
              <w:rPr>
                <w:rFonts w:ascii="Times New Roman" w:cs="Times New Roman" w:eastAsia="Times New Roman" w:hAnsi="Times New Roman"/>
                <w:sz w:val="16"/>
                <w:szCs w:val="16"/>
                <w:color w:val="auto"/>
              </w:rPr>
              <w:t>June 14, 2024</w:t>
            </w:r>
          </w:p>
        </w:tc>
        <w:tc>
          <w:tcPr>
            <w:tcW w:w="13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June 28, 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7"/>
                <w:szCs w:val="17"/>
                <w:color w:val="auto"/>
              </w:rPr>
            </w:pPr>
          </w:p>
        </w:tc>
      </w:tr>
      <w:tr>
        <w:trPr>
          <w:trHeight w:val="245"/>
        </w:trPr>
        <w:tc>
          <w:tcPr>
            <w:tcW w:w="2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16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2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640" w:type="dxa"/>
            <w:vAlign w:val="bottom"/>
          </w:tcPr>
          <w:p>
            <w:pPr>
              <w:jc w:val="center"/>
              <w:ind w:left="84"/>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1700" w:type="dxa"/>
            <w:vAlign w:val="bottom"/>
          </w:tcPr>
          <w:p>
            <w:pPr>
              <w:jc w:val="right"/>
              <w:ind w:right="487"/>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34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Dividend per Share</w:t>
            </w:r>
          </w:p>
        </w:tc>
      </w:tr>
      <w:tr>
        <w:trPr>
          <w:trHeight w:val="25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16, 2023</w:t>
            </w:r>
          </w:p>
        </w:tc>
        <w:tc>
          <w:tcPr>
            <w:tcW w:w="1640" w:type="dxa"/>
            <w:vAlign w:val="bottom"/>
            <w:shd w:val="clear" w:color="auto" w:fill="CFF0FC"/>
          </w:tcPr>
          <w:p>
            <w:pPr>
              <w:jc w:val="center"/>
              <w:ind w:left="104"/>
              <w:spacing w:after="0"/>
              <w:rPr>
                <w:sz w:val="20"/>
                <w:szCs w:val="20"/>
                <w:color w:val="auto"/>
              </w:rPr>
            </w:pPr>
            <w:r>
              <w:rPr>
                <w:rFonts w:ascii="Times New Roman" w:cs="Times New Roman" w:eastAsia="Times New Roman" w:hAnsi="Times New Roman"/>
                <w:sz w:val="16"/>
                <w:szCs w:val="16"/>
                <w:color w:val="auto"/>
                <w:w w:val="97"/>
              </w:rPr>
              <w:t>Supplemental</w:t>
            </w:r>
          </w:p>
        </w:tc>
        <w:tc>
          <w:tcPr>
            <w:tcW w:w="170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6"/>
                <w:szCs w:val="16"/>
                <w:color w:val="auto"/>
              </w:rPr>
              <w:t>February 28, 2023</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March 20, 2023</w:t>
            </w: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FF0FC"/>
          </w:tcPr>
          <w:p>
            <w:pPr>
              <w:spacing w:after="0"/>
              <w:rPr>
                <w:sz w:val="22"/>
                <w:szCs w:val="22"/>
                <w:color w:val="auto"/>
              </w:rPr>
            </w:pP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16, 2023</w:t>
            </w:r>
          </w:p>
        </w:tc>
        <w:tc>
          <w:tcPr>
            <w:tcW w:w="1640" w:type="dxa"/>
            <w:vAlign w:val="bottom"/>
          </w:tcPr>
          <w:p>
            <w:pPr>
              <w:jc w:val="center"/>
              <w:ind w:left="104"/>
              <w:spacing w:after="0"/>
              <w:rPr>
                <w:sz w:val="20"/>
                <w:szCs w:val="20"/>
                <w:color w:val="auto"/>
              </w:rPr>
            </w:pPr>
            <w:r>
              <w:rPr>
                <w:rFonts w:ascii="Times New Roman" w:cs="Times New Roman" w:eastAsia="Times New Roman" w:hAnsi="Times New Roman"/>
                <w:sz w:val="16"/>
                <w:szCs w:val="16"/>
                <w:color w:val="auto"/>
                <w:w w:val="96"/>
              </w:rPr>
              <w:t>Base</w:t>
            </w:r>
          </w:p>
        </w:tc>
        <w:tc>
          <w:tcPr>
            <w:tcW w:w="170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March 15,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31, 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7"/>
                <w:szCs w:val="17"/>
                <w:color w:val="auto"/>
              </w:rPr>
            </w:pPr>
          </w:p>
        </w:tc>
      </w:tr>
      <w:tr>
        <w:trPr>
          <w:trHeight w:val="205"/>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8, 2023</w:t>
            </w:r>
          </w:p>
        </w:tc>
        <w:tc>
          <w:tcPr>
            <w:tcW w:w="1640" w:type="dxa"/>
            <w:vAlign w:val="bottom"/>
            <w:shd w:val="clear" w:color="auto" w:fill="CFF0FC"/>
          </w:tcPr>
          <w:p>
            <w:pPr>
              <w:jc w:val="center"/>
              <w:ind w:left="104"/>
              <w:spacing w:after="0"/>
              <w:rPr>
                <w:sz w:val="20"/>
                <w:szCs w:val="20"/>
                <w:color w:val="auto"/>
              </w:rPr>
            </w:pPr>
            <w:r>
              <w:rPr>
                <w:rFonts w:ascii="Times New Roman" w:cs="Times New Roman" w:eastAsia="Times New Roman" w:hAnsi="Times New Roman"/>
                <w:sz w:val="16"/>
                <w:szCs w:val="16"/>
                <w:color w:val="auto"/>
                <w:w w:val="97"/>
              </w:rPr>
              <w:t>Supplemental</w:t>
            </w:r>
          </w:p>
        </w:tc>
        <w:tc>
          <w:tcPr>
            <w:tcW w:w="170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6"/>
                <w:szCs w:val="16"/>
                <w:color w:val="auto"/>
              </w:rPr>
              <w:t>May 31, 2023</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20, 2023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FF0FC"/>
          </w:tcPr>
          <w:p>
            <w:pPr>
              <w:spacing w:after="0"/>
              <w:rPr>
                <w:sz w:val="17"/>
                <w:szCs w:val="17"/>
                <w:color w:val="auto"/>
              </w:rPr>
            </w:pP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8, 2023</w:t>
            </w:r>
          </w:p>
        </w:tc>
        <w:tc>
          <w:tcPr>
            <w:tcW w:w="1640" w:type="dxa"/>
            <w:vAlign w:val="bottom"/>
          </w:tcPr>
          <w:p>
            <w:pPr>
              <w:jc w:val="center"/>
              <w:ind w:left="104"/>
              <w:spacing w:after="0"/>
              <w:rPr>
                <w:sz w:val="20"/>
                <w:szCs w:val="20"/>
                <w:color w:val="auto"/>
              </w:rPr>
            </w:pPr>
            <w:r>
              <w:rPr>
                <w:rFonts w:ascii="Times New Roman" w:cs="Times New Roman" w:eastAsia="Times New Roman" w:hAnsi="Times New Roman"/>
                <w:sz w:val="16"/>
                <w:szCs w:val="16"/>
                <w:color w:val="auto"/>
                <w:w w:val="96"/>
              </w:rPr>
              <w:t>Base</w:t>
            </w:r>
          </w:p>
        </w:tc>
        <w:tc>
          <w:tcPr>
            <w:tcW w:w="170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June 15,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7"/>
                <w:szCs w:val="17"/>
                <w:color w:val="auto"/>
              </w:rPr>
            </w:pPr>
          </w:p>
        </w:tc>
      </w:tr>
      <w:tr>
        <w:trPr>
          <w:trHeight w:val="245"/>
        </w:trPr>
        <w:tc>
          <w:tcPr>
            <w:tcW w:w="2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16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15" w:lineRule="exact"/>
        <w:rPr>
          <w:sz w:val="20"/>
          <w:szCs w:val="20"/>
          <w:color w:val="auto"/>
        </w:rPr>
      </w:pPr>
    </w:p>
    <w:p>
      <w:pPr>
        <w:ind w:left="5200" w:right="1200" w:hanging="4974"/>
        <w:spacing w:after="0" w:line="259" w:lineRule="auto"/>
        <w:rPr>
          <w:sz w:val="20"/>
          <w:szCs w:val="20"/>
          <w:color w:val="auto"/>
        </w:rPr>
      </w:pPr>
      <w:r>
        <w:rPr>
          <w:rFonts w:ascii="Times New Roman" w:cs="Times New Roman" w:eastAsia="Times New Roman" w:hAnsi="Times New Roman"/>
          <w:sz w:val="16"/>
          <w:szCs w:val="16"/>
          <w:color w:val="auto"/>
        </w:rPr>
        <w:t>The dividends declared during the six months ended June 30, 2024 and 2023 were derived from net investment income, determined on a tax basis.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 w:name="page45"/>
    <w:bookmarkEnd w:id="44"/>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Financial Highlights</w:t>
      </w:r>
    </w:p>
    <w:p>
      <w:pPr>
        <w:spacing w:after="0" w:line="94" w:lineRule="exact"/>
        <w:rPr>
          <w:sz w:val="20"/>
          <w:szCs w:val="20"/>
          <w:color w:val="auto"/>
        </w:rPr>
      </w:pPr>
    </w:p>
    <w:p>
      <w:pPr>
        <w:ind w:right="500" w:firstLine="228"/>
        <w:spacing w:after="0" w:line="259" w:lineRule="auto"/>
        <w:rPr>
          <w:sz w:val="20"/>
          <w:szCs w:val="20"/>
          <w:color w:val="auto"/>
        </w:rPr>
      </w:pPr>
      <w:r>
        <w:rPr>
          <w:rFonts w:ascii="Times New Roman" w:cs="Times New Roman" w:eastAsia="Times New Roman" w:hAnsi="Times New Roman"/>
          <w:sz w:val="16"/>
          <w:szCs w:val="16"/>
          <w:color w:val="auto"/>
        </w:rPr>
        <w:t>The following per share data and ratios have been derived from information provided in the consolidated financial statements. The following are the financial highlights for one share of common stock outstanding during the six months ended June 30, 2024 and 2023.</w:t>
      </w:r>
    </w:p>
    <w:p>
      <w:pPr>
        <w:sectPr>
          <w:pgSz w:w="11900" w:h="16840" w:orient="portrait"/>
          <w:cols w:equalWidth="0" w:num="1">
            <w:col w:w="10580"/>
          </w:cols>
          <w:pgMar w:left="660" w:top="1440" w:right="6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 xml:space="preserve">Per Share Data </w:t>
      </w:r>
      <w:r>
        <w:rPr>
          <w:rFonts w:ascii="Times New Roman" w:cs="Times New Roman" w:eastAsia="Times New Roman" w:hAnsi="Times New Roman"/>
          <w:sz w:val="21"/>
          <w:szCs w:val="21"/>
          <w:b w:val="1"/>
          <w:bCs w:val="1"/>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-135890</wp:posOffset>
            </wp:positionV>
            <wp:extent cx="5365750" cy="152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65750" cy="152400"/>
                    </a:xfrm>
                    <a:prstGeom prst="rect">
                      <a:avLst/>
                    </a:prstGeom>
                    <a:noFill/>
                  </pic:spPr>
                </pic:pic>
              </a:graphicData>
            </a:graphic>
          </wp:anchor>
        </w:drawing>
      </w: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Net asset value,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24765</wp:posOffset>
            </wp:positionV>
            <wp:extent cx="5365750" cy="152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65750" cy="152400"/>
                    </a:xfrm>
                    <a:prstGeom prst="rect">
                      <a:avLst/>
                    </a:prstGeom>
                    <a:noFill/>
                  </pic:spPr>
                </pic:pic>
              </a:graphicData>
            </a:graphic>
          </wp:anchor>
        </w:drawing>
      </w:r>
    </w:p>
    <w:p>
      <w:pPr>
        <w:spacing w:after="0" w:line="2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5365750" cy="2438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65750" cy="24384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Net realized and unrealized gains</w:t>
      </w:r>
    </w:p>
    <w:p>
      <w:pPr>
        <w:ind w:left="1120"/>
        <w:spacing w:after="0" w:line="198" w:lineRule="auto"/>
        <w:rPr>
          <w:sz w:val="20"/>
          <w:szCs w:val="20"/>
          <w:color w:val="auto"/>
        </w:rPr>
      </w:pPr>
      <w:r>
        <w:rPr>
          <w:rFonts w:ascii="Times New Roman" w:cs="Times New Roman" w:eastAsia="Times New Roman" w:hAnsi="Times New Roman"/>
          <w:sz w:val="16"/>
          <w:szCs w:val="16"/>
          <w:color w:val="auto"/>
        </w:rPr>
        <w:t xml:space="preserve">(losses) </w:t>
      </w:r>
      <w:r>
        <w:rPr>
          <w:rFonts w:ascii="Times New Roman" w:cs="Times New Roman" w:eastAsia="Times New Roman" w:hAnsi="Times New Roman"/>
          <w:sz w:val="21"/>
          <w:szCs w:val="21"/>
          <w:color w:val="auto"/>
          <w:vertAlign w:val="superscript"/>
        </w:rPr>
        <w:t>(1)</w:t>
      </w:r>
    </w:p>
    <w:p>
      <w:pPr>
        <w:ind w:left="1080"/>
        <w:spacing w:after="0"/>
        <w:rPr>
          <w:sz w:val="20"/>
          <w:szCs w:val="20"/>
          <w:color w:val="auto"/>
        </w:rPr>
      </w:pPr>
      <w:r>
        <w:rPr>
          <w:rFonts w:ascii="Times New Roman" w:cs="Times New Roman" w:eastAsia="Times New Roman" w:hAnsi="Times New Roman"/>
          <w:sz w:val="16"/>
          <w:szCs w:val="16"/>
          <w:color w:val="auto"/>
        </w:rPr>
        <w:t>Total from operations</w:t>
      </w:r>
    </w:p>
    <w:p>
      <w:pPr>
        <w:spacing w:after="0" w:line="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 xml:space="preserve">Issuance of common stock, net of offering costs </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-137160</wp:posOffset>
            </wp:positionV>
            <wp:extent cx="5365750" cy="152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65750" cy="15240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6"/>
          <w:szCs w:val="16"/>
          <w:color w:val="auto"/>
        </w:rPr>
        <w:t xml:space="preserve">Dividends declared from net investment income </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6985</wp:posOffset>
            </wp:positionV>
            <wp:extent cx="5365750" cy="281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65750" cy="281940"/>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Total increase/(decrease) in net assets</w:t>
      </w:r>
    </w:p>
    <w:p>
      <w:pPr>
        <w:spacing w:after="0" w:line="2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Net Asset Value, End of Period</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Per share market value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-115570</wp:posOffset>
            </wp:positionV>
            <wp:extent cx="5365750" cy="152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65750" cy="152400"/>
                    </a:xfrm>
                    <a:prstGeom prst="rect">
                      <a:avLst/>
                    </a:prstGeom>
                    <a:noFill/>
                  </pic:spPr>
                </pic:pic>
              </a:graphicData>
            </a:graphic>
          </wp:anchor>
        </w:drawing>
      </w:r>
    </w:p>
    <w:p>
      <w:pPr>
        <w:spacing w:after="0" w:line="1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 xml:space="preserve">Total return based on market value with reinvestment of dividends </w:t>
      </w:r>
      <w:r>
        <w:rPr>
          <w:rFonts w:ascii="Times New Roman" w:cs="Times New Roman" w:eastAsia="Times New Roman" w:hAnsi="Times New Roman"/>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21590</wp:posOffset>
            </wp:positionV>
            <wp:extent cx="5365750" cy="152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65750" cy="15240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6"/>
          <w:szCs w:val="16"/>
          <w:color w:val="auto"/>
        </w:rPr>
        <w:t xml:space="preserve">Total return based on market value </w:t>
      </w:r>
      <w:r>
        <w:rPr>
          <w:rFonts w:ascii="Times New Roman" w:cs="Times New Roman" w:eastAsia="Times New Roman" w:hAnsi="Times New Roman"/>
          <w:sz w:val="21"/>
          <w:szCs w:val="21"/>
          <w:color w:val="auto"/>
          <w:vertAlign w:val="superscript"/>
        </w:rPr>
        <w:t>(4)</w:t>
      </w:r>
    </w:p>
    <w:p>
      <w:pPr>
        <w:ind w:left="1080"/>
        <w:spacing w:after="0"/>
        <w:rPr>
          <w:sz w:val="20"/>
          <w:szCs w:val="20"/>
          <w:color w:val="auto"/>
        </w:rPr>
      </w:pPr>
      <w:r>
        <w:rPr>
          <w:rFonts w:ascii="Times New Roman" w:cs="Times New Roman" w:eastAsia="Times New Roman" w:hAnsi="Times New Roman"/>
          <w:sz w:val="16"/>
          <w:szCs w:val="16"/>
          <w:color w:val="auto"/>
        </w:rPr>
        <w:t xml:space="preserve">Total return based on net asset value </w:t>
      </w:r>
      <w:r>
        <w:rPr>
          <w:rFonts w:ascii="Times New Roman" w:cs="Times New Roman" w:eastAsia="Times New Roman" w:hAnsi="Times New Roman"/>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13970</wp:posOffset>
            </wp:positionV>
            <wp:extent cx="5365750" cy="152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65750" cy="152400"/>
                    </a:xfrm>
                    <a:prstGeom prst="rect">
                      <a:avLst/>
                    </a:prstGeom>
                    <a:noFill/>
                  </pic:spPr>
                </pic:pic>
              </a:graphicData>
            </a:graphic>
          </wp:anchor>
        </w:drawing>
      </w:r>
    </w:p>
    <w:p>
      <w:pPr>
        <w:spacing w:after="0" w:line="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Shares Outstanding, End of Period</w:t>
      </w:r>
    </w:p>
    <w:p>
      <w:pPr>
        <w:spacing w:after="0" w:line="1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 xml:space="preserve">Ratios / Supplemental Data </w:t>
      </w:r>
      <w:r>
        <w:rPr>
          <w:rFonts w:ascii="Times New Roman" w:cs="Times New Roman" w:eastAsia="Times New Roman" w:hAnsi="Times New Roman"/>
          <w:sz w:val="21"/>
          <w:szCs w:val="21"/>
          <w:b w:val="1"/>
          <w:bCs w:val="1"/>
          <w:color w:val="auto"/>
          <w:vertAlign w:val="superscript"/>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15875</wp:posOffset>
            </wp:positionV>
            <wp:extent cx="5365750" cy="152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65750" cy="152400"/>
                    </a:xfrm>
                    <a:prstGeom prst="rect">
                      <a:avLst/>
                    </a:prstGeom>
                    <a:noFill/>
                  </pic:spPr>
                </pic:pic>
              </a:graphicData>
            </a:graphic>
          </wp:anchor>
        </w:drawing>
      </w: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Ratio of net expenses to average net assets</w:t>
      </w:r>
    </w:p>
    <w:p>
      <w:pPr>
        <w:spacing w:after="0" w:line="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Ratio of net investment income to average net assets</w:t>
      </w:r>
    </w:p>
    <w:p>
      <w:pPr>
        <w:spacing w:after="0" w:line="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Portfolio turnover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-115570</wp:posOffset>
            </wp:positionV>
            <wp:extent cx="5365750" cy="160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65750" cy="160020"/>
                    </a:xfrm>
                    <a:prstGeom prst="rect">
                      <a:avLst/>
                    </a:prstGeom>
                    <a:noFill/>
                  </pic:spPr>
                </pic:pic>
              </a:graphicData>
            </a:graphic>
          </wp:anchor>
        </w:drawing>
      </w:r>
    </w:p>
    <w:p>
      <w:pPr>
        <w:spacing w:after="0" w:line="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Net assets, end of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3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240"/>
        </w:trPr>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4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462"/>
        </w:trPr>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140" w:type="dxa"/>
            <w:vAlign w:val="bottom"/>
          </w:tcPr>
          <w:p>
            <w:pPr>
              <w:spacing w:after="0"/>
              <w:rPr>
                <w:sz w:val="24"/>
                <w:szCs w:val="24"/>
                <w:color w:val="auto"/>
              </w:rPr>
            </w:pPr>
          </w:p>
        </w:tc>
      </w:tr>
      <w:tr>
        <w:trPr>
          <w:trHeight w:val="480"/>
        </w:trPr>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Pr>
          <w:p>
            <w:pPr>
              <w:spacing w:after="0"/>
              <w:rPr>
                <w:sz w:val="24"/>
                <w:szCs w:val="24"/>
                <w:color w:val="auto"/>
              </w:rPr>
            </w:pPr>
          </w:p>
        </w:tc>
      </w:tr>
      <w:tr>
        <w:trPr>
          <w:trHeight w:val="312"/>
        </w:trPr>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(0.14 )</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tcPr>
          <w:p>
            <w:pPr>
              <w:spacing w:after="0"/>
              <w:rPr>
                <w:sz w:val="24"/>
                <w:szCs w:val="24"/>
                <w:color w:val="auto"/>
              </w:rPr>
            </w:pPr>
          </w:p>
        </w:tc>
      </w:tr>
      <w:tr>
        <w:trPr>
          <w:trHeight w:val="312"/>
        </w:trPr>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tcPr>
          <w:p>
            <w:pPr>
              <w:spacing w:after="0"/>
              <w:rPr>
                <w:sz w:val="24"/>
                <w:szCs w:val="24"/>
                <w:color w:val="auto"/>
              </w:rPr>
            </w:pPr>
          </w:p>
        </w:tc>
      </w:tr>
      <w:tr>
        <w:trPr>
          <w:trHeight w:val="264"/>
        </w:trPr>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22"/>
                <w:szCs w:val="22"/>
                <w:color w:val="auto"/>
              </w:rPr>
            </w:pPr>
          </w:p>
        </w:tc>
      </w:tr>
      <w:tr>
        <w:trPr>
          <w:trHeight w:val="216"/>
        </w:trPr>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(1.06 )</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(1.05 )</w:t>
            </w:r>
          </w:p>
        </w:tc>
      </w:tr>
      <w:tr>
        <w:trPr>
          <w:trHeight w:val="468"/>
        </w:trPr>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tcPr>
          <w:p>
            <w:pPr>
              <w:spacing w:after="0"/>
              <w:rPr>
                <w:sz w:val="24"/>
                <w:szCs w:val="24"/>
                <w:color w:val="auto"/>
              </w:rPr>
            </w:pPr>
          </w:p>
        </w:tc>
      </w:tr>
      <w:tr>
        <w:trPr>
          <w:trHeight w:val="205"/>
        </w:trPr>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40" w:type="dxa"/>
            <w:vAlign w:val="bottom"/>
          </w:tcPr>
          <w:p>
            <w:pPr>
              <w:spacing w:after="0"/>
              <w:rPr>
                <w:sz w:val="17"/>
                <w:szCs w:val="17"/>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5"/>
        </w:trPr>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40" w:type="dxa"/>
            <w:vAlign w:val="bottom"/>
          </w:tcPr>
          <w:p>
            <w:pPr>
              <w:spacing w:after="0"/>
              <w:rPr>
                <w:sz w:val="18"/>
                <w:szCs w:val="18"/>
                <w:color w:val="auto"/>
              </w:rPr>
            </w:pPr>
          </w:p>
        </w:tc>
      </w:tr>
      <w:tr>
        <w:trPr>
          <w:trHeight w:val="240"/>
        </w:trPr>
        <w:tc>
          <w:tcPr>
            <w:tcW w:w="1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4.10 %</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11.43 %</w:t>
            </w:r>
          </w:p>
        </w:tc>
      </w:tr>
      <w:tr>
        <w:trPr>
          <w:trHeight w:val="240"/>
        </w:trPr>
        <w:tc>
          <w:tcPr>
            <w:tcW w:w="1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3.75 %</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10.90 %</w:t>
            </w:r>
          </w:p>
        </w:tc>
      </w:tr>
      <w:tr>
        <w:trPr>
          <w:trHeight w:val="240"/>
        </w:trPr>
        <w:tc>
          <w:tcPr>
            <w:tcW w:w="1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7.12 %</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7.95 %</w:t>
            </w:r>
          </w:p>
        </w:tc>
      </w:tr>
      <w:tr>
        <w:trPr>
          <w:trHeight w:val="240"/>
        </w:trPr>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93,017,205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87,241,231</w:t>
            </w:r>
          </w:p>
        </w:tc>
        <w:tc>
          <w:tcPr>
            <w:tcW w:w="140" w:type="dxa"/>
            <w:vAlign w:val="bottom"/>
          </w:tcPr>
          <w:p>
            <w:pPr>
              <w:spacing w:after="0"/>
              <w:rPr>
                <w:sz w:val="20"/>
                <w:szCs w:val="20"/>
                <w:color w:val="auto"/>
              </w:rPr>
            </w:pPr>
          </w:p>
        </w:tc>
      </w:tr>
      <w:tr>
        <w:trPr>
          <w:trHeight w:val="480"/>
        </w:trPr>
        <w:tc>
          <w:tcPr>
            <w:tcW w:w="14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16.94 %</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16.22 %</w:t>
            </w:r>
          </w:p>
        </w:tc>
      </w:tr>
      <w:tr>
        <w:trPr>
          <w:trHeight w:val="240"/>
        </w:trPr>
        <w:tc>
          <w:tcPr>
            <w:tcW w:w="1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13.79 %</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13.24 %</w:t>
            </w:r>
          </w:p>
        </w:tc>
      </w:tr>
      <w:tr>
        <w:trPr>
          <w:trHeight w:val="253"/>
        </w:trPr>
        <w:tc>
          <w:tcPr>
            <w:tcW w:w="14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23.94 %</w:t>
            </w:r>
          </w:p>
        </w:tc>
        <w:tc>
          <w:tcPr>
            <w:tcW w:w="140" w:type="dxa"/>
            <w:vAlign w:val="bottom"/>
          </w:tcPr>
          <w:p>
            <w:pPr>
              <w:spacing w:after="0"/>
              <w:rPr>
                <w:sz w:val="22"/>
                <w:szCs w:val="22"/>
                <w:color w:val="auto"/>
              </w:rPr>
            </w:pPr>
          </w:p>
        </w:tc>
        <w:tc>
          <w:tcPr>
            <w:tcW w:w="1140" w:type="dxa"/>
            <w:vAlign w:val="bottom"/>
            <w:gridSpan w:val="2"/>
          </w:tcPr>
          <w:p>
            <w:pPr>
              <w:jc w:val="right"/>
              <w:spacing w:after="0" w:line="253" w:lineRule="exact"/>
              <w:rPr>
                <w:sz w:val="20"/>
                <w:szCs w:val="20"/>
                <w:color w:val="auto"/>
              </w:rPr>
            </w:pPr>
            <w:r>
              <w:rPr>
                <w:rFonts w:ascii="Times New Roman" w:cs="Times New Roman" w:eastAsia="Times New Roman" w:hAnsi="Times New Roman"/>
                <w:sz w:val="15"/>
                <w:szCs w:val="15"/>
                <w:color w:val="auto"/>
              </w:rPr>
              <w:t xml:space="preserve">12.65 </w:t>
            </w:r>
            <w:r>
              <w:rPr>
                <w:rFonts w:ascii="Times New Roman" w:cs="Times New Roman" w:eastAsia="Times New Roman" w:hAnsi="Times New Roman"/>
                <w:sz w:val="29"/>
                <w:szCs w:val="29"/>
                <w:color w:val="auto"/>
                <w:vertAlign w:val="subscript"/>
              </w:rPr>
              <w:t>%</w:t>
            </w:r>
          </w:p>
        </w:tc>
      </w:tr>
      <w:tr>
        <w:trPr>
          <w:trHeight w:val="204"/>
        </w:trPr>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1,599,035</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1,460,529</w:t>
            </w:r>
          </w:p>
        </w:tc>
        <w:tc>
          <w:tcPr>
            <w:tcW w:w="140" w:type="dxa"/>
            <w:vAlign w:val="bottom"/>
          </w:tcPr>
          <w:p>
            <w:pPr>
              <w:spacing w:after="0"/>
              <w:rPr>
                <w:sz w:val="17"/>
                <w:szCs w:val="17"/>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40" w:orient="portrait"/>
          <w:cols w:equalWidth="0" w:num="2">
            <w:col w:w="6240" w:space="720"/>
            <w:col w:w="3620"/>
          </w:cols>
          <w:pgMar w:left="660" w:top="1440" w:right="66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(1)The per share data was derived by using the weighted average shares outstanding during the period.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per share data was derived by using the actual shares outstanding at the date of the relevant transactions.</w:t>
      </w:r>
    </w:p>
    <w:p>
      <w:pPr>
        <w:spacing w:after="0" w:line="234" w:lineRule="auto"/>
        <w:rPr>
          <w:sz w:val="20"/>
          <w:szCs w:val="20"/>
          <w:color w:val="auto"/>
        </w:rPr>
      </w:pPr>
      <w:r>
        <w:rPr>
          <w:rFonts w:ascii="Times New Roman" w:cs="Times New Roman" w:eastAsia="Times New Roman" w:hAnsi="Times New Roman"/>
          <w:sz w:val="16"/>
          <w:szCs w:val="16"/>
          <w:color w:val="auto"/>
        </w:rPr>
        <w:t>(3)Total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sz w:val="20"/>
          <w:szCs w:val="20"/>
          <w:color w:val="auto"/>
        </w:rPr>
      </w:pPr>
    </w:p>
    <w:p>
      <w:pPr>
        <w:jc w:val="both"/>
        <w:ind w:right="40"/>
        <w:spacing w:after="0" w:line="234" w:lineRule="auto"/>
        <w:rPr>
          <w:sz w:val="20"/>
          <w:szCs w:val="20"/>
          <w:color w:val="auto"/>
        </w:rPr>
      </w:pPr>
      <w:r>
        <w:rPr>
          <w:rFonts w:ascii="Times New Roman" w:cs="Times New Roman" w:eastAsia="Times New Roman" w:hAnsi="Times New Roman"/>
          <w:sz w:val="16"/>
          <w:szCs w:val="16"/>
          <w:color w:val="auto"/>
        </w:rPr>
        <w:t>(4)Total return based on market value is calculated as the change in market value per share during the period plus declared dividends per share, divided by the beginning market value per share.</w:t>
      </w:r>
    </w:p>
    <w:p>
      <w:pPr>
        <w:spacing w:after="0" w:line="1"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6"/>
          <w:szCs w:val="16"/>
          <w:color w:val="auto"/>
        </w:rPr>
        <w:t>(5)Total return based on net asset value is calculated as the change in net asset value per share during the period plus declared dividends per share, divided by the beginning net asset value per share.</w:t>
      </w:r>
    </w:p>
    <w:p>
      <w:pPr>
        <w:spacing w:after="0" w:line="236" w:lineRule="auto"/>
        <w:rPr>
          <w:sz w:val="20"/>
          <w:szCs w:val="20"/>
          <w:color w:val="auto"/>
        </w:rPr>
      </w:pPr>
      <w:r>
        <w:rPr>
          <w:rFonts w:ascii="Times New Roman" w:cs="Times New Roman" w:eastAsia="Times New Roman" w:hAnsi="Times New Roman"/>
          <w:sz w:val="16"/>
          <w:szCs w:val="16"/>
          <w:color w:val="auto"/>
        </w:rPr>
        <w:t>(6)The ratios reflect an annualized amount.</w:t>
      </w:r>
    </w:p>
    <w:p>
      <w:pPr>
        <w:jc w:val="both"/>
        <w:ind w:right="60"/>
        <w:spacing w:after="0" w:line="234" w:lineRule="auto"/>
        <w:rPr>
          <w:sz w:val="20"/>
          <w:szCs w:val="20"/>
          <w:color w:val="auto"/>
        </w:rPr>
      </w:pPr>
      <w:r>
        <w:rPr>
          <w:rFonts w:ascii="Times New Roman" w:cs="Times New Roman" w:eastAsia="Times New Roman" w:hAnsi="Times New Roman"/>
          <w:sz w:val="16"/>
          <w:szCs w:val="16"/>
          <w:color w:val="auto"/>
        </w:rPr>
        <w:t>(7)The ratio of net expenses to average net assets in the table above reflects the Adviser’s waivers of its right to receive a portion of the Management Fee pursuant to the Leverage Waiver for the six months ended June 30, 2024 and 2023. Excluding the effects of the waivers, the ratio of net expenses to average net assets would have been 17.03% and 16.30%, respectively, for the six months ended June 30, 2024 and 2023.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(8)Table may not sum due to rounding.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Subsequent Events</w:t>
      </w:r>
    </w:p>
    <w:p>
      <w:pPr>
        <w:spacing w:after="0" w:line="94" w:lineRule="exact"/>
        <w:rPr>
          <w:sz w:val="20"/>
          <w:szCs w:val="20"/>
          <w:color w:val="auto"/>
        </w:rPr>
      </w:pPr>
    </w:p>
    <w:p>
      <w:pPr>
        <w:ind w:right="40" w:firstLine="228"/>
        <w:spacing w:after="0" w:line="242" w:lineRule="auto"/>
        <w:rPr>
          <w:sz w:val="20"/>
          <w:szCs w:val="20"/>
          <w:color w:val="auto"/>
        </w:rPr>
      </w:pPr>
      <w:r>
        <w:rPr>
          <w:rFonts w:ascii="Times New Roman" w:cs="Times New Roman" w:eastAsia="Times New Roman" w:hAnsi="Times New Roman"/>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six months ended June 30, 2024.</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92" w:lineRule="exact"/>
        <w:rPr>
          <w:sz w:val="20"/>
          <w:szCs w:val="20"/>
          <w:color w:val="auto"/>
        </w:rPr>
      </w:pPr>
    </w:p>
    <w:p>
      <w:pPr>
        <w:ind w:right="260" w:firstLine="228"/>
        <w:spacing w:after="0" w:line="248" w:lineRule="auto"/>
        <w:rPr>
          <w:sz w:val="20"/>
          <w:szCs w:val="20"/>
          <w:color w:val="auto"/>
        </w:rPr>
      </w:pPr>
      <w:r>
        <w:rPr>
          <w:rFonts w:ascii="Times New Roman" w:cs="Times New Roman" w:eastAsia="Times New Roman" w:hAnsi="Times New Roman"/>
          <w:sz w:val="16"/>
          <w:szCs w:val="16"/>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spacing w:after="0" w:line="167"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requirement to invest at least 70% of our assets in “qualifying assets”;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•source of income limitations;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•asset diversification requirements; and</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requirement to distribute (or be treated as distributing) in each taxable year at least 90% of our investment company taxable income and tax-exempt interest for that taxable year.</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shares are listed on the NYSE under the symbol “TSLX.”</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Investment Framework</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are a specialty finance company focused on lending to middle-market companies. Since we began our investment activities in July 2011, through June 30, 2024, we have originated approximately $37.9 billion aggregate principal amount of investments and retained approximately $10.4 billion aggregate principal amount of these investments on our balance sheet prior to any subsequent exits and repayments. We seek to generate current income primarily in U.S.-domiciled middle -market companies through direct originations of senior secured loans and, to a lesser extent, originations of mezzanine and unsecured loans and investments in corporate bonds, equity securities, and other instruments.</w:t>
      </w:r>
    </w:p>
    <w:p>
      <w:pPr>
        <w:spacing w:after="0" w:line="169" w:lineRule="exact"/>
        <w:rPr>
          <w:sz w:val="20"/>
          <w:szCs w:val="20"/>
          <w:color w:val="auto"/>
        </w:rPr>
      </w:pPr>
    </w:p>
    <w:p>
      <w:pPr>
        <w:ind w:right="180" w:firstLine="228"/>
        <w:spacing w:after="0" w:line="243" w:lineRule="auto"/>
        <w:rPr>
          <w:sz w:val="20"/>
          <w:szCs w:val="20"/>
          <w:color w:val="auto"/>
        </w:rPr>
      </w:pPr>
      <w:r>
        <w:rPr>
          <w:rFonts w:ascii="Times New Roman" w:cs="Times New Roman" w:eastAsia="Times New Roman" w:hAnsi="Times New Roman"/>
          <w:sz w:val="16"/>
          <w:szCs w:val="16"/>
          <w:color w:val="auto"/>
        </w:rPr>
        <w:t>By “middle-market companies,” we mean companies that have annual EBITDA, which we believe is a useful proxy for cash flow, of $10 million to $250 million, although we may invest in larger or smaller companies on occasion. As of June 30, 2024, our core portfolio companies, which exclude certain investments that fall outside of our typical borrower profile and represent 97.9% of our total investments based on fair value, had weighted average annual revenue of $310.4 million and weighted average annual EBITDA of $104.4 million.</w:t>
      </w:r>
    </w:p>
    <w:p>
      <w:pPr>
        <w:spacing w:after="0" w:line="167"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37" w:lineRule="exact"/>
        <w:rPr>
          <w:sz w:val="20"/>
          <w:szCs w:val="20"/>
          <w:color w:val="auto"/>
        </w:rPr>
      </w:pPr>
    </w:p>
    <w:p>
      <w:pPr>
        <w:ind w:right="16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820" w:firstLine="228"/>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use our capital to support organic growth, acquisitions, market or product expansion and recapitalizations (including restructurings). As of June 30, 2024, the largest single investment based on fair value represented 2.4% of our total investment portfolio.</w:t>
      </w:r>
    </w:p>
    <w:p>
      <w:pPr>
        <w:spacing w:after="0" w:line="155" w:lineRule="exact"/>
        <w:rPr>
          <w:sz w:val="20"/>
          <w:szCs w:val="20"/>
          <w:color w:val="auto"/>
        </w:rPr>
      </w:pPr>
    </w:p>
    <w:p>
      <w:pPr>
        <w:ind w:right="200" w:firstLine="228"/>
        <w:spacing w:after="0" w:line="277" w:lineRule="auto"/>
        <w:rPr>
          <w:sz w:val="20"/>
          <w:szCs w:val="20"/>
          <w:color w:val="auto"/>
        </w:rPr>
      </w:pPr>
      <w:r>
        <w:rPr>
          <w:rFonts w:ascii="Times New Roman" w:cs="Times New Roman" w:eastAsia="Times New Roman" w:hAnsi="Times New Roman"/>
          <w:sz w:val="14"/>
          <w:szCs w:val="14"/>
          <w:color w:val="auto"/>
        </w:rPr>
        <w:t>As of June 30, 2024, the average investment size in each of our portfolio companies was approximately $30.4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$31.5 million as of June 30, 2024.</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59" w:right="720" w:bottom="1440" w:gutter="0" w:footer="0" w:header="0"/>
        </w:sectPr>
      </w:pPr>
    </w:p>
    <w:bookmarkStart w:id="46" w:name="page47"/>
    <w:bookmarkEnd w:id="46"/>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Through our Adviser, we consider potential investments utilizing a four-tiered investment framework and against our existing portfolio as a whole:</w:t>
      </w:r>
    </w:p>
    <w:p>
      <w:pPr>
        <w:spacing w:after="0" w:line="186" w:lineRule="exact"/>
        <w:rPr>
          <w:sz w:val="20"/>
          <w:szCs w:val="20"/>
          <w:color w:val="auto"/>
        </w:rPr>
      </w:pPr>
    </w:p>
    <w:p>
      <w:pPr>
        <w:ind w:right="180" w:firstLine="22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Business and sector selection. </w:t>
      </w:r>
      <w:r>
        <w:rPr>
          <w:rFonts w:ascii="Times New Roman" w:cs="Times New Roman" w:eastAsia="Times New Roman" w:hAnsi="Times New Roman"/>
          <w:sz w:val="16"/>
          <w:szCs w:val="16"/>
          <w:color w:val="auto"/>
        </w:rPr>
        <w:t>We focus on companies with enterprise value between $50 million and $1 billion. When reviewing potential investments, we seek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66"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June 30, 2024, the largest industry represented 16.8% of our total investment portfolio based on fair value.</w:t>
      </w:r>
    </w:p>
    <w:p>
      <w:pPr>
        <w:spacing w:after="0" w:line="186" w:lineRule="exact"/>
        <w:rPr>
          <w:sz w:val="20"/>
          <w:szCs w:val="20"/>
          <w:color w:val="auto"/>
        </w:rPr>
      </w:pPr>
    </w:p>
    <w:p>
      <w:pPr>
        <w:ind w:right="160" w:firstLine="228"/>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Investment Structuring. </w:t>
      </w:r>
      <w:r>
        <w:rPr>
          <w:rFonts w:ascii="Times New Roman" w:cs="Times New Roman" w:eastAsia="Times New Roman" w:hAnsi="Times New Roman"/>
          <w:sz w:val="14"/>
          <w:szCs w:val="14"/>
          <w:color w:val="auto"/>
        </w:rPr>
        <w:t>We focus on investing at the top of the capital structure and protecting that position. As of June 30, 2024, approximately 93.6%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portfolio was invested in secured debt, including 92.8% in first- 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six months ended June 30, 2024, the weighted average term on new investment commitments in new portfolio companies was 6.1 years.</w:t>
      </w:r>
    </w:p>
    <w:p>
      <w:pPr>
        <w:spacing w:after="0" w:line="141"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Deal Dynamics. </w:t>
      </w:r>
      <w:r>
        <w:rPr>
          <w:rFonts w:ascii="Times New Roman" w:cs="Times New Roman" w:eastAsia="Times New Roman" w:hAnsi="Times New Roman"/>
          <w:sz w:val="16"/>
          <w:szCs w:val="16"/>
          <w:color w:val="auto"/>
        </w:rPr>
        <w:t>We focus on, among other deal dynamics, direct origination of investments, where we identify and lead the investment transaction. A substantial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of our portfolio investments are sourced through our direct or proprietary relationships.</w:t>
      </w:r>
    </w:p>
    <w:p>
      <w:pPr>
        <w:spacing w:after="0" w:line="150" w:lineRule="exact"/>
        <w:rPr>
          <w:sz w:val="20"/>
          <w:szCs w:val="20"/>
          <w:color w:val="auto"/>
        </w:rPr>
      </w:pPr>
    </w:p>
    <w:p>
      <w:pPr>
        <w:ind w:firstLine="22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 Mitigation. </w:t>
      </w:r>
      <w:r>
        <w:rPr>
          <w:rFonts w:ascii="Times New Roman" w:cs="Times New Roman" w:eastAsia="Times New Roman" w:hAnsi="Times New Roman"/>
          <w:sz w:val="14"/>
          <w:szCs w:val="14"/>
          <w:color w:val="auto"/>
        </w:rPr>
        <w:t>We seek to mitigate non-credit-related risk on our returns in several ways, including call protection provisions to protect future interest income.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June 30, 2024, we had call protection on 75.1% of our debt investments based on fair value, with weighted average call prices of 106.5% for the first year, 103.3% for the second year and 101.0% for the third year, in each case from the date of the initial investment. As of June 30, 2024, 99.6% of our debt investments based on fair value bore interest at floating rates, with 100.0% of these subject to interest rate floors, which we believe helps act as a portfolio-wide hedge against inflation.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our Adviser and Sixth Street</w:t>
      </w:r>
    </w:p>
    <w:p>
      <w:pPr>
        <w:spacing w:after="0" w:line="96"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3" w:lineRule="exact"/>
        <w:rPr>
          <w:sz w:val="20"/>
          <w:szCs w:val="20"/>
          <w:color w:val="auto"/>
        </w:rPr>
      </w:pPr>
    </w:p>
    <w:p>
      <w:pPr>
        <w:ind w:right="100" w:firstLine="228"/>
        <w:spacing w:after="0" w:line="275" w:lineRule="auto"/>
        <w:rPr>
          <w:sz w:val="20"/>
          <w:szCs w:val="20"/>
          <w:color w:val="auto"/>
        </w:rPr>
      </w:pPr>
      <w:r>
        <w:rPr>
          <w:rFonts w:ascii="Times New Roman" w:cs="Times New Roman" w:eastAsia="Times New Roman" w:hAnsi="Times New Roman"/>
          <w:sz w:val="14"/>
          <w:szCs w:val="14"/>
          <w:color w:val="auto"/>
        </w:rPr>
        <w:t>Sixth Street is a global investment business with over $78 billion of assets under management as of June 30, 2024.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610 investment and operating professionals. As of June 30, 2024, sixty-six (66) of these personnel are dedicated to direct lending, including fifty-one (51) investment professionals.</w:t>
      </w:r>
    </w:p>
    <w:p>
      <w:pPr>
        <w:spacing w:after="0" w:line="332" w:lineRule="exact"/>
        <w:rPr>
          <w:sz w:val="20"/>
          <w:szCs w:val="20"/>
          <w:color w:val="auto"/>
        </w:rPr>
      </w:pPr>
    </w:p>
    <w:p>
      <w:pPr>
        <w:ind w:right="100" w:firstLine="228"/>
        <w:spacing w:after="0" w:line="242"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47" w:name="page48"/>
    <w:bookmarkEnd w:id="47"/>
    <w:p>
      <w:pPr>
        <w:spacing w:after="0" w:line="11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64"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73"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6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focus primarily on the direct origination of loans to middle-market companies domiciled in the United States.</w:t>
      </w:r>
    </w:p>
    <w:p>
      <w:pPr>
        <w:spacing w:after="0" w:line="18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as part of our risk strategy on investments, we may reduce certain levels of investments through partial sales or syndication to additional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6"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June 30, 2024, 99.6%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three and six months ended June 30, 2024, 7.7% and 7.3%, respectively, of our total investment income was comprised of PIK interest.</w:t>
      </w:r>
    </w:p>
    <w:p>
      <w:pPr>
        <w:spacing w:after="0" w:line="169"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2024 Notes, 2026 Notes, 2028 Notes and 2029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8" w:name="page49"/>
    <w:bookmarkEnd w:id="48"/>
    <w:p>
      <w:pPr>
        <w:spacing w:after="0" w:line="113"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rate of new investments made during that period—often are idiosyncratic, and reflect the characteristics of the particular portfolio companies that we invested in or exited during the period and not necessarily any trends in our business.</w:t>
      </w:r>
    </w:p>
    <w:p>
      <w:pPr>
        <w:spacing w:after="0" w:line="155"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9"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Loan origination fees, original issue discount and market discount or premium are capitalized, and we accrete or amortize such amounts as interest income using the effective interest method for term instruments and the straight -line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69"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Dividend income on common equity investments is recorded on the record date for private portfolio companies or on the ex-dividend date for publicly traded portfolio companies.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right="540" w:firstLine="228"/>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56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24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stock and other securities, including registration and listing fees; •the Management Fee and any Incentive Fee;</w:t>
      </w:r>
    </w:p>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92" w:lineRule="exact"/>
        <w:rPr>
          <w:sz w:val="20"/>
          <w:szCs w:val="20"/>
          <w:color w:val="auto"/>
        </w:rPr>
      </w:pPr>
    </w:p>
    <w:p>
      <w:pPr>
        <w:ind w:left="240" w:right="80"/>
        <w:spacing w:after="0" w:line="243"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8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 •transfer agent and custodial fees;</w:t>
      </w: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9" w:name="page50"/>
    <w:bookmarkEnd w:id="49"/>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Director fees and expenses;</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20"/>
        <w:spacing w:after="0" w:line="360" w:lineRule="auto"/>
        <w:rPr>
          <w:sz w:val="20"/>
          <w:szCs w:val="20"/>
          <w:color w:val="auto"/>
        </w:rPr>
      </w:pPr>
      <w:r>
        <w:rPr>
          <w:rFonts w:ascii="Times New Roman" w:cs="Times New Roman" w:eastAsia="Times New Roman" w:hAnsi="Times New Roman"/>
          <w:sz w:val="16"/>
          <w:szCs w:val="16"/>
          <w:color w:val="auto"/>
        </w:rPr>
        <w:t>•directors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Leverage</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Trends</w:t>
      </w:r>
    </w:p>
    <w:p>
      <w:pPr>
        <w:spacing w:after="0" w:line="96" w:lineRule="exact"/>
        <w:rPr>
          <w:sz w:val="20"/>
          <w:szCs w:val="20"/>
          <w:color w:val="auto"/>
        </w:rPr>
      </w:pPr>
    </w:p>
    <w:p>
      <w:pPr>
        <w:jc w:val="both"/>
        <w:ind w:right="340" w:firstLine="228"/>
        <w:spacing w:after="0" w:line="331" w:lineRule="auto"/>
        <w:rPr>
          <w:sz w:val="20"/>
          <w:szCs w:val="20"/>
          <w:color w:val="auto"/>
        </w:rPr>
      </w:pPr>
      <w:r>
        <w:rPr>
          <w:rFonts w:ascii="Times New Roman" w:cs="Times New Roman" w:eastAsia="Times New Roman" w:hAnsi="Times New Roman"/>
          <w:sz w:val="14"/>
          <w:szCs w:val="14"/>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08"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Subsequent to the global financial crisis, the implementation of regulatory changes such as Basel III requirements, Leverage Lending Guidance, and the Volcker Rule, tightened risk appetites and reduced the capacity of traditional lenders to serve middle- 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67" w:lineRule="exact"/>
        <w:rPr>
          <w:sz w:val="20"/>
          <w:szCs w:val="20"/>
          <w:color w:val="auto"/>
        </w:rPr>
      </w:pPr>
    </w:p>
    <w:p>
      <w:pPr>
        <w:ind w:right="260" w:firstLine="228"/>
        <w:spacing w:after="0" w:line="299" w:lineRule="auto"/>
        <w:rPr>
          <w:sz w:val="20"/>
          <w:szCs w:val="20"/>
          <w:color w:val="auto"/>
        </w:rPr>
      </w:pPr>
      <w:r>
        <w:rPr>
          <w:rFonts w:ascii="Times New Roman" w:cs="Times New Roman" w:eastAsia="Times New Roman" w:hAnsi="Times New Roman"/>
          <w:sz w:val="14"/>
          <w:szCs w:val="14"/>
          <w:color w:val="auto"/>
        </w:rPr>
        <w:t>This market dynamic is further exacerbated by the specialized due diligence and underwriting capabilities, as well as extensive ongoing monitoring, required for middle -market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31" w:lineRule="exact"/>
        <w:rPr>
          <w:sz w:val="20"/>
          <w:szCs w:val="20"/>
          <w:color w:val="auto"/>
        </w:rPr>
      </w:pPr>
    </w:p>
    <w:p>
      <w:pPr>
        <w:ind w:right="320" w:firstLine="228"/>
        <w:spacing w:after="0" w:line="243" w:lineRule="auto"/>
        <w:rPr>
          <w:sz w:val="20"/>
          <w:szCs w:val="20"/>
          <w:color w:val="auto"/>
        </w:rPr>
      </w:pPr>
      <w:r>
        <w:rPr>
          <w:rFonts w:ascii="Times New Roman" w:cs="Times New Roman" w:eastAsia="Times New Roman" w:hAnsi="Times New Roman"/>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9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As of June 30, 2024, our portfolio based on fair value consisted of 92.8% first-lien debt investments, 0.8% second-lien investments, 1.3% mezzanine debt investments, 4.9% equity and other investments and 0.2% structured credit investments. As of December 31, 2023, our portfolio based on fair value consisted of 91.3% first-lien debt investments, 1.1% second-lien debt investments, 1.2% mezzanine debt investments, 4.7% equity and other investments and 1.7% structured credit investments.</w:t>
      </w:r>
    </w:p>
    <w:p>
      <w:pPr>
        <w:spacing w:after="0" w:line="167" w:lineRule="exact"/>
        <w:rPr>
          <w:sz w:val="20"/>
          <w:szCs w:val="20"/>
          <w:color w:val="auto"/>
        </w:rPr>
      </w:pPr>
    </w:p>
    <w:p>
      <w:pPr>
        <w:ind w:right="140" w:firstLine="228"/>
        <w:spacing w:after="0" w:line="246" w:lineRule="auto"/>
        <w:rPr>
          <w:sz w:val="20"/>
          <w:szCs w:val="20"/>
          <w:color w:val="auto"/>
        </w:rPr>
      </w:pPr>
      <w:r>
        <w:rPr>
          <w:rFonts w:ascii="Times New Roman" w:cs="Times New Roman" w:eastAsia="Times New Roman" w:hAnsi="Times New Roman"/>
          <w:sz w:val="16"/>
          <w:szCs w:val="16"/>
          <w:color w:val="auto"/>
        </w:rPr>
        <w:t>As of June 30, 2024 and December 31, 2023, our weighted average total yield of debt and income producing securities at fair value (which includes interest income and amortization of fees and discounts) was 13.8% and 14.1%, respectively, and our weighted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0" w:name="page51"/>
    <w:bookmarkEnd w:id="50"/>
    <w:p>
      <w:pPr>
        <w:spacing w:after="0" w:line="11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average total yield of debt and income-producing securities at amortized cost (which includes interest income and amortization of fees and discounts) was 13.9% and 14.2%, respectively.</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As of June 30, 2024 and December 31, 2023, we had investments in 109 portfolio companies (including 4 structured credit investments, which include each series of collateralized loan obligation as a separate portfolio company investment) and 136 portfolio companies (including 42 structured credit investments, which include each series of collateralized loan obligation as a separate portfolio company investment), respectively, with an aggregate fair value of $3,317.1 million and $3,283.1 million, respectively.</w:t>
      </w:r>
    </w:p>
    <w:p>
      <w:pPr>
        <w:spacing w:after="0" w:line="167"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June 30, 2024, the principal amount of new investments funded was $163.6 million in eight new portfolio companies and five existing portfolio companies. For this period, we had $290.3 million aggregate principal amount in exits and repayments.</w:t>
      </w:r>
    </w:p>
    <w:p>
      <w:pPr>
        <w:spacing w:after="0" w:line="155"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June 30, 2023, the principal amount of new investments funded was $240.0 million in six new portfolio companies and four existing portfolio companies. For this period, we had $114.0 million aggregate principal amount in exits and repayments.</w:t>
      </w:r>
    </w:p>
    <w:p>
      <w:pPr>
        <w:spacing w:after="0" w:line="155" w:lineRule="exact"/>
        <w:rPr>
          <w:sz w:val="20"/>
          <w:szCs w:val="20"/>
          <w:color w:val="auto"/>
        </w:rPr>
      </w:pPr>
    </w:p>
    <w:p>
      <w:pPr>
        <w:ind w:right="500" w:firstLine="228"/>
        <w:spacing w:after="0" w:line="259" w:lineRule="auto"/>
        <w:rPr>
          <w:sz w:val="20"/>
          <w:szCs w:val="20"/>
          <w:color w:val="auto"/>
        </w:rPr>
      </w:pPr>
      <w:r>
        <w:rPr>
          <w:rFonts w:ascii="Times New Roman" w:cs="Times New Roman" w:eastAsia="Times New Roman" w:hAnsi="Times New Roman"/>
          <w:sz w:val="16"/>
          <w:szCs w:val="16"/>
          <w:color w:val="auto"/>
        </w:rPr>
        <w:t>Our investment activity for the three months ended June 30, 2024 and 2023 is presented below (information presented herein is at par value unless otherwise indicated).</w:t>
      </w:r>
    </w:p>
    <w:p>
      <w:pPr>
        <w:spacing w:after="0" w:line="178"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580" w:type="dxa"/>
            <w:vAlign w:val="bottom"/>
            <w:gridSpan w:val="4"/>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84"/>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340" w:type="dxa"/>
            <w:vAlign w:val="bottom"/>
          </w:tcPr>
          <w:p>
            <w:pPr>
              <w:spacing w:after="0"/>
              <w:rPr>
                <w:sz w:val="16"/>
                <w:szCs w:val="16"/>
                <w:color w:val="auto"/>
              </w:rPr>
            </w:pPr>
          </w:p>
        </w:tc>
        <w:tc>
          <w:tcPr>
            <w:tcW w:w="122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8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208"/>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New investment commitments:</w:t>
            </w:r>
          </w:p>
        </w:tc>
        <w:tc>
          <w:tcPr>
            <w:tcW w:w="1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4"/>
        </w:trPr>
        <w:tc>
          <w:tcPr>
            <w:tcW w:w="4680" w:type="dxa"/>
            <w:vAlign w:val="bottom"/>
          </w:tcPr>
          <w:p>
            <w:pPr>
              <w:ind w:left="160"/>
              <w:spacing w:after="0" w:line="204" w:lineRule="exact"/>
              <w:rPr>
                <w:sz w:val="20"/>
                <w:szCs w:val="20"/>
                <w:color w:val="auto"/>
              </w:rPr>
            </w:pPr>
            <w:r>
              <w:rPr>
                <w:rFonts w:ascii="Times New Roman" w:cs="Times New Roman" w:eastAsia="Times New Roman" w:hAnsi="Times New Roman"/>
                <w:sz w:val="16"/>
                <w:szCs w:val="16"/>
                <w:color w:val="auto"/>
              </w:rPr>
              <w:t xml:space="preserve">Gross originations </w:t>
            </w:r>
            <w:r>
              <w:rPr>
                <w:rFonts w:ascii="Times New Roman" w:cs="Times New Roman" w:eastAsia="Times New Roman" w:hAnsi="Times New Roman"/>
                <w:sz w:val="21"/>
                <w:szCs w:val="21"/>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1,858.8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1,522.9</w:t>
            </w:r>
          </w:p>
        </w:tc>
        <w:tc>
          <w:tcPr>
            <w:tcW w:w="60" w:type="dxa"/>
            <w:vAlign w:val="bottom"/>
          </w:tcPr>
          <w:p>
            <w:pPr>
              <w:spacing w:after="0"/>
              <w:rPr>
                <w:sz w:val="17"/>
                <w:szCs w:val="17"/>
                <w:color w:val="auto"/>
              </w:rPr>
            </w:pPr>
          </w:p>
        </w:tc>
      </w:tr>
      <w:tr>
        <w:trPr>
          <w:trHeight w:val="204"/>
        </w:trPr>
        <w:tc>
          <w:tcPr>
            <w:tcW w:w="4680" w:type="dxa"/>
            <w:vAlign w:val="bottom"/>
            <w:shd w:val="clear" w:color="auto" w:fill="CFF0FC"/>
          </w:tcPr>
          <w:p>
            <w:pPr>
              <w:ind w:left="160"/>
              <w:spacing w:after="0" w:line="204" w:lineRule="exact"/>
              <w:rPr>
                <w:sz w:val="20"/>
                <w:szCs w:val="20"/>
                <w:color w:val="auto"/>
              </w:rPr>
            </w:pPr>
            <w:r>
              <w:rPr>
                <w:rFonts w:ascii="Times New Roman" w:cs="Times New Roman" w:eastAsia="Times New Roman" w:hAnsi="Times New Roman"/>
                <w:sz w:val="16"/>
                <w:szCs w:val="16"/>
                <w:color w:val="auto"/>
              </w:rPr>
              <w:t xml:space="preserve">Less: Syndications/sell downs </w:t>
            </w:r>
            <w:r>
              <w:rPr>
                <w:rFonts w:ascii="Times New Roman" w:cs="Times New Roman" w:eastAsia="Times New Roman" w:hAnsi="Times New Roman"/>
                <w:sz w:val="21"/>
                <w:szCs w:val="21"/>
                <w:color w:val="auto"/>
                <w:vertAlign w:val="superscript"/>
              </w:rPr>
              <w:t>(1)</w:t>
            </w:r>
          </w:p>
        </w:tc>
        <w:tc>
          <w:tcPr>
            <w:tcW w:w="1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1,627.8</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1,262.5</w:t>
            </w:r>
          </w:p>
        </w:tc>
        <w:tc>
          <w:tcPr>
            <w:tcW w:w="60" w:type="dxa"/>
            <w:vAlign w:val="bottom"/>
          </w:tcPr>
          <w:p>
            <w:pPr>
              <w:spacing w:after="0"/>
              <w:rPr>
                <w:sz w:val="17"/>
                <w:szCs w:val="17"/>
                <w:color w:val="auto"/>
              </w:rPr>
            </w:pPr>
          </w:p>
        </w:tc>
      </w:tr>
      <w:tr>
        <w:trPr>
          <w:trHeight w:val="204"/>
        </w:trPr>
        <w:tc>
          <w:tcPr>
            <w:tcW w:w="4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new investment commitments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231.0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260.4</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Principal amount of investments funded:</w:t>
            </w:r>
          </w:p>
        </w:tc>
        <w:tc>
          <w:tcPr>
            <w:tcW w:w="1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163.6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209.3</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Second-lien</w:t>
            </w:r>
          </w:p>
        </w:tc>
        <w:tc>
          <w:tcPr>
            <w:tcW w:w="1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30.0</w:t>
            </w:r>
          </w:p>
        </w:tc>
        <w:tc>
          <w:tcPr>
            <w:tcW w:w="60" w:type="dxa"/>
            <w:vAlign w:val="bottom"/>
          </w:tcPr>
          <w:p>
            <w:pPr>
              <w:spacing w:after="0"/>
              <w:rPr>
                <w:sz w:val="17"/>
                <w:szCs w:val="17"/>
                <w:color w:val="auto"/>
              </w:rPr>
            </w:pPr>
          </w:p>
        </w:tc>
      </w:tr>
      <w:tr>
        <w:trPr>
          <w:trHeight w:val="204"/>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Mezzanine</w:t>
            </w:r>
          </w:p>
        </w:tc>
        <w:tc>
          <w:tcPr>
            <w:tcW w:w="1340" w:type="dxa"/>
            <w:vAlign w:val="bottom"/>
          </w:tcPr>
          <w:p>
            <w:pPr>
              <w:spacing w:after="0"/>
              <w:rPr>
                <w:sz w:val="17"/>
                <w:szCs w:val="17"/>
                <w:color w:val="auto"/>
              </w:rPr>
            </w:pP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Equity and other</w:t>
            </w:r>
          </w:p>
        </w:tc>
        <w:tc>
          <w:tcPr>
            <w:tcW w:w="1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tcPr>
          <w:p>
            <w:pPr>
              <w:spacing w:after="0"/>
              <w:rPr>
                <w:sz w:val="17"/>
                <w:szCs w:val="17"/>
                <w:color w:val="auto"/>
              </w:rPr>
            </w:pPr>
          </w:p>
        </w:tc>
      </w:tr>
      <w:tr>
        <w:trPr>
          <w:trHeight w:val="204"/>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Structured Credit</w:t>
            </w:r>
          </w:p>
        </w:tc>
        <w:tc>
          <w:tcPr>
            <w:tcW w:w="1340" w:type="dxa"/>
            <w:vAlign w:val="bottom"/>
          </w:tcPr>
          <w:p>
            <w:pPr>
              <w:spacing w:after="0"/>
              <w:rPr>
                <w:sz w:val="17"/>
                <w:szCs w:val="17"/>
                <w:color w:val="auto"/>
              </w:rPr>
            </w:pP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163.6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240.0</w:t>
            </w:r>
          </w:p>
        </w:tc>
        <w:tc>
          <w:tcPr>
            <w:tcW w:w="60" w:type="dxa"/>
            <w:vAlign w:val="bottom"/>
          </w:tcPr>
          <w:p>
            <w:pPr>
              <w:spacing w:after="0"/>
              <w:rPr>
                <w:sz w:val="17"/>
                <w:szCs w:val="17"/>
                <w:color w:val="auto"/>
              </w:rPr>
            </w:pPr>
          </w:p>
        </w:tc>
      </w:tr>
      <w:tr>
        <w:trPr>
          <w:trHeight w:val="204"/>
        </w:trPr>
        <w:tc>
          <w:tcPr>
            <w:tcW w:w="4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 amount of investments sold or repaid:</w:t>
            </w: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265.2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112.3</w:t>
            </w:r>
          </w:p>
        </w:tc>
        <w:tc>
          <w:tcPr>
            <w:tcW w:w="60" w:type="dxa"/>
            <w:vAlign w:val="bottom"/>
          </w:tcPr>
          <w:p>
            <w:pPr>
              <w:spacing w:after="0"/>
              <w:rPr>
                <w:sz w:val="17"/>
                <w:szCs w:val="17"/>
                <w:color w:val="auto"/>
              </w:rPr>
            </w:pPr>
          </w:p>
        </w:tc>
      </w:tr>
      <w:tr>
        <w:trPr>
          <w:trHeight w:val="203"/>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Second-lien</w:t>
            </w:r>
          </w:p>
        </w:tc>
        <w:tc>
          <w:tcPr>
            <w:tcW w:w="1340" w:type="dxa"/>
            <w:vAlign w:val="bottom"/>
          </w:tcPr>
          <w:p>
            <w:pPr>
              <w:spacing w:after="0"/>
              <w:rPr>
                <w:sz w:val="17"/>
                <w:szCs w:val="17"/>
                <w:color w:val="auto"/>
              </w:rPr>
            </w:pP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Mezzanine</w:t>
            </w:r>
          </w:p>
        </w:tc>
        <w:tc>
          <w:tcPr>
            <w:tcW w:w="1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3"/>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and other</w:t>
            </w:r>
          </w:p>
        </w:tc>
        <w:tc>
          <w:tcPr>
            <w:tcW w:w="1340" w:type="dxa"/>
            <w:vAlign w:val="bottom"/>
          </w:tcPr>
          <w:p>
            <w:pPr>
              <w:spacing w:after="0"/>
              <w:rPr>
                <w:sz w:val="17"/>
                <w:szCs w:val="17"/>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25.1</w:t>
            </w:r>
          </w:p>
        </w:tc>
        <w:tc>
          <w:tcPr>
            <w:tcW w:w="18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Structured Credit</w:t>
            </w:r>
          </w:p>
        </w:tc>
        <w:tc>
          <w:tcPr>
            <w:tcW w:w="1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4"/>
        </w:trPr>
        <w:tc>
          <w:tcPr>
            <w:tcW w:w="4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290.3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114.0</w:t>
            </w:r>
          </w:p>
        </w:tc>
        <w:tc>
          <w:tcPr>
            <w:tcW w:w="60" w:type="dxa"/>
            <w:vAlign w:val="bottom"/>
          </w:tcPr>
          <w:p>
            <w:pPr>
              <w:spacing w:after="0"/>
              <w:rPr>
                <w:sz w:val="17"/>
                <w:szCs w:val="17"/>
                <w:color w:val="auto"/>
              </w:rPr>
            </w:pPr>
          </w:p>
        </w:tc>
      </w:tr>
      <w:tr>
        <w:trPr>
          <w:trHeight w:val="178"/>
        </w:trPr>
        <w:tc>
          <w:tcPr>
            <w:tcW w:w="46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Number of new investment commitments in</w:t>
            </w:r>
          </w:p>
        </w:tc>
        <w:tc>
          <w:tcPr>
            <w:tcW w:w="1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7"/>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1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8"/>
                <w:szCs w:val="18"/>
                <w:color w:val="auto"/>
              </w:rPr>
            </w:pPr>
          </w:p>
        </w:tc>
      </w:tr>
      <w:tr>
        <w:trPr>
          <w:trHeight w:val="177"/>
        </w:trPr>
        <w:tc>
          <w:tcPr>
            <w:tcW w:w="468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Average new investment commitment amount in</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6"/>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41.3</w:t>
            </w:r>
          </w:p>
        </w:tc>
        <w:tc>
          <w:tcPr>
            <w:tcW w:w="60" w:type="dxa"/>
            <w:vAlign w:val="bottom"/>
          </w:tcPr>
          <w:p>
            <w:pPr>
              <w:spacing w:after="0"/>
              <w:rPr>
                <w:sz w:val="17"/>
                <w:szCs w:val="17"/>
                <w:color w:val="auto"/>
              </w:rPr>
            </w:pPr>
          </w:p>
        </w:tc>
      </w:tr>
      <w:tr>
        <w:trPr>
          <w:trHeight w:val="178"/>
        </w:trPr>
        <w:tc>
          <w:tcPr>
            <w:tcW w:w="46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Weighted average term for new investment</w:t>
            </w:r>
          </w:p>
        </w:tc>
        <w:tc>
          <w:tcPr>
            <w:tcW w:w="1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46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commitments in new portfolio companies</w:t>
            </w:r>
          </w:p>
        </w:tc>
        <w:tc>
          <w:tcPr>
            <w:tcW w:w="1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7"/>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6.7</w:t>
            </w:r>
          </w:p>
        </w:tc>
        <w:tc>
          <w:tcPr>
            <w:tcW w:w="60" w:type="dxa"/>
            <w:vAlign w:val="bottom"/>
          </w:tcPr>
          <w:p>
            <w:pPr>
              <w:spacing w:after="0"/>
              <w:rPr>
                <w:sz w:val="18"/>
                <w:szCs w:val="18"/>
                <w:color w:val="auto"/>
              </w:rPr>
            </w:pPr>
          </w:p>
        </w:tc>
      </w:tr>
      <w:tr>
        <w:trPr>
          <w:trHeight w:val="177"/>
        </w:trPr>
        <w:tc>
          <w:tcPr>
            <w:tcW w:w="468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at floating rates</w:t>
            </w:r>
          </w:p>
        </w:tc>
        <w:tc>
          <w:tcPr>
            <w:tcW w:w="1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179"/>
        </w:trPr>
        <w:tc>
          <w:tcPr>
            <w:tcW w:w="46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Weighted average interest rate of new</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 commitments</w:t>
            </w:r>
          </w:p>
        </w:tc>
        <w:tc>
          <w:tcPr>
            <w:tcW w:w="1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179"/>
        </w:trPr>
        <w:tc>
          <w:tcPr>
            <w:tcW w:w="46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Weighted average spread over reference rate of new</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floating rate investment commitments</w:t>
            </w:r>
          </w:p>
        </w:tc>
        <w:tc>
          <w:tcPr>
            <w:tcW w:w="1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179"/>
        </w:trPr>
        <w:tc>
          <w:tcPr>
            <w:tcW w:w="46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Weighted average interest rate on investments</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fully sold or paid down</w:t>
            </w:r>
          </w:p>
        </w:tc>
        <w:tc>
          <w:tcPr>
            <w:tcW w:w="1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-729615</wp:posOffset>
            </wp:positionV>
            <wp:extent cx="5426710" cy="2438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26710" cy="24384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-241935</wp:posOffset>
            </wp:positionV>
            <wp:extent cx="5426710" cy="2438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26710" cy="243840"/>
                    </a:xfrm>
                    <a:prstGeom prst="rect">
                      <a:avLst/>
                    </a:prstGeom>
                    <a:noFill/>
                  </pic:spPr>
                </pic:pic>
              </a:graphicData>
            </a:graphic>
          </wp:anchor>
        </w:drawing>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(1)Includes affiliates of Sixth Street</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1" w:name="page52"/>
    <w:bookmarkEnd w:id="51"/>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June 30, 2024 and December 31, 2023, our investments consisted of the following:</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tcPr>
          <w:p>
            <w:pPr>
              <w:jc w:val="right"/>
              <w:ind w:right="744"/>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4"/>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08"/>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3,078.5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2,956.1</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2,996.2</w:t>
            </w:r>
          </w:p>
        </w:tc>
        <w:tc>
          <w:tcPr>
            <w:tcW w:w="100" w:type="dxa"/>
            <w:vAlign w:val="bottom"/>
            <w:shd w:val="clear" w:color="auto" w:fill="CFF0FC"/>
          </w:tcPr>
          <w:p>
            <w:pPr>
              <w:spacing w:after="0"/>
              <w:rPr>
                <w:sz w:val="18"/>
                <w:szCs w:val="18"/>
                <w:color w:val="auto"/>
              </w:rPr>
            </w:pPr>
          </w:p>
        </w:tc>
      </w:tr>
      <w:tr>
        <w:trPr>
          <w:trHeight w:val="204"/>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r>
      <w:tr>
        <w:trPr>
          <w:trHeight w:val="205"/>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FF0FC"/>
          </w:tcPr>
          <w:p>
            <w:pPr>
              <w:spacing w:after="0"/>
              <w:rPr>
                <w:sz w:val="17"/>
                <w:szCs w:val="17"/>
                <w:color w:val="auto"/>
              </w:rPr>
            </w:pPr>
          </w:p>
        </w:tc>
      </w:tr>
      <w:tr>
        <w:trPr>
          <w:trHeight w:val="204"/>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tcPr>
          <w:p>
            <w:pPr>
              <w:spacing w:after="0"/>
              <w:rPr>
                <w:sz w:val="17"/>
                <w:szCs w:val="17"/>
                <w:color w:val="auto"/>
              </w:rPr>
            </w:pPr>
          </w:p>
        </w:tc>
      </w:tr>
      <w:tr>
        <w:trPr>
          <w:trHeight w:val="205"/>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FF0FC"/>
          </w:tcPr>
          <w:p>
            <w:pPr>
              <w:spacing w:after="0"/>
              <w:rPr>
                <w:sz w:val="17"/>
                <w:szCs w:val="17"/>
                <w:color w:val="auto"/>
              </w:rPr>
            </w:pPr>
          </w:p>
        </w:tc>
      </w:tr>
      <w:tr>
        <w:trPr>
          <w:trHeight w:val="204"/>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10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tables show the fair value and amortized cost of our performing and non-accrual investments as of June 30, 2024 and December 31, 2023:</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 in millions)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31" w:lineRule="exact"/>
        <w:rPr>
          <w:sz w:val="20"/>
          <w:szCs w:val="20"/>
          <w:color w:val="auto"/>
        </w:rPr>
      </w:pPr>
    </w:p>
    <w:p>
      <w:pPr>
        <w:jc w:val="center"/>
        <w:spacing w:after="0"/>
        <w:tabs>
          <w:tab w:leader="none" w:pos="64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3"/>
          <w:szCs w:val="13"/>
          <w:b w:val="1"/>
          <w:bCs w:val="1"/>
          <w:color w:val="auto"/>
        </w:rPr>
        <w:t>December 31, 2023</w:t>
      </w:r>
    </w:p>
    <w:p>
      <w:pPr>
        <w:spacing w:after="0" w:line="31" w:lineRule="exact"/>
        <w:rPr>
          <w:sz w:val="20"/>
          <w:szCs w:val="20"/>
          <w:color w:val="auto"/>
        </w:rPr>
      </w:pPr>
    </w:p>
    <w:p>
      <w:pPr>
        <w:jc w:val="center"/>
        <w:ind w:right="1380"/>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28" w:lineRule="exact"/>
        <w:rPr>
          <w:sz w:val="20"/>
          <w:szCs w:val="20"/>
          <w:color w:val="auto"/>
        </w:rPr>
      </w:pPr>
    </w:p>
    <w:p>
      <w:pPr>
        <w:sectPr>
          <w:pgSz w:w="11900" w:h="16840" w:orient="portrait"/>
          <w:cols w:equalWidth="0" w:num="3">
            <w:col w:w="4040" w:space="720"/>
            <w:col w:w="1880" w:space="680"/>
            <w:col w:w="3240"/>
          </w:cols>
          <w:pgMar w:left="660" w:top="1440" w:right="680" w:bottom="1440" w:gutter="0" w:footer="0" w:header="0"/>
          <w:type w:val="continuous"/>
        </w:sectPr>
      </w:pPr>
    </w:p>
    <w:tbl>
      <w:tblPr>
        <w:tblLayout w:type="fixed"/>
        <w:tblInd w:w="1020" w:type="dxa"/>
        <w:tblCellMar>
          <w:top w:w="0" w:type="dxa"/>
          <w:left w:w="0" w:type="dxa"/>
          <w:bottom w:w="0" w:type="dxa"/>
          <w:right w:w="0" w:type="dxa"/>
        </w:tblCellMar>
      </w:tblPr>
      <w:tr>
        <w:trPr>
          <w:trHeight w:val="184"/>
        </w:trPr>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Performing</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3,280.0</w:t>
            </w:r>
          </w:p>
        </w:tc>
        <w:tc>
          <w:tcPr>
            <w:tcW w:w="160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98.9 %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99.4 %</w:t>
            </w:r>
          </w:p>
        </w:tc>
      </w:tr>
      <w:tr>
        <w:trPr>
          <w:trHeight w:val="228"/>
        </w:trPr>
        <w:tc>
          <w:tcPr>
            <w:tcW w:w="3480" w:type="dxa"/>
            <w:vAlign w:val="bottom"/>
          </w:tcPr>
          <w:p>
            <w:pPr>
              <w:ind w:left="60"/>
              <w:spacing w:after="0" w:line="228" w:lineRule="exact"/>
              <w:rPr>
                <w:sz w:val="20"/>
                <w:szCs w:val="20"/>
                <w:color w:val="auto"/>
              </w:rPr>
            </w:pPr>
            <w:r>
              <w:rPr>
                <w:rFonts w:ascii="Times New Roman" w:cs="Times New Roman" w:eastAsia="Times New Roman" w:hAnsi="Times New Roman"/>
                <w:sz w:val="16"/>
                <w:szCs w:val="16"/>
                <w:color w:val="auto"/>
              </w:rPr>
              <w:t xml:space="preserve">Non-accrual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34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3,317.1</w:t>
            </w:r>
          </w:p>
        </w:tc>
        <w:tc>
          <w:tcPr>
            <w:tcW w:w="160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100.0 %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2"/>
        </w:trPr>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7"/>
          </w:tcPr>
          <w:p>
            <w:pPr>
              <w:jc w:val="right"/>
              <w:ind w:right="11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420" w:type="dxa"/>
            <w:vAlign w:val="bottom"/>
            <w:gridSpan w:val="7"/>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60" w:type="dxa"/>
            <w:vAlign w:val="bottom"/>
          </w:tcPr>
          <w:p>
            <w:pPr>
              <w:spacing w:after="0"/>
              <w:rPr>
                <w:sz w:val="15"/>
                <w:szCs w:val="15"/>
                <w:color w:val="auto"/>
              </w:rPr>
            </w:pPr>
          </w:p>
        </w:tc>
        <w:tc>
          <w:tcPr>
            <w:tcW w:w="144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 w:type="dxa"/>
            <w:vAlign w:val="bottom"/>
          </w:tcPr>
          <w:p>
            <w:pPr>
              <w:spacing w:after="0"/>
              <w:rPr>
                <w:sz w:val="15"/>
                <w:szCs w:val="15"/>
                <w:color w:val="auto"/>
              </w:rPr>
            </w:pP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Performing</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3,235.3</w:t>
            </w:r>
          </w:p>
        </w:tc>
        <w:tc>
          <w:tcPr>
            <w:tcW w:w="160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97.9 %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3,222.9</w:t>
            </w:r>
          </w:p>
        </w:tc>
        <w:tc>
          <w:tcPr>
            <w:tcW w:w="14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99.1 %</w:t>
            </w:r>
          </w:p>
        </w:tc>
      </w:tr>
      <w:tr>
        <w:trPr>
          <w:trHeight w:val="228"/>
        </w:trPr>
        <w:tc>
          <w:tcPr>
            <w:tcW w:w="34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 xml:space="preserve">Non-accrual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28.1</w:t>
            </w:r>
          </w:p>
        </w:tc>
        <w:tc>
          <w:tcPr>
            <w:tcW w:w="14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Pr>
          <w:p>
            <w:pPr>
              <w:spacing w:after="0"/>
              <w:rPr>
                <w:sz w:val="19"/>
                <w:szCs w:val="19"/>
                <w:color w:val="auto"/>
              </w:rPr>
            </w:pPr>
          </w:p>
        </w:tc>
      </w:tr>
      <w:tr>
        <w:trPr>
          <w:trHeight w:val="204"/>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3,304.6</w:t>
            </w:r>
          </w:p>
        </w:tc>
        <w:tc>
          <w:tcPr>
            <w:tcW w:w="160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100.0 %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3,251.0</w:t>
            </w:r>
          </w:p>
        </w:tc>
        <w:tc>
          <w:tcPr>
            <w:tcW w:w="140" w:type="dxa"/>
            <w:vAlign w:val="bottom"/>
          </w:tcPr>
          <w:p>
            <w:pPr>
              <w:spacing w:after="0"/>
              <w:rPr>
                <w:sz w:val="17"/>
                <w:szCs w:val="17"/>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-1181100</wp:posOffset>
            </wp:positionV>
            <wp:extent cx="5365750" cy="1295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-921385</wp:posOffset>
            </wp:positionV>
            <wp:extent cx="5365750" cy="152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65750" cy="15240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-410845</wp:posOffset>
            </wp:positionV>
            <wp:extent cx="5426710" cy="1295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26710" cy="12954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-151765</wp:posOffset>
            </wp:positionV>
            <wp:extent cx="5426710" cy="152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26710" cy="152400"/>
                    </a:xfrm>
                    <a:prstGeom prst="rect">
                      <a:avLst/>
                    </a:prstGeom>
                    <a:noFill/>
                  </pic:spPr>
                </pic:pic>
              </a:graphicData>
            </a:graphic>
          </wp:anchor>
        </w:drawing>
      </w:r>
    </w:p>
    <w:p>
      <w:pPr>
        <w:spacing w:after="0" w:line="14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 xml:space="preserve">(1)Loans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 -accrual status. Non-accrual loans are restored to accrual status when past due principal and interest has been paid and, in management’s judgment, the borrower is likely to make principal and interest payments in the future. Management may determine to not place a loan on non- accrual status if, notwithstanding any failure to pay, the loan has sufficient collateral value and is in the process of collection. See </w:t>
      </w:r>
      <w:r>
        <w:rPr>
          <w:rFonts w:ascii="Times New Roman" w:cs="Times New Roman" w:eastAsia="Times New Roman" w:hAnsi="Times New Roman"/>
          <w:sz w:val="16"/>
          <w:szCs w:val="16"/>
          <w:i w:val="1"/>
          <w:iCs w:val="1"/>
          <w:color w:val="auto"/>
        </w:rPr>
        <w:t>“–Critical Accounting Estimates– Interest and Dividend Income Recognition.”</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weighted average yields and interest rates of our performing debt investments at fair value as of June 30, 2024 and December 31, 2023 were as follows:</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6080" w:type="dxa"/>
            <w:vAlign w:val="bottom"/>
          </w:tcPr>
          <w:p>
            <w:pPr>
              <w:ind w:left="52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720" w:type="dxa"/>
            <w:vAlign w:val="bottom"/>
          </w:tcPr>
          <w:p>
            <w:pPr>
              <w:spacing w:after="0"/>
              <w:rPr>
                <w:sz w:val="15"/>
                <w:szCs w:val="15"/>
                <w:color w:val="auto"/>
              </w:rPr>
            </w:pPr>
          </w:p>
        </w:tc>
        <w:tc>
          <w:tcPr>
            <w:tcW w:w="180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4"/>
        </w:trPr>
        <w:tc>
          <w:tcPr>
            <w:tcW w:w="60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Weighted average total yield of debt and income</w:t>
            </w:r>
          </w:p>
        </w:tc>
        <w:tc>
          <w:tcPr>
            <w:tcW w:w="7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28"/>
        </w:trPr>
        <w:tc>
          <w:tcPr>
            <w:tcW w:w="6080" w:type="dxa"/>
            <w:vAlign w:val="bottom"/>
          </w:tcPr>
          <w:p>
            <w:pPr>
              <w:ind w:left="120"/>
              <w:spacing w:after="0" w:line="228" w:lineRule="exact"/>
              <w:rPr>
                <w:sz w:val="20"/>
                <w:szCs w:val="20"/>
                <w:color w:val="auto"/>
              </w:rPr>
            </w:pPr>
            <w:r>
              <w:rPr>
                <w:rFonts w:ascii="Times New Roman" w:cs="Times New Roman" w:eastAsia="Times New Roman" w:hAnsi="Times New Roman"/>
                <w:sz w:val="16"/>
                <w:szCs w:val="16"/>
                <w:color w:val="auto"/>
              </w:rPr>
              <w:t xml:space="preserve">producing securities </w:t>
            </w:r>
            <w:r>
              <w:rPr>
                <w:rFonts w:ascii="Times New Roman" w:cs="Times New Roman" w:eastAsia="Times New Roman" w:hAnsi="Times New Roman"/>
                <w:sz w:val="21"/>
                <w:szCs w:val="21"/>
                <w:color w:val="auto"/>
                <w:vertAlign w:val="superscript"/>
              </w:rPr>
              <w:t>(1)</w:t>
            </w: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13.8 %</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179"/>
        </w:trPr>
        <w:tc>
          <w:tcPr>
            <w:tcW w:w="60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Weighted average interest rate of debt and income</w:t>
            </w:r>
          </w:p>
        </w:tc>
        <w:tc>
          <w:tcPr>
            <w:tcW w:w="7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3"/>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producing securities</w:t>
            </w: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13.3 %</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r>
      <w:tr>
        <w:trPr>
          <w:trHeight w:val="181"/>
        </w:trPr>
        <w:tc>
          <w:tcPr>
            <w:tcW w:w="60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Weighted average spread over reference rate of all floating</w:t>
            </w:r>
          </w:p>
        </w:tc>
        <w:tc>
          <w:tcPr>
            <w:tcW w:w="7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3"/>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rate investments</w:t>
            </w: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8.0 %</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-729615</wp:posOffset>
            </wp:positionV>
            <wp:extent cx="5426710" cy="2438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26710" cy="24384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-241935</wp:posOffset>
            </wp:positionV>
            <wp:extent cx="5426710" cy="2438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26710" cy="24384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(1)Weighted average total portfolio yield at fair value was 13.0% at June 30, 2024 and 13.4% at December 31, 2023.</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16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52" w:name="page53"/>
    <w:bookmarkEnd w:id="52"/>
    <w:p>
      <w:pPr>
        <w:spacing w:after="0" w:line="113"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380"/>
        <w:spacing w:after="0" w:line="243"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67" w:lineRule="exact"/>
        <w:rPr>
          <w:sz w:val="20"/>
          <w:szCs w:val="20"/>
          <w:color w:val="auto"/>
        </w:rPr>
      </w:pPr>
    </w:p>
    <w:p>
      <w:pPr>
        <w:jc w:val="both"/>
        <w:ind w:right="10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performance rating scale at fair value as of June 30, 2024 and December 31, 2023. Investment performance ratings are accurate only as of those dates and may change due to subsequent developments relating to a portfolio company’s business or financial condition, market conditions or developments, and other factors.</w:t>
      </w:r>
    </w:p>
    <w:p>
      <w:pPr>
        <w:spacing w:after="0" w:line="188"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ind w:left="11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40" w:type="dxa"/>
            <w:vAlign w:val="bottom"/>
            <w:gridSpan w:val="5"/>
          </w:tcPr>
          <w:p>
            <w:pPr>
              <w:jc w:val="right"/>
              <w:ind w:right="140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40" w:type="dxa"/>
            <w:vAlign w:val="bottom"/>
          </w:tcPr>
          <w:p>
            <w:pPr>
              <w:spacing w:after="0"/>
              <w:rPr>
                <w:sz w:val="15"/>
                <w:szCs w:val="15"/>
                <w:color w:val="auto"/>
              </w:rPr>
            </w:pPr>
          </w:p>
        </w:tc>
        <w:tc>
          <w:tcPr>
            <w:tcW w:w="2020" w:type="dxa"/>
            <w:vAlign w:val="bottom"/>
            <w:gridSpan w:val="3"/>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240" w:type="dxa"/>
            <w:vAlign w:val="bottom"/>
          </w:tcPr>
          <w:p>
            <w:pPr>
              <w:spacing w:after="0"/>
              <w:rPr>
                <w:sz w:val="15"/>
                <w:szCs w:val="15"/>
                <w:color w:val="auto"/>
              </w:rPr>
            </w:pPr>
          </w:p>
        </w:tc>
        <w:tc>
          <w:tcPr>
            <w:tcW w:w="202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5"/>
                <w:szCs w:val="15"/>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80"/>
        </w:trPr>
        <w:tc>
          <w:tcPr>
            <w:tcW w:w="1960" w:type="dxa"/>
            <w:vAlign w:val="bottom"/>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240" w:type="dxa"/>
            <w:vAlign w:val="bottom"/>
          </w:tcPr>
          <w:p>
            <w:pPr>
              <w:spacing w:after="0"/>
              <w:rPr>
                <w:sz w:val="15"/>
                <w:szCs w:val="15"/>
                <w:color w:val="auto"/>
              </w:rPr>
            </w:pPr>
          </w:p>
        </w:tc>
        <w:tc>
          <w:tcPr>
            <w:tcW w:w="2020" w:type="dxa"/>
            <w:vAlign w:val="bottom"/>
            <w:gridSpan w:val="3"/>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15"/>
                <w:szCs w:val="15"/>
                <w:color w:val="auto"/>
              </w:rPr>
            </w:pP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 Portfolio</w:t>
            </w:r>
          </w:p>
        </w:tc>
      </w:tr>
      <w:tr>
        <w:trPr>
          <w:trHeight w:val="210"/>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92.2 %</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2,939.1</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89.5 %</w:t>
            </w:r>
          </w:p>
        </w:tc>
      </w:tr>
      <w:tr>
        <w:trPr>
          <w:trHeight w:val="205"/>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960" w:type="dxa"/>
            <w:vAlign w:val="bottom"/>
            <w:shd w:val="clear" w:color="auto" w:fill="CFF0FC"/>
          </w:tcPr>
          <w:p>
            <w:pPr>
              <w:jc w:val="center"/>
              <w:ind w:right="126"/>
              <w:spacing w:after="0"/>
              <w:rPr>
                <w:sz w:val="20"/>
                <w:szCs w:val="20"/>
                <w:color w:val="auto"/>
              </w:rPr>
            </w:pPr>
            <w:r>
              <w:rPr>
                <w:rFonts w:ascii="Times New Roman" w:cs="Times New Roman" w:eastAsia="Times New Roman" w:hAnsi="Times New Roman"/>
                <w:sz w:val="16"/>
                <w:szCs w:val="16"/>
                <w:color w:val="auto"/>
                <w:w w:val="99"/>
              </w:rPr>
              <w:t>3</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4</w:t>
            </w:r>
          </w:p>
        </w:tc>
        <w:tc>
          <w:tcPr>
            <w:tcW w:w="240" w:type="dxa"/>
            <w:vAlign w:val="bottom"/>
          </w:tcPr>
          <w:p>
            <w:pPr>
              <w:spacing w:after="0"/>
              <w:rPr>
                <w:sz w:val="17"/>
                <w:szCs w:val="17"/>
                <w:color w:val="auto"/>
              </w:rPr>
            </w:pPr>
          </w:p>
        </w:tc>
        <w:tc>
          <w:tcPr>
            <w:tcW w:w="202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5"/>
        </w:trPr>
        <w:tc>
          <w:tcPr>
            <w:tcW w:w="1960" w:type="dxa"/>
            <w:vAlign w:val="bottom"/>
            <w:shd w:val="clear" w:color="auto" w:fill="CFF0FC"/>
          </w:tcPr>
          <w:p>
            <w:pPr>
              <w:jc w:val="center"/>
              <w:ind w:right="126"/>
              <w:spacing w:after="0"/>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4"/>
              </w:rPr>
              <w:t>Total</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160"/>
              <w:spacing w:after="0" w:line="204"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204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r>
      <w:tr>
        <w:trPr>
          <w:trHeight w:val="20"/>
        </w:trPr>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-799465</wp:posOffset>
            </wp:positionV>
            <wp:extent cx="6036945" cy="1295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6945" cy="12954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results for the three and six months ended June 30, 2024 and 2023 were as follows: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00" w:type="dxa"/>
            <w:vAlign w:val="bottom"/>
          </w:tcPr>
          <w:p>
            <w:pPr>
              <w:spacing w:after="0"/>
              <w:rPr>
                <w:sz w:val="16"/>
                <w:szCs w:val="16"/>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208"/>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investment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80" w:type="dxa"/>
            <w:vAlign w:val="bottom"/>
            <w:shd w:val="clear" w:color="auto" w:fill="CFF0FC"/>
          </w:tcPr>
          <w:p>
            <w:pPr>
              <w:spacing w:after="0"/>
              <w:rPr>
                <w:sz w:val="18"/>
                <w:szCs w:val="18"/>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Less: Net expenses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80" w:type="dxa"/>
            <w:vAlign w:val="bottom"/>
          </w:tcPr>
          <w:p>
            <w:pPr>
              <w:spacing w:after="0"/>
              <w:rPr>
                <w:sz w:val="17"/>
                <w:szCs w:val="17"/>
                <w:color w:val="auto"/>
              </w:rPr>
            </w:pPr>
          </w:p>
        </w:tc>
      </w:tr>
      <w:tr>
        <w:trPr>
          <w:trHeight w:val="205"/>
        </w:trPr>
        <w:tc>
          <w:tcPr>
            <w:tcW w:w="4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investment income before income taxes</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shd w:val="clear" w:color="auto" w:fill="CFF0FC"/>
          </w:tcPr>
          <w:p>
            <w:pPr>
              <w:spacing w:after="0"/>
              <w:rPr>
                <w:sz w:val="17"/>
                <w:szCs w:val="17"/>
                <w:color w:val="auto"/>
              </w:rPr>
            </w:pPr>
          </w:p>
        </w:tc>
      </w:tr>
      <w:tr>
        <w:trPr>
          <w:trHeight w:val="204"/>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Income taxes, including excise taxes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r>
      <w:tr>
        <w:trPr>
          <w:trHeight w:val="205"/>
        </w:trPr>
        <w:tc>
          <w:tcPr>
            <w:tcW w:w="4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investment income</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shd w:val="clear" w:color="auto" w:fill="CFF0FC"/>
          </w:tcPr>
          <w:p>
            <w:pPr>
              <w:spacing w:after="0"/>
              <w:rPr>
                <w:sz w:val="17"/>
                <w:szCs w:val="17"/>
                <w:color w:val="auto"/>
              </w:rPr>
            </w:pPr>
          </w:p>
        </w:tc>
      </w:tr>
      <w:tr>
        <w:trPr>
          <w:trHeight w:val="204"/>
        </w:trPr>
        <w:tc>
          <w:tcPr>
            <w:tcW w:w="4940" w:type="dxa"/>
            <w:vAlign w:val="bottom"/>
          </w:tcPr>
          <w:p>
            <w:pPr>
              <w:spacing w:after="0" w:line="204" w:lineRule="exact"/>
              <w:rPr>
                <w:sz w:val="20"/>
                <w:szCs w:val="20"/>
                <w:color w:val="auto"/>
              </w:rPr>
            </w:pPr>
            <w:r>
              <w:rPr>
                <w:rFonts w:ascii="Times New Roman" w:cs="Times New Roman" w:eastAsia="Times New Roman" w:hAnsi="Times New Roman"/>
                <w:sz w:val="16"/>
                <w:szCs w:val="16"/>
                <w:color w:val="auto"/>
              </w:rPr>
              <w:t xml:space="preserve">Net realized gains (losses)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7"/>
                <w:szCs w:val="17"/>
                <w:color w:val="auto"/>
              </w:rPr>
            </w:pPr>
          </w:p>
        </w:tc>
      </w:tr>
      <w:tr>
        <w:trPr>
          <w:trHeight w:val="204"/>
        </w:trPr>
        <w:tc>
          <w:tcPr>
            <w:tcW w:w="49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6"/>
                <w:szCs w:val="16"/>
                <w:color w:val="auto"/>
              </w:rPr>
              <w:t xml:space="preserve">Net change in unrealized gains (losses)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(16.5 )</w:t>
            </w:r>
          </w:p>
        </w:tc>
        <w:tc>
          <w:tcPr>
            <w:tcW w:w="4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FF0FC"/>
          </w:tcPr>
          <w:p>
            <w:pPr>
              <w:spacing w:after="0"/>
              <w:rPr>
                <w:sz w:val="17"/>
                <w:szCs w:val="17"/>
                <w:color w:val="auto"/>
              </w:rPr>
            </w:pPr>
          </w:p>
        </w:tc>
      </w:tr>
      <w:tr>
        <w:trPr>
          <w:trHeight w:val="204"/>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200" w:type="dxa"/>
            <w:vAlign w:val="bottom"/>
          </w:tcPr>
          <w:p>
            <w:pPr>
              <w:spacing w:after="0"/>
              <w:rPr>
                <w:sz w:val="17"/>
                <w:szCs w:val="17"/>
                <w:color w:val="auto"/>
              </w:rPr>
            </w:pPr>
          </w:p>
        </w:tc>
        <w:tc>
          <w:tcPr>
            <w:tcW w:w="460" w:type="dxa"/>
            <w:vAlign w:val="bottom"/>
          </w:tcPr>
          <w:p>
            <w:pPr>
              <w:jc w:val="right"/>
              <w:ind w:right="306"/>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8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foreign exchange hedging activity.</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3" w:name="page54"/>
    <w:bookmarkEnd w:id="53"/>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84"/>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Pr>
          <w:p>
            <w:pPr>
              <w:spacing w:after="0"/>
              <w:rPr>
                <w:sz w:val="16"/>
                <w:szCs w:val="16"/>
                <w:color w:val="auto"/>
              </w:rPr>
            </w:pP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w w:val="97"/>
              </w:rPr>
              <w:t>June 30, 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208"/>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from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80" w:type="dxa"/>
            <w:vAlign w:val="bottom"/>
            <w:shd w:val="clear" w:color="auto" w:fill="CFF0FC"/>
          </w:tcPr>
          <w:p>
            <w:pPr>
              <w:spacing w:after="0"/>
              <w:rPr>
                <w:sz w:val="18"/>
                <w:szCs w:val="18"/>
                <w:color w:val="auto"/>
              </w:rPr>
            </w:pPr>
          </w:p>
        </w:tc>
      </w:tr>
      <w:tr>
        <w:trPr>
          <w:trHeight w:val="204"/>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Paid-in-kind interest income</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7"/>
                <w:szCs w:val="17"/>
                <w:color w:val="auto"/>
              </w:rPr>
            </w:pPr>
          </w:p>
        </w:tc>
      </w:tr>
      <w:tr>
        <w:trPr>
          <w:trHeight w:val="205"/>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17"/>
                <w:szCs w:val="17"/>
                <w:color w:val="auto"/>
              </w:rPr>
            </w:pPr>
          </w:p>
        </w:tc>
      </w:tr>
      <w:tr>
        <w:trPr>
          <w:trHeight w:val="204"/>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7"/>
                <w:szCs w:val="17"/>
                <w:color w:val="auto"/>
              </w:rPr>
            </w:pPr>
          </w:p>
        </w:tc>
      </w:tr>
      <w:tr>
        <w:trPr>
          <w:trHeight w:val="245"/>
        </w:trPr>
        <w:tc>
          <w:tcPr>
            <w:tcW w:w="4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91"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Interest from investments, which includes amortization of upfront fees and prepayment fees, increased from $98.1 million for the three months ended June 30, 2023 to $105.0 million for the three months ended June 30, 2024. The increase in interest from investments was primarily the result of an increase in interest earned due to an increase in reference rates for the period ended June 30, 2024 compared to the same period in June 30, 2023 and a larger average portfolio size for the period ended June 30, 2024 compared to the same period in 2023. Paid-in- kind interest income increased from $4.6 million for the three months ended June 30, 2023 to $9.4 million for the three months ended June 30, 2024 due to increased PIK election. Dividend income increased from $0.8 million for the three months ended June 30, 2023 to $1.8 million for the three months ended June 30, 2024 due to increased investments in dividend yielding securities compared to the same period in 2023. Other income increased from $4.1 million for the three months ended June 30, 2023 to $5.6 million for the three months ended June 30, 2024, primarily due to increased amendment fees during the three months ended June 30, 2024 compared to the same period in 2023.</w:t>
      </w:r>
    </w:p>
    <w:p>
      <w:pPr>
        <w:spacing w:after="0" w:line="173"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Interest from investments, which includes amortization of upfront fees and prepayment fees, increased from $188.2 million for the six months ended June 30, 2023 to $209.7 million for the six months ended June 30, 2024. The increase in interest from investments was primarily the result of an increase in interest earned due to an increase in reference rates for the period ended June 30, 2024 compared to the same period in June 30, 2023 and a larger average portfolio size for the period ended June 30, 2024 compared to the same period in 2023. Paid-in-kind interest income increased from $7.7 million for the six months ended June 30, 2023 to $17.5 million for the six months ended June 30, 2024 due to increased PIK election. Dividend income increased from $1.4 million for the six months ended June 30, 2023 to $2.6 million for the six months ended June 30, 2024 due to increased investments in dividend yielding securities compared to the same period in 2023. Other income increased from $6.8 million for the six months ended June 30, 2023 to $9.8 million for the six months ended June 30, 2024, primarily due to increased amendment fees during the six months ended June 30, 2024 compared to the same period in 2023.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expenses for the three and six months ended June 30, 2024 and 2023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100" w:type="dxa"/>
            <w:vAlign w:val="bottom"/>
          </w:tcPr>
          <w:p>
            <w:pPr>
              <w:spacing w:after="0"/>
              <w:rPr>
                <w:sz w:val="16"/>
                <w:szCs w:val="16"/>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7"/>
              </w:rPr>
              <w:t>June 30, 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8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80" w:type="dxa"/>
            <w:vAlign w:val="bottom"/>
            <w:shd w:val="clear" w:color="auto" w:fill="CFF0FC"/>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fees (net of waivers)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Incentive fees on net investment income</w:t>
            </w: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Incentive fees on net capital gains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general and administrative</w:t>
            </w: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Expenses</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360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4" w:name="page55"/>
    <w:bookmarkEnd w:id="54"/>
    <w:p>
      <w:pPr>
        <w:spacing w:after="0" w:line="2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Interest</w:t>
      </w:r>
    </w:p>
    <w:p>
      <w:pPr>
        <w:spacing w:after="0" w:line="9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Interest expense, including other debt financing expenses, increased from $ 32.4 million for the three months ended June 30, 2023 to $39.2 million for the three months ended June 30, 2024. This increase was primarily due to an increase in the average interest rate on our debt outstanding and an increase in the average debt outstanding from $1,713.0 million for the three months ended June 30, 2023 to $1,857.8 million for the three months ended June 30, 2024. The average interest rate on our debt outstanding increased from 7.1% for the three months ended June 30, 2023 to 7.7% for the three months ended June 30, 2024.</w:t>
      </w:r>
    </w:p>
    <w:p>
      <w:pPr>
        <w:spacing w:after="0" w:line="167"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Interest expense, including other debt financing expenses, increased from $60.9 million for the six months ended June 30, 2023 to $ 78.3 million for the six months ended June 30, 2024. This increase was primarily due to an increase in the average interest rate on our debt outstanding and an increase in the average debt outstanding from $1,641.8 million for the six months ended June 30, 2023 to $1,870.9 million for the six months ended June 30, 2024. The average interest rate on our debt outstanding increased from 6.9% for the six months ended June 30, 2023 to 7.7% for the six months ended June 30, 2024.</w:t>
      </w:r>
    </w:p>
    <w:p>
      <w:pPr>
        <w:spacing w:after="0" w:line="2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Management Fees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Management Fees (gross of waivers) increased from $11.4 million for the three months ended June 30, 2023 to $12.8 million for the three months ended June 30, 2024 due to an increase in average assets for the three months ended June 30, 2024 compared to the same period in 2023. Management Fees (net of waivers) increased from $11.1 million for the three months ended June 30, 2023 to $12.5 million for the three months ended June 30, 2024. The Adviser waived Management Fees of $0.3 million for the three months ended June 30, 2024 pursuant to the Leverage Waiver. The Adviser waived Management Fees of $0.3 million for the three months ended June 30, 2023 pursuant to the Leverage Waiver.</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Management Fees (gross of waivers) increased from $22.1 million for the six months ended June 30, 2023 to $25.4 million for the six months ended June 30, 2024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due to an increase in average assets for the six months ended June 30, 2024 compared to the same period in 2023. Management Fees (net of waivers) increased from</w:t>
      </w:r>
    </w:p>
    <w:p>
      <w:pPr>
        <w:spacing w:after="0"/>
        <w:rPr>
          <w:sz w:val="20"/>
          <w:szCs w:val="20"/>
          <w:color w:val="auto"/>
        </w:rPr>
      </w:pPr>
      <w:r>
        <w:rPr>
          <w:rFonts w:ascii="Times New Roman" w:cs="Times New Roman" w:eastAsia="Times New Roman" w:hAnsi="Times New Roman"/>
          <w:sz w:val="14"/>
          <w:szCs w:val="14"/>
          <w:color w:val="auto"/>
        </w:rPr>
        <w:t>$21.6 million for the six months ended June 30, 2023 to $24.7 million for the six months ended June 30, 2024. The Adviser waived Management Fees of $0.7 million for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six months ended June 30, 2024 pursuant to the Leverage Waiver. The Adviser waived Management Fees of 0.6 million for the six months ended June 30, 2023</w:t>
      </w:r>
    </w:p>
    <w:p>
      <w:pPr>
        <w:spacing w:after="0"/>
        <w:rPr>
          <w:sz w:val="20"/>
          <w:szCs w:val="20"/>
          <w:color w:val="auto"/>
        </w:rPr>
      </w:pPr>
      <w:r>
        <w:rPr>
          <w:rFonts w:ascii="Times New Roman" w:cs="Times New Roman" w:eastAsia="Times New Roman" w:hAnsi="Times New Roman"/>
          <w:sz w:val="16"/>
          <w:szCs w:val="16"/>
          <w:color w:val="auto"/>
        </w:rPr>
        <w:t>pursuant to the Leverage Waiver.</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94"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Incentive Fees related to pre-Incentive Fee net investment income increased from $ 10.5 million for the three months ended June 30, 2023 to $11.4 million for the three months ended June 30, 2024. This increase resulted from an increase in reference rates for the three months ended June 30, 2024. The Adviser did not waive any Incentive Fees related to pre-Incentive Fee net investment income for the three months ended June 30, 2024 or 2023. For the three months ended June 30, 2024 and 2023, $(1.3) million and $0.7 million, respectively, of Incentive Fees were accrued related to Capital Gains Fees. As of June 30, 2024, these accrued Incentive Fees are not contractually payable to the Adviser.</w:t>
      </w:r>
    </w:p>
    <w:p>
      <w:pPr>
        <w:spacing w:after="0" w:line="73"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Incentive Fees related to pre-Incentive Fee net investment income increased from $ 20.0 million for the six months ended June 30, 2023 to $22.3 million for the six months ended June 30, 2024. This increase resulted from an increase in reference rates for the six months ended June 30, 2024. The Adviser did not waive any Incentive Fees related to pre-Incentive Fee net investment income for the six months ended June 30, 2024 or 2023. For the six months ended June 30, 2024 and 2023, $(2.2) million and $ 2.5 million, respectively, of Incentive Fees were accrued related to Capital Gains Fees. As of June 30, 2024, these accrued Incentive Fees are not contractually payable to the Adviser.</w:t>
      </w:r>
    </w:p>
    <w:p>
      <w:pPr>
        <w:spacing w:after="0" w:line="2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Professional Fees and Other General and Administrative Expenses</w:t>
      </w:r>
    </w:p>
    <w:p>
      <w:pPr>
        <w:spacing w:after="0" w:line="94"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Professional fees increased from $1.8 million for the three months ended June 30, 2023 to $2.1 million for the three months ended June 30, 2024. Other general and administrative expenses increased from $1.2 million for the three months ended June 30, 2023 to $1.3 million for the three months ended June 30, 2024.</w:t>
      </w:r>
    </w:p>
    <w:p>
      <w:pPr>
        <w:spacing w:after="0" w:line="155" w:lineRule="exact"/>
        <w:rPr>
          <w:sz w:val="20"/>
          <w:szCs w:val="20"/>
          <w:color w:val="auto"/>
        </w:rPr>
      </w:pPr>
    </w:p>
    <w:p>
      <w:pPr>
        <w:ind w:right="380" w:firstLine="228"/>
        <w:spacing w:after="0" w:line="246" w:lineRule="auto"/>
        <w:rPr>
          <w:sz w:val="20"/>
          <w:szCs w:val="20"/>
          <w:color w:val="auto"/>
        </w:rPr>
      </w:pPr>
      <w:r>
        <w:rPr>
          <w:rFonts w:ascii="Times New Roman" w:cs="Times New Roman" w:eastAsia="Times New Roman" w:hAnsi="Times New Roman"/>
          <w:sz w:val="16"/>
          <w:szCs w:val="16"/>
          <w:color w:val="auto"/>
        </w:rPr>
        <w:t>Professional fees increased from $3.5 million for the six months ended June 30, 2023 to $3.9 million for the six months ended June 30, 2024. Other general and administrative expenses increased from $2.2 million for the six months ended June 30, 2023 to $2.6 million for the six months ended June 30, 2024.</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5" w:name="page56"/>
    <w:bookmarkEnd w:id="55"/>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 Including Excise Taxes</w:t>
      </w:r>
    </w:p>
    <w:p>
      <w:pPr>
        <w:spacing w:after="0" w:line="96"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67"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67"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For the three and six months ended June 30, 2024, we recorded a net expense of $1.2 million and $2.1 million, respectively, for U.S. federal excise tax and other taxes. For the three and six months ended June 30, 2023, we recorded a net expense of $0.9 million and $1.3 million, respectively, for U.S. federal excise tax and other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and Unrealized Gains and Losses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 summarizes our net realized and unrealized gains (losses) for the three and six months ended June 30, 2024 and 2023:</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0" w:type="dxa"/>
            <w:vAlign w:val="bottom"/>
          </w:tcPr>
          <w:p>
            <w:pPr>
              <w:spacing w:after="0"/>
              <w:rPr>
                <w:sz w:val="1"/>
                <w:szCs w:val="1"/>
                <w:color w:val="auto"/>
              </w:rPr>
            </w:pPr>
          </w:p>
        </w:tc>
      </w:tr>
      <w:tr>
        <w:trPr>
          <w:trHeight w:val="208"/>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realized gains (losses) on investments</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gains (losses) on foreign currency transactions</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(0.1 )</w:t>
            </w:r>
          </w:p>
        </w:tc>
        <w:tc>
          <w:tcPr>
            <w:tcW w:w="52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(0.1 )</w:t>
            </w:r>
          </w:p>
        </w:tc>
        <w:tc>
          <w:tcPr>
            <w:tcW w:w="2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(0.8 )</w:t>
            </w:r>
          </w:p>
        </w:tc>
        <w:tc>
          <w:tcPr>
            <w:tcW w:w="4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6"/>
                <w:szCs w:val="16"/>
                <w:color w:val="auto"/>
              </w:rPr>
              <w:t xml:space="preserve">Net realized gains (losses) on foreign currency investments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(1.7 )</w:t>
            </w:r>
          </w:p>
        </w:tc>
        <w:tc>
          <w:tcPr>
            <w:tcW w:w="5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(2.4 )</w:t>
            </w:r>
          </w:p>
        </w:tc>
        <w:tc>
          <w:tcPr>
            <w:tcW w:w="4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line="204" w:lineRule="exact"/>
              <w:rPr>
                <w:sz w:val="20"/>
                <w:szCs w:val="20"/>
                <w:color w:val="auto"/>
              </w:rPr>
            </w:pPr>
            <w:r>
              <w:rPr>
                <w:rFonts w:ascii="Times New Roman" w:cs="Times New Roman" w:eastAsia="Times New Roman" w:hAnsi="Times New Roman"/>
                <w:sz w:val="16"/>
                <w:szCs w:val="16"/>
                <w:color w:val="auto"/>
              </w:rPr>
              <w:t xml:space="preserve">Net realized gains (losses) on foreign currency borrowings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Realized Gains (Losses)</w:t>
            </w:r>
          </w:p>
        </w:tc>
        <w:tc>
          <w:tcPr>
            <w:tcW w:w="22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7"/>
                <w:szCs w:val="17"/>
                <w:color w:val="auto"/>
              </w:rPr>
            </w:pPr>
          </w:p>
        </w:tc>
        <w:tc>
          <w:tcPr>
            <w:tcW w:w="520" w:type="dxa"/>
            <w:vAlign w:val="bottom"/>
            <w:vMerge w:val="restart"/>
            <w:shd w:val="clear" w:color="auto" w:fill="CFF0FC"/>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FF0FC"/>
          </w:tcPr>
          <w:p>
            <w:pPr>
              <w:spacing w:after="0"/>
              <w:rPr>
                <w:sz w:val="17"/>
                <w:szCs w:val="17"/>
                <w:color w:val="auto"/>
              </w:rPr>
            </w:pPr>
          </w:p>
        </w:tc>
        <w:tc>
          <w:tcPr>
            <w:tcW w:w="260" w:type="dxa"/>
            <w:vAlign w:val="bottom"/>
            <w:vMerge w:val="restart"/>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shd w:val="clear" w:color="auto" w:fill="CFF0FC"/>
          </w:tcPr>
          <w:p>
            <w:pPr>
              <w:spacing w:after="0"/>
              <w:rPr>
                <w:sz w:val="17"/>
                <w:szCs w:val="17"/>
                <w:color w:val="auto"/>
              </w:rPr>
            </w:pPr>
          </w:p>
        </w:tc>
        <w:tc>
          <w:tcPr>
            <w:tcW w:w="480" w:type="dxa"/>
            <w:vAlign w:val="bottom"/>
            <w:vMerge w:val="restart"/>
            <w:shd w:val="clear" w:color="auto" w:fill="CFF0FC"/>
          </w:tcPr>
          <w:p>
            <w:pPr>
              <w:jc w:val="right"/>
              <w:ind w:right="3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44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vMerge w:val="continue"/>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340" w:type="dxa"/>
            <w:vAlign w:val="bottom"/>
            <w:tcBorders>
              <w:bottom w:val="single" w:sz="8" w:color="auto"/>
            </w:tcBorders>
            <w:vMerge w:val="continue"/>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vMerge w:val="continue"/>
            <w:shd w:val="clear" w:color="auto" w:fill="CFF0FC"/>
          </w:tcPr>
          <w:p>
            <w:pPr>
              <w:spacing w:after="0"/>
              <w:rPr>
                <w:sz w:val="11"/>
                <w:szCs w:val="11"/>
                <w:color w:val="auto"/>
              </w:rPr>
            </w:pPr>
          </w:p>
        </w:tc>
        <w:tc>
          <w:tcPr>
            <w:tcW w:w="620" w:type="dxa"/>
            <w:vAlign w:val="bottom"/>
            <w:tcBorders>
              <w:bottom w:val="single" w:sz="8" w:color="auto"/>
            </w:tcBorders>
            <w:vMerge w:val="continue"/>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vMerge w:val="continue"/>
            <w:shd w:val="clear" w:color="auto" w:fill="CFF0FC"/>
          </w:tcPr>
          <w:p>
            <w:pPr>
              <w:spacing w:after="0"/>
              <w:rPr>
                <w:sz w:val="11"/>
                <w:szCs w:val="11"/>
                <w:color w:val="auto"/>
              </w:rPr>
            </w:pPr>
          </w:p>
        </w:tc>
        <w:tc>
          <w:tcPr>
            <w:tcW w:w="380" w:type="dxa"/>
            <w:vAlign w:val="bottom"/>
            <w:tcBorders>
              <w:bottom w:val="single" w:sz="8" w:color="auto"/>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unrealized gains on investments</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Change in unrealized (losses) on investments</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(21.8 )</w:t>
            </w:r>
          </w:p>
        </w:tc>
        <w:tc>
          <w:tcPr>
            <w:tcW w:w="52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3"/>
              </w:rPr>
              <w:t>(13.1 )</w:t>
            </w:r>
          </w:p>
        </w:tc>
        <w:tc>
          <w:tcPr>
            <w:tcW w:w="2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(43.2 )</w:t>
            </w:r>
          </w:p>
        </w:tc>
        <w:tc>
          <w:tcPr>
            <w:tcW w:w="4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(29.6 )</w:t>
            </w:r>
          </w:p>
        </w:tc>
        <w:tc>
          <w:tcPr>
            <w:tcW w:w="0" w:type="dxa"/>
            <w:vAlign w:val="bottom"/>
          </w:tcPr>
          <w:p>
            <w:pPr>
              <w:spacing w:after="0"/>
              <w:rPr>
                <w:sz w:val="1"/>
                <w:szCs w:val="1"/>
                <w:color w:val="auto"/>
              </w:rPr>
            </w:pPr>
          </w:p>
        </w:tc>
      </w:tr>
      <w:tr>
        <w:trPr>
          <w:trHeight w:val="178"/>
        </w:trPr>
        <w:tc>
          <w:tcPr>
            <w:tcW w:w="44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(7.9 )</w:t>
            </w:r>
          </w:p>
        </w:tc>
        <w:tc>
          <w:tcPr>
            <w:tcW w:w="520" w:type="dxa"/>
            <w:vAlign w:val="bottom"/>
            <w:shd w:val="clear" w:color="auto" w:fill="CFF0FC"/>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(19.5 )</w:t>
            </w:r>
          </w:p>
        </w:tc>
        <w:tc>
          <w:tcPr>
            <w:tcW w:w="480" w:type="dxa"/>
            <w:vAlign w:val="bottom"/>
            <w:shd w:val="clear" w:color="auto" w:fill="CFF0FC"/>
          </w:tcPr>
          <w:p>
            <w:pPr>
              <w:jc w:val="right"/>
              <w:ind w:right="3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gains (losses) on foreign currency borrowings</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(1.6 )</w:t>
            </w:r>
          </w:p>
        </w:tc>
        <w:tc>
          <w:tcPr>
            <w:tcW w:w="5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(2.0 )</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23"/>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04"/>
        </w:trPr>
        <w:tc>
          <w:tcPr>
            <w:tcW w:w="4420" w:type="dxa"/>
            <w:vAlign w:val="bottom"/>
          </w:tcPr>
          <w:p>
            <w:pPr>
              <w:spacing w:after="0" w:line="204" w:lineRule="exact"/>
              <w:rPr>
                <w:sz w:val="20"/>
                <w:szCs w:val="20"/>
                <w:color w:val="auto"/>
              </w:rPr>
            </w:pPr>
            <w:r>
              <w:rPr>
                <w:rFonts w:ascii="Times New Roman" w:cs="Times New Roman" w:eastAsia="Times New Roman" w:hAnsi="Times New Roman"/>
                <w:sz w:val="16"/>
                <w:szCs w:val="16"/>
                <w:color w:val="auto"/>
              </w:rPr>
              <w:t xml:space="preserve">Unrealized gains (losses) on foreign currency cash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gains (losses) on interest rate swaps</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(0.1 )</w:t>
            </w:r>
          </w:p>
        </w:tc>
        <w:tc>
          <w:tcPr>
            <w:tcW w:w="2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42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 Foreign</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Currency Transactions and Interest Rate Swaps</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(1.6 )</w:t>
            </w: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(2.1 )</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7"/>
                <w:szCs w:val="17"/>
                <w:color w:val="auto"/>
              </w:rPr>
            </w:pPr>
          </w:p>
        </w:tc>
        <w:tc>
          <w:tcPr>
            <w:tcW w:w="48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5"/>
        </w:trPr>
        <w:tc>
          <w:tcPr>
            <w:tcW w:w="4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Unrealized Gains (Losses)</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40"/>
              <w:spacing w:after="0" w:line="204" w:lineRule="exact"/>
              <w:rPr>
                <w:sz w:val="20"/>
                <w:szCs w:val="20"/>
                <w:color w:val="auto"/>
              </w:rPr>
            </w:pPr>
            <w:r>
              <w:rPr>
                <w:rFonts w:ascii="Times New Roman" w:cs="Times New Roman" w:eastAsia="Times New Roman" w:hAnsi="Times New Roman"/>
                <w:sz w:val="13"/>
                <w:szCs w:val="13"/>
                <w:color w:val="auto"/>
              </w:rPr>
              <w:t xml:space="preserve">(9.5 </w:t>
            </w:r>
            <w:r>
              <w:rPr>
                <w:rFonts w:ascii="Times New Roman" w:cs="Times New Roman" w:eastAsia="Times New Roman" w:hAnsi="Times New Roman"/>
                <w:sz w:val="23"/>
                <w:szCs w:val="23"/>
                <w:color w:val="auto"/>
                <w:vertAlign w:val="subscript"/>
              </w:rPr>
              <w:t>)</w:t>
            </w: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20"/>
              <w:spacing w:after="0" w:line="204" w:lineRule="exact"/>
              <w:rPr>
                <w:sz w:val="20"/>
                <w:szCs w:val="20"/>
                <w:color w:val="auto"/>
              </w:rPr>
            </w:pPr>
            <w:r>
              <w:rPr>
                <w:rFonts w:ascii="Times New Roman" w:cs="Times New Roman" w:eastAsia="Times New Roman" w:hAnsi="Times New Roman"/>
                <w:sz w:val="13"/>
                <w:szCs w:val="13"/>
                <w:color w:val="auto"/>
              </w:rPr>
              <w:t xml:space="preserve">(16.5 </w:t>
            </w:r>
            <w:r>
              <w:rPr>
                <w:rFonts w:ascii="Times New Roman" w:cs="Times New Roman" w:eastAsia="Times New Roman" w:hAnsi="Times New Roman"/>
                <w:sz w:val="23"/>
                <w:szCs w:val="23"/>
                <w:color w:val="auto"/>
                <w:vertAlign w:val="subscript"/>
              </w:rPr>
              <w:t>)</w:t>
            </w:r>
          </w:p>
        </w:tc>
        <w:tc>
          <w:tcPr>
            <w:tcW w:w="48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(1)Amounts round to less than $0.1 million</w:t>
      </w:r>
    </w:p>
    <w:p>
      <w:pPr>
        <w:spacing w:after="0" w:line="224" w:lineRule="exact"/>
        <w:rPr>
          <w:sz w:val="20"/>
          <w:szCs w:val="20"/>
          <w:color w:val="auto"/>
        </w:rPr>
      </w:pPr>
    </w:p>
    <w:p>
      <w:pPr>
        <w:ind w:right="80" w:firstLine="228"/>
        <w:spacing w:after="0" w:line="272" w:lineRule="auto"/>
        <w:rPr>
          <w:sz w:val="20"/>
          <w:szCs w:val="20"/>
          <w:color w:val="auto"/>
        </w:rPr>
      </w:pPr>
      <w:r>
        <w:rPr>
          <w:rFonts w:ascii="Times New Roman" w:cs="Times New Roman" w:eastAsia="Times New Roman" w:hAnsi="Times New Roman"/>
          <w:sz w:val="14"/>
          <w:szCs w:val="14"/>
          <w:color w:val="auto"/>
        </w:rPr>
        <w:t>For the three and six months ended June 30, 2024, we had net realized gains on investments of $1.6 million and $3.9 million, respectively, primarily driven by nineteen investments and thirty -six investments, respectively. For the three and six months ended June 30, 2024, we had net realized losses of $0.1 million and net realized losses of $0.8 million, respectively on foreign currency transactions, primarily as a result of translating foreign currency related to our non-USD denominated investments. For the three and six months ended June 30, 2024, we had net realized losses of $1.7 million and net realized losses of $2.4, respectively, on foreign currency investments. For the three and six months ended June 30, 2024, we had net realized gains of $ 2.0 million and net realized gains of $3.2 million on foreign currency borrowings. The net realized gains and losses on foreign currency borrowings were a result of payments on our revolving credit facility.</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56" w:name="page57"/>
    <w:bookmarkEnd w:id="56"/>
    <w:p>
      <w:pPr>
        <w:spacing w:after="0" w:line="113"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For the three months ended June 30, 2024, we had $ 13.9 million in unrealized gains on 57 portfolio company investments, which was offset by $21.8 million in unrealized losses on 73 portfolio company investments. Unrealized gains primarily resulted from tightening credit spreads and positive portfolio company specific developments. Unrealized losses primarily resulted from negative portfolio company specific developments and the reversal of prior period unrealized gains due to realizations. For the six months ended June 30, 2024, we had $23.7 million in unrealized gains on 63 portfolio company investments, which was offset by $43.2 million in unrealized losses on 89 portfolio company investments. Unrealized gains primarily resulted from tightening credit spreads and positive portfolio company specific developments. Unrealized losses primarily resulted from negative portfolio company specific developments and the reversal of prior period unrealized gains due to realizations.</w:t>
      </w:r>
    </w:p>
    <w:p>
      <w:pPr>
        <w:spacing w:after="0" w:line="170"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For the three and six months ended June 30, 2024, we had unrealized losses on foreign currency borrowings of $1.6 million and unrealized gains of $3.0 million, respectively, on foreign currency borrowings, as a result of fluctuations in the AUD, CAD, EUR, SEK and GBP exchange rates. For the three and six months ended June 30, 2024, we had unrealized losses on foreign currency cash of less than $0.1 million and unrealized losses of less than $0.1 million, respectively. For the three and six months ended June 30, 2024, we had no unrealized gains or losses on interest rate swaps, respectively.</w:t>
      </w:r>
    </w:p>
    <w:p>
      <w:pPr>
        <w:spacing w:after="0" w:line="167"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For the three and six months ended June 30, 2023, we had net realized gains on investments of $1.6 million and $6.4 million, respectively, primarily driven by one investment and one investment, respectively. For the three and six months ended June 30, 2023, we had net realized losses of $0.1 million and net realized gains of $0.1 million, respectively on foreign currency transactions, primarily as a result of translating foreign currency related to our non-USD denominated investments. For the three and six months ended June 30, 2023, we had net realized losses of less than $0.1 million, respectively, on foreign currency investments. For the three and six months ended June 30, 2023, we had net realized losses of less than $0.1 million and net realized gains of $0.2 million on foreign currency borrowings. The net realized gains and losses on foreign currency borrowings were a result of payments on our revolving credit facility.</w:t>
      </w:r>
    </w:p>
    <w:p>
      <w:pPr>
        <w:spacing w:after="0" w:line="1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For the three months ended June 30, 2023, we had $ 18.0 million in unrealized gains on 102 portfolio company investments, which was offset by $13.1 million in unrealized losses on 30 portfolio company investments. Unrealized gains resulted from an increase in fair value, primarily due to positive portfolio company specific developments. Unrealized losses primarily resulted from widening credit spreads, lesser impacts from the reversal of prior period unrealized gains due to realizations and negative portfolio company specific developments. For the six months ended June 30, 2023, we had $40.0 million in unrealized gains on 108 portfolio company investments, which was offset by $29.6 million in unrealized losses on 26 portfolio company investments. Unrealized gains resulted from an 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w:t>
      </w:r>
    </w:p>
    <w:p>
      <w:pPr>
        <w:spacing w:after="0" w:line="170"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For the three and six months ended June 30, 2023, we had unrealized losses on foreign currency borrowings of $2.0 million and $2.7 million, respectively, on foreign currency borrowings, as a result of fluctuations in the AUD, CAD, EUR and GBP exchange rates. For the three and six months ended June 30, 2023, we had unrealized gains on foreign currency cash of less than $0.1 million and unrealized losses of $0.3 million, respectively. For the three and six months ended June 30, 2023, we had unrealized losses on interest rate swaps of $0.1 million and unrealized gains of $0.2 million, respectively, due to fluctuations in interest rates and the periodic settlement of interest rate swaps.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Realized Gross Internal Rate of Return</w:t>
      </w:r>
    </w:p>
    <w:p>
      <w:pPr>
        <w:spacing w:after="0" w:line="96"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Since we began investing in 2011 through June 30, 2024, weighted by capital invested, our exited investments have generated an average realized gross internal rate of return to us of 17.3% (based on total capital invested of $7.5 billion and total proceeds from these exited investments of $9.5 billion). Ninety two percent of these exited investments resulted in a realized gross internal rate of return to us of 10% or greater.</w:t>
      </w:r>
    </w:p>
    <w:p>
      <w:pPr>
        <w:spacing w:after="0" w:line="164"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64"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55" w:lineRule="exact"/>
        <w:rPr>
          <w:sz w:val="20"/>
          <w:szCs w:val="20"/>
          <w:color w:val="auto"/>
        </w:rPr>
      </w:pPr>
    </w:p>
    <w:p>
      <w:pPr>
        <w:ind w:right="80" w:firstLine="228"/>
        <w:spacing w:after="0" w:line="246" w:lineRule="auto"/>
        <w:rPr>
          <w:sz w:val="20"/>
          <w:szCs w:val="20"/>
          <w:color w:val="auto"/>
        </w:rPr>
      </w:pPr>
      <w:r>
        <w:rPr>
          <w:rFonts w:ascii="Times New Roman" w:cs="Times New Roman" w:eastAsia="Times New Roman" w:hAnsi="Times New Roman"/>
          <w:sz w:val="16"/>
          <w:szCs w:val="16"/>
          <w:color w:val="auto"/>
        </w:rPr>
        <w:t>Average gross IRR is the average of the gross IRR for each of our exited investments (each calculated as described above), weighted by the total capital invested for each of those investments.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7" w:name="page58"/>
    <w:bookmarkEnd w:id="57"/>
    <w:p>
      <w:pPr>
        <w:spacing w:after="0" w:line="113"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on our exited investments reflects only invested and realized cash amounts as described above, and does not reflect any unrealized gains or losses in our portfolio.</w:t>
      </w:r>
    </w:p>
    <w:p>
      <w:pPr>
        <w:spacing w:after="0" w:line="155"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6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and Foreign Currency Hedging</w:t>
      </w:r>
    </w:p>
    <w:p>
      <w:pPr>
        <w:spacing w:after="0" w:line="96"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16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six months ended June 30, 2024 and 2023, we had $3.0 million of unrealized gains and $2.7 million of unrealized losses, respectively, on the translation of our non-U.S. dollar denominated debt into U.S. dollars; such amounts approximate the corresponding unrealized gains and losses on the translation of our non-U.S. dollar denominated investments into U.S. dollars for the six months ended June 30, 2024 and 2023. See Note 2 for additional disclosure regarding our accounting for foreign currency. See Note 7 for additional disclosure regarding the amounts of outstanding debt denominated in each foreign currency at June 30, 2024. See our Consolidated Schedule of Investments for additional disclosure regarding the foreign currency amounts (in both par and fair value) of our non-U.S. dollar denominated investments.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liquidity and capital resources are derived primarily from proceeds from equity issuances, advances from our credit facilities, and cash flows from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uses of our cash and cash equivalents are:</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in portfolio companies and other investments and to comply with certain portfolio diversification requirements;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cost of operations (including paying our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repayment, and other financing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dividends to the holders of our shares.</w:t>
      </w:r>
    </w:p>
    <w:p>
      <w:pPr>
        <w:spacing w:after="0" w:line="188" w:lineRule="exact"/>
        <w:rPr>
          <w:sz w:val="20"/>
          <w:szCs w:val="20"/>
          <w:color w:val="auto"/>
        </w:rPr>
      </w:pPr>
    </w:p>
    <w:p>
      <w:pPr>
        <w:ind w:right="40" w:firstLine="228"/>
        <w:spacing w:after="0" w:line="237" w:lineRule="auto"/>
        <w:rPr>
          <w:sz w:val="20"/>
          <w:szCs w:val="20"/>
          <w:color w:val="auto"/>
        </w:rPr>
      </w:pPr>
      <w:r>
        <w:rPr>
          <w:rFonts w:ascii="Times New Roman" w:cs="Times New Roman" w:eastAsia="Times New Roman" w:hAnsi="Times New Roman"/>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June 30, 2024 and December 31, 2023, our asset coverage ratio was 189.9% and 181.6%,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8" w:name="page59"/>
    <w:bookmarkEnd w:id="58"/>
    <w:p>
      <w:pPr>
        <w:spacing w:after="0" w:line="113" w:lineRule="exact"/>
        <w:rPr>
          <w:sz w:val="20"/>
          <w:szCs w:val="20"/>
          <w:color w:val="auto"/>
        </w:rPr>
      </w:pPr>
    </w:p>
    <w:p>
      <w:pPr>
        <w:jc w:val="both"/>
        <w:ind w:right="120" w:firstLine="228"/>
        <w:spacing w:after="0" w:line="247" w:lineRule="auto"/>
        <w:rPr>
          <w:sz w:val="20"/>
          <w:szCs w:val="20"/>
          <w:color w:val="auto"/>
        </w:rPr>
      </w:pPr>
      <w:r>
        <w:rPr>
          <w:rFonts w:ascii="Times New Roman" w:cs="Times New Roman" w:eastAsia="Times New Roman" w:hAnsi="Times New Roman"/>
          <w:sz w:val="16"/>
          <w:szCs w:val="16"/>
          <w:color w:val="auto"/>
        </w:rPr>
        <w:t>Cash and cash equivalents as of June 30, 2024, taken together with cash available under our credit facilities, is expected to be sufficient for our investing activities and to conduct our operations in the near term. As of June 30, 2024, we had approximately $1.2 billion of availability on our Revolving Credit Facility, subject to asset coverage limitations.</w:t>
      </w:r>
    </w:p>
    <w:p>
      <w:pPr>
        <w:spacing w:after="0" w:line="164" w:lineRule="exact"/>
        <w:rPr>
          <w:sz w:val="20"/>
          <w:szCs w:val="20"/>
          <w:color w:val="auto"/>
        </w:rPr>
      </w:pPr>
    </w:p>
    <w:p>
      <w:pPr>
        <w:ind w:right="60" w:firstLine="195"/>
        <w:spacing w:after="0" w:line="239" w:lineRule="auto"/>
        <w:rPr>
          <w:sz w:val="20"/>
          <w:szCs w:val="20"/>
          <w:color w:val="auto"/>
        </w:rPr>
      </w:pPr>
      <w:r>
        <w:rPr>
          <w:rFonts w:ascii="Times New Roman" w:cs="Times New Roman" w:eastAsia="Times New Roman" w:hAnsi="Times New Roman"/>
          <w:sz w:val="16"/>
          <w:szCs w:val="16"/>
          <w:color w:val="auto"/>
        </w:rPr>
        <w:t>As of June 30, 2024, we had $34.6 million in cash and cash equivalents, including $29.5 million of restricted cash. During the six months ended June 30, 2024, cash provided by operating activities was $59.7 million, primarily attributable to an increase in net assets resulting from operations of $94.9 million and repayments and proceeds from investments of $ 433.7 million, which was offset by funding portfolio investments of $ 458.9 million and other operating activity of $10.0 million. Cash used in financing activities was $ (50.3) million during the period, primarily attributable to paydowns on our Revolving Credit Facility of $905.2 million, dividends paid to stockholders of $85.6 million, deferred financing costs of $8.8 million, which was offset due to borrowings of $856.0 million and proceeds from the issuance of common stock $93.3 million.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p>
      <w:pPr>
        <w:spacing w:after="0" w:line="192" w:lineRule="exact"/>
        <w:rPr>
          <w:sz w:val="20"/>
          <w:szCs w:val="20"/>
          <w:color w:val="auto"/>
        </w:rPr>
      </w:pPr>
    </w:p>
    <w:p>
      <w:pPr>
        <w:ind w:right="280" w:firstLine="228"/>
        <w:spacing w:after="0" w:line="247" w:lineRule="auto"/>
        <w:rPr>
          <w:sz w:val="20"/>
          <w:szCs w:val="20"/>
          <w:color w:val="auto"/>
        </w:rPr>
      </w:pPr>
      <w:r>
        <w:rPr>
          <w:rFonts w:ascii="Times New Roman" w:cs="Times New Roman" w:eastAsia="Times New Roman" w:hAnsi="Times New Roman"/>
          <w:sz w:val="16"/>
          <w:szCs w:val="16"/>
          <w:color w:val="auto"/>
        </w:rPr>
        <w:t>On May 15, 2023, we issued a total of 4,500,000 shares of common stock at $17.33 per share. Net of underwriting fees and offering costs, we received total cash proceeds of $77.6 million. Subsequent to the offering we issued an additional 675,000 shares on June 12, 2023 pursuant to the overallotment option granted to underwriters and received, net of underwriting fees, total cash proceeds of $11.7 million.</w:t>
      </w:r>
    </w:p>
    <w:p>
      <w:pPr>
        <w:spacing w:after="0" w:line="16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On March 5, 2024, we issued a total of 4,000,000 shares of common stock at $20.52 per share. Net of underwriting fees and offering costs, we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spacing w:after="0" w:line="164"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During the six months ended June 30, 2024 and 2023, we also issued 587,706 and 676,944 shares of our common stock, respectively, to investors who have not opted out of our dividend reinvestment plan for proceeds of $11.9 million and $11.8 million, respectively.</w:t>
      </w:r>
    </w:p>
    <w:p>
      <w:pPr>
        <w:spacing w:after="0" w:line="155"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1, 2024. The amount and timing of stock repurchases under the program may vary depending on market conditions, and no assurance can be given that any particular amount of common stock will be repurchased.</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 shares were repurchased for the three and six months ended June 30, 2024 and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In August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55"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As of June 30, 2024, aggregate commitments under the facility were $1.7 billion. The facility includes an uncommitted accordion feature that allows the Company, under certain circumstances, to increase the size of the facility to up to $2.0 billion.</w:t>
      </w:r>
    </w:p>
    <w:p>
      <w:pPr>
        <w:spacing w:after="0" w:line="155"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4"/>
          <w:szCs w:val="14"/>
          <w:color w:val="auto"/>
        </w:rPr>
        <w:t>Pursuant to the Fourteenth Amendment dated June 12, 2023, with respect to $1.465 billion in commitments, the revolving period, during which period we, subject to certain conditions, may make borrowings under the facility, was extended to June 11, 2027 and the stated maturity date was extended to June 12, 2028. For the remaining $ 220.0 million of commitments, (A) with respect to $50.0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37" w:lineRule="exact"/>
        <w:rPr>
          <w:sz w:val="20"/>
          <w:szCs w:val="20"/>
          <w:color w:val="auto"/>
        </w:rPr>
      </w:pPr>
    </w:p>
    <w:p>
      <w:pPr>
        <w:ind w:right="20" w:firstLine="228"/>
        <w:spacing w:after="0"/>
        <w:rPr>
          <w:sz w:val="20"/>
          <w:szCs w:val="20"/>
          <w:color w:val="auto"/>
        </w:rPr>
      </w:pPr>
      <w:r>
        <w:rPr>
          <w:rFonts w:ascii="Times New Roman" w:cs="Times New Roman" w:eastAsia="Times New Roman" w:hAnsi="Times New Roman"/>
          <w:sz w:val="16"/>
          <w:szCs w:val="16"/>
          <w:color w:val="auto"/>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9" w:name="page60"/>
    <w:bookmarkEnd w:id="59"/>
    <w:p>
      <w:pPr>
        <w:spacing w:after="0" w:line="113"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We may borrow amounts in U.S. dollars or certain other permitted currencies. As of June 30, 2024, we had outstanding debt denominated in Australian dollars (AUD) of 64.9 million, British pounds (GBP) of 41.0 million, Canadian dollars (CAD) of 5.0 million, Swedish Krona (SEK) of 78.1 million and Euro (EUR) of 101.2 million on its Revolving Credit Facility, included in the Outstanding Principal amount in the table below. As of December 31, 2023, the Company had outstanding debt denominated in Australian dollars (AUD) of 66.4 million, British pounds (GBP) of 32.3 million, Canadian dollars (CAD) of 96.8 million, and Euro (EUR) of 57.2 million on our Revolving Credit Facility, included in the Outstanding Principal amount in the table below.</w:t>
      </w:r>
    </w:p>
    <w:p>
      <w:pPr>
        <w:spacing w:after="0" w:line="169" w:lineRule="exact"/>
        <w:rPr>
          <w:sz w:val="20"/>
          <w:szCs w:val="20"/>
          <w:color w:val="auto"/>
        </w:rPr>
      </w:pPr>
    </w:p>
    <w:p>
      <w:pPr>
        <w:jc w:val="both"/>
        <w:ind w:right="18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$75.0 million. As of June 30, 2024 and December 31, 2023 the Company had $3.0 million and $0.2 million, respectively,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73"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Fifteenth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1.5 to 1 on the last day of any fiscal quarter;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•stockholders’ equity of at least $650 million plus 25% of the net proceeds of the sale of equity interests after April 24, 2024; and</w:t>
      </w:r>
    </w:p>
    <w:p>
      <w:pPr>
        <w:spacing w:after="0" w:line="92" w:lineRule="exact"/>
        <w:rPr>
          <w:sz w:val="20"/>
          <w:szCs w:val="20"/>
          <w:color w:val="auto"/>
        </w:rPr>
      </w:pPr>
    </w:p>
    <w:p>
      <w:pPr>
        <w:ind w:left="240" w:right="420"/>
        <w:spacing w:after="0" w:line="299" w:lineRule="auto"/>
        <w:rPr>
          <w:sz w:val="20"/>
          <w:szCs w:val="20"/>
          <w:color w:val="auto"/>
        </w:rPr>
      </w:pPr>
      <w:r>
        <w:rPr>
          <w:rFonts w:ascii="Times New Roman" w:cs="Times New Roman" w:eastAsia="Times New Roman" w:hAnsi="Times New Roman"/>
          <w:sz w:val="14"/>
          <w:szCs w:val="14"/>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31"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Net proceeds received from the Company’s common stock issuances in February 2024 and April 2024 and net proceeds received from the issuance of the 2029 Notes were used to pay down borrowings on the Revolving Credit Facility.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June 30, 2024 and December 31, 2023, the Company was in compliance with the terms of the Revolving Credit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Notes</w:t>
      </w:r>
    </w:p>
    <w:p>
      <w:pPr>
        <w:spacing w:after="0" w:line="94" w:lineRule="exact"/>
        <w:rPr>
          <w:sz w:val="20"/>
          <w:szCs w:val="20"/>
          <w:color w:val="auto"/>
        </w:rPr>
      </w:pPr>
    </w:p>
    <w:p>
      <w:pPr>
        <w:ind w:right="140" w:firstLine="228"/>
        <w:spacing w:after="0" w:line="239" w:lineRule="auto"/>
        <w:rPr>
          <w:sz w:val="20"/>
          <w:szCs w:val="20"/>
          <w:color w:val="auto"/>
        </w:rPr>
      </w:pPr>
      <w:r>
        <w:rPr>
          <w:rFonts w:ascii="Times New Roman" w:cs="Times New Roman" w:eastAsia="Times New Roman" w:hAnsi="Times New Roman"/>
          <w:sz w:val="16"/>
          <w:szCs w:val="16"/>
          <w:color w:val="auto"/>
        </w:rPr>
        <w:t>In January 2018, the Company issued $150.0 million aggregate principal amount of unsecured notes that matured on January 22, 2023 (the “2023 Notes”) .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ind w:right="220" w:firstLine="228"/>
        <w:spacing w:after="0" w:line="242" w:lineRule="auto"/>
        <w:rPr>
          <w:sz w:val="20"/>
          <w:szCs w:val="20"/>
          <w:color w:val="auto"/>
        </w:rPr>
      </w:pPr>
      <w:r>
        <w:rPr>
          <w:rFonts w:ascii="Times New Roman" w:cs="Times New Roman" w:eastAsia="Times New Roman" w:hAnsi="Times New Roman"/>
          <w:sz w:val="16"/>
          <w:szCs w:val="16"/>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0" w:name="page61"/>
    <w:bookmarkEnd w:id="60"/>
    <w:p>
      <w:pPr>
        <w:spacing w:after="0" w:line="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55" w:lineRule="exact"/>
        <w:rPr>
          <w:sz w:val="20"/>
          <w:szCs w:val="20"/>
          <w:color w:val="auto"/>
        </w:rPr>
      </w:pPr>
    </w:p>
    <w:p>
      <w:pPr>
        <w:ind w:right="260" w:firstLine="228"/>
        <w:spacing w:after="0" w:line="241" w:lineRule="auto"/>
        <w:rPr>
          <w:sz w:val="20"/>
          <w:szCs w:val="20"/>
          <w:color w:val="auto"/>
        </w:rPr>
      </w:pPr>
      <w:r>
        <w:rPr>
          <w:rFonts w:ascii="Times New Roman" w:cs="Times New Roman" w:eastAsia="Times New Roman" w:hAnsi="Times New Roman"/>
          <w:sz w:val="16"/>
          <w:szCs w:val="16"/>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69" w:lineRule="exact"/>
        <w:rPr>
          <w:sz w:val="20"/>
          <w:szCs w:val="20"/>
          <w:color w:val="auto"/>
        </w:rPr>
      </w:pPr>
    </w:p>
    <w:p>
      <w:pPr>
        <w:ind w:right="220" w:firstLine="228"/>
        <w:spacing w:after="0" w:line="278" w:lineRule="auto"/>
        <w:rPr>
          <w:sz w:val="20"/>
          <w:szCs w:val="20"/>
          <w:color w:val="auto"/>
        </w:rPr>
      </w:pPr>
      <w:r>
        <w:rPr>
          <w:rFonts w:ascii="Times New Roman" w:cs="Times New Roman" w:eastAsia="Times New Roman" w:hAnsi="Times New Roman"/>
          <w:sz w:val="14"/>
          <w:szCs w:val="14"/>
          <w:color w:val="auto"/>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 the 2024 Notes is SOFR plus 2.54% (on a weighted average basis). The interest expense related to the 2024 Notes is offset by proceeds received from the interest rate swaps designated as a hedge. The swap adjusted interest expense is included as a component of interest expense on the Company’s Consolidated Statements of Operations. As of June 30, 2024, and December 31, 2023, the effective hedge interest rate swaps had a fair value of $(5.0) million and $(10.4) million, respectively, which is offset within interest expense by an equal, but opposite, fair value change for the hedged risk on the 2024 Notes.</w:t>
      </w:r>
    </w:p>
    <w:p>
      <w:pPr>
        <w:spacing w:after="0" w:line="147"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2020, the Company repurchased on the open market and extinguished $2.5 million in aggregate principal amount of the 2024 Notes for $2.4 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SOFR plus 2.54% (on a weighted average basis).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w:t>
      </w:r>
    </w:p>
    <w:p>
      <w:pPr>
        <w:spacing w:after="0" w:line="169" w:lineRule="exact"/>
        <w:rPr>
          <w:sz w:val="20"/>
          <w:szCs w:val="20"/>
          <w:color w:val="auto"/>
        </w:rPr>
      </w:pPr>
    </w:p>
    <w:p>
      <w:pPr>
        <w:ind w:right="14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June 30, 2024 and December 31, 2023, the effective hedge interest rate swaps had a fair value of $(25.4) million and $(26.1) million, respectively, which is offset within interest expense by an equal, but opposite, fair value change for the hedged risk on the 2026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190"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On August 14,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169" w:lineRule="exact"/>
        <w:rPr>
          <w:sz w:val="20"/>
          <w:szCs w:val="20"/>
          <w:color w:val="auto"/>
        </w:rPr>
      </w:pPr>
    </w:p>
    <w:p>
      <w:pPr>
        <w:jc w:val="center"/>
        <w:ind w:right="140"/>
        <w:spacing w:after="0" w:line="241" w:lineRule="auto"/>
        <w:rPr>
          <w:sz w:val="20"/>
          <w:szCs w:val="20"/>
          <w:color w:val="auto"/>
        </w:rPr>
      </w:pPr>
      <w:r>
        <w:rPr>
          <w:rFonts w:ascii="Times New Roman" w:cs="Times New Roman" w:eastAsia="Times New Roman" w:hAnsi="Times New Roman"/>
          <w:sz w:val="16"/>
          <w:szCs w:val="16"/>
          <w:color w:val="auto"/>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407670</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1" w:name="page62"/>
    <w:bookmarkEnd w:id="61"/>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component of interest expense on the Company’s Consolidated Statements of Operations. As of June 30, 2024 and December 31, 2023, the effective hedge interest rate swaps had a fair value of $(2.5) million and $4.7 million, respectively, which is offset within interest expense by an equal, but opposite, fair value change for the hedged risk on the 2028 Notes.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w:t>
      </w:r>
      <w:r>
        <w:rPr>
          <w:rFonts w:ascii="Times New Roman" w:cs="Times New Roman" w:eastAsia="Times New Roman" w:hAnsi="Times New Roman"/>
          <w:sz w:val="16"/>
          <w:szCs w:val="16"/>
          <w:color w:val="auto"/>
        </w:rPr>
        <w:t>s</w:t>
      </w:r>
    </w:p>
    <w:p>
      <w:pPr>
        <w:spacing w:after="0" w:line="190"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On January 8,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spacing w:after="0" w:line="169"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As of June 30, 2024, the effective hedge interest rate swaps had a fair value of $(6.3) million which is offset within interest expense by an equal, but opposite, fair value change for the hedged risk on the 2029 Notes.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June 30, 2024 and December 31, 2023:</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98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200" w:type="dxa"/>
            <w:vAlign w:val="bottom"/>
          </w:tcPr>
          <w:p>
            <w:pPr>
              <w:spacing w:after="0"/>
              <w:rPr>
                <w:sz w:val="16"/>
                <w:szCs w:val="16"/>
                <w:color w:val="auto"/>
              </w:rPr>
            </w:pPr>
          </w:p>
        </w:tc>
        <w:tc>
          <w:tcPr>
            <w:tcW w:w="154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6"/>
                <w:szCs w:val="16"/>
                <w:color w:val="auto"/>
              </w:rPr>
            </w:pPr>
          </w:p>
        </w:tc>
        <w:tc>
          <w:tcPr>
            <w:tcW w:w="98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28"/>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1,209.5</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80" w:type="dxa"/>
            <w:vAlign w:val="bottom"/>
            <w:shd w:val="clear" w:color="auto" w:fill="CFF0FC"/>
          </w:tcPr>
          <w:p>
            <w:pPr>
              <w:spacing w:after="0"/>
              <w:rPr>
                <w:sz w:val="19"/>
                <w:szCs w:val="19"/>
                <w:color w:val="auto"/>
              </w:rPr>
            </w:pPr>
          </w:p>
        </w:tc>
      </w:tr>
      <w:tr>
        <w:trPr>
          <w:trHeight w:val="204"/>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80" w:type="dxa"/>
            <w:vAlign w:val="bottom"/>
          </w:tcPr>
          <w:p>
            <w:pPr>
              <w:spacing w:after="0"/>
              <w:rPr>
                <w:sz w:val="17"/>
                <w:szCs w:val="17"/>
                <w:color w:val="auto"/>
              </w:rPr>
            </w:pPr>
          </w:p>
        </w:tc>
      </w:tr>
      <w:tr>
        <w:trPr>
          <w:trHeight w:val="20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80" w:type="dxa"/>
            <w:vAlign w:val="bottom"/>
            <w:shd w:val="clear" w:color="auto" w:fill="CFF0FC"/>
          </w:tcPr>
          <w:p>
            <w:pPr>
              <w:spacing w:after="0"/>
              <w:rPr>
                <w:sz w:val="17"/>
                <w:szCs w:val="17"/>
                <w:color w:val="auto"/>
              </w:rPr>
            </w:pPr>
          </w:p>
        </w:tc>
      </w:tr>
      <w:tr>
        <w:trPr>
          <w:trHeight w:val="204"/>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80" w:type="dxa"/>
            <w:vAlign w:val="bottom"/>
          </w:tcPr>
          <w:p>
            <w:pPr>
              <w:spacing w:after="0"/>
              <w:rPr>
                <w:sz w:val="17"/>
                <w:szCs w:val="17"/>
                <w:color w:val="auto"/>
              </w:rPr>
            </w:pPr>
          </w:p>
        </w:tc>
      </w:tr>
      <w:tr>
        <w:trPr>
          <w:trHeight w:val="20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80" w:type="dxa"/>
            <w:vAlign w:val="bottom"/>
            <w:shd w:val="clear" w:color="auto" w:fill="CFF0FC"/>
          </w:tcPr>
          <w:p>
            <w:pPr>
              <w:spacing w:after="0"/>
              <w:rPr>
                <w:sz w:val="17"/>
                <w:szCs w:val="17"/>
                <w:color w:val="auto"/>
              </w:rPr>
            </w:pPr>
          </w:p>
        </w:tc>
      </w:tr>
      <w:tr>
        <w:trPr>
          <w:trHeight w:val="204"/>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1,785.0</w:t>
            </w:r>
          </w:p>
        </w:tc>
        <w:tc>
          <w:tcPr>
            <w:tcW w:w="1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1,712.9</w:t>
            </w:r>
          </w:p>
        </w:tc>
        <w:tc>
          <w:tcPr>
            <w:tcW w:w="80" w:type="dxa"/>
            <w:vAlign w:val="bottom"/>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and asset coverage requirements</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2028 Notes and 2029 Notes are presented net of the combination of deferred financing costs and original issue discounts totaling $17.2 million, $0.5 million, $2.4 million, $5.1 million, and $7.7 million, respectively.</w:t>
      </w:r>
    </w:p>
    <w:p>
      <w:pPr>
        <w:spacing w:after="0" w:line="1"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6"/>
          <w:szCs w:val="16"/>
          <w:color w:val="auto"/>
        </w:rPr>
        <w:t>(3)The carrying values of the 2024 Notes, 2026 Notes, 2028 Notes and 2029 Notes are presented inclusive of an incremental $ (5.0) million, $(25.4) million, $(2.5) million and $(6.3) million, respectively, which represents an adjustment in the carrying values of the 2024 Notes, 2026 Notes, 2028 Notes and 2029 Notes, each resulting from a hedge accounting relationship.</w:t>
      </w:r>
    </w:p>
    <w:p>
      <w:pPr>
        <w:spacing w:after="0" w:line="193" w:lineRule="exact"/>
        <w:rPr>
          <w:sz w:val="20"/>
          <w:szCs w:val="20"/>
          <w:color w:val="auto"/>
        </w:rPr>
      </w:pPr>
    </w:p>
    <w:tbl>
      <w:tblPr>
        <w:tblLayout w:type="fixed"/>
        <w:tblInd w:w="84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26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80" w:type="dxa"/>
            <w:vAlign w:val="bottom"/>
          </w:tcPr>
          <w:p>
            <w:pPr>
              <w:spacing w:after="0"/>
              <w:rPr>
                <w:sz w:val="22"/>
                <w:szCs w:val="22"/>
                <w:color w:val="auto"/>
              </w:rPr>
            </w:pPr>
          </w:p>
        </w:tc>
        <w:tc>
          <w:tcPr>
            <w:tcW w:w="150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ind w:left="100"/>
              <w:spacing w:after="0" w:line="260" w:lineRule="exact"/>
              <w:rPr>
                <w:sz w:val="20"/>
                <w:szCs w:val="20"/>
                <w:color w:val="auto"/>
              </w:rPr>
            </w:pPr>
            <w:r>
              <w:rPr>
                <w:rFonts w:ascii="Times New Roman" w:cs="Times New Roman" w:eastAsia="Times New Roman" w:hAnsi="Times New Roman"/>
                <w:sz w:val="26"/>
                <w:szCs w:val="26"/>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1,710.0</w:t>
            </w:r>
          </w:p>
        </w:tc>
        <w:tc>
          <w:tcPr>
            <w:tcW w:w="3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3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3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80" w:type="dxa"/>
            <w:vAlign w:val="bottom"/>
            <w:shd w:val="clear" w:color="auto" w:fill="CFF0FC"/>
          </w:tcPr>
          <w:p>
            <w:pPr>
              <w:spacing w:after="0"/>
              <w:rPr>
                <w:sz w:val="17"/>
                <w:szCs w:val="17"/>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80" w:type="dxa"/>
            <w:vAlign w:val="bottom"/>
          </w:tcPr>
          <w:p>
            <w:pPr>
              <w:spacing w:after="0"/>
              <w:rPr>
                <w:sz w:val="17"/>
                <w:szCs w:val="17"/>
                <w:color w:val="auto"/>
              </w:rPr>
            </w:pPr>
          </w:p>
        </w:tc>
      </w:tr>
      <w:tr>
        <w:trPr>
          <w:trHeight w:val="205"/>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80" w:type="dxa"/>
            <w:vAlign w:val="bottom"/>
            <w:shd w:val="clear" w:color="auto" w:fill="CFF0FC"/>
          </w:tcPr>
          <w:p>
            <w:pPr>
              <w:spacing w:after="0"/>
              <w:rPr>
                <w:sz w:val="17"/>
                <w:szCs w:val="17"/>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80" w:type="dxa"/>
            <w:vAlign w:val="bottom"/>
          </w:tcPr>
          <w:p>
            <w:pPr>
              <w:spacing w:after="0"/>
              <w:rPr>
                <w:sz w:val="17"/>
                <w:szCs w:val="17"/>
                <w:color w:val="auto"/>
              </w:rPr>
            </w:pPr>
          </w:p>
        </w:tc>
      </w:tr>
      <w:tr>
        <w:trPr>
          <w:trHeight w:val="245"/>
        </w:trPr>
        <w:tc>
          <w:tcPr>
            <w:tcW w:w="2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1,837.2</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0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and asset coverage requirements.</w:t>
      </w:r>
    </w:p>
    <w:p>
      <w:pPr>
        <w:spacing w:after="0" w:line="1"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and 2028 Notes are presented net of the combination of deferred financing costs and original issue discounts totaling $15.2 million, $1.2 million, $3.0 million and $5.7 million, respectively.</w:t>
      </w:r>
    </w:p>
    <w:p>
      <w:pPr>
        <w:spacing w:after="0" w:line="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(3)The carrying values of the 2024 Notes, 2026 Notes and 2028 Notes are presented inclusive of an incremental $(10.4) million, $ (26.1) million and $4.7 million, respectively, which represents an adjustment in the carrying values of the 2024 Notes, 2026 Notes and 2028 Notes, each resulting from a hedge accounting relationship.</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2" w:name="page63"/>
    <w:bookmarkEnd w:id="62"/>
    <w:p>
      <w:pPr>
        <w:spacing w:after="0" w:line="113"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As of June 30, 2024 and December 31, 2023, we were in compliance with the terms of our debt arrangements. We intend to continue to utilize our credit facilities to fund investments and for other general corporate purposes.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Commitments</w:t>
      </w:r>
    </w:p>
    <w:p>
      <w:pPr>
        <w:spacing w:after="0" w:line="96"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June 30, 2024 and December 31, 2023, we had the following commitments to fund investments in current portfolio companies: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60" w:type="dxa"/>
            <w:vAlign w:val="bottom"/>
          </w:tcPr>
          <w:p>
            <w:pPr>
              <w:spacing w:after="0"/>
              <w:rPr>
                <w:sz w:val="15"/>
                <w:szCs w:val="15"/>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500" w:type="dxa"/>
            <w:vAlign w:val="bottom"/>
          </w:tcPr>
          <w:p>
            <w:pPr>
              <w:spacing w:after="0"/>
              <w:rPr>
                <w:sz w:val="15"/>
                <w:szCs w:val="15"/>
                <w:color w:val="auto"/>
              </w:rPr>
            </w:pPr>
          </w:p>
        </w:tc>
        <w:tc>
          <w:tcPr>
            <w:tcW w:w="1560" w:type="dxa"/>
            <w:vAlign w:val="bottom"/>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40" w:type="dxa"/>
            <w:vAlign w:val="bottom"/>
          </w:tcPr>
          <w:p>
            <w:pPr>
              <w:spacing w:after="0"/>
              <w:rPr>
                <w:sz w:val="15"/>
                <w:szCs w:val="15"/>
                <w:color w:val="auto"/>
              </w:rPr>
            </w:pPr>
          </w:p>
        </w:tc>
        <w:tc>
          <w:tcPr>
            <w:tcW w:w="138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60" w:type="dxa"/>
            <w:vAlign w:val="bottom"/>
          </w:tcPr>
          <w:p>
            <w:pPr>
              <w:spacing w:after="0"/>
              <w:rPr>
                <w:sz w:val="18"/>
                <w:szCs w:val="18"/>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Alaska Bidco Oy - Delayed Draw &amp; Revolver</w:t>
            </w:r>
          </w:p>
        </w:tc>
        <w:tc>
          <w:tcPr>
            <w:tcW w:w="5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Alpha Midco, Inc. - Delayed Draw &amp;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American Achievement, Corp. -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Apellis Pharmaceuticals, Inc. - Delayed Draw</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Aptean, Inc. - Delayed Draw &amp;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Arrow Buyer, Inc. - Delayed Draw</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7.6</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Artisan Bidco, Inc. -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5.7</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ASG II, LLC - Delayed Draw</w:t>
            </w:r>
          </w:p>
        </w:tc>
        <w:tc>
          <w:tcPr>
            <w:tcW w:w="500" w:type="dxa"/>
            <w:vAlign w:val="bottom"/>
          </w:tcPr>
          <w:p>
            <w:pPr>
              <w:spacing w:after="0"/>
              <w:rPr>
                <w:sz w:val="17"/>
                <w:szCs w:val="17"/>
                <w:color w:val="auto"/>
              </w:rPr>
            </w:pPr>
          </w:p>
        </w:tc>
        <w:tc>
          <w:tcPr>
            <w:tcW w:w="15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3.4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4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Avalara, Inc. -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Axonify, Inc. - Delayed Draw</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Azurite Intermediate Holdings, Inc. - Delayed Draw, Revolver &amp; Equity</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Babylon Finco Limited - Delayed Draw</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Banyan Software Holdings, LLC - Delayed Draw</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18.5</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Bayshore Intermediate #2, L.P. -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BCTO Ace Purchaser, Inc. - Delayed Draw</w:t>
            </w:r>
          </w:p>
        </w:tc>
        <w:tc>
          <w:tcPr>
            <w:tcW w:w="50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BCTO Bluebill Buyer, Inc. - Delayed Draw</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Bear OpCo, LLC - Delayed Draw</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 Nevis Midco Limited - Delayed Draw</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BlueSnap, Inc. - Delayed Draw &amp;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Cordance Operations, LLC - Delayed Draw &amp;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6.8</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Crewline Buyer, Inc. - Revolver &amp; Equity</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 Parent, Inc. -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Dye &amp; Durham Corp. -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EDB Parent, LLC - Delayed Draw</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Edge Bidco B.V. - Delayed Draw &amp;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Elements Finco Limited - Delayed Draw</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Elysian Finco Ltd. - Delayed Draw &amp;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4.7</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Employment Hero Holdings Pty Ltd. - Delayed Draw &amp;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8.7</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EMS Linq, Inc. -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8.8</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ExtraHop Networks, Inc. - Delayed Draw &amp; Revolver</w:t>
            </w:r>
          </w:p>
        </w:tc>
        <w:tc>
          <w:tcPr>
            <w:tcW w:w="50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9.8</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ForeScout Technologies, Inc. - Delayed Draw &amp;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Galileo Parent, Inc. -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6.8</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Greenshoot Bidco B.V. -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Heritage Environmental Services, Inc. -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Hirevue, Inc. - Revolver</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Hornetsecurity Holding GmbH - Delayed Draw &amp;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Ibis Intermediate Co. - Delayed Draw</w:t>
            </w:r>
          </w:p>
        </w:tc>
        <w:tc>
          <w:tcPr>
            <w:tcW w:w="5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7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IRGSE Holding Corp. - Revolver</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4780" w:type="dxa"/>
            <w:vAlign w:val="bottom"/>
            <w:vMerge w:val="continue"/>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780" w:type="dxa"/>
            <w:vAlign w:val="bottom"/>
          </w:tcPr>
          <w:p>
            <w:pPr>
              <w:ind w:left="4140"/>
              <w:spacing w:after="0"/>
              <w:rPr>
                <w:sz w:val="20"/>
                <w:szCs w:val="20"/>
                <w:color w:val="auto"/>
              </w:rPr>
            </w:pPr>
            <w:r>
              <w:rPr>
                <w:rFonts w:ascii="Times New Roman" w:cs="Times New Roman" w:eastAsia="Times New Roman" w:hAnsi="Times New Roman"/>
                <w:sz w:val="16"/>
                <w:szCs w:val="16"/>
                <w:color w:val="auto"/>
              </w:rPr>
              <w:t>63</w:t>
            </w: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1"/>
        </w:trPr>
        <w:tc>
          <w:tcPr>
            <w:tcW w:w="1060" w:type="dxa"/>
            <w:vAlign w:val="bottom"/>
            <w:tcBorders>
              <w:bottom w:val="single" w:sz="8" w:color="EEEEEE"/>
            </w:tcBorders>
          </w:tcPr>
          <w:p>
            <w:pPr>
              <w:spacing w:after="0"/>
              <w:rPr>
                <w:sz w:val="24"/>
                <w:szCs w:val="24"/>
                <w:color w:val="auto"/>
              </w:rPr>
            </w:pPr>
          </w:p>
        </w:tc>
        <w:tc>
          <w:tcPr>
            <w:tcW w:w="478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3" w:name="page64"/>
    <w:bookmarkEnd w:id="63"/>
    <w:tbl>
      <w:tblPr>
        <w:tblLayout w:type="fixed"/>
        <w:tblInd w:w="1060" w:type="dxa"/>
        <w:tblCellMar>
          <w:top w:w="0" w:type="dxa"/>
          <w:left w:w="0" w:type="dxa"/>
          <w:bottom w:w="0" w:type="dxa"/>
          <w:right w:w="0" w:type="dxa"/>
        </w:tblCellMar>
      </w:tblP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Kangaroo Bidco AS - Delayed Draw</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Kyriba Corp. - Revolver</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FF0FC"/>
          </w:tcPr>
          <w:p>
            <w:pPr>
              <w:spacing w:after="0"/>
              <w:rPr>
                <w:sz w:val="17"/>
                <w:szCs w:val="17"/>
                <w:color w:val="auto"/>
              </w:rPr>
            </w:pP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Laramie Energy, LLC - Delayed Draw</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LeanTaaS Holdings, Inc. - Delayed Draw</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FF0FC"/>
          </w:tcPr>
          <w:p>
            <w:pPr>
              <w:spacing w:after="0"/>
              <w:rPr>
                <w:sz w:val="17"/>
                <w:szCs w:val="17"/>
                <w:color w:val="auto"/>
              </w:rPr>
            </w:pP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Lucidworks, Inc. - Delayed Draw</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Marcura Equities LTD - Delayed Draw &amp; Revolver</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FF0FC"/>
          </w:tcPr>
          <w:p>
            <w:pPr>
              <w:spacing w:after="0"/>
              <w:rPr>
                <w:sz w:val="17"/>
                <w:szCs w:val="17"/>
                <w:color w:val="auto"/>
              </w:rPr>
            </w:pP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Netwrix Corp. - Delayed Draw &amp; Revolver</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FF0FC"/>
          </w:tcPr>
          <w:p>
            <w:pPr>
              <w:spacing w:after="0"/>
              <w:rPr>
                <w:sz w:val="17"/>
                <w:szCs w:val="17"/>
                <w:color w:val="auto"/>
              </w:rPr>
            </w:pP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OutSystems Luxco SARL - Delayed Draw</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Passport Labs, Inc. - Revolver</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7"/>
                <w:szCs w:val="17"/>
                <w:color w:val="auto"/>
              </w:rPr>
            </w:pP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Ping Identity Holding Corp. - Revolver</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17"/>
                <w:szCs w:val="17"/>
                <w:color w:val="auto"/>
              </w:rPr>
            </w:pP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PrimeRevenue, Inc. - Revolver</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Project44, Inc. - Delayed Draw</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FF0FC"/>
          </w:tcPr>
          <w:p>
            <w:pPr>
              <w:spacing w:after="0"/>
              <w:rPr>
                <w:sz w:val="17"/>
                <w:szCs w:val="17"/>
                <w:color w:val="auto"/>
              </w:rPr>
            </w:pP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ReliaQuest Holdings, LLC - Delayed Draw &amp; Equity</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17"/>
                <w:szCs w:val="17"/>
                <w:color w:val="auto"/>
              </w:rPr>
            </w:pP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Scorpio Bidco - Delayed Draw</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SkyLark UK DebtCo Limited - Delayed Draw</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SL Buyer Corp. - Delayed Draw</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Sport Alliance GmbH - Revolver</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TRP Assets, LLC - Delayed Draw</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USA Debusk LLC - Delayed Draw &amp; Revolver</w:t>
            </w:r>
          </w:p>
        </w:tc>
        <w:tc>
          <w:tcPr>
            <w:tcW w:w="7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Wrangler TopCo, LLC - Revolver</w:t>
            </w:r>
          </w:p>
        </w:tc>
        <w:tc>
          <w:tcPr>
            <w:tcW w:w="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7"/>
                <w:szCs w:val="17"/>
                <w:color w:val="auto"/>
              </w:rPr>
            </w:pPr>
          </w:p>
        </w:tc>
      </w:tr>
      <w:tr>
        <w:trPr>
          <w:trHeight w:val="245"/>
        </w:trPr>
        <w:tc>
          <w:tcPr>
            <w:tcW w:w="5000" w:type="dxa"/>
            <w:vAlign w:val="bottom"/>
            <w:tcBorders>
              <w:bottom w:val="single" w:sz="8" w:color="CFF0FC"/>
            </w:tcBorders>
            <w:shd w:val="clear" w:color="auto" w:fill="CFF0FC"/>
          </w:tcPr>
          <w:p>
            <w:pPr>
              <w:ind w:left="80"/>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Total Portfolio Company Commitments </w:t>
            </w:r>
            <w:r>
              <w:rPr>
                <w:rFonts w:ascii="Times New Roman" w:cs="Times New Roman" w:eastAsia="Times New Roman" w:hAnsi="Times New Roman"/>
                <w:sz w:val="21"/>
                <w:szCs w:val="21"/>
                <w:b w:val="1"/>
                <w:bCs w:val="1"/>
                <w:color w:val="auto"/>
                <w:vertAlign w:val="superscript"/>
              </w:rPr>
              <w:t>(1)(2)</w:t>
            </w:r>
          </w:p>
        </w:tc>
        <w:tc>
          <w:tcPr>
            <w:tcW w:w="740" w:type="dxa"/>
            <w:vAlign w:val="bottom"/>
            <w:tcBorders>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2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1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4"/>
          <w:szCs w:val="14"/>
          <w:color w:val="auto"/>
        </w:rPr>
        <w:t>(1)Represents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rPr>
          <w:sz w:val="20"/>
          <w:szCs w:val="20"/>
          <w:color w:val="auto"/>
        </w:rPr>
      </w:pPr>
      <w:r>
        <w:rPr>
          <w:rFonts w:ascii="Times New Roman" w:cs="Times New Roman" w:eastAsia="Times New Roman" w:hAnsi="Times New Roman"/>
          <w:sz w:val="16"/>
          <w:szCs w:val="16"/>
          <w:color w:val="auto"/>
        </w:rPr>
        <w:t>(2)Our estimate of the fair value of the current investments in these portfolio companies includes an analysis of the fair value of any unfunded commitments.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96"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As of June 30, 2024 and December 31, 2023, the Company did not have any unfunded commitments to fund investments to new borrowers that were not current portfolio companies as of such date.</w:t>
      </w:r>
    </w:p>
    <w:p>
      <w:pPr>
        <w:spacing w:after="0" w:line="155"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From time to time, we may become a party to certain legal proceedings incidental to the normal course of our business. As of June 30, 2024, management is not aware of any material pending or threatened litigation that would require accounting recognition or financial statement disclosure.</w:t>
      </w:r>
    </w:p>
    <w:p>
      <w:pPr>
        <w:spacing w:after="0" w:line="15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55" w:lineRule="exact"/>
        <w:rPr>
          <w:sz w:val="20"/>
          <w:szCs w:val="20"/>
          <w:color w:val="auto"/>
        </w:rPr>
      </w:pPr>
    </w:p>
    <w:p>
      <w:pPr>
        <w:ind w:firstLine="228"/>
        <w:spacing w:after="0" w:line="272" w:lineRule="auto"/>
        <w:rPr>
          <w:sz w:val="20"/>
          <w:szCs w:val="20"/>
          <w:color w:val="auto"/>
        </w:rPr>
      </w:pPr>
      <w:r>
        <w:rPr>
          <w:rFonts w:ascii="Times New Roman" w:cs="Times New Roman" w:eastAsia="Times New Roman" w:hAnsi="Times New Roman"/>
          <w:sz w:val="14"/>
          <w:szCs w:val="14"/>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97" w:right="700" w:bottom="1440" w:gutter="0" w:footer="0" w:header="0"/>
        </w:sectPr>
      </w:pPr>
    </w:p>
    <w:bookmarkStart w:id="64" w:name="page65"/>
    <w:bookmarkEnd w:id="64"/>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summary of our contractual payment obligations as of June 30, 2024 is as follows:</w:t>
      </w:r>
    </w:p>
    <w:p>
      <w:pPr>
        <w:spacing w:after="0" w:line="212" w:lineRule="exact"/>
        <w:rPr>
          <w:sz w:val="20"/>
          <w:szCs w:val="20"/>
          <w:color w:val="auto"/>
        </w:rPr>
      </w:pPr>
    </w:p>
    <w:tbl>
      <w:tblPr>
        <w:tblLayout w:type="fixed"/>
        <w:tblInd w:w="112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8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9"/>
              </w:rPr>
              <w:t>1-3 years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w w:val="99"/>
              </w:rPr>
              <w:t>3-5 years</w:t>
            </w:r>
          </w:p>
        </w:tc>
        <w:tc>
          <w:tcPr>
            <w:tcW w:w="160" w:type="dxa"/>
            <w:vAlign w:val="bottom"/>
          </w:tcPr>
          <w:p>
            <w:pPr>
              <w:spacing w:after="0"/>
              <w:rPr>
                <w:sz w:val="16"/>
                <w:szCs w:val="16"/>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After 5 years</w:t>
            </w:r>
          </w:p>
        </w:tc>
        <w:tc>
          <w:tcPr>
            <w:tcW w:w="0" w:type="dxa"/>
            <w:vAlign w:val="bottom"/>
          </w:tcPr>
          <w:p>
            <w:pPr>
              <w:spacing w:after="0"/>
              <w:rPr>
                <w:sz w:val="1"/>
                <w:szCs w:val="1"/>
                <w:color w:val="auto"/>
              </w:rPr>
            </w:pPr>
          </w:p>
        </w:tc>
      </w:tr>
      <w:tr>
        <w:trPr>
          <w:trHeight w:val="208"/>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560" w:type="dxa"/>
            <w:vAlign w:val="bottom"/>
            <w:gridSpan w:val="2"/>
            <w:shd w:val="clear" w:color="auto" w:fill="CFF0FC"/>
          </w:tcPr>
          <w:p>
            <w:pPr>
              <w:jc w:val="right"/>
              <w:ind w:right="23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2024 Notes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1,137.5</w:t>
            </w:r>
          </w:p>
        </w:tc>
        <w:tc>
          <w:tcPr>
            <w:tcW w:w="560" w:type="dxa"/>
            <w:vAlign w:val="bottom"/>
            <w:gridSpan w:val="2"/>
          </w:tcPr>
          <w:p>
            <w:pPr>
              <w:jc w:val="right"/>
              <w:ind w:right="23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In addition to the contractual payment obligations in the tables above, we also have commitments to fund investments and to pledge assets as collateral under the terms of our derivatives agreements.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96"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9"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tax-exempt interest income (which is the excess of our gross tax exempt interest income over certain disallowed deductions) for such taxable year.</w:t>
      </w:r>
    </w:p>
    <w:p>
      <w:pPr>
        <w:spacing w:after="0" w:line="18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a RIC, we (but not our stockholders) generally will not be subject to U.S. federal income tax on investment company taxable income and net capital gains that we distribute to our stockholders.</w:t>
      </w:r>
    </w:p>
    <w:p>
      <w:pPr>
        <w:spacing w:after="0" w:line="15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intend to distribute annually all or substantially all of such income. To the extent that we retain our net capital gains or any investment company taxable income, we generally will be subject to corporate -level U.S. federal income tax. We may choose to retain our net capital gains or any investment company taxable income, and pay the U.S. federal excise tax described below.</w:t>
      </w:r>
    </w:p>
    <w:p>
      <w:pPr>
        <w:spacing w:after="0" w:line="164"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or losses for that calendar year;</w:t>
      </w:r>
    </w:p>
    <w:p>
      <w:pPr>
        <w:spacing w:after="0" w:line="92" w:lineRule="exact"/>
        <w:rPr>
          <w:sz w:val="20"/>
          <w:szCs w:val="20"/>
          <w:color w:val="auto"/>
        </w:rPr>
      </w:pPr>
    </w:p>
    <w:p>
      <w:pPr>
        <w:ind w:left="240" w:right="8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that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64"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64" w:lineRule="exact"/>
        <w:rPr>
          <w:sz w:val="20"/>
          <w:szCs w:val="20"/>
          <w:color w:val="auto"/>
        </w:rPr>
      </w:pPr>
    </w:p>
    <w:p>
      <w:pPr>
        <w:jc w:val="both"/>
        <w:ind w:right="140" w:firstLine="228"/>
        <w:spacing w:after="0"/>
        <w:rPr>
          <w:sz w:val="20"/>
          <w:szCs w:val="20"/>
          <w:color w:val="auto"/>
        </w:rPr>
      </w:pPr>
      <w:r>
        <w:rPr>
          <w:rFonts w:ascii="Times New Roman" w:cs="Times New Roman" w:eastAsia="Times New Roman" w:hAnsi="Times New Roman"/>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5" w:name="page66"/>
    <w:bookmarkEnd w:id="65"/>
    <w:p>
      <w:pPr>
        <w:spacing w:after="0" w:line="113"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Related-Party Transactions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have entered into a number of business relationships with affiliated or related parties, including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Investment Advisory Agreement;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Administration Agreement; and</w:t>
      </w:r>
    </w:p>
    <w:p>
      <w:pPr>
        <w:spacing w:after="0" w:line="92" w:lineRule="exact"/>
        <w:rPr>
          <w:sz w:val="20"/>
          <w:szCs w:val="20"/>
          <w:color w:val="auto"/>
        </w:rPr>
      </w:pPr>
    </w:p>
    <w:p>
      <w:pPr>
        <w:ind w:left="240" w:right="20"/>
        <w:spacing w:after="0" w:line="259" w:lineRule="auto"/>
        <w:rPr>
          <w:sz w:val="20"/>
          <w:szCs w:val="20"/>
          <w:color w:val="auto"/>
        </w:rPr>
      </w:pPr>
      <w:r>
        <w:rPr>
          <w:rFonts w:ascii="Times New Roman" w:cs="Times New Roman" w:eastAsia="Times New Roman" w:hAnsi="Times New Roman"/>
          <w:sz w:val="16"/>
          <w:szCs w:val="16"/>
          <w:color w:val="auto"/>
        </w:rPr>
        <w:t>•an ongoing agreement with an affiliate of TPG Global, LLC governing, inter alia, the parties’ respective ownership of and rights to use the “Sixth Street” and “TPG” trademarks and certain variations thereof.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4"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Our critical accounting policies and estimates, including those relating to the valuation of our investment portfolio, are described in our Annual Report on Form 10-K for the fiscal year ended December 31, 2023, filed with the SEC on February 15, 2024, and elsewhere in our filings with the SEC. The critical accounting policies and estimates should be read in connection with our risk factors discussed in Part I, “Item 1A. Risk Factors” in our Annual Report on Form 10-K for the fiscal year ended December 31, 2023.</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financial market risks, including valuation risk, interest rate risk and currency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96"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regularly measure our exposure to interest rate risk. We assess interest rate risk and manage our interest rate exposure on an ongoing basis by comparing our interest rate -sensitive assets to our interest rate-sensitive liabilities. Based on that review, we determine whether or not any hedging transactions are necessary to mitigate exposure to changes in interest rates.</w:t>
      </w:r>
    </w:p>
    <w:p>
      <w:pPr>
        <w:spacing w:after="0" w:line="164" w:lineRule="exact"/>
        <w:rPr>
          <w:sz w:val="20"/>
          <w:szCs w:val="20"/>
          <w:color w:val="auto"/>
        </w:rPr>
      </w:pPr>
    </w:p>
    <w:p>
      <w:pPr>
        <w:jc w:val="both"/>
        <w:ind w:right="280" w:firstLine="228"/>
        <w:spacing w:after="0" w:line="242" w:lineRule="auto"/>
        <w:rPr>
          <w:sz w:val="20"/>
          <w:szCs w:val="20"/>
          <w:color w:val="auto"/>
        </w:rPr>
      </w:pPr>
      <w:r>
        <w:rPr>
          <w:rFonts w:ascii="Times New Roman" w:cs="Times New Roman" w:eastAsia="Times New Roman" w:hAnsi="Times New Roman"/>
          <w:sz w:val="16"/>
          <w:szCs w:val="16"/>
          <w:color w:val="auto"/>
        </w:rPr>
        <w:t>As of June 30, 2024, 99.6% of our debt investments based on fair value in our portfolio bore interest at floating rates, with 100.0% of these subject to interest rate floors. Our credit facilities also bear interest at floating rates, and in connection with our 2024 Notes, 2026 Notes, 2028 Notes and 2029 Notes, which bear interest at fixed rates, we entered into fixed-to-floating interest rate swaps in order to align the interest rates of our liabilities with our investment portfolio.</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6" w:name="page67"/>
    <w:bookmarkEnd w:id="66"/>
    <w:p>
      <w:pPr>
        <w:spacing w:after="0" w:line="113" w:lineRule="exact"/>
        <w:rPr>
          <w:sz w:val="20"/>
          <w:szCs w:val="20"/>
          <w:color w:val="auto"/>
        </w:rPr>
      </w:pPr>
    </w:p>
    <w:p>
      <w:pPr>
        <w:ind w:right="240" w:firstLine="228"/>
        <w:spacing w:after="0" w:line="331" w:lineRule="auto"/>
        <w:rPr>
          <w:sz w:val="20"/>
          <w:szCs w:val="20"/>
          <w:color w:val="auto"/>
        </w:rPr>
      </w:pPr>
      <w:r>
        <w:rPr>
          <w:rFonts w:ascii="Times New Roman" w:cs="Times New Roman" w:eastAsia="Times New Roman" w:hAnsi="Times New Roman"/>
          <w:sz w:val="14"/>
          <w:szCs w:val="14"/>
          <w:color w:val="auto"/>
        </w:rPr>
        <w:t>Assuming that our consolidated balance sheet as of June 30, 2024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33"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4"/>
        </w:trPr>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Basis Point Change</w:t>
            </w:r>
          </w:p>
        </w:tc>
        <w:tc>
          <w:tcPr>
            <w:tcW w:w="640" w:type="dxa"/>
            <w:vAlign w:val="bottom"/>
          </w:tcPr>
          <w:p>
            <w:pPr>
              <w:spacing w:after="0"/>
              <w:rPr>
                <w:sz w:val="16"/>
                <w:szCs w:val="16"/>
                <w:color w:val="auto"/>
              </w:rPr>
            </w:pPr>
          </w:p>
        </w:tc>
        <w:tc>
          <w:tcPr>
            <w:tcW w:w="162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300" w:type="dxa"/>
            <w:vAlign w:val="bottom"/>
          </w:tcPr>
          <w:p>
            <w:pPr>
              <w:spacing w:after="0"/>
              <w:rPr>
                <w:sz w:val="16"/>
                <w:szCs w:val="16"/>
                <w:color w:val="auto"/>
              </w:rPr>
            </w:pPr>
          </w:p>
        </w:tc>
        <w:tc>
          <w:tcPr>
            <w:tcW w:w="160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240" w:type="dxa"/>
            <w:vAlign w:val="bottom"/>
          </w:tcPr>
          <w:p>
            <w:pPr>
              <w:spacing w:after="0"/>
              <w:rPr>
                <w:sz w:val="16"/>
                <w:szCs w:val="16"/>
                <w:color w:val="auto"/>
              </w:rPr>
            </w:pPr>
          </w:p>
        </w:tc>
        <w:tc>
          <w:tcPr>
            <w:tcW w:w="158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Net Interest Income</w:t>
            </w:r>
          </w:p>
        </w:tc>
      </w:tr>
      <w:tr>
        <w:trPr>
          <w:trHeight w:val="208"/>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300 basis points</w:t>
            </w:r>
          </w:p>
        </w:tc>
        <w:tc>
          <w:tcPr>
            <w:tcW w:w="6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93.6</w:t>
            </w:r>
          </w:p>
        </w:tc>
        <w:tc>
          <w:tcPr>
            <w:tcW w:w="3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rPr>
              <w:t>53.6</w:t>
            </w:r>
          </w:p>
        </w:tc>
        <w:tc>
          <w:tcPr>
            <w:tcW w:w="2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40.0</w:t>
            </w: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200 basis points</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62.4</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35.7</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26.7</w:t>
            </w:r>
          </w:p>
        </w:tc>
      </w:tr>
      <w:tr>
        <w:trPr>
          <w:trHeight w:val="205"/>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100 basis points</w:t>
            </w:r>
          </w:p>
        </w:tc>
        <w:tc>
          <w:tcPr>
            <w:tcW w:w="6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31.2</w:t>
            </w:r>
          </w:p>
        </w:tc>
        <w:tc>
          <w:tcPr>
            <w:tcW w:w="3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13.3</w:t>
            </w: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Down 25 basis points</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(7.8 )</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05"/>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Down 50 basis points</w:t>
            </w:r>
          </w:p>
        </w:tc>
        <w:tc>
          <w:tcPr>
            <w:tcW w:w="6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(15.6 )</w:t>
            </w:r>
          </w:p>
        </w:tc>
        <w:tc>
          <w:tcPr>
            <w:tcW w:w="3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2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(6.7 )</w:t>
            </w:r>
          </w:p>
        </w:tc>
      </w:tr>
    </w:tbl>
    <w:p>
      <w:pPr>
        <w:spacing w:after="0" w:line="191"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64" w:lineRule="exact"/>
        <w:rPr>
          <w:sz w:val="20"/>
          <w:szCs w:val="20"/>
          <w:color w:val="auto"/>
        </w:rPr>
      </w:pPr>
    </w:p>
    <w:p>
      <w:pPr>
        <w:ind w:right="180" w:firstLine="228"/>
        <w:spacing w:after="0" w:line="299" w:lineRule="auto"/>
        <w:rPr>
          <w:sz w:val="20"/>
          <w:szCs w:val="20"/>
          <w:color w:val="auto"/>
        </w:rPr>
      </w:pPr>
      <w:r>
        <w:rPr>
          <w:rFonts w:ascii="Times New Roman" w:cs="Times New Roman" w:eastAsia="Times New Roman" w:hAnsi="Times New Roman"/>
          <w:sz w:val="14"/>
          <w:szCs w:val="14"/>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Risk</w:t>
      </w:r>
    </w:p>
    <w:p>
      <w:pPr>
        <w:spacing w:after="0" w:line="96"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90" w:lineRule="exact"/>
        <w:rPr>
          <w:sz w:val="20"/>
          <w:szCs w:val="20"/>
          <w:color w:val="auto"/>
        </w:rPr>
      </w:pPr>
    </w:p>
    <w:p>
      <w:pPr>
        <w:ind w:right="120" w:firstLine="22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report, we carried out an evaluation, under the supervision and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8" w:lineRule="exact"/>
        <w:rPr>
          <w:sz w:val="20"/>
          <w:szCs w:val="20"/>
          <w:color w:val="auto"/>
        </w:rPr>
      </w:pPr>
    </w:p>
    <w:p>
      <w:pPr>
        <w:ind w:right="220" w:firstLine="22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There have been no changes in our internal control over financial reporting that occurred during our most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recently completed fiscal quarter that have materially affected, or are reasonably likely to materially affect, our internal control over financial reporting.</w:t>
      </w:r>
    </w:p>
    <w:p>
      <w:pPr>
        <w:jc w:val="center"/>
        <w:ind w:right="4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7" w:name="page68"/>
    <w:bookmarkEnd w:id="67"/>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jc w:val="both"/>
        <w:ind w:right="80" w:firstLine="228"/>
        <w:spacing w:after="0" w:line="243" w:lineRule="auto"/>
        <w:rPr>
          <w:sz w:val="20"/>
          <w:szCs w:val="20"/>
          <w:color w:val="auto"/>
        </w:rPr>
      </w:pPr>
      <w:r>
        <w:rPr>
          <w:rFonts w:ascii="Times New Roman" w:cs="Times New Roman" w:eastAsia="Times New Roman" w:hAnsi="Times New Roman"/>
          <w:sz w:val="16"/>
          <w:szCs w:val="16"/>
          <w:color w:val="auto"/>
        </w:rPr>
        <w:t>In addition to the other information set forth in this report, you should carefully consider the risk factors discussed in Part I, “Item 1A. Risk Factors” in our Annual Report on Form 10-K for the fiscal year ended December 31, 2023,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Rule 10b5-1 Trading Plans</w:t>
      </w:r>
    </w:p>
    <w:p>
      <w:pPr>
        <w:spacing w:after="0" w:line="96" w:lineRule="exact"/>
        <w:rPr>
          <w:sz w:val="20"/>
          <w:szCs w:val="20"/>
          <w:color w:val="auto"/>
        </w:rPr>
      </w:pPr>
    </w:p>
    <w:p>
      <w:pPr>
        <w:ind w:firstLine="195"/>
        <w:spacing w:after="0" w:line="246" w:lineRule="auto"/>
        <w:rPr>
          <w:sz w:val="20"/>
          <w:szCs w:val="20"/>
          <w:color w:val="auto"/>
        </w:rPr>
      </w:pPr>
      <w:r>
        <w:rPr>
          <w:rFonts w:ascii="Times New Roman" w:cs="Times New Roman" w:eastAsia="Times New Roman" w:hAnsi="Times New Roman"/>
          <w:sz w:val="16"/>
          <w:szCs w:val="16"/>
          <w:color w:val="auto"/>
        </w:rPr>
        <w:t>During the three months ended June 30, 2024, none of our directors or officers (as defined in Rule 16a -1(f) under the Exchange Act) adopted, modified or terminated any Rule 10b5-1 trading arrangement or non-Rule 10b5-1 trading arrangement (as such terms are defined in Item 408 of Regulation S-K).</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68" w:name="page69"/>
    <w:bookmarkEnd w:id="68"/>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58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7"/>
              </w:rPr>
            </w:pPr>
            <w:hyperlink r:id="rId147">
              <w:r>
                <w:rPr>
                  <w:rFonts w:ascii="Times New Roman" w:cs="Times New Roman" w:eastAsia="Times New Roman" w:hAnsi="Times New Roman"/>
                  <w:sz w:val="16"/>
                  <w:szCs w:val="16"/>
                  <w:color w:val="0000FF"/>
                  <w:w w:val="97"/>
                </w:rPr>
                <w:t>Restated Certificate of Incorporation (incorporated by reference to Exhibit 3.2 to Amendment No. 1 to the Company’s Current Report on Form 8-K filed</w:t>
              </w:r>
            </w:hyperlink>
          </w:p>
        </w:tc>
      </w:tr>
      <w:tr>
        <w:trPr>
          <w:trHeight w:val="160"/>
        </w:trPr>
        <w:tc>
          <w:tcPr>
            <w:tcW w:w="940" w:type="dxa"/>
            <w:vAlign w:val="bottom"/>
          </w:tcPr>
          <w:p>
            <w:pPr>
              <w:spacing w:after="0"/>
              <w:rPr>
                <w:sz w:val="13"/>
                <w:szCs w:val="13"/>
                <w:color w:val="auto"/>
              </w:rPr>
            </w:pPr>
          </w:p>
        </w:tc>
        <w:tc>
          <w:tcPr>
            <w:tcW w:w="1120" w:type="dxa"/>
            <w:vAlign w:val="bottom"/>
            <w:tcBorders>
              <w:bottom w:val="single" w:sz="8" w:color="0000FF"/>
            </w:tcBorders>
          </w:tcPr>
          <w:p>
            <w:pPr>
              <w:spacing w:after="0" w:line="160" w:lineRule="exact"/>
              <w:rPr>
                <w:rFonts w:ascii="Times New Roman" w:cs="Times New Roman" w:eastAsia="Times New Roman" w:hAnsi="Times New Roman"/>
                <w:sz w:val="16"/>
                <w:szCs w:val="16"/>
                <w:color w:val="0000FF"/>
                <w:w w:val="95"/>
              </w:rPr>
            </w:pPr>
            <w:hyperlink r:id="rId147">
              <w:r>
                <w:rPr>
                  <w:rFonts w:ascii="Times New Roman" w:cs="Times New Roman" w:eastAsia="Times New Roman" w:hAnsi="Times New Roman"/>
                  <w:sz w:val="16"/>
                  <w:szCs w:val="16"/>
                  <w:color w:val="0000FF"/>
                  <w:w w:val="95"/>
                </w:rPr>
                <w:t>on June 19, 2020)</w:t>
              </w:r>
            </w:hyperlink>
          </w:p>
        </w:tc>
        <w:tc>
          <w:tcPr>
            <w:tcW w:w="8460" w:type="dxa"/>
            <w:vAlign w:val="bottom"/>
            <w:gridSpan w:val="7"/>
          </w:tcPr>
          <w:p>
            <w:pPr>
              <w:spacing w:after="0"/>
              <w:rPr>
                <w:sz w:val="13"/>
                <w:szCs w:val="13"/>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580" w:type="dxa"/>
            <w:vAlign w:val="bottom"/>
            <w:gridSpan w:val="8"/>
          </w:tcPr>
          <w:p>
            <w:pPr>
              <w:spacing w:after="0"/>
              <w:rPr>
                <w:rFonts w:ascii="Times New Roman" w:cs="Times New Roman" w:eastAsia="Times New Roman" w:hAnsi="Times New Roman"/>
                <w:sz w:val="16"/>
                <w:szCs w:val="16"/>
                <w:color w:val="0000FF"/>
                <w:w w:val="98"/>
              </w:rPr>
            </w:pPr>
            <w:hyperlink r:id="rId148">
              <w:r>
                <w:rPr>
                  <w:rFonts w:ascii="Times New Roman" w:cs="Times New Roman" w:eastAsia="Times New Roman" w:hAnsi="Times New Roman"/>
                  <w:sz w:val="16"/>
                  <w:szCs w:val="16"/>
                  <w:color w:val="0000FF"/>
                  <w:w w:val="98"/>
                </w:rPr>
                <w:t>Second Amended and Restated Bylaws dated July 10, 2023 (incorporated by reference to Exhibit 3.1 to the Company’s Current Report on Form 8-K/A</w:t>
              </w:r>
            </w:hyperlink>
          </w:p>
        </w:tc>
      </w:tr>
      <w:tr>
        <w:trPr>
          <w:trHeight w:val="160"/>
        </w:trPr>
        <w:tc>
          <w:tcPr>
            <w:tcW w:w="94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2"/>
          </w:tcPr>
          <w:p>
            <w:pPr>
              <w:spacing w:after="0" w:line="160" w:lineRule="exact"/>
              <w:rPr>
                <w:rFonts w:ascii="Times New Roman" w:cs="Times New Roman" w:eastAsia="Times New Roman" w:hAnsi="Times New Roman"/>
                <w:sz w:val="16"/>
                <w:szCs w:val="16"/>
                <w:color w:val="0000FF"/>
                <w:w w:val="96"/>
              </w:rPr>
            </w:pPr>
            <w:hyperlink r:id="rId148">
              <w:r>
                <w:rPr>
                  <w:rFonts w:ascii="Times New Roman" w:cs="Times New Roman" w:eastAsia="Times New Roman" w:hAnsi="Times New Roman"/>
                  <w:sz w:val="16"/>
                  <w:szCs w:val="16"/>
                  <w:color w:val="0000FF"/>
                  <w:w w:val="96"/>
                </w:rPr>
                <w:t>filed on July 17, 2023)</w:t>
              </w:r>
            </w:hyperlink>
          </w:p>
        </w:tc>
        <w:tc>
          <w:tcPr>
            <w:tcW w:w="8040" w:type="dxa"/>
            <w:vAlign w:val="bottom"/>
            <w:tcBorders>
              <w:top w:val="single" w:sz="8" w:color="0000FF"/>
            </w:tcBorders>
            <w:gridSpan w:val="5"/>
          </w:tcPr>
          <w:p>
            <w:pPr>
              <w:spacing w:after="0"/>
              <w:rPr>
                <w:sz w:val="13"/>
                <w:szCs w:val="13"/>
                <w:color w:val="auto"/>
              </w:rPr>
            </w:pPr>
          </w:p>
        </w:tc>
        <w:tc>
          <w:tcPr>
            <w:tcW w:w="120" w:type="dxa"/>
            <w:vAlign w:val="bottom"/>
          </w:tcPr>
          <w:p>
            <w:pPr>
              <w:spacing w:after="0"/>
              <w:rPr>
                <w:sz w:val="13"/>
                <w:szCs w:val="13"/>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580" w:type="dxa"/>
            <w:vAlign w:val="bottom"/>
            <w:gridSpan w:val="8"/>
          </w:tcPr>
          <w:p>
            <w:pPr>
              <w:spacing w:after="0"/>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Fifteenth Amendment to Second Amended and Restated Senior Secured Revolving Credit Agreement, dated as of April 24, 2024, among Sixth Street</w:t>
              </w:r>
            </w:hyperlink>
          </w:p>
        </w:tc>
      </w:tr>
      <w:tr>
        <w:trPr>
          <w:trHeight w:val="160"/>
        </w:trPr>
        <w:tc>
          <w:tcPr>
            <w:tcW w:w="940" w:type="dxa"/>
            <w:vAlign w:val="bottom"/>
          </w:tcPr>
          <w:p>
            <w:pPr>
              <w:spacing w:after="0"/>
              <w:rPr>
                <w:sz w:val="13"/>
                <w:szCs w:val="13"/>
                <w:color w:val="auto"/>
              </w:rPr>
            </w:pPr>
          </w:p>
        </w:tc>
        <w:tc>
          <w:tcPr>
            <w:tcW w:w="9360" w:type="dxa"/>
            <w:vAlign w:val="bottom"/>
            <w:tcBorders>
              <w:top w:val="single" w:sz="8" w:color="0000FF"/>
            </w:tcBorders>
            <w:gridSpan w:val="6"/>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Specialty Lending, Inc., as Borrower, the Lenders party thereto and Truist Bank (as successor by merger to SunTrust Bank), as Administrative Agent</w:t>
              </w:r>
            </w:hyperlink>
          </w:p>
        </w:tc>
        <w:tc>
          <w:tcPr>
            <w:tcW w:w="220" w:type="dxa"/>
            <w:vAlign w:val="bottom"/>
            <w:gridSpan w:val="2"/>
          </w:tcPr>
          <w:p>
            <w:pPr>
              <w:spacing w:after="0"/>
              <w:rPr>
                <w:sz w:val="13"/>
                <w:szCs w:val="13"/>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2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18 U.S.C. Section 1350, as Adopted Pursuant to Section 302 of the Sarbanes-Oxley Act of 2002</w:t>
              </w:r>
            </w:hyperlink>
          </w:p>
        </w:tc>
        <w:tc>
          <w:tcPr>
            <w:tcW w:w="20" w:type="dxa"/>
            <w:vAlign w:val="bottom"/>
            <w:tcBorders>
              <w:top w:val="single" w:sz="8" w:color="0000FF"/>
            </w:tcBorders>
          </w:tcPr>
          <w:p>
            <w:pPr>
              <w:spacing w:after="0"/>
              <w:rPr>
                <w:sz w:val="24"/>
                <w:szCs w:val="24"/>
                <w:color w:val="auto"/>
              </w:rPr>
            </w:pPr>
          </w:p>
        </w:tc>
        <w:tc>
          <w:tcPr>
            <w:tcW w:w="280" w:type="dxa"/>
            <w:vAlign w:val="bottom"/>
            <w:gridSpan w:val="3"/>
          </w:tcPr>
          <w:p>
            <w:pPr>
              <w:spacing w:after="0"/>
              <w:rPr>
                <w:sz w:val="24"/>
                <w:szCs w:val="24"/>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580" w:type="dxa"/>
            <w:vAlign w:val="bottom"/>
            <w:gridSpan w:val="8"/>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Financial Officer Pursuant to 18 U.S.C. Section 1350, as Adopted Pursuant to Section 302 of the Sarbanes-Oxley Act of 2002</w:t>
              </w:r>
            </w:hyperlink>
          </w:p>
        </w:tc>
      </w:tr>
      <w:tr>
        <w:trPr>
          <w:trHeight w:val="20"/>
        </w:trPr>
        <w:tc>
          <w:tcPr>
            <w:tcW w:w="9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ind w:left="960" w:hanging="942"/>
        <w:spacing w:after="0"/>
        <w:tabs>
          <w:tab w:leader="none" w:pos="960" w:val="left"/>
        </w:tabs>
        <w:numPr>
          <w:ilvl w:val="0"/>
          <w:numId w:val="11"/>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Certification of CEO and CFO Pursuant to 18 U.S.C. Section 1350, as Adopted Pursuant to Section 906 of the Sarbanes-Oxley Act of 2002</w:t>
        </w:r>
      </w:hyperlink>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XBRL tags are embedded within the Inline</w:t>
            </w:r>
          </w:p>
        </w:tc>
      </w:tr>
      <w:tr>
        <w:trPr>
          <w:trHeight w:val="203"/>
        </w:trPr>
        <w:tc>
          <w:tcPr>
            <w:tcW w:w="760" w:type="dxa"/>
            <w:vAlign w:val="bottom"/>
          </w:tcPr>
          <w:p>
            <w:pPr>
              <w:spacing w:after="0"/>
              <w:rPr>
                <w:sz w:val="17"/>
                <w:szCs w:val="17"/>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document.</w:t>
            </w:r>
          </w:p>
        </w:tc>
      </w:tr>
      <w:tr>
        <w:trPr>
          <w:trHeight w:val="20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Inline XBRL Taxonomy Extension Schema Document With Embedded Linkbase Documents</w:t>
            </w:r>
          </w:p>
        </w:tc>
      </w:tr>
    </w:tbl>
    <w:p>
      <w:pPr>
        <w:spacing w:after="0" w:line="1" w:lineRule="exact"/>
        <w:rPr>
          <w:sz w:val="20"/>
          <w:szCs w:val="20"/>
          <w:color w:val="auto"/>
        </w:rPr>
      </w:pPr>
    </w:p>
    <w:p>
      <w:pPr>
        <w:ind w:left="5200" w:right="4580" w:hanging="5182"/>
        <w:spacing w:after="0" w:line="518" w:lineRule="auto"/>
        <w:tabs>
          <w:tab w:leader="none" w:pos="94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628650</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4" w:lineRule="exact"/>
        <w:rPr>
          <w:sz w:val="20"/>
          <w:szCs w:val="20"/>
          <w:color w:val="auto"/>
        </w:rPr>
      </w:pPr>
    </w:p>
    <w:p>
      <w:pPr>
        <w:ind w:right="620"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7340" w:type="dxa"/>
            <w:vAlign w:val="bottom"/>
            <w:gridSpan w:val="2"/>
          </w:tcPr>
          <w:p>
            <w:pPr>
              <w:ind w:left="3040"/>
              <w:spacing w:after="0"/>
              <w:rPr>
                <w:sz w:val="20"/>
                <w:szCs w:val="20"/>
                <w:color w:val="auto"/>
              </w:rPr>
            </w:pPr>
            <w:r>
              <w:rPr>
                <w:rFonts w:ascii="Times New Roman" w:cs="Times New Roman" w:eastAsia="Times New Roman" w:hAnsi="Times New Roman"/>
                <w:sz w:val="16"/>
                <w:szCs w:val="16"/>
                <w:color w:val="auto"/>
              </w:rPr>
              <w:t>SIXTH STREET SPECIALTY LENDING, INC.</w:t>
            </w:r>
          </w:p>
        </w:tc>
      </w:tr>
      <w:tr>
        <w:trPr>
          <w:trHeight w:val="456"/>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July 31, 2024</w:t>
            </w:r>
          </w:p>
        </w:tc>
        <w:tc>
          <w:tcPr>
            <w:tcW w:w="338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By:</w:t>
            </w: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Joshua Easterly</w:t>
            </w:r>
          </w:p>
        </w:tc>
      </w:tr>
      <w:tr>
        <w:trPr>
          <w:trHeight w:val="204"/>
        </w:trPr>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Joshua Easterly</w:t>
            </w:r>
          </w:p>
        </w:tc>
      </w:tr>
      <w:tr>
        <w:trPr>
          <w:trHeight w:val="204"/>
        </w:trPr>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04"/>
        </w:trPr>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66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July 31, 2024</w:t>
            </w:r>
          </w:p>
        </w:tc>
        <w:tc>
          <w:tcPr>
            <w:tcW w:w="338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By:</w:t>
            </w: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Ian Simmonds</w:t>
            </w:r>
          </w:p>
        </w:tc>
      </w:tr>
      <w:tr>
        <w:trPr>
          <w:trHeight w:val="204"/>
        </w:trPr>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Ian Simmonds</w:t>
            </w:r>
          </w:p>
        </w:tc>
      </w:tr>
      <w:tr>
        <w:trPr>
          <w:trHeight w:val="204"/>
        </w:trPr>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4"/>
        </w:trPr>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528"/>
        </w:trPr>
        <w:tc>
          <w:tcPr>
            <w:tcW w:w="3220" w:type="dxa"/>
            <w:vAlign w:val="bottom"/>
          </w:tcPr>
          <w:p>
            <w:pPr>
              <w:spacing w:after="0"/>
              <w:rPr>
                <w:sz w:val="24"/>
                <w:szCs w:val="24"/>
                <w:color w:val="auto"/>
              </w:rPr>
            </w:pPr>
          </w:p>
        </w:tc>
        <w:tc>
          <w:tcPr>
            <w:tcW w:w="3380" w:type="dxa"/>
            <w:vAlign w:val="bottom"/>
          </w:tcPr>
          <w:p>
            <w:pPr>
              <w:jc w:val="right"/>
              <w:ind w:right="1162"/>
              <w:spacing w:after="0"/>
              <w:rPr>
                <w:sz w:val="20"/>
                <w:szCs w:val="20"/>
                <w:color w:val="auto"/>
              </w:rPr>
            </w:pPr>
            <w:r>
              <w:rPr>
                <w:rFonts w:ascii="Times New Roman" w:cs="Times New Roman" w:eastAsia="Times New Roman" w:hAnsi="Times New Roman"/>
                <w:sz w:val="16"/>
                <w:szCs w:val="16"/>
                <w:color w:val="auto"/>
              </w:rPr>
              <w:t>70</w:t>
            </w:r>
          </w:p>
        </w:tc>
        <w:tc>
          <w:tcPr>
            <w:tcW w:w="3960" w:type="dxa"/>
            <w:vAlign w:val="bottom"/>
          </w:tcPr>
          <w:p>
            <w:pPr>
              <w:spacing w:after="0"/>
              <w:rPr>
                <w:sz w:val="24"/>
                <w:szCs w:val="24"/>
                <w:color w:val="auto"/>
              </w:rPr>
            </w:pPr>
          </w:p>
        </w:tc>
      </w:tr>
      <w:tr>
        <w:trPr>
          <w:trHeight w:val="674"/>
        </w:trPr>
        <w:tc>
          <w:tcPr>
            <w:tcW w:w="3220" w:type="dxa"/>
            <w:vAlign w:val="bottom"/>
            <w:tcBorders>
              <w:bottom w:val="single" w:sz="8" w:color="EEEEEE"/>
            </w:tcBorders>
          </w:tcPr>
          <w:p>
            <w:pPr>
              <w:spacing w:after="0"/>
              <w:rPr>
                <w:sz w:val="24"/>
                <w:szCs w:val="24"/>
                <w:color w:val="auto"/>
              </w:rPr>
            </w:pPr>
          </w:p>
        </w:tc>
        <w:tc>
          <w:tcPr>
            <w:tcW w:w="3380" w:type="dxa"/>
            <w:vAlign w:val="bottom"/>
            <w:tcBorders>
              <w:bottom w:val="single" w:sz="8" w:color="EEEEEE"/>
            </w:tcBorders>
          </w:tcPr>
          <w:p>
            <w:pPr>
              <w:spacing w:after="0"/>
              <w:rPr>
                <w:sz w:val="24"/>
                <w:szCs w:val="24"/>
                <w:color w:val="auto"/>
              </w:rPr>
            </w:pPr>
          </w:p>
        </w:tc>
        <w:tc>
          <w:tcPr>
            <w:tcW w:w="39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34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FIFTEENTH AMENDMENT</w:t>
      </w:r>
    </w:p>
    <w:p>
      <w:pPr>
        <w:spacing w:after="0" w:line="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TO SECOND AMENDED AND RESTATED SENIOR SECURED REVOLVING CREDIT AGREEMENT</w:t>
      </w:r>
    </w:p>
    <w:p>
      <w:pPr>
        <w:spacing w:after="0" w:line="180" w:lineRule="exact"/>
        <w:rPr>
          <w:sz w:val="20"/>
          <w:szCs w:val="20"/>
          <w:color w:val="auto"/>
        </w:rPr>
      </w:pPr>
    </w:p>
    <w:p>
      <w:pPr>
        <w:jc w:val="right"/>
        <w:ind w:left="340" w:right="800"/>
        <w:spacing w:after="0" w:line="258" w:lineRule="auto"/>
        <w:rPr>
          <w:sz w:val="20"/>
          <w:szCs w:val="20"/>
          <w:color w:val="auto"/>
        </w:rPr>
      </w:pPr>
      <w:r>
        <w:rPr>
          <w:rFonts w:ascii="Times New Roman" w:cs="Times New Roman" w:eastAsia="Times New Roman" w:hAnsi="Times New Roman"/>
          <w:sz w:val="19"/>
          <w:szCs w:val="19"/>
          <w:color w:val="auto"/>
        </w:rPr>
        <w:t>THIS FIFTEENTH AMENDMENT TO SECOND AMENDED AND RESTATED SENIOR SECURED REVOLVING CREDIT AGREEMENT, dated as of April 24, 2024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to the Existing Credit Agreement (capitalized terms used herein and not otherwise defined shall</w:t>
      </w:r>
    </w:p>
    <w:p>
      <w:pPr>
        <w:spacing w:after="0" w:line="2" w:lineRule="exact"/>
        <w:rPr>
          <w:sz w:val="20"/>
          <w:szCs w:val="20"/>
          <w:color w:val="auto"/>
        </w:rPr>
      </w:pPr>
    </w:p>
    <w:p>
      <w:pPr>
        <w:ind w:left="340" w:right="900"/>
        <w:spacing w:after="0" w:line="256" w:lineRule="auto"/>
        <w:rPr>
          <w:sz w:val="20"/>
          <w:szCs w:val="20"/>
          <w:color w:val="auto"/>
        </w:rPr>
      </w:pPr>
      <w:r>
        <w:rPr>
          <w:rFonts w:ascii="Times New Roman" w:cs="Times New Roman" w:eastAsia="Times New Roman" w:hAnsi="Times New Roman"/>
          <w:sz w:val="19"/>
          <w:szCs w:val="19"/>
          <w:color w:val="auto"/>
        </w:rPr>
        <w:t xml:space="preserve">have the meanings given to such terms in </w:t>
      </w:r>
      <w:r>
        <w:rPr>
          <w:rFonts w:ascii="Times New Roman" w:cs="Times New Roman" w:eastAsia="Times New Roman" w:hAnsi="Times New Roman"/>
          <w:sz w:val="19"/>
          <w:szCs w:val="19"/>
          <w:u w:val="single" w:color="auto"/>
          <w:color w:val="auto"/>
        </w:rPr>
        <w:t>Article I</w:t>
      </w:r>
      <w:r>
        <w:rPr>
          <w:rFonts w:ascii="Times New Roman" w:cs="Times New Roman" w:eastAsia="Times New Roman" w:hAnsi="Times New Roman"/>
          <w:sz w:val="19"/>
          <w:szCs w:val="19"/>
          <w:color w:val="auto"/>
        </w:rPr>
        <w:t>) is among SIXTH STREET SPECIALTY LENDING,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LENDERS and ISSUING BANKS party hereto and TRUIST BANK, as Administrative Agent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u w:val="single" w:color="auto"/>
          <w:color w:val="auto"/>
        </w:rPr>
        <w:t>W I T N E S S E T H</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340" w:right="860" w:firstLine="852"/>
        <w:spacing w:after="0" w:line="252" w:lineRule="auto"/>
        <w:rPr>
          <w:sz w:val="20"/>
          <w:szCs w:val="20"/>
          <w:color w:val="auto"/>
        </w:rPr>
      </w:pPr>
      <w:r>
        <w:rPr>
          <w:rFonts w:ascii="Times New Roman" w:cs="Times New Roman" w:eastAsia="Times New Roman" w:hAnsi="Times New Roman"/>
          <w:sz w:val="19"/>
          <w:szCs w:val="19"/>
          <w:color w:val="auto"/>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the Twelfth Amendment to Second Amended and Restated Senior Secured Revolving Credit Agreement, dated as of April 25, 2022, the Thirteenth Amendment to Second Amended and Restated Senior Secured Revolving Credit Agreement, dated as of May 19, 2022, and the Fourteenth Amendment to Second Amended and Restated Senior Secured Revolving Credit Agreement, dated as of June 12, 2023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xml:space="preserve"> ”), and by this Amendment and as the same may be further amended, supplemented, amended and restated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and</w:t>
      </w:r>
    </w:p>
    <w:p>
      <w:pPr>
        <w:spacing w:after="0" w:line="163" w:lineRule="exact"/>
        <w:rPr>
          <w:sz w:val="20"/>
          <w:szCs w:val="20"/>
          <w:color w:val="auto"/>
        </w:rPr>
      </w:pPr>
    </w:p>
    <w:p>
      <w:pPr>
        <w:ind w:left="340" w:right="1000" w:firstLine="852"/>
        <w:spacing w:after="0" w:line="268" w:lineRule="auto"/>
        <w:rPr>
          <w:sz w:val="20"/>
          <w:szCs w:val="20"/>
          <w:color w:val="auto"/>
        </w:rPr>
      </w:pPr>
      <w:r>
        <w:rPr>
          <w:rFonts w:ascii="Times New Roman" w:cs="Times New Roman" w:eastAsia="Times New Roman" w:hAnsi="Times New Roman"/>
          <w:sz w:val="19"/>
          <w:szCs w:val="19"/>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1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NOW, THEREFORE, the parties hereto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573405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359" w:right="680" w:bottom="1440" w:gutter="0" w:footer="0" w:header="0"/>
        </w:sectPr>
      </w:pPr>
    </w:p>
    <w:bookmarkStart w:id="71" w:name="page72"/>
    <w:bookmarkEnd w:id="71"/>
    <w:p>
      <w:pPr>
        <w:spacing w:after="0" w:line="2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color w:val="auto"/>
        </w:rPr>
        <w:t>ARTICLE I</w:t>
      </w:r>
    </w:p>
    <w:p>
      <w:pPr>
        <w:spacing w:after="0" w:line="3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DEFINITIONS</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1.1. </w:t>
      </w:r>
      <w:r>
        <w:rPr>
          <w:rFonts w:ascii="Times New Roman" w:cs="Times New Roman" w:eastAsia="Times New Roman" w:hAnsi="Times New Roman"/>
          <w:sz w:val="19"/>
          <w:szCs w:val="19"/>
          <w:u w:val="single" w:color="auto"/>
          <w:color w:val="auto"/>
        </w:rPr>
        <w:t>Certain Definitions</w:t>
      </w:r>
      <w:r>
        <w:rPr>
          <w:rFonts w:ascii="Times New Roman" w:cs="Times New Roman" w:eastAsia="Times New Roman" w:hAnsi="Times New Roman"/>
          <w:sz w:val="19"/>
          <w:szCs w:val="19"/>
          <w:color w:val="auto"/>
        </w:rPr>
        <w:t>. The following terms when used in this Amendment</w:t>
      </w:r>
    </w:p>
    <w:p>
      <w:pPr>
        <w:spacing w:after="0" w:line="13" w:lineRule="exact"/>
        <w:rPr>
          <w:sz w:val="20"/>
          <w:szCs w:val="20"/>
          <w:color w:val="auto"/>
        </w:rPr>
      </w:pPr>
    </w:p>
    <w:p>
      <w:pPr>
        <w:ind w:left="1060" w:right="480"/>
        <w:spacing w:after="0" w:line="262" w:lineRule="auto"/>
        <w:rPr>
          <w:sz w:val="20"/>
          <w:szCs w:val="20"/>
          <w:color w:val="auto"/>
        </w:rPr>
      </w:pPr>
      <w:r>
        <w:rPr>
          <w:rFonts w:ascii="Times New Roman" w:cs="Times New Roman" w:eastAsia="Times New Roman" w:hAnsi="Times New Roman"/>
          <w:sz w:val="19"/>
          <w:szCs w:val="19"/>
          <w:color w:val="auto"/>
        </w:rPr>
        <w:t>shall have the following meanings (such meanings to be equally applicable to the singular and plural forms thereof):</w:t>
      </w:r>
    </w:p>
    <w:p>
      <w:pPr>
        <w:spacing w:after="0" w:line="14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is</w:t>
      </w:r>
    </w:p>
    <w:p>
      <w:pPr>
        <w:spacing w:after="0" w:line="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defined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first recital</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Existing</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first recital</w:t>
      </w:r>
      <w:r>
        <w:rPr>
          <w:rFonts w:ascii="Times New Roman" w:cs="Times New Roman" w:eastAsia="Times New Roman" w:hAnsi="Times New Roman"/>
          <w:sz w:val="19"/>
          <w:szCs w:val="19"/>
          <w:color w:val="auto"/>
        </w:rPr>
        <w:t>.</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Fifteenth Amendment Effective Date</w:t>
      </w:r>
      <w:r>
        <w:rPr>
          <w:rFonts w:ascii="Times New Roman" w:cs="Times New Roman" w:eastAsia="Times New Roman" w:hAnsi="Times New Roman"/>
          <w:sz w:val="19"/>
          <w:szCs w:val="19"/>
          <w:color w:val="auto"/>
        </w:rPr>
        <w:t xml:space="preserve">” is defined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060" w:right="100" w:firstLine="852"/>
        <w:spacing w:after="0" w:line="268" w:lineRule="auto"/>
        <w:rPr>
          <w:sz w:val="20"/>
          <w:szCs w:val="20"/>
          <w:color w:val="auto"/>
        </w:rPr>
      </w:pPr>
      <w:r>
        <w:rPr>
          <w:rFonts w:ascii="Times New Roman" w:cs="Times New Roman" w:eastAsia="Times New Roman" w:hAnsi="Times New Roman"/>
          <w:sz w:val="19"/>
          <w:szCs w:val="19"/>
          <w:color w:val="auto"/>
        </w:rPr>
        <w:t xml:space="preserve">SECTION 1.2. </w:t>
      </w:r>
      <w:r>
        <w:rPr>
          <w:rFonts w:ascii="Times New Roman" w:cs="Times New Roman" w:eastAsia="Times New Roman" w:hAnsi="Times New Roman"/>
          <w:sz w:val="19"/>
          <w:szCs w:val="19"/>
          <w:u w:val="single" w:color="auto"/>
          <w:color w:val="auto"/>
        </w:rPr>
        <w:t>Other Definitions</w:t>
      </w:r>
      <w:r>
        <w:rPr>
          <w:rFonts w:ascii="Times New Roman" w:cs="Times New Roman" w:eastAsia="Times New Roman" w:hAnsi="Times New Roman"/>
          <w:sz w:val="19"/>
          <w:szCs w:val="19"/>
          <w:color w:val="auto"/>
        </w:rPr>
        <w:t>. Capitalized terms for which meanings are provided in the Existing Credit Agreement are, unless otherwise defined herein or the context otherwise requires, used in this Amendment with such meanings.</w:t>
      </w:r>
    </w:p>
    <w:p>
      <w:pPr>
        <w:spacing w:after="0" w:line="144"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color w:val="auto"/>
        </w:rPr>
        <w:t>ARTICLE II</w:t>
      </w:r>
    </w:p>
    <w:p>
      <w:pPr>
        <w:spacing w:after="0" w:line="32"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color w:val="auto"/>
        </w:rPr>
        <w:t>[RESERVED]</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2.1. </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color w:val="auto"/>
        </w:rPr>
        <w:t>ARTICLE III</w:t>
      </w:r>
    </w:p>
    <w:p>
      <w:pPr>
        <w:spacing w:after="0" w:line="202"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color w:val="auto"/>
        </w:rPr>
        <w:t>AMENDMENTS TO EXISTING CREDIT AGREEMENT</w:t>
      </w:r>
    </w:p>
    <w:p>
      <w:pPr>
        <w:spacing w:after="0" w:line="202" w:lineRule="exact"/>
        <w:rPr>
          <w:sz w:val="20"/>
          <w:szCs w:val="20"/>
          <w:color w:val="auto"/>
        </w:rPr>
      </w:pPr>
    </w:p>
    <w:p>
      <w:pPr>
        <w:ind w:left="1060" w:right="180" w:firstLine="852"/>
        <w:spacing w:after="0" w:line="286" w:lineRule="auto"/>
        <w:rPr>
          <w:sz w:val="20"/>
          <w:szCs w:val="20"/>
          <w:color w:val="auto"/>
        </w:rPr>
      </w:pPr>
      <w:r>
        <w:rPr>
          <w:rFonts w:ascii="Times New Roman" w:cs="Times New Roman" w:eastAsia="Times New Roman" w:hAnsi="Times New Roman"/>
          <w:sz w:val="19"/>
          <w:szCs w:val="19"/>
          <w:color w:val="auto"/>
        </w:rPr>
        <w:t xml:space="preserve">SECTION 3.1. </w:t>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Subject to the occurrence of the Fifteenth Amendment Effective Date (as hereinafter defined), the parties hereby agree that:</w:t>
      </w:r>
    </w:p>
    <w:p>
      <w:pPr>
        <w:spacing w:after="0" w:line="127" w:lineRule="exact"/>
        <w:rPr>
          <w:sz w:val="20"/>
          <w:szCs w:val="20"/>
          <w:color w:val="auto"/>
        </w:rPr>
      </w:pPr>
    </w:p>
    <w:p>
      <w:pPr>
        <w:ind w:left="1060" w:right="240" w:firstLine="1788"/>
        <w:spacing w:after="0" w:line="262" w:lineRule="auto"/>
        <w:rPr>
          <w:sz w:val="20"/>
          <w:szCs w:val="20"/>
          <w:color w:val="auto"/>
        </w:rPr>
      </w:pPr>
      <w:r>
        <w:rPr>
          <w:rFonts w:ascii="Times New Roman" w:cs="Times New Roman" w:eastAsia="Times New Roman" w:hAnsi="Times New Roman"/>
          <w:sz w:val="19"/>
          <w:szCs w:val="19"/>
          <w:color w:val="auto"/>
        </w:rPr>
        <w:t xml:space="preserve">(a)the Existing Credit Agreement (excluding the Exhibits and Schedules thereto) is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text</w:t>
      </w:r>
      <w:r>
        <w:rPr>
          <w:rFonts w:ascii="Times New Roman" w:cs="Times New Roman" w:eastAsia="Times New Roman" w:hAnsi="Times New Roman"/>
          <w:sz w:val="19"/>
          <w:szCs w:val="19"/>
          <w:color w:val="000000"/>
        </w:rPr>
        <w:t>) and to add the double-underlined text (indicated textually in the same manner as the following example: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9"/>
          <w:szCs w:val="19"/>
          <w:color w:val="000000"/>
        </w:rPr>
        <w:t>) as set forth in the pages attached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9"/>
          <w:szCs w:val="19"/>
          <w:u w:val="single" w:color="auto"/>
          <w:color w:val="000000"/>
        </w:rPr>
        <w:t>Exhibit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9"/>
          <w:szCs w:val="19"/>
          <w:color w:val="000000"/>
        </w:rPr>
        <w:t>hereto.</w:t>
      </w:r>
    </w:p>
    <w:p>
      <w:pPr>
        <w:spacing w:after="0" w:line="150" w:lineRule="exact"/>
        <w:rPr>
          <w:sz w:val="20"/>
          <w:szCs w:val="20"/>
          <w:color w:val="auto"/>
        </w:rPr>
      </w:pPr>
    </w:p>
    <w:p>
      <w:pPr>
        <w:ind w:left="1060" w:right="380" w:firstLine="1716"/>
        <w:spacing w:after="0" w:line="286" w:lineRule="auto"/>
        <w:rPr>
          <w:sz w:val="20"/>
          <w:szCs w:val="20"/>
          <w:color w:val="auto"/>
        </w:rPr>
      </w:pPr>
      <w:r>
        <w:rPr>
          <w:rFonts w:ascii="Times New Roman" w:cs="Times New Roman" w:eastAsia="Times New Roman" w:hAnsi="Times New Roman"/>
          <w:sz w:val="19"/>
          <w:szCs w:val="19"/>
          <w:color w:val="auto"/>
        </w:rPr>
        <w:t xml:space="preserve">(b)Schedule 1.01(b) of the Existing Credit Agreement is amended in its entirety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 hereto.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459105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72" w:name="page73"/>
    <w:bookmarkEnd w:id="72"/>
    <w:p>
      <w:pPr>
        <w:spacing w:after="0" w:line="25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9"/>
          <w:szCs w:val="19"/>
          <w:color w:val="auto"/>
        </w:rPr>
        <w:t>ARTICLE</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IV CONDITIONS TO EFFECTIVENESS</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4.1.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This Amendment shall become effective on the date (the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Fifteenth Amendment Effective Date</w:t>
      </w:r>
      <w:r>
        <w:rPr>
          <w:rFonts w:ascii="Times New Roman" w:cs="Times New Roman" w:eastAsia="Times New Roman" w:hAnsi="Times New Roman"/>
          <w:sz w:val="19"/>
          <w:szCs w:val="19"/>
          <w:color w:val="auto"/>
        </w:rPr>
        <w:t>”) when the Administrative Agent shall have received (a) counterparts of</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this Amendment duly executed and delivered on behalf of the Borrower and each of the Lenders party hereto,</w:t>
      </w:r>
    </w:p>
    <w:p>
      <w:pPr>
        <w:spacing w:after="0" w:line="10" w:lineRule="exact"/>
        <w:rPr>
          <w:sz w:val="20"/>
          <w:szCs w:val="20"/>
          <w:color w:val="auto"/>
        </w:rPr>
      </w:pPr>
    </w:p>
    <w:p>
      <w:pPr>
        <w:ind w:left="1060" w:right="40" w:hanging="10"/>
        <w:spacing w:after="0" w:line="251" w:lineRule="auto"/>
        <w:tabs>
          <w:tab w:leader="none" w:pos="1332"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favorable written opinion (addressed to the Administrative Agent and the Lenders party hereto and dated as of the date hereof) of (i) Cleary Gottlieb Steen &amp; Hamilton LLP, New York counsel for the Borrower, and (ii) Young Conaway Stargatt &amp; Taylor, LLP, Delaware counsel for the Borrower,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p>
    <w:p>
      <w:pPr>
        <w:spacing w:after="0" w:line="1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ARTICLE V</w:t>
      </w:r>
    </w:p>
    <w:p>
      <w:pPr>
        <w:spacing w:after="0" w:line="3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MISCELLANEOUS</w:t>
      </w:r>
    </w:p>
    <w:p>
      <w:pPr>
        <w:spacing w:after="0" w:line="7" w:lineRule="exact"/>
        <w:rPr>
          <w:sz w:val="20"/>
          <w:szCs w:val="20"/>
          <w:color w:val="auto"/>
        </w:rPr>
      </w:pPr>
    </w:p>
    <w:p>
      <w:pPr>
        <w:ind w:left="1060" w:right="20" w:firstLine="708"/>
        <w:spacing w:after="0" w:line="252" w:lineRule="auto"/>
        <w:rPr>
          <w:sz w:val="20"/>
          <w:szCs w:val="20"/>
          <w:color w:val="auto"/>
        </w:rPr>
      </w:pPr>
      <w:r>
        <w:rPr>
          <w:rFonts w:ascii="Times New Roman" w:cs="Times New Roman" w:eastAsia="Times New Roman" w:hAnsi="Times New Roman"/>
          <w:sz w:val="19"/>
          <w:szCs w:val="19"/>
          <w:color w:val="auto"/>
        </w:rPr>
        <w:t xml:space="preserve">SECTION 5.1. </w:t>
      </w:r>
      <w:r>
        <w:rPr>
          <w:rFonts w:ascii="Times New Roman" w:cs="Times New Roman" w:eastAsia="Times New Roman" w:hAnsi="Times New Roman"/>
          <w:sz w:val="19"/>
          <w:szCs w:val="19"/>
          <w:u w:val="single" w:color="auto"/>
          <w:color w:val="auto"/>
        </w:rPr>
        <w:t>Representations</w:t>
      </w:r>
      <w:r>
        <w:rPr>
          <w:rFonts w:ascii="Times New Roman" w:cs="Times New Roman" w:eastAsia="Times New Roman" w:hAnsi="Times New Roman"/>
          <w:sz w:val="19"/>
          <w:szCs w:val="19"/>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60" w:lineRule="exact"/>
        <w:rPr>
          <w:sz w:val="20"/>
          <w:szCs w:val="20"/>
          <w:color w:val="auto"/>
        </w:rPr>
      </w:pPr>
    </w:p>
    <w:p>
      <w:pPr>
        <w:ind w:left="1060" w:right="540" w:firstLine="852"/>
        <w:spacing w:after="0" w:line="286" w:lineRule="auto"/>
        <w:rPr>
          <w:sz w:val="20"/>
          <w:szCs w:val="20"/>
          <w:color w:val="auto"/>
        </w:rPr>
      </w:pPr>
      <w:r>
        <w:rPr>
          <w:rFonts w:ascii="Times New Roman" w:cs="Times New Roman" w:eastAsia="Times New Roman" w:hAnsi="Times New Roman"/>
          <w:sz w:val="19"/>
          <w:szCs w:val="19"/>
          <w:color w:val="auto"/>
        </w:rPr>
        <w:t xml:space="preserve">SECTION 5.2. </w:t>
      </w:r>
      <w:r>
        <w:rPr>
          <w:rFonts w:ascii="Times New Roman" w:cs="Times New Roman" w:eastAsia="Times New Roman" w:hAnsi="Times New Roman"/>
          <w:sz w:val="19"/>
          <w:szCs w:val="19"/>
          <w:u w:val="single" w:color="auto"/>
          <w:color w:val="auto"/>
        </w:rPr>
        <w:t>Cross-References</w:t>
      </w:r>
      <w:r>
        <w:rPr>
          <w:rFonts w:ascii="Times New Roman" w:cs="Times New Roman" w:eastAsia="Times New Roman" w:hAnsi="Times New Roman"/>
          <w:sz w:val="19"/>
          <w:szCs w:val="19"/>
          <w:color w:val="auto"/>
        </w:rPr>
        <w:t>. References in this Amendment to any Article or Section are, unless otherwise specified, to such Article or Section of this Amendment.</w:t>
      </w:r>
    </w:p>
    <w:p>
      <w:pPr>
        <w:spacing w:after="0" w:line="115" w:lineRule="exact"/>
        <w:rPr>
          <w:sz w:val="20"/>
          <w:szCs w:val="20"/>
          <w:color w:val="auto"/>
        </w:rPr>
      </w:pPr>
    </w:p>
    <w:p>
      <w:pPr>
        <w:ind w:left="1060" w:right="180" w:firstLine="852"/>
        <w:spacing w:after="0" w:line="262" w:lineRule="auto"/>
        <w:rPr>
          <w:sz w:val="20"/>
          <w:szCs w:val="20"/>
          <w:color w:val="auto"/>
        </w:rPr>
      </w:pPr>
      <w:r>
        <w:rPr>
          <w:rFonts w:ascii="Times New Roman" w:cs="Times New Roman" w:eastAsia="Times New Roman" w:hAnsi="Times New Roman"/>
          <w:sz w:val="19"/>
          <w:szCs w:val="19"/>
          <w:color w:val="auto"/>
        </w:rPr>
        <w:t xml:space="preserve">SECTION 5.3. </w:t>
      </w:r>
      <w:r>
        <w:rPr>
          <w:rFonts w:ascii="Times New Roman" w:cs="Times New Roman" w:eastAsia="Times New Roman" w:hAnsi="Times New Roman"/>
          <w:sz w:val="19"/>
          <w:szCs w:val="19"/>
          <w:u w:val="single" w:color="auto"/>
          <w:color w:val="auto"/>
        </w:rPr>
        <w:t>Loan Document Pursuant to Existing Credit Agreement</w:t>
      </w:r>
      <w:r>
        <w:rPr>
          <w:rFonts w:ascii="Times New Roman" w:cs="Times New Roman" w:eastAsia="Times New Roman" w:hAnsi="Times New Roman"/>
          <w:sz w:val="19"/>
          <w:szCs w:val="19"/>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459105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73" w:name="page74"/>
    <w:bookmarkEnd w:id="73"/>
    <w:p>
      <w:pPr>
        <w:spacing w:after="0" w:line="257" w:lineRule="exact"/>
        <w:rPr>
          <w:sz w:val="20"/>
          <w:szCs w:val="20"/>
          <w:color w:val="auto"/>
        </w:rPr>
      </w:pPr>
    </w:p>
    <w:p>
      <w:pPr>
        <w:ind w:left="1060" w:right="340" w:firstLine="852"/>
        <w:spacing w:after="0" w:line="286" w:lineRule="auto"/>
        <w:rPr>
          <w:sz w:val="20"/>
          <w:szCs w:val="20"/>
          <w:color w:val="auto"/>
        </w:rPr>
      </w:pPr>
      <w:r>
        <w:rPr>
          <w:rFonts w:ascii="Times New Roman" w:cs="Times New Roman" w:eastAsia="Times New Roman" w:hAnsi="Times New Roman"/>
          <w:sz w:val="19"/>
          <w:szCs w:val="19"/>
          <w:color w:val="auto"/>
        </w:rPr>
        <w:t xml:space="preserve">SECTION 5.4.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provisions of this Amendment shall be binding upon and inure to the benefit of the parties hereto and their respective successors and assigns.</w:t>
      </w:r>
    </w:p>
    <w:p>
      <w:pPr>
        <w:spacing w:after="0" w:line="127" w:lineRule="exact"/>
        <w:rPr>
          <w:sz w:val="20"/>
          <w:szCs w:val="20"/>
          <w:color w:val="auto"/>
        </w:rPr>
      </w:pPr>
    </w:p>
    <w:p>
      <w:pPr>
        <w:ind w:left="1060" w:right="160" w:firstLine="852"/>
        <w:spacing w:after="0" w:line="259" w:lineRule="auto"/>
        <w:rPr>
          <w:sz w:val="20"/>
          <w:szCs w:val="20"/>
          <w:color w:val="auto"/>
        </w:rPr>
      </w:pPr>
      <w:r>
        <w:rPr>
          <w:rFonts w:ascii="Times New Roman" w:cs="Times New Roman" w:eastAsia="Times New Roman" w:hAnsi="Times New Roman"/>
          <w:sz w:val="19"/>
          <w:szCs w:val="19"/>
          <w:color w:val="auto"/>
        </w:rPr>
        <w:t xml:space="preserve">SECTION 5.5.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54" w:lineRule="exact"/>
        <w:rPr>
          <w:sz w:val="20"/>
          <w:szCs w:val="20"/>
          <w:color w:val="auto"/>
        </w:rPr>
      </w:pPr>
    </w:p>
    <w:p>
      <w:pPr>
        <w:ind w:left="1060" w:right="120" w:firstLine="852"/>
        <w:spacing w:after="0" w:line="286" w:lineRule="auto"/>
        <w:rPr>
          <w:sz w:val="20"/>
          <w:szCs w:val="20"/>
          <w:color w:val="auto"/>
        </w:rPr>
      </w:pPr>
      <w:r>
        <w:rPr>
          <w:rFonts w:ascii="Times New Roman" w:cs="Times New Roman" w:eastAsia="Times New Roman" w:hAnsi="Times New Roman"/>
          <w:sz w:val="19"/>
          <w:szCs w:val="19"/>
          <w:color w:val="auto"/>
        </w:rPr>
        <w:t xml:space="preserve">SECTION 5.6.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Amendment shall be governed by and construed in accordance with the laws of the State of New York.</w:t>
      </w:r>
    </w:p>
    <w:p>
      <w:pPr>
        <w:spacing w:after="0" w:line="127" w:lineRule="exact"/>
        <w:rPr>
          <w:sz w:val="20"/>
          <w:szCs w:val="20"/>
          <w:color w:val="auto"/>
        </w:rPr>
      </w:pPr>
    </w:p>
    <w:p>
      <w:pPr>
        <w:ind w:left="1060" w:right="60" w:firstLine="852"/>
        <w:spacing w:after="0" w:line="253" w:lineRule="auto"/>
        <w:rPr>
          <w:sz w:val="20"/>
          <w:szCs w:val="20"/>
          <w:color w:val="auto"/>
        </w:rPr>
      </w:pPr>
      <w:r>
        <w:rPr>
          <w:rFonts w:ascii="Times New Roman" w:cs="Times New Roman" w:eastAsia="Times New Roman" w:hAnsi="Times New Roman"/>
          <w:sz w:val="19"/>
          <w:szCs w:val="19"/>
          <w:color w:val="auto"/>
        </w:rPr>
        <w:t xml:space="preserve">SECTION 5.7. </w:t>
      </w:r>
      <w:r>
        <w:rPr>
          <w:rFonts w:ascii="Times New Roman" w:cs="Times New Roman" w:eastAsia="Times New Roman" w:hAnsi="Times New Roman"/>
          <w:sz w:val="19"/>
          <w:szCs w:val="19"/>
          <w:u w:val="single" w:color="auto"/>
          <w:color w:val="auto"/>
        </w:rPr>
        <w:t>Full Force and Effect; Limited Amendment</w:t>
      </w:r>
      <w:r>
        <w:rPr>
          <w:rFonts w:ascii="Times New Roman" w:cs="Times New Roman" w:eastAsia="Times New Roman" w:hAnsi="Times New Roman"/>
          <w:sz w:val="19"/>
          <w:szCs w:val="19"/>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This Amendment does not constitute a novation or termination of the Credit Agreement Obligations (as defined in the Guarantee and Security Agreement) under the Credit Agreement as in effect immediately prior to the effectiveness of this Amendment and which remain outstanding.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61" w:lineRule="exact"/>
        <w:rPr>
          <w:sz w:val="20"/>
          <w:szCs w:val="20"/>
          <w:color w:val="auto"/>
        </w:rPr>
      </w:pPr>
    </w:p>
    <w:p>
      <w:pPr>
        <w:ind w:left="1060" w:right="200" w:firstLine="852"/>
        <w:spacing w:after="0" w:line="262" w:lineRule="auto"/>
        <w:rPr>
          <w:sz w:val="20"/>
          <w:szCs w:val="20"/>
          <w:color w:val="auto"/>
        </w:rPr>
      </w:pPr>
      <w:r>
        <w:rPr>
          <w:rFonts w:ascii="Times New Roman" w:cs="Times New Roman" w:eastAsia="Times New Roman" w:hAnsi="Times New Roman"/>
          <w:sz w:val="19"/>
          <w:szCs w:val="19"/>
          <w:color w:val="auto"/>
        </w:rPr>
        <w:t xml:space="preserve">SECTION 5.8. </w:t>
      </w:r>
      <w:r>
        <w:rPr>
          <w:rFonts w:ascii="Times New Roman" w:cs="Times New Roman" w:eastAsia="Times New Roman" w:hAnsi="Times New Roman"/>
          <w:sz w:val="19"/>
          <w:szCs w:val="19"/>
          <w:u w:val="single" w:color="auto"/>
          <w:color w:val="auto"/>
        </w:rPr>
        <w:t>Reaffirmation</w:t>
      </w:r>
      <w:r>
        <w:rPr>
          <w:rFonts w:ascii="Times New Roman" w:cs="Times New Roman" w:eastAsia="Times New Roman" w:hAnsi="Times New Roman"/>
          <w:sz w:val="19"/>
          <w:szCs w:val="19"/>
          <w:color w:val="auto"/>
        </w:rPr>
        <w:t>. Each of Sixth Street SL Holding, LLC, TC Lending, LLC and Sixth Street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15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5.9. </w:t>
      </w:r>
      <w:r>
        <w:rPr>
          <w:rFonts w:ascii="Times New Roman" w:cs="Times New Roman" w:eastAsia="Times New Roman" w:hAnsi="Times New Roman"/>
          <w:sz w:val="19"/>
          <w:szCs w:val="19"/>
          <w:u w:val="single" w:color="auto"/>
          <w:color w:val="auto"/>
        </w:rPr>
        <w:t>Assignment and Reallocation of Existing Commitments and Existing</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(a)On the Fifteenth Amendment Effective Date, the Borrower shall (A) prepay</w:t>
      </w:r>
    </w:p>
    <w:p>
      <w:pPr>
        <w:spacing w:after="0" w:line="32" w:lineRule="exact"/>
        <w:rPr>
          <w:sz w:val="20"/>
          <w:szCs w:val="20"/>
          <w:color w:val="auto"/>
        </w:rPr>
      </w:pPr>
    </w:p>
    <w:p>
      <w:pPr>
        <w:ind w:left="1060" w:right="120"/>
        <w:spacing w:after="0" w:line="252" w:lineRule="auto"/>
        <w:rPr>
          <w:sz w:val="20"/>
          <w:szCs w:val="20"/>
          <w:color w:val="auto"/>
        </w:rPr>
      </w:pPr>
      <w:r>
        <w:rPr>
          <w:rFonts w:ascii="Times New Roman" w:cs="Times New Roman" w:eastAsia="Times New Roman" w:hAnsi="Times New Roman"/>
          <w:sz w:val="19"/>
          <w:szCs w:val="19"/>
          <w:color w:val="auto"/>
        </w:rPr>
        <w:t>the outstanding Loans and (B) simultaneously borrow new Loans in an amount equal to such prepayment; provided that with respect to subclauses (A) and (B), (x) the prepayment to, and borrowing from, any Lender shall be effected by book entry to the extent that any portion of the amount prepaid to such Lender will be subsequently borrowed from such Lender, (y) the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459105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74" w:name="page75"/>
    <w:bookmarkEnd w:id="74"/>
    <w:p>
      <w:pPr>
        <w:spacing w:after="0" w:line="257" w:lineRule="exact"/>
        <w:rPr>
          <w:sz w:val="20"/>
          <w:szCs w:val="20"/>
          <w:color w:val="auto"/>
        </w:rPr>
      </w:pPr>
    </w:p>
    <w:p>
      <w:pPr>
        <w:ind w:left="1060" w:right="120"/>
        <w:spacing w:after="0" w:line="256" w:lineRule="auto"/>
        <w:rPr>
          <w:sz w:val="20"/>
          <w:szCs w:val="20"/>
          <w:color w:val="auto"/>
        </w:rPr>
      </w:pPr>
      <w:r>
        <w:rPr>
          <w:rFonts w:ascii="Times New Roman" w:cs="Times New Roman" w:eastAsia="Times New Roman" w:hAnsi="Times New Roman"/>
          <w:sz w:val="19"/>
          <w:szCs w:val="19"/>
          <w:color w:val="auto"/>
        </w:rPr>
        <w:t>giving effect to this Amendment), which, for the purposes of the Credit Agreement and each other Loan Document, will be as set forth opposite such Person’s name on Schedule 1.01(b) to the Credit Agreement (as amended by this Amendment) and (z) each Lender party hereto hereby agrees that no amounts shall be required to be paid to such Lender under Section 2.15 of the Credit Agreement in connection with the reallocation described in this Section 5.9(a).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57" w:lineRule="exact"/>
        <w:rPr>
          <w:sz w:val="20"/>
          <w:szCs w:val="20"/>
          <w:color w:val="auto"/>
        </w:rPr>
      </w:pPr>
    </w:p>
    <w:p>
      <w:pPr>
        <w:ind w:left="1060" w:right="160" w:firstLine="1716"/>
        <w:spacing w:after="0" w:line="262" w:lineRule="auto"/>
        <w:rPr>
          <w:sz w:val="20"/>
          <w:szCs w:val="20"/>
          <w:color w:val="auto"/>
        </w:rPr>
      </w:pPr>
      <w:r>
        <w:rPr>
          <w:rFonts w:ascii="Times New Roman" w:cs="Times New Roman" w:eastAsia="Times New Roman" w:hAnsi="Times New Roman"/>
          <w:sz w:val="19"/>
          <w:szCs w:val="19"/>
          <w:color w:val="auto"/>
        </w:rPr>
        <w:t>(b)Each of the Lenders hereby acknowledges and agrees that (i) no Lender nor the Administrative Agent has made any representations or warranties or assumed any responsibility with respect to</w:t>
      </w:r>
    </w:p>
    <w:p>
      <w:pPr>
        <w:spacing w:after="0" w:line="1" w:lineRule="exact"/>
        <w:rPr>
          <w:sz w:val="20"/>
          <w:szCs w:val="20"/>
          <w:color w:val="auto"/>
        </w:rPr>
      </w:pPr>
    </w:p>
    <w:p>
      <w:pPr>
        <w:ind w:left="1060" w:right="140" w:hanging="10"/>
        <w:spacing w:after="0" w:line="251" w:lineRule="auto"/>
        <w:tabs>
          <w:tab w:leader="none" w:pos="137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statements, warranties or representations made by any Obligor in or in connection with this Amendment, the Credit Agreement or any other Loan Document or, with respect to any Obligor, the execution, legality, validity, enforceability, genuineness or sufficiency of this Amendment, the Credit Agreement or any other Loan Document or (B) the financial condition of any Obligor or the performance by any Obligor of its obligations hereunder or under the Credit Agreement or any other Loan Document; (ii) it has received such information as it has deemed appropriate to make its own credit analysis and decision to enter into this Amendment; and (iii) it has made and continues to make its own credit decisions in taking or not taking action under the Loan Documents, independently and without reliance upon the Administrative Agent or any other Lender.</w:t>
      </w:r>
    </w:p>
    <w:p>
      <w:pPr>
        <w:spacing w:after="0" w:line="166" w:lineRule="exact"/>
        <w:rPr>
          <w:sz w:val="20"/>
          <w:szCs w:val="20"/>
          <w:color w:val="auto"/>
        </w:rPr>
      </w:pPr>
    </w:p>
    <w:p>
      <w:pPr>
        <w:ind w:left="1060" w:right="80" w:firstLine="852"/>
        <w:spacing w:after="0" w:line="256" w:lineRule="auto"/>
        <w:rPr>
          <w:sz w:val="20"/>
          <w:szCs w:val="20"/>
          <w:color w:val="auto"/>
        </w:rPr>
      </w:pPr>
      <w:r>
        <w:rPr>
          <w:rFonts w:ascii="Times New Roman" w:cs="Times New Roman" w:eastAsia="Times New Roman" w:hAnsi="Times New Roman"/>
          <w:sz w:val="19"/>
          <w:szCs w:val="19"/>
          <w:color w:val="auto"/>
        </w:rPr>
        <w:t xml:space="preserve">SECTION 5.10. </w:t>
      </w:r>
      <w:r>
        <w:rPr>
          <w:rFonts w:ascii="Times New Roman" w:cs="Times New Roman" w:eastAsia="Times New Roman" w:hAnsi="Times New Roman"/>
          <w:sz w:val="19"/>
          <w:szCs w:val="19"/>
          <w:u w:val="single" w:color="auto"/>
          <w:color w:val="auto"/>
        </w:rPr>
        <w:t>Outstanding Term Benchmark Loans Denominated in Canadian Dollars</w:t>
      </w:r>
      <w:r>
        <w:rPr>
          <w:rFonts w:ascii="Times New Roman" w:cs="Times New Roman" w:eastAsia="Times New Roman" w:hAnsi="Times New Roman"/>
          <w:sz w:val="19"/>
          <w:szCs w:val="19"/>
          <w:color w:val="auto"/>
        </w:rPr>
        <w:t>. Notwithstanding anything to the contrary in the Credit Agreement, as amended by this Amendment, all outstanding Term Benchmark Loans denominated in Canadian Dollars as of the Fifteenth Amendment Effective Date shall remain outstanding, with interest being calculated based on the Term Benchmark Rate as in effect under the Existing Credit Agreement, until the end of the Interest Period applicable thereto and thereafter, if continued, interest on such Term Benchmark Loans shall be calculated in accordance with the terms of the Credit Agreement, as amended by this Amendment.</w:t>
      </w:r>
    </w:p>
    <w:p>
      <w:pPr>
        <w:spacing w:after="0" w:line="200" w:lineRule="exact"/>
        <w:rPr>
          <w:sz w:val="20"/>
          <w:szCs w:val="20"/>
          <w:color w:val="auto"/>
        </w:rPr>
      </w:pPr>
    </w:p>
    <w:p>
      <w:pPr>
        <w:spacing w:after="0" w:line="37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459105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75" w:name="page76"/>
    <w:bookmarkEnd w:id="75"/>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executed and delivered this Amendment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PECIALTY LENDING, INC.</w:t>
      </w:r>
    </w:p>
    <w:p>
      <w:pPr>
        <w:spacing w:after="0" w:line="200" w:lineRule="exact"/>
        <w:rPr>
          <w:sz w:val="20"/>
          <w:szCs w:val="20"/>
          <w:color w:val="auto"/>
        </w:rPr>
      </w:pPr>
    </w:p>
    <w:p>
      <w:pPr>
        <w:spacing w:after="0" w:line="232" w:lineRule="exact"/>
        <w:rPr>
          <w:sz w:val="20"/>
          <w:szCs w:val="20"/>
          <w:color w:val="auto"/>
        </w:rPr>
      </w:pPr>
    </w:p>
    <w:p>
      <w:pPr>
        <w:ind w:left="4300"/>
        <w:spacing w:after="0"/>
        <w:tabs>
          <w:tab w:leader="none" w:pos="4740" w:val="left"/>
        </w:tabs>
        <w:rPr>
          <w:sz w:val="20"/>
          <w:szCs w:val="20"/>
          <w:color w:val="auto"/>
        </w:rPr>
      </w:pPr>
      <w:r>
        <w:rPr>
          <w:rFonts w:ascii="Times New Roman" w:cs="Times New Roman" w:eastAsia="Times New Roman" w:hAnsi="Times New Roman"/>
          <w:sz w:val="19"/>
          <w:szCs w:val="19"/>
          <w:color w:val="auto"/>
        </w:rPr>
        <w:t>By:</w:t>
        <w:tab/>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-7620</wp:posOffset>
            </wp:positionV>
            <wp:extent cx="9753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975360" cy="7620"/>
                    </a:xfrm>
                    <a:prstGeom prst="rect">
                      <a:avLst/>
                    </a:prstGeom>
                    <a:noFill/>
                  </pic:spPr>
                </pic:pic>
              </a:graphicData>
            </a:graphic>
          </wp:anchor>
        </w:drawing>
      </w:r>
    </w:p>
    <w:p>
      <w:pPr>
        <w:spacing w:after="0" w:line="1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Name: Ian Simmonds</w:t>
      </w:r>
    </w:p>
    <w:p>
      <w:pPr>
        <w:spacing w:after="0" w:line="1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656590</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00" w:top="1440" w:right="840"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as Administrative Agent, Swingline Lender, Issuing Bank and as a Lender</w:t>
      </w:r>
    </w:p>
    <w:p>
      <w:pPr>
        <w:spacing w:after="0" w:line="200" w:lineRule="exact"/>
        <w:rPr>
          <w:sz w:val="20"/>
          <w:szCs w:val="20"/>
          <w:color w:val="auto"/>
        </w:rPr>
      </w:pPr>
    </w:p>
    <w:p>
      <w:pPr>
        <w:spacing w:after="0" w:line="23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Andrew Silsbee</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Andrew Silsbee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760" w:top="1440" w:right="1300" w:bottom="1440" w:gutter="0" w:footer="0" w:header="0"/>
        </w:sectPr>
      </w:pPr>
    </w:p>
    <w:bookmarkStart w:id="77" w:name="page78"/>
    <w:bookmarkEnd w:id="77"/>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JPMORGAN CHASE BANK,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Swingline Lender, Issuing Bank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Alevtina Dudyreva</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Alevtina Dudyreva</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78" w:name="page79"/>
    <w:bookmarkEnd w:id="78"/>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MUFG BANK, LTD.,</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Swingline Lender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Jorge Campos</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Jorge Campos</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79" w:name="page80"/>
    <w:bookmarkEnd w:id="79"/>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STATE STREET BANK AND TRUST COMPANY,</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Swingline Lender and 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John Doherty</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John Doherty</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80" w:name="page81"/>
    <w:bookmarkEnd w:id="80"/>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SUMITOMO MITSUI BANKING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5405120</wp:posOffset>
            </wp:positionH>
            <wp:positionV relativeFrom="paragraph">
              <wp:posOffset>-6350</wp:posOffset>
            </wp:positionV>
            <wp:extent cx="3048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Swingline Lender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Shane Klein</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Shane Klein</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81" w:name="page82"/>
    <w:bookmarkEnd w:id="81"/>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BANK OF AMERICA,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Chris Choi</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Chris Choi</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82" w:name="page83"/>
    <w:bookmarkEnd w:id="82"/>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INDUSTRIAL AND COMMERCIAL BANK OF CHINA LIMITED, NEW</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YORK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-21590</wp:posOffset>
            </wp:positionV>
            <wp:extent cx="3048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Huacheng Lin</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Huacheng Lin</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AVP</w:t>
      </w:r>
    </w:p>
    <w:p>
      <w:pPr>
        <w:spacing w:after="0" w:line="18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Charles Inkeles</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Charles Inkeles</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760" w:top="1440" w:right="840" w:bottom="1440" w:gutter="0" w:footer="0" w:header="0"/>
        </w:sectPr>
      </w:pPr>
    </w:p>
    <w:bookmarkStart w:id="83" w:name="page84"/>
    <w:bookmarkEnd w:id="83"/>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MIZUHO BANK,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-6350</wp:posOffset>
            </wp:positionV>
            <wp:extent cx="3048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Donna DeMagistris</w:t>
      </w:r>
    </w:p>
    <w:p>
      <w:pPr>
        <w:spacing w:after="0" w:line="32" w:lineRule="exact"/>
        <w:rPr>
          <w:sz w:val="20"/>
          <w:szCs w:val="20"/>
          <w:color w:val="auto"/>
        </w:rPr>
      </w:pPr>
    </w:p>
    <w:p>
      <w:pPr>
        <w:jc w:val="right"/>
        <w:ind w:right="3500"/>
        <w:spacing w:after="0"/>
        <w:rPr>
          <w:sz w:val="20"/>
          <w:szCs w:val="20"/>
          <w:color w:val="auto"/>
        </w:rPr>
      </w:pPr>
      <w:r>
        <w:rPr>
          <w:rFonts w:ascii="Times New Roman" w:cs="Times New Roman" w:eastAsia="Times New Roman" w:hAnsi="Times New Roman"/>
          <w:sz w:val="19"/>
          <w:szCs w:val="19"/>
          <w:color w:val="auto"/>
        </w:rPr>
        <w:t>Name: Donna DeMagistris</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84" w:name="page85"/>
    <w:bookmarkEnd w:id="84"/>
    <w:p>
      <w:pPr>
        <w:ind w:left="4140"/>
        <w:spacing w:after="0"/>
        <w:rPr>
          <w:sz w:val="20"/>
          <w:szCs w:val="20"/>
          <w:color w:val="auto"/>
        </w:rPr>
      </w:pPr>
      <w:r>
        <w:rPr>
          <w:rFonts w:ascii="Times New Roman" w:cs="Times New Roman" w:eastAsia="Times New Roman" w:hAnsi="Times New Roman"/>
          <w:sz w:val="19"/>
          <w:szCs w:val="19"/>
          <w:b w:val="1"/>
          <w:bCs w:val="1"/>
          <w:color w:val="auto"/>
        </w:rPr>
        <w:t>WELLS FARGO BANK, NATIONAL ASSOCIATION</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Michael Kusner</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Michael Kusner</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5" w:name="page86"/>
    <w:bookmarkEnd w:id="85"/>
    <w:p>
      <w:pPr>
        <w:ind w:left="4140"/>
        <w:spacing w:after="0"/>
        <w:rPr>
          <w:sz w:val="20"/>
          <w:szCs w:val="20"/>
          <w:color w:val="auto"/>
        </w:rPr>
      </w:pPr>
      <w:r>
        <w:rPr>
          <w:rFonts w:ascii="Times New Roman" w:cs="Times New Roman" w:eastAsia="Times New Roman" w:hAnsi="Times New Roman"/>
          <w:sz w:val="19"/>
          <w:szCs w:val="19"/>
          <w:b w:val="1"/>
          <w:bCs w:val="1"/>
          <w:color w:val="auto"/>
        </w:rPr>
        <w:t>HSBC BANK USA,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Ryan Gabriele</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Ryan Gabriele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6" w:name="page87"/>
    <w:bookmarkEnd w:id="86"/>
    <w:p>
      <w:pPr>
        <w:ind w:left="4140"/>
        <w:spacing w:after="0"/>
        <w:rPr>
          <w:sz w:val="20"/>
          <w:szCs w:val="20"/>
          <w:color w:val="auto"/>
        </w:rPr>
      </w:pPr>
      <w:r>
        <w:rPr>
          <w:rFonts w:ascii="Times New Roman" w:cs="Times New Roman" w:eastAsia="Times New Roman" w:hAnsi="Times New Roman"/>
          <w:sz w:val="19"/>
          <w:szCs w:val="19"/>
          <w:b w:val="1"/>
          <w:bCs w:val="1"/>
          <w:color w:val="auto"/>
        </w:rPr>
        <w:t>CITIBANK,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Patrick Marsh</w:t>
      </w:r>
    </w:p>
    <w:p>
      <w:pPr>
        <w:spacing w:after="0" w:line="32"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9"/>
          <w:szCs w:val="19"/>
          <w:color w:val="auto"/>
        </w:rPr>
        <w:t>Name: Patrick Marsh</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7" w:name="page88"/>
    <w:bookmarkEnd w:id="87"/>
    <w:p>
      <w:pPr>
        <w:ind w:left="4140"/>
        <w:spacing w:after="0"/>
        <w:rPr>
          <w:sz w:val="20"/>
          <w:szCs w:val="20"/>
          <w:color w:val="auto"/>
        </w:rPr>
      </w:pPr>
      <w:r>
        <w:rPr>
          <w:rFonts w:ascii="Times New Roman" w:cs="Times New Roman" w:eastAsia="Times New Roman" w:hAnsi="Times New Roman"/>
          <w:sz w:val="19"/>
          <w:szCs w:val="19"/>
          <w:b w:val="1"/>
          <w:bCs w:val="1"/>
          <w:color w:val="auto"/>
        </w:rPr>
        <w:t>FIRST-CITIZENS BANK &amp; TRUST COMPANY,</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Robert L. Klein</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Robert L. Klein</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8" w:name="page89"/>
    <w:bookmarkEnd w:id="88"/>
    <w:p>
      <w:pPr>
        <w:ind w:left="4140"/>
        <w:spacing w:after="0"/>
        <w:rPr>
          <w:sz w:val="20"/>
          <w:szCs w:val="20"/>
          <w:color w:val="auto"/>
        </w:rPr>
      </w:pPr>
      <w:r>
        <w:rPr>
          <w:rFonts w:ascii="Times New Roman" w:cs="Times New Roman" w:eastAsia="Times New Roman" w:hAnsi="Times New Roman"/>
          <w:sz w:val="19"/>
          <w:szCs w:val="19"/>
          <w:b w:val="1"/>
          <w:bCs w:val="1"/>
          <w:color w:val="auto"/>
        </w:rPr>
        <w:t>GOLDMAN SACHS BANK USA,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Dan Starr</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Dan Starr</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9" w:name="page90"/>
    <w:bookmarkEnd w:id="89"/>
    <w:p>
      <w:pPr>
        <w:ind w:left="4140"/>
        <w:spacing w:after="0"/>
        <w:rPr>
          <w:sz w:val="20"/>
          <w:szCs w:val="20"/>
          <w:color w:val="auto"/>
        </w:rPr>
      </w:pPr>
      <w:r>
        <w:rPr>
          <w:rFonts w:ascii="Times New Roman" w:cs="Times New Roman" w:eastAsia="Times New Roman" w:hAnsi="Times New Roman"/>
          <w:sz w:val="19"/>
          <w:szCs w:val="19"/>
          <w:b w:val="1"/>
          <w:bCs w:val="1"/>
          <w:color w:val="auto"/>
        </w:rPr>
        <w:t>MORGAN STANLEY BANK,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Michael King</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Michael King</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0" w:name="page91"/>
    <w:bookmarkEnd w:id="90"/>
    <w:p>
      <w:pPr>
        <w:ind w:left="4140"/>
        <w:spacing w:after="0"/>
        <w:rPr>
          <w:sz w:val="20"/>
          <w:szCs w:val="20"/>
          <w:color w:val="auto"/>
        </w:rPr>
      </w:pPr>
      <w:r>
        <w:rPr>
          <w:rFonts w:ascii="Times New Roman" w:cs="Times New Roman" w:eastAsia="Times New Roman" w:hAnsi="Times New Roman"/>
          <w:sz w:val="19"/>
          <w:szCs w:val="19"/>
          <w:b w:val="1"/>
          <w:bCs w:val="1"/>
          <w:color w:val="auto"/>
        </w:rPr>
        <w:t>APPLE BANK,</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Burt Feinberg</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Burt Feinberg</w:t>
      </w:r>
    </w:p>
    <w:p>
      <w:pPr>
        <w:spacing w:after="0" w:line="10" w:lineRule="exact"/>
        <w:rPr>
          <w:sz w:val="20"/>
          <w:szCs w:val="20"/>
          <w:color w:val="auto"/>
        </w:rPr>
      </w:pPr>
    </w:p>
    <w:p>
      <w:pPr>
        <w:jc w:val="right"/>
        <w:ind w:right="364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1" w:name="page92"/>
    <w:bookmarkEnd w:id="91"/>
    <w:p>
      <w:pPr>
        <w:ind w:left="4140"/>
        <w:spacing w:after="0"/>
        <w:rPr>
          <w:sz w:val="20"/>
          <w:szCs w:val="20"/>
          <w:color w:val="auto"/>
        </w:rPr>
      </w:pPr>
      <w:r>
        <w:rPr>
          <w:rFonts w:ascii="Times New Roman" w:cs="Times New Roman" w:eastAsia="Times New Roman" w:hAnsi="Times New Roman"/>
          <w:sz w:val="19"/>
          <w:szCs w:val="19"/>
          <w:b w:val="1"/>
          <w:bCs w:val="1"/>
          <w:color w:val="auto"/>
        </w:rPr>
        <w:t>ROYAL BANK OF CANADA,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Joseph Simoneau</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Joseph Simoneau</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2" w:name="page93"/>
    <w:bookmarkEnd w:id="92"/>
    <w:p>
      <w:pPr>
        <w:ind w:left="4140"/>
        <w:spacing w:after="0"/>
        <w:rPr>
          <w:sz w:val="20"/>
          <w:szCs w:val="20"/>
          <w:color w:val="auto"/>
        </w:rPr>
      </w:pPr>
      <w:r>
        <w:rPr>
          <w:rFonts w:ascii="Times New Roman" w:cs="Times New Roman" w:eastAsia="Times New Roman" w:hAnsi="Times New Roman"/>
          <w:sz w:val="19"/>
          <w:szCs w:val="19"/>
          <w:b w:val="1"/>
          <w:bCs w:val="1"/>
          <w:color w:val="auto"/>
        </w:rPr>
        <w:t>CITIZENS BANK,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Christopher O’Brien</w:t>
      </w:r>
    </w:p>
    <w:p>
      <w:pPr>
        <w:spacing w:after="0" w:line="32" w:lineRule="exact"/>
        <w:rPr>
          <w:sz w:val="20"/>
          <w:szCs w:val="20"/>
          <w:color w:val="auto"/>
        </w:rPr>
      </w:pPr>
    </w:p>
    <w:p>
      <w:pPr>
        <w:jc w:val="right"/>
        <w:ind w:right="3420"/>
        <w:spacing w:after="0"/>
        <w:rPr>
          <w:sz w:val="20"/>
          <w:szCs w:val="20"/>
          <w:color w:val="auto"/>
        </w:rPr>
      </w:pPr>
      <w:r>
        <w:rPr>
          <w:rFonts w:ascii="Times New Roman" w:cs="Times New Roman" w:eastAsia="Times New Roman" w:hAnsi="Times New Roman"/>
          <w:sz w:val="19"/>
          <w:szCs w:val="19"/>
          <w:color w:val="auto"/>
        </w:rPr>
        <w:t>Name: Christopher O’Brien</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3" w:name="page94"/>
    <w:bookmarkEnd w:id="93"/>
    <w:p>
      <w:pPr>
        <w:ind w:left="4140"/>
        <w:spacing w:after="0"/>
        <w:rPr>
          <w:sz w:val="20"/>
          <w:szCs w:val="20"/>
          <w:color w:val="auto"/>
        </w:rPr>
      </w:pPr>
      <w:r>
        <w:rPr>
          <w:rFonts w:ascii="Times New Roman" w:cs="Times New Roman" w:eastAsia="Times New Roman" w:hAnsi="Times New Roman"/>
          <w:sz w:val="19"/>
          <w:szCs w:val="19"/>
          <w:b w:val="1"/>
          <w:bCs w:val="1"/>
          <w:color w:val="auto"/>
        </w:rPr>
        <w:t>STIFEL BANK &amp; TRUST,</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Daniel P. McDonald</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Daniel P. McDonald</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4" w:name="page95"/>
    <w:bookmarkEnd w:id="94"/>
    <w:p>
      <w:pPr>
        <w:ind w:left="4140"/>
        <w:spacing w:after="0" w:line="253" w:lineRule="auto"/>
        <w:rPr>
          <w:sz w:val="20"/>
          <w:szCs w:val="20"/>
          <w:color w:val="auto"/>
        </w:rPr>
      </w:pPr>
      <w:r>
        <w:rPr>
          <w:rFonts w:ascii="Times New Roman" w:cs="Times New Roman" w:eastAsia="Times New Roman" w:hAnsi="Times New Roman"/>
          <w:sz w:val="19"/>
          <w:szCs w:val="19"/>
          <w:color w:val="auto"/>
        </w:rPr>
        <w:t>Agreed and acknowledged solely with respect to (a) the amendments to Section 1.01 (</w:t>
      </w:r>
      <w:r>
        <w:rPr>
          <w:rFonts w:ascii="Times New Roman" w:cs="Times New Roman" w:eastAsia="Times New Roman" w:hAnsi="Times New Roman"/>
          <w:sz w:val="19"/>
          <w:szCs w:val="19"/>
          <w:i w:val="1"/>
          <w:iCs w:val="1"/>
          <w:color w:val="auto"/>
        </w:rPr>
        <w:t>Defined Terms</w:t>
      </w:r>
      <w:r>
        <w:rPr>
          <w:rFonts w:ascii="Times New Roman" w:cs="Times New Roman" w:eastAsia="Times New Roman" w:hAnsi="Times New Roman"/>
          <w:sz w:val="19"/>
          <w:szCs w:val="19"/>
          <w:color w:val="auto"/>
        </w:rPr>
        <w:t>) of the Existing Credit Agreement to (i) add the defined terms “Canadian Prime Rate”, “Central Bank Rate”, “Central Bank Rate Adjustment”, “CORRA”, “Maximum Rate”, “Periodic Term CORRA Determination Date”, “Term CORRA”, “Term CORRA Administrator”, “Term CORRA Credit Adjustment Spread” and “Term CORRA Reference Rate” and (ii) modify the defined terms “Alternate Base Rate”, “Benchmark”, “Benchmark Transition Event”, “Conforming Changes”, “Relevant Governmental Body”, “T2”, “TARGET Day” and “Term Benchmark Rate”, (b) the amendments to Section 2.13 (</w:t>
      </w:r>
      <w:r>
        <w:rPr>
          <w:rFonts w:ascii="Times New Roman" w:cs="Times New Roman" w:eastAsia="Times New Roman" w:hAnsi="Times New Roman"/>
          <w:sz w:val="19"/>
          <w:szCs w:val="19"/>
          <w:i w:val="1"/>
          <w:iCs w:val="1"/>
          <w:color w:val="auto"/>
        </w:rPr>
        <w:t>Inability to Determine Interest Rates</w:t>
      </w:r>
      <w:r>
        <w:rPr>
          <w:rFonts w:ascii="Times New Roman" w:cs="Times New Roman" w:eastAsia="Times New Roman" w:hAnsi="Times New Roman"/>
          <w:sz w:val="19"/>
          <w:szCs w:val="19"/>
          <w:color w:val="auto"/>
        </w:rPr>
        <w:t>) and Section 2.19 (</w:t>
      </w:r>
      <w:r>
        <w:rPr>
          <w:rFonts w:ascii="Times New Roman" w:cs="Times New Roman" w:eastAsia="Times New Roman" w:hAnsi="Times New Roman"/>
          <w:sz w:val="19"/>
          <w:szCs w:val="19"/>
          <w:i w:val="1"/>
          <w:iCs w:val="1"/>
          <w:color w:val="auto"/>
        </w:rPr>
        <w:t>Defaulting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and Section 2.22 (</w:t>
      </w:r>
      <w:r>
        <w:rPr>
          <w:rFonts w:ascii="Times New Roman" w:cs="Times New Roman" w:eastAsia="Times New Roman" w:hAnsi="Times New Roman"/>
          <w:sz w:val="19"/>
          <w:szCs w:val="19"/>
          <w:i w:val="1"/>
          <w:iCs w:val="1"/>
          <w:color w:val="auto"/>
        </w:rPr>
        <w:t xml:space="preserve">Effect of Benchmark Transition Event </w:t>
      </w:r>
      <w:r>
        <w:rPr>
          <w:rFonts w:ascii="Times New Roman" w:cs="Times New Roman" w:eastAsia="Times New Roman" w:hAnsi="Times New Roman"/>
          <w:sz w:val="19"/>
          <w:szCs w:val="19"/>
          <w:color w:val="auto"/>
        </w:rPr>
        <w:t>) of the Existing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Credit Agreement and (c) the addition of Section 2.21 (</w:t>
      </w:r>
      <w:r>
        <w:rPr>
          <w:rFonts w:ascii="Times New Roman" w:cs="Times New Roman" w:eastAsia="Times New Roman" w:hAnsi="Times New Roman"/>
          <w:sz w:val="19"/>
          <w:szCs w:val="19"/>
          <w:i w:val="1"/>
          <w:iCs w:val="1"/>
          <w:color w:val="auto"/>
        </w:rPr>
        <w:t>Illegality</w:t>
      </w:r>
      <w:r>
        <w:rPr>
          <w:rFonts w:ascii="Times New Roman" w:cs="Times New Roman" w:eastAsia="Times New Roman" w:hAnsi="Times New Roman"/>
          <w:sz w:val="19"/>
          <w:szCs w:val="19"/>
          <w:color w:val="auto"/>
        </w:rPr>
        <w:t>) and Section 9.20 (</w:t>
      </w:r>
      <w:r>
        <w:rPr>
          <w:rFonts w:ascii="Times New Roman" w:cs="Times New Roman" w:eastAsia="Times New Roman" w:hAnsi="Times New Roman"/>
          <w:sz w:val="19"/>
          <w:szCs w:val="19"/>
          <w:i w:val="1"/>
          <w:iCs w:val="1"/>
          <w:color w:val="auto"/>
        </w:rPr>
        <w:t>Interest Rate Limitation</w:t>
      </w:r>
      <w:r>
        <w:rPr>
          <w:rFonts w:ascii="Times New Roman" w:cs="Times New Roman" w:eastAsia="Times New Roman" w:hAnsi="Times New Roman"/>
          <w:sz w:val="19"/>
          <w:szCs w:val="19"/>
          <w:color w:val="auto"/>
        </w:rPr>
        <w:t>) to the Existing Credit Agreement, in each case in the manner as set forth in Exhibit A hereto</w:t>
      </w:r>
    </w:p>
    <w:p>
      <w:pPr>
        <w:spacing w:after="0" w:line="19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SANTANDER BANK,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Elizabeth Dalton</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Elizabeth Dalton</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760" w:top="1361" w:right="660" w:bottom="1440" w:gutter="0" w:footer="0" w:header="0"/>
        </w:sectPr>
      </w:pPr>
    </w:p>
    <w:bookmarkStart w:id="95" w:name="page96"/>
    <w:bookmarkEnd w:id="95"/>
    <w:p>
      <w:pPr>
        <w:ind w:left="4140"/>
        <w:spacing w:after="0"/>
        <w:rPr>
          <w:sz w:val="20"/>
          <w:szCs w:val="20"/>
          <w:color w:val="auto"/>
        </w:rPr>
      </w:pPr>
      <w:r>
        <w:rPr>
          <w:rFonts w:ascii="Times New Roman" w:cs="Times New Roman" w:eastAsia="Times New Roman" w:hAnsi="Times New Roman"/>
          <w:sz w:val="19"/>
          <w:szCs w:val="19"/>
          <w:b w:val="1"/>
          <w:bCs w:val="1"/>
          <w:color w:val="auto"/>
        </w:rPr>
        <w:t>COMERICA BANK,</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Robert Wilson</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Robert Wilson</w:t>
      </w:r>
    </w:p>
    <w:p>
      <w:pPr>
        <w:spacing w:after="0" w:line="10" w:lineRule="exact"/>
        <w:rPr>
          <w:sz w:val="20"/>
          <w:szCs w:val="20"/>
          <w:color w:val="auto"/>
        </w:rPr>
      </w:pPr>
    </w:p>
    <w:p>
      <w:pPr>
        <w:jc w:val="right"/>
        <w:ind w:right="334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6" w:name="page97"/>
    <w:bookmarkEnd w:id="96"/>
    <w:p>
      <w:pPr>
        <w:ind w:left="4140"/>
        <w:spacing w:after="0" w:line="253" w:lineRule="auto"/>
        <w:rPr>
          <w:sz w:val="20"/>
          <w:szCs w:val="20"/>
          <w:color w:val="auto"/>
        </w:rPr>
      </w:pPr>
      <w:r>
        <w:rPr>
          <w:rFonts w:ascii="Times New Roman" w:cs="Times New Roman" w:eastAsia="Times New Roman" w:hAnsi="Times New Roman"/>
          <w:sz w:val="19"/>
          <w:szCs w:val="19"/>
          <w:color w:val="auto"/>
        </w:rPr>
        <w:t>Agreed and acknowledged solely with respect to (a) the amendments to Section 1.01 (</w:t>
      </w:r>
      <w:r>
        <w:rPr>
          <w:rFonts w:ascii="Times New Roman" w:cs="Times New Roman" w:eastAsia="Times New Roman" w:hAnsi="Times New Roman"/>
          <w:sz w:val="19"/>
          <w:szCs w:val="19"/>
          <w:i w:val="1"/>
          <w:iCs w:val="1"/>
          <w:color w:val="auto"/>
        </w:rPr>
        <w:t>Defined Terms</w:t>
      </w:r>
      <w:r>
        <w:rPr>
          <w:rFonts w:ascii="Times New Roman" w:cs="Times New Roman" w:eastAsia="Times New Roman" w:hAnsi="Times New Roman"/>
          <w:sz w:val="19"/>
          <w:szCs w:val="19"/>
          <w:color w:val="auto"/>
        </w:rPr>
        <w:t xml:space="preserve"> ) of the Existing Credit Agreement to (i) add the defined terms “Canadian Prime Rate”, “Central Bank Rate”, “Central Bank Rate Adjustment”, “CORRA”, “Maximum Rate”, “Periodic Term CORRA Determination Date”, “Term CORRA”, “Term CORRA Administrator”, “Term CORRA Credit Adjustment Spread” and “Term CORRA Reference Rate” and (ii) modify the defined terms “Alternate Base Rate”, “Benchmark”, “Benchmark Transition Event”, “Conforming Changes”, “Relevant Governmental Body”, “T2”, “TARGET Day” and “Term Benchmark Rate”, (b) the amendments to Section 2.13 (</w:t>
      </w:r>
      <w:r>
        <w:rPr>
          <w:rFonts w:ascii="Times New Roman" w:cs="Times New Roman" w:eastAsia="Times New Roman" w:hAnsi="Times New Roman"/>
          <w:sz w:val="19"/>
          <w:szCs w:val="19"/>
          <w:i w:val="1"/>
          <w:iCs w:val="1"/>
          <w:color w:val="auto"/>
        </w:rPr>
        <w:t>Inability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Determine Interest Rates</w:t>
      </w:r>
      <w:r>
        <w:rPr>
          <w:rFonts w:ascii="Times New Roman" w:cs="Times New Roman" w:eastAsia="Times New Roman" w:hAnsi="Times New Roman"/>
          <w:sz w:val="19"/>
          <w:szCs w:val="19"/>
          <w:color w:val="auto"/>
        </w:rPr>
        <w:t>) and Section 2.19 (</w:t>
      </w:r>
      <w:r>
        <w:rPr>
          <w:rFonts w:ascii="Times New Roman" w:cs="Times New Roman" w:eastAsia="Times New Roman" w:hAnsi="Times New Roman"/>
          <w:sz w:val="19"/>
          <w:szCs w:val="19"/>
          <w:i w:val="1"/>
          <w:iCs w:val="1"/>
          <w:color w:val="auto"/>
        </w:rPr>
        <w:t>Defaulting Lenders</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Section 2.22 (</w:t>
      </w:r>
      <w:r>
        <w:rPr>
          <w:rFonts w:ascii="Times New Roman" w:cs="Times New Roman" w:eastAsia="Times New Roman" w:hAnsi="Times New Roman"/>
          <w:sz w:val="19"/>
          <w:szCs w:val="19"/>
          <w:i w:val="1"/>
          <w:iCs w:val="1"/>
          <w:color w:val="auto"/>
        </w:rPr>
        <w:t>Effect of Benchmark Transition Event</w:t>
      </w:r>
      <w:r>
        <w:rPr>
          <w:rFonts w:ascii="Times New Roman" w:cs="Times New Roman" w:eastAsia="Times New Roman" w:hAnsi="Times New Roman"/>
          <w:sz w:val="19"/>
          <w:szCs w:val="19"/>
          <w:color w:val="auto"/>
        </w:rPr>
        <w:t>) of the Existing Credit Agreement and (c) the addition of Section 2.21 (</w:t>
      </w:r>
      <w:r>
        <w:rPr>
          <w:rFonts w:ascii="Times New Roman" w:cs="Times New Roman" w:eastAsia="Times New Roman" w:hAnsi="Times New Roman"/>
          <w:sz w:val="19"/>
          <w:szCs w:val="19"/>
          <w:i w:val="1"/>
          <w:iCs w:val="1"/>
          <w:color w:val="auto"/>
        </w:rPr>
        <w:t>Illegality</w:t>
      </w:r>
      <w:r>
        <w:rPr>
          <w:rFonts w:ascii="Times New Roman" w:cs="Times New Roman" w:eastAsia="Times New Roman" w:hAnsi="Times New Roman"/>
          <w:sz w:val="19"/>
          <w:szCs w:val="19"/>
          <w:color w:val="auto"/>
        </w:rPr>
        <w:t>) and Section 9.20 (</w:t>
      </w:r>
      <w:r>
        <w:rPr>
          <w:rFonts w:ascii="Times New Roman" w:cs="Times New Roman" w:eastAsia="Times New Roman" w:hAnsi="Times New Roman"/>
          <w:sz w:val="19"/>
          <w:szCs w:val="19"/>
          <w:i w:val="1"/>
          <w:iCs w:val="1"/>
          <w:color w:val="auto"/>
        </w:rPr>
        <w:t>Interest Rate Limitation</w:t>
      </w:r>
      <w:r>
        <w:rPr>
          <w:rFonts w:ascii="Times New Roman" w:cs="Times New Roman" w:eastAsia="Times New Roman" w:hAnsi="Times New Roman"/>
          <w:sz w:val="19"/>
          <w:szCs w:val="19"/>
          <w:color w:val="auto"/>
        </w:rPr>
        <w:t>) to the Existing Credit Agreement, in each case in the manner as set forth in Exhibit A hereto</w:t>
      </w:r>
    </w:p>
    <w:p>
      <w:pPr>
        <w:spacing w:after="0" w:line="19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GOLDMAN SACHS BANK USA,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Dan Starr</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Dan Starr</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40"/>
          </w:cols>
          <w:pgMar w:left="760" w:top="1361" w:right="1200" w:bottom="1440" w:gutter="0" w:footer="0" w:header="0"/>
        </w:sectPr>
      </w:pPr>
    </w:p>
    <w:bookmarkStart w:id="97" w:name="page98"/>
    <w:bookmarkEnd w:id="97"/>
    <w:p>
      <w:pPr>
        <w:spacing w:after="0" w:line="200" w:lineRule="exact"/>
        <w:rPr>
          <w:sz w:val="20"/>
          <w:szCs w:val="20"/>
          <w:color w:val="auto"/>
        </w:rPr>
      </w:pPr>
    </w:p>
    <w:p>
      <w:pPr>
        <w:spacing w:after="0" w:line="29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 xml:space="preserve">Agreed and acknowledged solely with respect to </w:t>
      </w:r>
      <w:r>
        <w:rPr>
          <w:rFonts w:ascii="Times New Roman" w:cs="Times New Roman" w:eastAsia="Times New Roman" w:hAnsi="Times New Roman"/>
          <w:sz w:val="19"/>
          <w:szCs w:val="19"/>
          <w:u w:val="single" w:color="auto"/>
          <w:color w:val="auto"/>
        </w:rPr>
        <w:t>Section 5.8</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TC LENDING, LLC</w:t>
      </w:r>
    </w:p>
    <w:p>
      <w:pPr>
        <w:spacing w:after="0" w:line="200" w:lineRule="exact"/>
        <w:rPr>
          <w:sz w:val="20"/>
          <w:szCs w:val="20"/>
          <w:color w:val="auto"/>
        </w:rPr>
      </w:pPr>
    </w:p>
    <w:p>
      <w:pPr>
        <w:spacing w:after="0" w:line="2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Ian Simmonds</w:t>
      </w:r>
    </w:p>
    <w:p>
      <w:pPr>
        <w:spacing w:after="0" w:line="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Name: Ian Simmonds</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267335</wp:posOffset>
            </wp:positionV>
            <wp:extent cx="3048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SIXTH STREET SL HOLDING, LLC</w:t>
      </w:r>
    </w:p>
    <w:p>
      <w:pPr>
        <w:spacing w:after="0" w:line="200" w:lineRule="exact"/>
        <w:rPr>
          <w:sz w:val="20"/>
          <w:szCs w:val="20"/>
          <w:color w:val="auto"/>
        </w:rPr>
      </w:pPr>
    </w:p>
    <w:p>
      <w:pPr>
        <w:spacing w:after="0" w:line="2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Ian Simmonds</w:t>
      </w:r>
    </w:p>
    <w:p>
      <w:pPr>
        <w:spacing w:after="0" w:line="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Name: Ian Simmonds</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3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SIXTH STREET SL SPV, LLC</w:t>
      </w:r>
    </w:p>
    <w:p>
      <w:pPr>
        <w:spacing w:after="0" w:line="200" w:lineRule="exact"/>
        <w:rPr>
          <w:sz w:val="20"/>
          <w:szCs w:val="20"/>
          <w:color w:val="auto"/>
        </w:rPr>
      </w:pPr>
    </w:p>
    <w:p>
      <w:pPr>
        <w:spacing w:after="0" w:line="2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Ian Simmonds</w:t>
      </w:r>
    </w:p>
    <w:p>
      <w:pPr>
        <w:spacing w:after="0" w:line="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Name: Ian Simmonds</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198755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8" w:name="page99"/>
    <w:bookmarkEnd w:id="98"/>
    <w:p>
      <w:pPr>
        <w:spacing w:after="0" w:line="255"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9"/>
          <w:szCs w:val="19"/>
          <w:b w:val="1"/>
          <w:bCs w:val="1"/>
          <w:color w:val="auto"/>
        </w:rPr>
        <w:t>Exhibit</w:t>
      </w:r>
    </w:p>
    <w:p>
      <w:pPr>
        <w:spacing w:after="0" w:line="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A CONFORMED CREDIT AGREEMENT</w:t>
      </w:r>
    </w:p>
    <w:p>
      <w:pPr>
        <w:spacing w:after="0" w:line="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186055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9" w:name="page100"/>
    <w:bookmarkEnd w:id="99"/>
    <w:p>
      <w:pPr>
        <w:ind w:left="960"/>
        <w:spacing w:after="0"/>
        <w:rPr>
          <w:sz w:val="20"/>
          <w:szCs w:val="20"/>
          <w:color w:val="auto"/>
        </w:rPr>
      </w:pPr>
      <w:r>
        <w:rPr>
          <w:rFonts w:ascii="Times New Roman" w:cs="Times New Roman" w:eastAsia="Times New Roman" w:hAnsi="Times New Roman"/>
          <w:sz w:val="19"/>
          <w:szCs w:val="19"/>
          <w:b w:val="1"/>
          <w:bCs w:val="1"/>
          <w:color w:val="auto"/>
        </w:rPr>
        <w:t xml:space="preserve">Exhibit A to </w:t>
      </w:r>
      <w:r>
        <w:rPr>
          <w:rFonts w:ascii="Times New Roman" w:cs="Times New Roman" w:eastAsia="Times New Roman" w:hAnsi="Times New Roman"/>
          <w:sz w:val="19"/>
          <w:szCs w:val="19"/>
          <w:b w:val="1"/>
          <w:bCs w:val="1"/>
          <w:color w:val="FF0000"/>
          <w:strike w:val="1"/>
        </w:rPr>
        <w:t>Fourteenth</w:t>
      </w:r>
      <w:r>
        <w:rPr>
          <w:rFonts w:ascii="Times New Roman" w:cs="Times New Roman" w:eastAsia="Times New Roman" w:hAnsi="Times New Roman"/>
          <w:sz w:val="19"/>
          <w:szCs w:val="19"/>
          <w:b w:val="1"/>
          <w:bCs w:val="1"/>
          <w:u w:val="single" w:color="auto"/>
          <w:color w:val="0000FF"/>
        </w:rPr>
        <w:t>Fifteenth</w:t>
      </w:r>
      <w:r>
        <w:rPr>
          <w:rFonts w:ascii="Times New Roman" w:cs="Times New Roman" w:eastAsia="Times New Roman" w:hAnsi="Times New Roman"/>
          <w:sz w:val="19"/>
          <w:szCs w:val="19"/>
          <w:b w:val="1"/>
          <w:bCs w:val="1"/>
          <w:color w:val="auto"/>
        </w:rPr>
        <w:t xml:space="preserve"> Amendment, dated as of </w:t>
      </w:r>
      <w:r>
        <w:rPr>
          <w:rFonts w:ascii="Times New Roman" w:cs="Times New Roman" w:eastAsia="Times New Roman" w:hAnsi="Times New Roman"/>
          <w:sz w:val="19"/>
          <w:szCs w:val="19"/>
          <w:b w:val="1"/>
          <w:bCs w:val="1"/>
          <w:color w:val="FF0000"/>
          <w:strike w:val="1"/>
        </w:rPr>
        <w:t>June 12</w:t>
      </w:r>
      <w:r>
        <w:rPr>
          <w:rFonts w:ascii="Times New Roman" w:cs="Times New Roman" w:eastAsia="Times New Roman" w:hAnsi="Times New Roman"/>
          <w:sz w:val="19"/>
          <w:szCs w:val="19"/>
          <w:b w:val="1"/>
          <w:bCs w:val="1"/>
          <w:u w:val="single" w:color="auto"/>
          <w:color w:val="0000FF"/>
        </w:rPr>
        <w:t>April 24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color w:val="FF0000"/>
          <w:strike w:val="1"/>
        </w:rPr>
        <w:t>2023</w:t>
      </w:r>
      <w:r>
        <w:rPr>
          <w:rFonts w:ascii="Times New Roman" w:cs="Times New Roman" w:eastAsia="Times New Roman" w:hAnsi="Times New Roman"/>
          <w:sz w:val="19"/>
          <w:szCs w:val="19"/>
          <w:b w:val="1"/>
          <w:bCs w:val="1"/>
          <w:u w:val="single" w:color="auto"/>
          <w:color w:val="0000FF"/>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SECOND AMENDED AND RESTATED SENIOR</w:t>
      </w:r>
    </w:p>
    <w:p>
      <w:pPr>
        <w:spacing w:after="0" w:line="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SECURED</w:t>
      </w:r>
    </w:p>
    <w:p>
      <w:pPr>
        <w:spacing w:after="0" w:line="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REVOLVING CREDIT AGREEMENT</w:t>
      </w:r>
    </w:p>
    <w:p>
      <w:pPr>
        <w:spacing w:after="0" w:line="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dated as of</w:t>
      </w:r>
    </w:p>
    <w:p>
      <w:pPr>
        <w:spacing w:after="0" w:line="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February 27,</w:t>
      </w:r>
    </w:p>
    <w:p>
      <w:pPr>
        <w:spacing w:after="0" w:line="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2014</w:t>
      </w:r>
    </w:p>
    <w:p>
      <w:pPr>
        <w:spacing w:after="0" w:line="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as amended by the First Amendment to Second Amended and Restated Senior Secured</w:t>
      </w:r>
    </w:p>
    <w:p>
      <w:pPr>
        <w:spacing w:after="0" w:line="10" w:lineRule="exact"/>
        <w:rPr>
          <w:sz w:val="20"/>
          <w:szCs w:val="20"/>
          <w:color w:val="auto"/>
        </w:rPr>
      </w:pPr>
    </w:p>
    <w:p>
      <w:pPr>
        <w:jc w:val="center"/>
        <w:ind w:left="380" w:right="100"/>
        <w:spacing w:after="0" w:line="251" w:lineRule="auto"/>
        <w:rPr>
          <w:sz w:val="20"/>
          <w:szCs w:val="20"/>
          <w:color w:val="auto"/>
        </w:rPr>
      </w:pPr>
      <w:r>
        <w:rPr>
          <w:rFonts w:ascii="Times New Roman" w:cs="Times New Roman" w:eastAsia="Times New Roman" w:hAnsi="Times New Roman"/>
          <w:sz w:val="19"/>
          <w:szCs w:val="19"/>
          <w:color w:val="auto"/>
        </w:rPr>
        <w:t xml:space="preserve">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the Twelfth Amendment to Second Amended and Restated Senior Secured Revolving Credit Agreement dated as of April 25, 2022, the Thirteenth Amendment to Second Amended and Restated Senior Secured Revolving Credit Agreement dated as of May 19, 2022,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auto"/>
        </w:rPr>
        <w:t xml:space="preserve"> the Fourteenth Amendment to Second Amended and Restated Senior Secured Revolving Credit Agreement dated as of June 12, 2023</w:t>
      </w:r>
      <w:r>
        <w:rPr>
          <w:rFonts w:ascii="Times New Roman" w:cs="Times New Roman" w:eastAsia="Times New Roman" w:hAnsi="Times New Roman"/>
          <w:sz w:val="19"/>
          <w:szCs w:val="19"/>
          <w:u w:val="single" w:color="auto"/>
          <w:color w:val="0000FF"/>
        </w:rPr>
        <w:t>, and the Fifteenth Amendment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Second Amended and Restated Senior Secured Revolving Credit Agreement dated as of April 24, 2024</w:t>
      </w:r>
    </w:p>
    <w:p>
      <w:pPr>
        <w:spacing w:after="0" w:line="1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among</w:t>
      </w:r>
    </w:p>
    <w:p>
      <w:pPr>
        <w:spacing w:after="0" w:line="20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SIXTH STREET SPECIALTY LENDING, INC.</w:t>
      </w:r>
    </w:p>
    <w:p>
      <w:pPr>
        <w:spacing w:after="0" w:line="3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color w:val="auto"/>
        </w:rPr>
        <w:t>as Borrower</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 xml:space="preserve">The LENDERS </w:t>
      </w:r>
      <w:r>
        <w:rPr>
          <w:rFonts w:ascii="Times New Roman" w:cs="Times New Roman" w:eastAsia="Times New Roman" w:hAnsi="Times New Roman"/>
          <w:sz w:val="19"/>
          <w:szCs w:val="19"/>
          <w:u w:val="single" w:color="auto"/>
          <w:color w:val="0000FF"/>
        </w:rPr>
        <w:t>and ISSUING BANKS</w:t>
      </w:r>
      <w:r>
        <w:rPr>
          <w:rFonts w:ascii="Times New Roman" w:cs="Times New Roman" w:eastAsia="Times New Roman" w:hAnsi="Times New Roman"/>
          <w:sz w:val="19"/>
          <w:szCs w:val="19"/>
          <w:color w:val="auto"/>
        </w:rPr>
        <w:t xml:space="preserve"> Party Hereto and</w:t>
      </w:r>
    </w:p>
    <w:p>
      <w:pPr>
        <w:spacing w:after="0" w:line="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TRUIST BANK</w:t>
      </w:r>
    </w:p>
    <w:p>
      <w:pPr>
        <w:spacing w:after="0" w:line="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16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666115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011" w:right="1440"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1,710,000,000</w:t>
      </w:r>
      <w:r>
        <w:rPr>
          <w:rFonts w:ascii="Times New Roman" w:cs="Times New Roman" w:eastAsia="Times New Roman" w:hAnsi="Times New Roman"/>
          <w:sz w:val="19"/>
          <w:szCs w:val="19"/>
          <w:u w:val="single" w:color="auto"/>
          <w:color w:val="0000FF"/>
        </w:rPr>
        <w:t>1,700,000,000</w:t>
      </w: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TRUIST SECURITIES, INC.</w:t>
      </w:r>
    </w:p>
    <w:p>
      <w:pPr>
        <w:spacing w:after="0" w:line="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as Joint Lead Arrangers and Joint Book Runners</w:t>
      </w:r>
    </w:p>
    <w:p>
      <w:pPr>
        <w:spacing w:after="0" w:line="2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MUFG BANK, LTD.</w:t>
      </w:r>
    </w:p>
    <w:p>
      <w:pPr>
        <w:spacing w:after="0" w:line="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SUMITOMO MITSUI BANKING CORPORATION</w:t>
      </w:r>
    </w:p>
    <w:p>
      <w:pPr>
        <w:spacing w:after="0" w:line="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STATE STREET BANK AND TRUST COMPANY</w:t>
      </w:r>
    </w:p>
    <w:p>
      <w:pPr>
        <w:spacing w:after="0" w:line="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1397635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1" w:name="page102"/>
    <w:bookmarkEnd w:id="101"/>
    <w:tbl>
      <w:tblPr>
        <w:tblLayout w:type="fixed"/>
        <w:tblInd w:w="340" w:type="dxa"/>
        <w:tblCellMar>
          <w:top w:w="0" w:type="dxa"/>
          <w:left w:w="0" w:type="dxa"/>
          <w:bottom w:w="0" w:type="dxa"/>
          <w:right w:w="0" w:type="dxa"/>
        </w:tblCellMar>
      </w:tblPr>
      <w:tr>
        <w:trPr>
          <w:trHeight w:val="253"/>
        </w:trPr>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380" w:type="dxa"/>
            <w:vAlign w:val="bottom"/>
            <w:gridSpan w:val="4"/>
          </w:tcPr>
          <w:p>
            <w:pPr>
              <w:ind w:left="140"/>
              <w:spacing w:after="0"/>
              <w:rPr>
                <w:sz w:val="20"/>
                <w:szCs w:val="20"/>
                <w:color w:val="auto"/>
              </w:rPr>
            </w:pPr>
            <w:r>
              <w:rPr>
                <w:rFonts w:ascii="Times New Roman" w:cs="Times New Roman" w:eastAsia="Times New Roman" w:hAnsi="Times New Roman"/>
                <w:sz w:val="19"/>
                <w:szCs w:val="19"/>
                <w:b w:val="1"/>
                <w:bCs w:val="1"/>
                <w:color w:val="auto"/>
              </w:rPr>
              <w:t>TABLE OF CONTENTS</w:t>
            </w:r>
          </w:p>
        </w:tc>
      </w:tr>
      <w:tr>
        <w:trPr>
          <w:trHeight w:val="456"/>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tcPr>
          <w:p>
            <w:pPr>
              <w:ind w:left="3580"/>
              <w:spacing w:after="0"/>
              <w:rPr>
                <w:sz w:val="20"/>
                <w:szCs w:val="20"/>
                <w:color w:val="auto"/>
              </w:rPr>
            </w:pPr>
            <w:r>
              <w:rPr>
                <w:rFonts w:ascii="Times New Roman" w:cs="Times New Roman" w:eastAsia="Times New Roman" w:hAnsi="Times New Roman"/>
                <w:sz w:val="19"/>
                <w:szCs w:val="19"/>
                <w:b w:val="1"/>
                <w:bCs w:val="1"/>
                <w:color w:val="auto"/>
                <w:w w:val="97"/>
              </w:rPr>
              <w:t>Page</w:t>
            </w:r>
          </w:p>
        </w:tc>
      </w:tr>
      <w:tr>
        <w:trPr>
          <w:trHeight w:val="338"/>
        </w:trPr>
        <w:tc>
          <w:tcPr>
            <w:tcW w:w="2200" w:type="dxa"/>
            <w:vAlign w:val="bottom"/>
          </w:tcPr>
          <w:p>
            <w:pPr>
              <w:spacing w:after="0"/>
              <w:rPr>
                <w:sz w:val="20"/>
                <w:szCs w:val="20"/>
                <w:color w:val="auto"/>
              </w:rPr>
            </w:pPr>
            <w:r>
              <w:rPr>
                <w:rFonts w:ascii="Times New Roman" w:cs="Times New Roman" w:eastAsia="Times New Roman" w:hAnsi="Times New Roman"/>
                <w:sz w:val="19"/>
                <w:szCs w:val="19"/>
                <w:color w:val="auto"/>
              </w:rPr>
              <w:t>ARTICLE I DEFINITIONS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83"/>
              </w:rPr>
              <w:t>2</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9"/>
                <w:szCs w:val="19"/>
                <w:color w:val="0000FF"/>
                <w:w w:val="83"/>
              </w:rPr>
              <w:t>1</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304"/>
        </w:trPr>
        <w:tc>
          <w:tcPr>
            <w:tcW w:w="3140" w:type="dxa"/>
            <w:vAlign w:val="bottom"/>
            <w:gridSpan w:val="4"/>
          </w:tcPr>
          <w:p>
            <w:pPr>
              <w:ind w:left="700"/>
              <w:spacing w:after="0"/>
              <w:rPr>
                <w:sz w:val="20"/>
                <w:szCs w:val="20"/>
                <w:color w:val="auto"/>
              </w:rPr>
            </w:pPr>
            <w:r>
              <w:rPr>
                <w:rFonts w:ascii="Times New Roman" w:cs="Times New Roman" w:eastAsia="Times New Roman" w:hAnsi="Times New Roman"/>
                <w:sz w:val="19"/>
                <w:szCs w:val="19"/>
                <w:color w:val="auto"/>
                <w:w w:val="99"/>
              </w:rPr>
              <w:t>SECTION 1.01. Defined Terms</w:t>
            </w:r>
          </w:p>
        </w:tc>
        <w:tc>
          <w:tcPr>
            <w:tcW w:w="1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83"/>
              </w:rPr>
              <w:t>2</w:t>
            </w: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 xml:space="preserve">1 </w:t>
            </w:r>
            <w:r>
              <w:rPr>
                <w:rFonts w:ascii="Times New Roman" w:cs="Times New Roman" w:eastAsia="Times New Roman" w:hAnsi="Times New Roman"/>
                <w:sz w:val="19"/>
                <w:szCs w:val="19"/>
                <w:color w:val="000000"/>
              </w:rPr>
              <w:t>SECTION 1.02. Classification of Loans and</w:t>
            </w:r>
          </w:p>
        </w:tc>
      </w:tr>
      <w:tr>
        <w:trPr>
          <w:trHeight w:val="253"/>
        </w:trPr>
        <w:tc>
          <w:tcPr>
            <w:tcW w:w="3140" w:type="dxa"/>
            <w:vAlign w:val="bottom"/>
            <w:gridSpan w:val="4"/>
          </w:tcPr>
          <w:p>
            <w:pPr>
              <w:ind w:left="700"/>
              <w:spacing w:after="0"/>
              <w:rPr>
                <w:sz w:val="20"/>
                <w:szCs w:val="20"/>
                <w:color w:val="auto"/>
              </w:rPr>
            </w:pPr>
            <w:r>
              <w:rPr>
                <w:rFonts w:ascii="Times New Roman" w:cs="Times New Roman" w:eastAsia="Times New Roman" w:hAnsi="Times New Roman"/>
                <w:sz w:val="19"/>
                <w:szCs w:val="19"/>
                <w:color w:val="auto"/>
              </w:rPr>
              <w:t>Borrowings 48</w:t>
            </w:r>
          </w:p>
        </w:tc>
        <w:tc>
          <w:tcPr>
            <w:tcW w:w="1200" w:type="dxa"/>
            <w:vAlign w:val="bottom"/>
            <w:tcBorders>
              <w:top w:val="single" w:sz="8" w:color="FF0000"/>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9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-378460</wp:posOffset>
            </wp:positionV>
            <wp:extent cx="3048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9"/>
          <w:szCs w:val="19"/>
          <w:color w:val="auto"/>
        </w:rPr>
        <w:t>SECTION 1.03. Terms Generally 48</w:t>
      </w:r>
    </w:p>
    <w:p>
      <w:pPr>
        <w:spacing w:after="0" w:line="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SECTION 1.04. Accounting Terms; GAAP 49</w:t>
      </w:r>
    </w:p>
    <w:p>
      <w:pPr>
        <w:spacing w:after="0" w:line="106" w:lineRule="exact"/>
        <w:rPr>
          <w:sz w:val="20"/>
          <w:szCs w:val="20"/>
          <w:color w:val="auto"/>
        </w:rPr>
      </w:pPr>
    </w:p>
    <w:p>
      <w:pPr>
        <w:ind w:left="1040" w:right="320"/>
        <w:spacing w:after="0" w:line="262" w:lineRule="auto"/>
        <w:rPr>
          <w:sz w:val="20"/>
          <w:szCs w:val="20"/>
          <w:color w:val="auto"/>
        </w:rPr>
      </w:pPr>
      <w:r>
        <w:rPr>
          <w:rFonts w:ascii="Times New Roman" w:cs="Times New Roman" w:eastAsia="Times New Roman" w:hAnsi="Times New Roman"/>
          <w:sz w:val="19"/>
          <w:szCs w:val="19"/>
          <w:color w:val="auto"/>
        </w:rPr>
        <w:t>SECTION 1.05. Currencies; Currency Equivalents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49</w:t>
      </w:r>
      <w:r>
        <w:rPr>
          <w:rFonts w:ascii="Times New Roman" w:cs="Times New Roman" w:eastAsia="Times New Roman" w:hAnsi="Times New Roman"/>
          <w:sz w:val="19"/>
          <w:szCs w:val="19"/>
          <w:u w:val="single" w:color="auto"/>
          <w:color w:val="0000FF"/>
        </w:rPr>
        <w:t>50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SECTION 1.06. Letter of Credit Amounts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-172085</wp:posOffset>
            </wp:positionV>
            <wp:extent cx="3048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9"/>
          <w:szCs w:val="19"/>
          <w:color w:val="auto"/>
        </w:rPr>
        <w:t xml:space="preserve">SECTION </w:t>
      </w:r>
      <w:r>
        <w:rPr>
          <w:rFonts w:ascii="Times New Roman" w:cs="Times New Roman" w:eastAsia="Times New Roman" w:hAnsi="Times New Roman"/>
          <w:sz w:val="19"/>
          <w:szCs w:val="19"/>
          <w:color w:val="FF0000"/>
          <w:strike w:val="1"/>
        </w:rPr>
        <w:t>1.06</w:t>
      </w:r>
      <w:r>
        <w:rPr>
          <w:rFonts w:ascii="Times New Roman" w:cs="Times New Roman" w:eastAsia="Times New Roman" w:hAnsi="Times New Roman"/>
          <w:sz w:val="19"/>
          <w:szCs w:val="19"/>
          <w:u w:val="single" w:color="auto"/>
          <w:color w:val="0000FF"/>
        </w:rPr>
        <w:t>1. 07</w:t>
      </w:r>
      <w:r>
        <w:rPr>
          <w:rFonts w:ascii="Times New Roman" w:cs="Times New Roman" w:eastAsia="Times New Roman" w:hAnsi="Times New Roman"/>
          <w:sz w:val="19"/>
          <w:szCs w:val="19"/>
          <w:color w:val="auto"/>
        </w:rPr>
        <w:t xml:space="preserve">. Rates </w:t>
      </w:r>
      <w:r>
        <w:rPr>
          <w:rFonts w:ascii="Times New Roman" w:cs="Times New Roman" w:eastAsia="Times New Roman" w:hAnsi="Times New Roman"/>
          <w:sz w:val="19"/>
          <w:szCs w:val="19"/>
          <w:color w:val="FF0000"/>
          <w:strike w:val="1"/>
        </w:rPr>
        <w:t>50</w:t>
      </w:r>
      <w:r>
        <w:rPr>
          <w:rFonts w:ascii="Times New Roman" w:cs="Times New Roman" w:eastAsia="Times New Roman" w:hAnsi="Times New Roman"/>
          <w:sz w:val="19"/>
          <w:szCs w:val="19"/>
          <w:u w:val="single" w:color="auto"/>
          <w:color w:val="0000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-21590</wp:posOffset>
            </wp:positionV>
            <wp:extent cx="3048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64" w:lineRule="exact"/>
        <w:rPr>
          <w:sz w:val="20"/>
          <w:szCs w:val="20"/>
          <w:color w:val="auto"/>
        </w:rPr>
      </w:pPr>
    </w:p>
    <w:tbl>
      <w:tblPr>
        <w:tblLayout w:type="fixed"/>
        <w:tblInd w:w="340" w:type="dxa"/>
        <w:tblCellMar>
          <w:top w:w="0" w:type="dxa"/>
          <w:left w:w="0" w:type="dxa"/>
          <w:bottom w:w="0" w:type="dxa"/>
          <w:right w:w="0" w:type="dxa"/>
        </w:tblCellMar>
      </w:tblPr>
      <w:tr>
        <w:trPr>
          <w:trHeight w:val="251"/>
        </w:trPr>
        <w:tc>
          <w:tcPr>
            <w:tcW w:w="37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ARTICLE II THE CREDITS 51</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324"/>
        </w:trPr>
        <w:tc>
          <w:tcPr>
            <w:tcW w:w="3780" w:type="dxa"/>
            <w:vAlign w:val="bottom"/>
            <w:gridSpan w:val="5"/>
          </w:tcPr>
          <w:p>
            <w:pPr>
              <w:ind w:left="700"/>
              <w:spacing w:after="0"/>
              <w:rPr>
                <w:sz w:val="20"/>
                <w:szCs w:val="20"/>
                <w:color w:val="auto"/>
              </w:rPr>
            </w:pPr>
            <w:r>
              <w:rPr>
                <w:rFonts w:ascii="Times New Roman" w:cs="Times New Roman" w:eastAsia="Times New Roman" w:hAnsi="Times New Roman"/>
                <w:sz w:val="19"/>
                <w:szCs w:val="19"/>
                <w:color w:val="auto"/>
              </w:rPr>
              <w:t>SECTION 2.01. The Commitments 51</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78"/>
        </w:trPr>
        <w:tc>
          <w:tcPr>
            <w:tcW w:w="3780" w:type="dxa"/>
            <w:vAlign w:val="bottom"/>
            <w:gridSpan w:val="5"/>
          </w:tcPr>
          <w:p>
            <w:pPr>
              <w:ind w:left="700"/>
              <w:spacing w:after="0"/>
              <w:rPr>
                <w:sz w:val="20"/>
                <w:szCs w:val="20"/>
                <w:color w:val="auto"/>
              </w:rPr>
            </w:pPr>
            <w:r>
              <w:rPr>
                <w:rFonts w:ascii="Times New Roman" w:cs="Times New Roman" w:eastAsia="Times New Roman" w:hAnsi="Times New Roman"/>
                <w:sz w:val="19"/>
                <w:szCs w:val="19"/>
                <w:color w:val="auto"/>
              </w:rPr>
              <w:t>SECTION 2.02. Loans and Borrowings</w:t>
            </w:r>
            <w:r>
              <w:rPr>
                <w:rFonts w:ascii="Times New Roman" w:cs="Times New Roman" w:eastAsia="Times New Roman" w:hAnsi="Times New Roman"/>
                <w:sz w:val="19"/>
                <w:szCs w:val="19"/>
                <w:color w:val="FF0000"/>
              </w:rPr>
              <w:t>.</w:t>
            </w:r>
          </w:p>
        </w:tc>
        <w:tc>
          <w:tcPr>
            <w:tcW w:w="9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83"/>
              </w:rPr>
              <w:t>51</w:t>
            </w:r>
          </w:p>
        </w:tc>
        <w:tc>
          <w:tcPr>
            <w:tcW w:w="3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 xml:space="preserve">52 </w:t>
            </w:r>
            <w:r>
              <w:rPr>
                <w:rFonts w:ascii="Times New Roman" w:cs="Times New Roman" w:eastAsia="Times New Roman" w:hAnsi="Times New Roman"/>
                <w:sz w:val="19"/>
                <w:szCs w:val="19"/>
                <w:color w:val="000000"/>
              </w:rPr>
              <w:t>SECTION 2.03. Requests for Syndicated</w:t>
            </w:r>
          </w:p>
        </w:tc>
      </w:tr>
      <w:tr>
        <w:trPr>
          <w:trHeight w:val="20"/>
        </w:trPr>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shd w:val="clear" w:color="auto" w:fill="FF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08"/>
        </w:trPr>
        <w:tc>
          <w:tcPr>
            <w:tcW w:w="1660" w:type="dxa"/>
            <w:vAlign w:val="bottom"/>
          </w:tcPr>
          <w:p>
            <w:pPr>
              <w:ind w:left="700"/>
              <w:spacing w:after="0" w:line="208" w:lineRule="exact"/>
              <w:rPr>
                <w:sz w:val="20"/>
                <w:szCs w:val="20"/>
                <w:color w:val="auto"/>
              </w:rPr>
            </w:pPr>
            <w:r>
              <w:rPr>
                <w:rFonts w:ascii="Times New Roman" w:cs="Times New Roman" w:eastAsia="Times New Roman" w:hAnsi="Times New Roman"/>
                <w:sz w:val="19"/>
                <w:szCs w:val="19"/>
                <w:color w:val="auto"/>
                <w:w w:val="99"/>
              </w:rPr>
              <w:t>Borrowings</w:t>
            </w:r>
            <w:r>
              <w:rPr>
                <w:rFonts w:ascii="Times New Roman" w:cs="Times New Roman" w:eastAsia="Times New Roman" w:hAnsi="Times New Roman"/>
                <w:sz w:val="19"/>
                <w:szCs w:val="19"/>
                <w:color w:val="FF0000"/>
                <w:w w:val="99"/>
              </w:rPr>
              <w:t>.</w:t>
            </w:r>
          </w:p>
        </w:tc>
        <w:tc>
          <w:tcPr>
            <w:tcW w:w="52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52</w:t>
            </w:r>
          </w:p>
        </w:tc>
        <w:tc>
          <w:tcPr>
            <w:tcW w:w="5900" w:type="dxa"/>
            <w:vAlign w:val="bottom"/>
            <w:gridSpan w:val="6"/>
          </w:tcPr>
          <w:p>
            <w:pPr>
              <w:spacing w:after="0" w:line="208" w:lineRule="exact"/>
              <w:rPr>
                <w:sz w:val="20"/>
                <w:szCs w:val="20"/>
                <w:color w:val="auto"/>
              </w:rPr>
            </w:pPr>
            <w:r>
              <w:rPr>
                <w:rFonts w:ascii="Times New Roman" w:cs="Times New Roman" w:eastAsia="Times New Roman" w:hAnsi="Times New Roman"/>
                <w:sz w:val="19"/>
                <w:szCs w:val="19"/>
                <w:color w:val="0000FF"/>
              </w:rPr>
              <w:t xml:space="preserve">53 </w:t>
            </w:r>
            <w:r>
              <w:rPr>
                <w:rFonts w:ascii="Times New Roman" w:cs="Times New Roman" w:eastAsia="Times New Roman" w:hAnsi="Times New Roman"/>
                <w:sz w:val="19"/>
                <w:szCs w:val="19"/>
                <w:color w:val="000000"/>
              </w:rPr>
              <w:t>SECTION 2.04. Swingline Loans 54</w:t>
            </w:r>
          </w:p>
        </w:tc>
      </w:tr>
      <w:tr>
        <w:trPr>
          <w:trHeight w:val="20"/>
        </w:trPr>
        <w:tc>
          <w:tcPr>
            <w:tcW w:w="1660" w:type="dxa"/>
            <w:vAlign w:val="bottom"/>
          </w:tcPr>
          <w:p>
            <w:pPr>
              <w:spacing w:after="0" w:line="20" w:lineRule="exact"/>
              <w:rPr>
                <w:sz w:val="1"/>
                <w:szCs w:val="1"/>
                <w:color w:val="auto"/>
              </w:rPr>
            </w:pPr>
          </w:p>
        </w:tc>
        <w:tc>
          <w:tcPr>
            <w:tcW w:w="520" w:type="dxa"/>
            <w:vAlign w:val="bottom"/>
            <w:shd w:val="clear" w:color="auto" w:fill="FF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11" w:lineRule="exact"/>
        <w:rPr>
          <w:sz w:val="20"/>
          <w:szCs w:val="20"/>
          <w:color w:val="auto"/>
        </w:rPr>
      </w:pPr>
    </w:p>
    <w:p>
      <w:pPr>
        <w:ind w:left="1040" w:right="260"/>
        <w:spacing w:after="0" w:line="256" w:lineRule="auto"/>
        <w:rPr>
          <w:sz w:val="20"/>
          <w:szCs w:val="20"/>
          <w:color w:val="auto"/>
        </w:rPr>
      </w:pPr>
      <w:r>
        <w:rPr>
          <w:rFonts w:ascii="Times New Roman" w:cs="Times New Roman" w:eastAsia="Times New Roman" w:hAnsi="Times New Roman"/>
          <w:sz w:val="19"/>
          <w:szCs w:val="19"/>
          <w:color w:val="auto"/>
        </w:rPr>
        <w:t>SECTION 2.05. Letters of Credit</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56</w:t>
      </w:r>
      <w:r>
        <w:rPr>
          <w:rFonts w:ascii="Times New Roman" w:cs="Times New Roman" w:eastAsia="Times New Roman" w:hAnsi="Times New Roman"/>
          <w:sz w:val="19"/>
          <w:szCs w:val="19"/>
          <w:u w:val="single" w:color="auto"/>
          <w:color w:val="0000FF"/>
        </w:rPr>
        <w:t>57</w:t>
      </w:r>
      <w:r>
        <w:rPr>
          <w:rFonts w:ascii="Times New Roman" w:cs="Times New Roman" w:eastAsia="Times New Roman" w:hAnsi="Times New Roman"/>
          <w:sz w:val="19"/>
          <w:szCs w:val="19"/>
          <w:color w:val="auto"/>
        </w:rPr>
        <w:t xml:space="preserve"> SECTION 2.06. Funding of Borrowings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61</w:t>
      </w:r>
      <w:r>
        <w:rPr>
          <w:rFonts w:ascii="Times New Roman" w:cs="Times New Roman" w:eastAsia="Times New Roman" w:hAnsi="Times New Roman"/>
          <w:sz w:val="19"/>
          <w:szCs w:val="19"/>
          <w:u w:val="single" w:color="auto"/>
          <w:color w:val="0000FF"/>
        </w:rPr>
        <w:t>62</w:t>
      </w:r>
      <w:r>
        <w:rPr>
          <w:rFonts w:ascii="Times New Roman" w:cs="Times New Roman" w:eastAsia="Times New Roman" w:hAnsi="Times New Roman"/>
          <w:sz w:val="19"/>
          <w:szCs w:val="19"/>
          <w:color w:val="auto"/>
        </w:rPr>
        <w:t xml:space="preserve"> SECTION 2.07. Interest Elections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61</w:t>
      </w:r>
      <w:r>
        <w:rPr>
          <w:rFonts w:ascii="Times New Roman" w:cs="Times New Roman" w:eastAsia="Times New Roman" w:hAnsi="Times New Roman"/>
          <w:sz w:val="19"/>
          <w:szCs w:val="19"/>
          <w:u w:val="single" w:color="auto"/>
          <w:color w:val="0000FF"/>
        </w:rPr>
        <w:t>63</w:t>
      </w:r>
      <w:r>
        <w:rPr>
          <w:rFonts w:ascii="Times New Roman" w:cs="Times New Roman" w:eastAsia="Times New Roman" w:hAnsi="Times New Roman"/>
          <w:sz w:val="19"/>
          <w:szCs w:val="19"/>
          <w:color w:val="auto"/>
        </w:rPr>
        <w:t xml:space="preserve"> SECTION 2.08. Termination, Reduction or Increase of the Commitments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63</w:t>
      </w:r>
      <w:r>
        <w:rPr>
          <w:rFonts w:ascii="Times New Roman" w:cs="Times New Roman" w:eastAsia="Times New Roman" w:hAnsi="Times New Roman"/>
          <w:sz w:val="19"/>
          <w:szCs w:val="19"/>
          <w:u w:val="single" w:color="auto"/>
          <w:color w:val="0000FF"/>
        </w:rPr>
        <w:t>64</w:t>
      </w:r>
      <w:r>
        <w:rPr>
          <w:rFonts w:ascii="Times New Roman" w:cs="Times New Roman" w:eastAsia="Times New Roman" w:hAnsi="Times New Roman"/>
          <w:sz w:val="19"/>
          <w:szCs w:val="19"/>
          <w:color w:val="auto"/>
        </w:rPr>
        <w:t xml:space="preserve"> SECTION 2.09. Repayment of Loans; Evidence of Debt</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66</w:t>
      </w:r>
      <w:r>
        <w:rPr>
          <w:rFonts w:ascii="Times New Roman" w:cs="Times New Roman" w:eastAsia="Times New Roman" w:hAnsi="Times New Roman"/>
          <w:sz w:val="19"/>
          <w:szCs w:val="19"/>
          <w:u w:val="single" w:color="auto"/>
          <w:color w:val="0000FF"/>
        </w:rPr>
        <w:t>67</w:t>
      </w:r>
      <w:r>
        <w:rPr>
          <w:rFonts w:ascii="Times New Roman" w:cs="Times New Roman" w:eastAsia="Times New Roman" w:hAnsi="Times New Roman"/>
          <w:sz w:val="19"/>
          <w:szCs w:val="19"/>
          <w:color w:val="auto"/>
        </w:rPr>
        <w:t xml:space="preserve"> SECTION 2.10. Prepayment of Loans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68</w:t>
      </w:r>
      <w:r>
        <w:rPr>
          <w:rFonts w:ascii="Times New Roman" w:cs="Times New Roman" w:eastAsia="Times New Roman" w:hAnsi="Times New Roman"/>
          <w:sz w:val="19"/>
          <w:szCs w:val="19"/>
          <w:u w:val="single" w:color="auto"/>
          <w:color w:val="0000FF"/>
        </w:rPr>
        <w:t>69</w:t>
      </w:r>
      <w:r>
        <w:rPr>
          <w:rFonts w:ascii="Times New Roman" w:cs="Times New Roman" w:eastAsia="Times New Roman" w:hAnsi="Times New Roman"/>
          <w:sz w:val="19"/>
          <w:szCs w:val="19"/>
          <w:color w:val="auto"/>
        </w:rPr>
        <w:t xml:space="preserve"> SECTION 2.11. Fees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71</w:t>
      </w:r>
      <w:r>
        <w:rPr>
          <w:rFonts w:ascii="Times New Roman" w:cs="Times New Roman" w:eastAsia="Times New Roman" w:hAnsi="Times New Roman"/>
          <w:sz w:val="19"/>
          <w:szCs w:val="19"/>
          <w:u w:val="single" w:color="auto"/>
          <w:color w:val="0000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-171450</wp:posOffset>
            </wp:positionV>
            <wp:extent cx="3048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-171450</wp:posOffset>
            </wp:positionV>
            <wp:extent cx="3048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040" w:right="980"/>
        <w:spacing w:after="0" w:line="250" w:lineRule="auto"/>
        <w:rPr>
          <w:sz w:val="20"/>
          <w:szCs w:val="20"/>
          <w:color w:val="auto"/>
        </w:rPr>
      </w:pPr>
      <w:r>
        <w:rPr>
          <w:rFonts w:ascii="Times New Roman" w:cs="Times New Roman" w:eastAsia="Times New Roman" w:hAnsi="Times New Roman"/>
          <w:sz w:val="19"/>
          <w:szCs w:val="19"/>
          <w:color w:val="auto"/>
        </w:rPr>
        <w:t>SECTION 2.12. Interest</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u w:val="single" w:color="auto"/>
          <w:color w:val="0000FF"/>
        </w:rPr>
        <w:t>74</w:t>
      </w:r>
      <w:r>
        <w:rPr>
          <w:rFonts w:ascii="Times New Roman" w:cs="Times New Roman" w:eastAsia="Times New Roman" w:hAnsi="Times New Roman"/>
          <w:sz w:val="19"/>
          <w:szCs w:val="19"/>
          <w:color w:val="auto"/>
        </w:rPr>
        <w:t xml:space="preserve"> SECTION 2.13. Inability to Determine Interest Rates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74</w:t>
      </w:r>
      <w:r>
        <w:rPr>
          <w:rFonts w:ascii="Times New Roman" w:cs="Times New Roman" w:eastAsia="Times New Roman" w:hAnsi="Times New Roman"/>
          <w:sz w:val="19"/>
          <w:szCs w:val="19"/>
          <w:u w:val="single" w:color="auto"/>
          <w:color w:val="0000FF"/>
        </w:rPr>
        <w:t>75</w:t>
      </w:r>
      <w:r>
        <w:rPr>
          <w:rFonts w:ascii="Times New Roman" w:cs="Times New Roman" w:eastAsia="Times New Roman" w:hAnsi="Times New Roman"/>
          <w:sz w:val="19"/>
          <w:szCs w:val="19"/>
          <w:color w:val="auto"/>
        </w:rPr>
        <w:t xml:space="preserve"> SECTION 2.14. Increased Costs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75</w:t>
      </w:r>
      <w:r>
        <w:rPr>
          <w:rFonts w:ascii="Times New Roman" w:cs="Times New Roman" w:eastAsia="Times New Roman" w:hAnsi="Times New Roman"/>
          <w:sz w:val="19"/>
          <w:szCs w:val="19"/>
          <w:u w:val="single" w:color="auto"/>
          <w:color w:val="0000FF"/>
        </w:rPr>
        <w:t>77</w:t>
      </w:r>
      <w:r>
        <w:rPr>
          <w:rFonts w:ascii="Times New Roman" w:cs="Times New Roman" w:eastAsia="Times New Roman" w:hAnsi="Times New Roman"/>
          <w:sz w:val="19"/>
          <w:szCs w:val="19"/>
          <w:color w:val="auto"/>
        </w:rPr>
        <w:t xml:space="preserve"> SECTION 2. 15. Break Funding Payments </w:t>
      </w:r>
      <w:r>
        <w:rPr>
          <w:rFonts w:ascii="Times New Roman" w:cs="Times New Roman" w:eastAsia="Times New Roman" w:hAnsi="Times New Roman"/>
          <w:sz w:val="19"/>
          <w:szCs w:val="19"/>
          <w:color w:val="FF0000"/>
          <w:strike w:val="1"/>
        </w:rPr>
        <w:t>77</w:t>
      </w:r>
      <w:r>
        <w:rPr>
          <w:rFonts w:ascii="Times New Roman" w:cs="Times New Roman" w:eastAsia="Times New Roman" w:hAnsi="Times New Roman"/>
          <w:sz w:val="19"/>
          <w:szCs w:val="19"/>
          <w:u w:val="single" w:color="auto"/>
          <w:color w:val="0000FF"/>
        </w:rPr>
        <w:t>78</w:t>
      </w:r>
      <w:r>
        <w:rPr>
          <w:rFonts w:ascii="Times New Roman" w:cs="Times New Roman" w:eastAsia="Times New Roman" w:hAnsi="Times New Roman"/>
          <w:sz w:val="19"/>
          <w:szCs w:val="19"/>
          <w:color w:val="auto"/>
        </w:rPr>
        <w:t xml:space="preserve"> SECTION 2.16. Taxes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77</w:t>
      </w:r>
      <w:r>
        <w:rPr>
          <w:rFonts w:ascii="Times New Roman" w:cs="Times New Roman" w:eastAsia="Times New Roman" w:hAnsi="Times New Roman"/>
          <w:sz w:val="19"/>
          <w:szCs w:val="19"/>
          <w:u w:val="single" w:color="auto"/>
          <w:color w:val="0000F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4836160</wp:posOffset>
            </wp:positionH>
            <wp:positionV relativeFrom="paragraph">
              <wp:posOffset>-316865</wp:posOffset>
            </wp:positionV>
            <wp:extent cx="3048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-26670</wp:posOffset>
            </wp:positionV>
            <wp:extent cx="3048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040" w:right="140"/>
        <w:spacing w:after="0" w:line="250" w:lineRule="auto"/>
        <w:rPr>
          <w:sz w:val="20"/>
          <w:szCs w:val="20"/>
          <w:color w:val="auto"/>
        </w:rPr>
      </w:pPr>
      <w:r>
        <w:rPr>
          <w:rFonts w:ascii="Times New Roman" w:cs="Times New Roman" w:eastAsia="Times New Roman" w:hAnsi="Times New Roman"/>
          <w:sz w:val="19"/>
          <w:szCs w:val="19"/>
          <w:color w:val="auto"/>
        </w:rPr>
        <w:t>SECTION 2.17. Payments Generally; Pro Rata Treatment: Sharing of Set-offs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81</w:t>
      </w:r>
      <w:r>
        <w:rPr>
          <w:rFonts w:ascii="Times New Roman" w:cs="Times New Roman" w:eastAsia="Times New Roman" w:hAnsi="Times New Roman"/>
          <w:sz w:val="19"/>
          <w:szCs w:val="19"/>
          <w:u w:val="single" w:color="auto"/>
          <w:color w:val="0000FF"/>
        </w:rPr>
        <w:t>83</w:t>
      </w:r>
      <w:r>
        <w:rPr>
          <w:rFonts w:ascii="Times New Roman" w:cs="Times New Roman" w:eastAsia="Times New Roman" w:hAnsi="Times New Roman"/>
          <w:sz w:val="19"/>
          <w:szCs w:val="19"/>
          <w:color w:val="auto"/>
        </w:rPr>
        <w:t xml:space="preserve"> SECTION 2.18. Mitigation Obligations; Replacement of Lenders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83</w:t>
      </w:r>
      <w:r>
        <w:rPr>
          <w:rFonts w:ascii="Times New Roman" w:cs="Times New Roman" w:eastAsia="Times New Roman" w:hAnsi="Times New Roman"/>
          <w:sz w:val="19"/>
          <w:szCs w:val="19"/>
          <w:u w:val="single" w:color="auto"/>
          <w:color w:val="0000FF"/>
        </w:rPr>
        <w:t>85</w:t>
      </w:r>
      <w:r>
        <w:rPr>
          <w:rFonts w:ascii="Times New Roman" w:cs="Times New Roman" w:eastAsia="Times New Roman" w:hAnsi="Times New Roman"/>
          <w:sz w:val="19"/>
          <w:szCs w:val="19"/>
          <w:color w:val="auto"/>
        </w:rPr>
        <w:t xml:space="preserve"> SECTION 2.19. Defaulting Lenders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84</w:t>
      </w:r>
      <w:r>
        <w:rPr>
          <w:rFonts w:ascii="Times New Roman" w:cs="Times New Roman" w:eastAsia="Times New Roman" w:hAnsi="Times New Roman"/>
          <w:sz w:val="19"/>
          <w:szCs w:val="19"/>
          <w:u w:val="single" w:color="auto"/>
          <w:color w:val="0000FF"/>
        </w:rPr>
        <w:t>86</w:t>
      </w:r>
      <w:r>
        <w:rPr>
          <w:rFonts w:ascii="Times New Roman" w:cs="Times New Roman" w:eastAsia="Times New Roman" w:hAnsi="Times New Roman"/>
          <w:sz w:val="19"/>
          <w:szCs w:val="19"/>
          <w:color w:val="auto"/>
        </w:rPr>
        <w:t xml:space="preserve"> SECTION 2.20. Reallocation Following a Non-Extended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-172085</wp:posOffset>
            </wp:positionV>
            <wp:extent cx="3048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19"/>
          <w:szCs w:val="19"/>
          <w:color w:val="auto"/>
        </w:rPr>
        <w:t xml:space="preserve">Termination Date </w:t>
      </w:r>
      <w:r>
        <w:rPr>
          <w:rFonts w:ascii="Times New Roman" w:cs="Times New Roman" w:eastAsia="Times New Roman" w:hAnsi="Times New Roman"/>
          <w:sz w:val="19"/>
          <w:szCs w:val="19"/>
          <w:color w:val="FF0000"/>
          <w:strike w:val="1"/>
        </w:rPr>
        <w:t>88</w:t>
      </w:r>
      <w:r>
        <w:rPr>
          <w:rFonts w:ascii="Times New Roman" w:cs="Times New Roman" w:eastAsia="Times New Roman" w:hAnsi="Times New Roman"/>
          <w:sz w:val="19"/>
          <w:szCs w:val="19"/>
          <w:u w:val="single" w:color="auto"/>
          <w:color w:val="0000FF"/>
        </w:rPr>
        <w:t>90</w:t>
      </w:r>
      <w:r>
        <w:rPr>
          <w:rFonts w:ascii="Times New Roman" w:cs="Times New Roman" w:eastAsia="Times New Roman" w:hAnsi="Times New Roman"/>
          <w:sz w:val="19"/>
          <w:szCs w:val="19"/>
          <w:color w:val="auto"/>
        </w:rPr>
        <w:t xml:space="preserve"> SECTION 2.21. </w:t>
      </w:r>
      <w:r>
        <w:rPr>
          <w:rFonts w:ascii="Times New Roman" w:cs="Times New Roman" w:eastAsia="Times New Roman" w:hAnsi="Times New Roman"/>
          <w:sz w:val="19"/>
          <w:szCs w:val="19"/>
          <w:color w:val="0000FF"/>
        </w:rPr>
        <w:t>Illegality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-14605</wp:posOffset>
            </wp:positionV>
            <wp:extent cx="3048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FF0000"/>
          <w:strike w:val="1"/>
        </w:rPr>
        <w:t>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0000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879475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19" w:right="1440" w:bottom="1440" w:gutter="0" w:footer="0" w:header="0"/>
        </w:sectPr>
      </w:pPr>
    </w:p>
    <w:bookmarkStart w:id="102" w:name="page103"/>
    <w:bookmarkEnd w:id="102"/>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144" w:lineRule="exact"/>
        <w:rPr>
          <w:sz w:val="20"/>
          <w:szCs w:val="20"/>
          <w:color w:val="auto"/>
        </w:rPr>
      </w:pPr>
    </w:p>
    <w:p>
      <w:pPr>
        <w:ind w:left="340" w:right="280" w:firstLine="864"/>
        <w:spacing w:after="0" w:line="262" w:lineRule="auto"/>
        <w:rPr>
          <w:sz w:val="20"/>
          <w:szCs w:val="20"/>
          <w:color w:val="auto"/>
        </w:rPr>
      </w:pPr>
      <w:r>
        <w:rPr>
          <w:rFonts w:ascii="Times New Roman" w:cs="Times New Roman" w:eastAsia="Times New Roman" w:hAnsi="Times New Roman"/>
          <w:sz w:val="19"/>
          <w:szCs w:val="19"/>
          <w:u w:val="single" w:color="auto"/>
          <w:color w:val="0000FF"/>
        </w:rPr>
        <w:t>SECTION 2.22.</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Effect of Benchmark Transition Event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89</w:t>
      </w:r>
      <w:r>
        <w:rPr>
          <w:rFonts w:ascii="Times New Roman" w:cs="Times New Roman" w:eastAsia="Times New Roman" w:hAnsi="Times New Roman"/>
          <w:sz w:val="19"/>
          <w:szCs w:val="19"/>
          <w:u w:val="single" w:color="auto"/>
          <w:color w:val="0000FF"/>
        </w:rPr>
        <w:t>93</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ARTICLE III REPRESENTATIONS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AND WARRANTIES </w:t>
      </w:r>
      <w:r>
        <w:rPr>
          <w:rFonts w:ascii="Times New Roman" w:cs="Times New Roman" w:eastAsia="Times New Roman" w:hAnsi="Times New Roman"/>
          <w:sz w:val="19"/>
          <w:szCs w:val="19"/>
          <w:color w:val="FF0000"/>
          <w:strike w:val="1"/>
        </w:rPr>
        <w:t>92</w:t>
      </w:r>
      <w:r>
        <w:rPr>
          <w:rFonts w:ascii="Times New Roman" w:cs="Times New Roman" w:eastAsia="Times New Roman" w:hAnsi="Times New Roman"/>
          <w:sz w:val="19"/>
          <w:szCs w:val="19"/>
          <w:u w:val="single" w:color="auto"/>
          <w:color w:val="0000F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-172085</wp:posOffset>
            </wp:positionV>
            <wp:extent cx="3048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-27305</wp:posOffset>
            </wp:positionV>
            <wp:extent cx="3048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040" w:right="320"/>
        <w:spacing w:after="0" w:line="254" w:lineRule="auto"/>
        <w:rPr>
          <w:sz w:val="20"/>
          <w:szCs w:val="20"/>
          <w:color w:val="auto"/>
        </w:rPr>
      </w:pPr>
      <w:r>
        <w:rPr>
          <w:rFonts w:ascii="Times New Roman" w:cs="Times New Roman" w:eastAsia="Times New Roman" w:hAnsi="Times New Roman"/>
          <w:sz w:val="19"/>
          <w:szCs w:val="19"/>
          <w:color w:val="auto"/>
        </w:rPr>
        <w:t xml:space="preserve">SECTION 3.01. Organization; Powers </w:t>
      </w:r>
      <w:r>
        <w:rPr>
          <w:rFonts w:ascii="Times New Roman" w:cs="Times New Roman" w:eastAsia="Times New Roman" w:hAnsi="Times New Roman"/>
          <w:sz w:val="19"/>
          <w:szCs w:val="19"/>
          <w:color w:val="FF0000"/>
          <w:strike w:val="1"/>
        </w:rPr>
        <w:t>92</w:t>
      </w:r>
      <w:r>
        <w:rPr>
          <w:rFonts w:ascii="Times New Roman" w:cs="Times New Roman" w:eastAsia="Times New Roman" w:hAnsi="Times New Roman"/>
          <w:sz w:val="19"/>
          <w:szCs w:val="19"/>
          <w:u w:val="single" w:color="auto"/>
          <w:color w:val="0000FF"/>
        </w:rPr>
        <w:t>96</w:t>
      </w:r>
      <w:r>
        <w:rPr>
          <w:rFonts w:ascii="Times New Roman" w:cs="Times New Roman" w:eastAsia="Times New Roman" w:hAnsi="Times New Roman"/>
          <w:sz w:val="19"/>
          <w:szCs w:val="19"/>
          <w:color w:val="auto"/>
        </w:rPr>
        <w:t xml:space="preserve"> SECTION 3.02. Authorization; Enforceability </w:t>
      </w:r>
      <w:r>
        <w:rPr>
          <w:rFonts w:ascii="Times New Roman" w:cs="Times New Roman" w:eastAsia="Times New Roman" w:hAnsi="Times New Roman"/>
          <w:sz w:val="19"/>
          <w:szCs w:val="19"/>
          <w:color w:val="FF0000"/>
          <w:strike w:val="1"/>
        </w:rPr>
        <w:t>92</w:t>
      </w:r>
      <w:r>
        <w:rPr>
          <w:rFonts w:ascii="Times New Roman" w:cs="Times New Roman" w:eastAsia="Times New Roman" w:hAnsi="Times New Roman"/>
          <w:sz w:val="19"/>
          <w:szCs w:val="19"/>
          <w:u w:val="single" w:color="auto"/>
          <w:color w:val="0000FF"/>
        </w:rPr>
        <w:t>96</w:t>
      </w:r>
      <w:r>
        <w:rPr>
          <w:rFonts w:ascii="Times New Roman" w:cs="Times New Roman" w:eastAsia="Times New Roman" w:hAnsi="Times New Roman"/>
          <w:sz w:val="19"/>
          <w:szCs w:val="19"/>
          <w:color w:val="auto"/>
        </w:rPr>
        <w:t xml:space="preserve"> SECTION 3.03. Governmental Approvals; No Conflicts </w:t>
      </w:r>
      <w:r>
        <w:rPr>
          <w:rFonts w:ascii="Times New Roman" w:cs="Times New Roman" w:eastAsia="Times New Roman" w:hAnsi="Times New Roman"/>
          <w:sz w:val="19"/>
          <w:szCs w:val="19"/>
          <w:color w:val="FF0000"/>
          <w:strike w:val="1"/>
        </w:rPr>
        <w:t>92</w:t>
      </w:r>
      <w:r>
        <w:rPr>
          <w:rFonts w:ascii="Times New Roman" w:cs="Times New Roman" w:eastAsia="Times New Roman" w:hAnsi="Times New Roman"/>
          <w:sz w:val="19"/>
          <w:szCs w:val="19"/>
          <w:u w:val="single" w:color="auto"/>
          <w:color w:val="0000FF"/>
        </w:rPr>
        <w:t>96</w:t>
      </w:r>
      <w:r>
        <w:rPr>
          <w:rFonts w:ascii="Times New Roman" w:cs="Times New Roman" w:eastAsia="Times New Roman" w:hAnsi="Times New Roman"/>
          <w:sz w:val="19"/>
          <w:szCs w:val="19"/>
          <w:color w:val="auto"/>
        </w:rPr>
        <w:t xml:space="preserve"> SECTION 3.04. Financial Condition; No Material Adverse Change</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93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97</w:t>
      </w:r>
      <w:r>
        <w:rPr>
          <w:rFonts w:ascii="Times New Roman" w:cs="Times New Roman" w:eastAsia="Times New Roman" w:hAnsi="Times New Roman"/>
          <w:sz w:val="19"/>
          <w:szCs w:val="19"/>
          <w:color w:val="auto"/>
        </w:rPr>
        <w:t xml:space="preserve"> SECTION 3.05. Litigation </w:t>
      </w:r>
      <w:r>
        <w:rPr>
          <w:rFonts w:ascii="Times New Roman" w:cs="Times New Roman" w:eastAsia="Times New Roman" w:hAnsi="Times New Roman"/>
          <w:sz w:val="19"/>
          <w:szCs w:val="19"/>
          <w:color w:val="FF0000"/>
          <w:strike w:val="1"/>
        </w:rPr>
        <w:t>93</w:t>
      </w:r>
      <w:r>
        <w:rPr>
          <w:rFonts w:ascii="Times New Roman" w:cs="Times New Roman" w:eastAsia="Times New Roman" w:hAnsi="Times New Roman"/>
          <w:sz w:val="19"/>
          <w:szCs w:val="19"/>
          <w:u w:val="single" w:color="auto"/>
          <w:color w:val="0000FF"/>
        </w:rPr>
        <w:t>97</w:t>
      </w:r>
      <w:r>
        <w:rPr>
          <w:rFonts w:ascii="Times New Roman" w:cs="Times New Roman" w:eastAsia="Times New Roman" w:hAnsi="Times New Roman"/>
          <w:sz w:val="19"/>
          <w:szCs w:val="19"/>
          <w:color w:val="auto"/>
        </w:rPr>
        <w:t xml:space="preserve"> SECTION 3.06. Compliance with Laws and Agreements </w:t>
      </w:r>
      <w:r>
        <w:rPr>
          <w:rFonts w:ascii="Times New Roman" w:cs="Times New Roman" w:eastAsia="Times New Roman" w:hAnsi="Times New Roman"/>
          <w:sz w:val="19"/>
          <w:szCs w:val="19"/>
          <w:color w:val="FF0000"/>
          <w:strike w:val="1"/>
        </w:rPr>
        <w:t>93</w:t>
      </w:r>
      <w:r>
        <w:rPr>
          <w:rFonts w:ascii="Times New Roman" w:cs="Times New Roman" w:eastAsia="Times New Roman" w:hAnsi="Times New Roman"/>
          <w:sz w:val="19"/>
          <w:szCs w:val="19"/>
          <w:u w:val="single" w:color="auto"/>
          <w:color w:val="0000FF"/>
        </w:rPr>
        <w:t>97</w:t>
      </w:r>
      <w:r>
        <w:rPr>
          <w:rFonts w:ascii="Times New Roman" w:cs="Times New Roman" w:eastAsia="Times New Roman" w:hAnsi="Times New Roman"/>
          <w:sz w:val="19"/>
          <w:szCs w:val="19"/>
          <w:color w:val="auto"/>
        </w:rPr>
        <w:t xml:space="preserve"> SECTION 3.07. Taxes </w:t>
      </w:r>
      <w:r>
        <w:rPr>
          <w:rFonts w:ascii="Times New Roman" w:cs="Times New Roman" w:eastAsia="Times New Roman" w:hAnsi="Times New Roman"/>
          <w:sz w:val="19"/>
          <w:szCs w:val="19"/>
          <w:color w:val="FF0000"/>
          <w:strike w:val="1"/>
        </w:rPr>
        <w:t>93</w:t>
      </w:r>
      <w:r>
        <w:rPr>
          <w:rFonts w:ascii="Times New Roman" w:cs="Times New Roman" w:eastAsia="Times New Roman" w:hAnsi="Times New Roman"/>
          <w:sz w:val="19"/>
          <w:szCs w:val="19"/>
          <w:u w:val="single" w:color="auto"/>
          <w:color w:val="0000FF"/>
        </w:rPr>
        <w:t>97</w:t>
      </w:r>
      <w:r>
        <w:rPr>
          <w:rFonts w:ascii="Times New Roman" w:cs="Times New Roman" w:eastAsia="Times New Roman" w:hAnsi="Times New Roman"/>
          <w:sz w:val="19"/>
          <w:szCs w:val="19"/>
          <w:color w:val="auto"/>
        </w:rPr>
        <w:t xml:space="preserve"> SECTION 3.08. ERISA </w:t>
      </w:r>
      <w:r>
        <w:rPr>
          <w:rFonts w:ascii="Times New Roman" w:cs="Times New Roman" w:eastAsia="Times New Roman" w:hAnsi="Times New Roman"/>
          <w:sz w:val="19"/>
          <w:szCs w:val="19"/>
          <w:color w:val="FF0000"/>
          <w:strike w:val="1"/>
        </w:rPr>
        <w:t>94</w:t>
      </w:r>
      <w:r>
        <w:rPr>
          <w:rFonts w:ascii="Times New Roman" w:cs="Times New Roman" w:eastAsia="Times New Roman" w:hAnsi="Times New Roman"/>
          <w:sz w:val="19"/>
          <w:szCs w:val="19"/>
          <w:u w:val="single" w:color="auto"/>
          <w:color w:val="0000F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-180975</wp:posOffset>
            </wp:positionV>
            <wp:extent cx="3048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-36195</wp:posOffset>
            </wp:positionV>
            <wp:extent cx="3048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107950</wp:posOffset>
            </wp:positionV>
            <wp:extent cx="3048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69" w:lineRule="exact"/>
        <w:rPr>
          <w:sz w:val="20"/>
          <w:szCs w:val="20"/>
          <w:color w:val="auto"/>
        </w:rPr>
      </w:pPr>
    </w:p>
    <w:p>
      <w:pPr>
        <w:ind w:left="1220"/>
        <w:spacing w:after="0"/>
        <w:tabs>
          <w:tab w:leader="none" w:pos="3500" w:val="left"/>
        </w:tabs>
        <w:rPr>
          <w:sz w:val="20"/>
          <w:szCs w:val="20"/>
          <w:color w:val="auto"/>
        </w:rPr>
      </w:pPr>
      <w:r>
        <w:rPr>
          <w:rFonts w:ascii="Times New Roman" w:cs="Times New Roman" w:eastAsia="Times New Roman" w:hAnsi="Times New Roman"/>
          <w:sz w:val="19"/>
          <w:szCs w:val="19"/>
          <w:color w:val="auto"/>
        </w:rPr>
        <w:t>SECTION 3.09. Disclosure</w:t>
      </w:r>
      <w:r>
        <w:rPr>
          <w:sz w:val="20"/>
          <w:szCs w:val="20"/>
          <w:color w:val="auto"/>
        </w:rPr>
        <w:tab/>
      </w:r>
      <w:r>
        <w:rPr>
          <w:rFonts w:ascii="Times New Roman" w:cs="Times New Roman" w:eastAsia="Times New Roman" w:hAnsi="Times New Roman"/>
          <w:sz w:val="19"/>
          <w:szCs w:val="19"/>
          <w:color w:val="FF0000"/>
          <w:strike w:val="1"/>
        </w:rPr>
        <w:t>94</w:t>
      </w:r>
      <w:r>
        <w:rPr>
          <w:rFonts w:ascii="Times New Roman" w:cs="Times New Roman" w:eastAsia="Times New Roman" w:hAnsi="Times New Roman"/>
          <w:sz w:val="19"/>
          <w:szCs w:val="19"/>
          <w:u w:val="single" w:color="auto"/>
          <w:color w:val="0000FF"/>
          <w:strike w:val="1"/>
        </w:rPr>
        <w:t>98</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SECTION 3.10. Investment Company Act; Margin Regulations</w:t>
      </w:r>
      <w:r>
        <w:rPr>
          <w:rFonts w:ascii="Times New Roman" w:cs="Times New Roman" w:eastAsia="Times New Roman" w:hAnsi="Times New Roman"/>
          <w:sz w:val="19"/>
          <w:szCs w:val="19"/>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-7620</wp:posOffset>
            </wp:positionV>
            <wp:extent cx="12192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spacing w:after="0" w:line="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FF0000"/>
          <w:strike w:val="1"/>
        </w:rPr>
        <w:t>94</w:t>
      </w:r>
      <w:r>
        <w:rPr>
          <w:rFonts w:ascii="Times New Roman" w:cs="Times New Roman" w:eastAsia="Times New Roman" w:hAnsi="Times New Roman"/>
          <w:sz w:val="19"/>
          <w:szCs w:val="19"/>
          <w:u w:val="single" w:color="auto"/>
          <w:color w:val="0000FF"/>
        </w:rPr>
        <w:t>98</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3.11. Material Agreements and Liens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94</w:t>
      </w:r>
      <w:r>
        <w:rPr>
          <w:rFonts w:ascii="Times New Roman" w:cs="Times New Roman" w:eastAsia="Times New Roman" w:hAnsi="Times New Roman"/>
          <w:sz w:val="19"/>
          <w:szCs w:val="19"/>
          <w:u w:val="single" w:color="auto"/>
          <w:color w:val="0000FF"/>
        </w:rPr>
        <w:t>99</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3.12. Subsidiaries and Investments</w:t>
      </w:r>
      <w:r>
        <w:rPr>
          <w:rFonts w:ascii="Times New Roman" w:cs="Times New Roman" w:eastAsia="Times New Roman" w:hAnsi="Times New Roman"/>
          <w:sz w:val="19"/>
          <w:szCs w:val="19"/>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-21590</wp:posOffset>
            </wp:positionV>
            <wp:extent cx="9144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91440" cy="7620"/>
                    </a:xfrm>
                    <a:prstGeom prst="rect">
                      <a:avLst/>
                    </a:prstGeom>
                    <a:noFill/>
                  </pic:spPr>
                </pic:pic>
              </a:graphicData>
            </a:graphic>
          </wp:anchor>
        </w:drawing>
      </w:r>
    </w:p>
    <w:p>
      <w:pPr>
        <w:jc w:val="right"/>
        <w:ind w:left="420" w:right="180"/>
        <w:spacing w:after="0" w:line="257" w:lineRule="auto"/>
        <w:rPr>
          <w:sz w:val="20"/>
          <w:szCs w:val="20"/>
          <w:color w:val="auto"/>
        </w:rPr>
      </w:pPr>
      <w:r>
        <w:rPr>
          <w:rFonts w:ascii="Times New Roman" w:cs="Times New Roman" w:eastAsia="Times New Roman" w:hAnsi="Times New Roman"/>
          <w:sz w:val="19"/>
          <w:szCs w:val="19"/>
          <w:color w:val="FF0000"/>
          <w:strike w:val="1"/>
        </w:rPr>
        <w:t>95</w:t>
      </w:r>
      <w:r>
        <w:rPr>
          <w:rFonts w:ascii="Times New Roman" w:cs="Times New Roman" w:eastAsia="Times New Roman" w:hAnsi="Times New Roman"/>
          <w:sz w:val="19"/>
          <w:szCs w:val="19"/>
          <w:u w:val="single" w:color="auto"/>
          <w:color w:val="0000FF"/>
        </w:rPr>
        <w:t>99</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3.13. Properties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95</w:t>
      </w:r>
      <w:r>
        <w:rPr>
          <w:rFonts w:ascii="Times New Roman" w:cs="Times New Roman" w:eastAsia="Times New Roman" w:hAnsi="Times New Roman"/>
          <w:sz w:val="19"/>
          <w:szCs w:val="19"/>
          <w:u w:val="single" w:color="auto"/>
          <w:color w:val="0000FF"/>
        </w:rPr>
        <w:t>99</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3.14. Affiliate Agreements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95</w:t>
      </w:r>
      <w:r>
        <w:rPr>
          <w:rFonts w:ascii="Times New Roman" w:cs="Times New Roman" w:eastAsia="Times New Roman" w:hAnsi="Times New Roman"/>
          <w:sz w:val="19"/>
          <w:szCs w:val="19"/>
          <w:u w:val="single" w:color="auto"/>
          <w:color w:val="0000FF"/>
        </w:rPr>
        <w:t>100</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3.15.</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Sanctions </w:t>
      </w:r>
      <w:r>
        <w:rPr>
          <w:rFonts w:ascii="Times New Roman" w:cs="Times New Roman" w:eastAsia="Times New Roman" w:hAnsi="Times New Roman"/>
          <w:sz w:val="19"/>
          <w:szCs w:val="19"/>
          <w:color w:val="FF0000"/>
          <w:strike w:val="1"/>
        </w:rPr>
        <w:t>95</w:t>
      </w:r>
      <w:r>
        <w:rPr>
          <w:rFonts w:ascii="Times New Roman" w:cs="Times New Roman" w:eastAsia="Times New Roman" w:hAnsi="Times New Roman"/>
          <w:sz w:val="19"/>
          <w:szCs w:val="19"/>
          <w:u w:val="single" w:color="auto"/>
          <w:color w:val="0000FF"/>
        </w:rPr>
        <w:t>100</w:t>
      </w:r>
      <w:r>
        <w:rPr>
          <w:rFonts w:ascii="Times New Roman" w:cs="Times New Roman" w:eastAsia="Times New Roman" w:hAnsi="Times New Roman"/>
          <w:sz w:val="19"/>
          <w:szCs w:val="19"/>
          <w:color w:val="000000"/>
        </w:rPr>
        <w:t xml:space="preserve"> SECTION 3.16. Patriot Act </w:t>
      </w:r>
      <w:r>
        <w:rPr>
          <w:rFonts w:ascii="Times New Roman" w:cs="Times New Roman" w:eastAsia="Times New Roman" w:hAnsi="Times New Roman"/>
          <w:sz w:val="19"/>
          <w:szCs w:val="19"/>
          <w:color w:val="FF0000"/>
          <w:strike w:val="1"/>
        </w:rPr>
        <w:t>96</w:t>
      </w:r>
      <w:r>
        <w:rPr>
          <w:rFonts w:ascii="Times New Roman" w:cs="Times New Roman" w:eastAsia="Times New Roman" w:hAnsi="Times New Roman"/>
          <w:sz w:val="19"/>
          <w:szCs w:val="19"/>
          <w:u w:val="single" w:color="auto"/>
          <w:color w:val="0000FF"/>
        </w:rPr>
        <w:t>100</w:t>
      </w:r>
      <w:r>
        <w:rPr>
          <w:rFonts w:ascii="Times New Roman" w:cs="Times New Roman" w:eastAsia="Times New Roman" w:hAnsi="Times New Roman"/>
          <w:sz w:val="19"/>
          <w:szCs w:val="19"/>
          <w:color w:val="000000"/>
        </w:rPr>
        <w:t xml:space="preserve"> SECTION 3.17. Collateral Documents </w:t>
      </w:r>
      <w:r>
        <w:rPr>
          <w:rFonts w:ascii="Times New Roman" w:cs="Times New Roman" w:eastAsia="Times New Roman" w:hAnsi="Times New Roman"/>
          <w:sz w:val="19"/>
          <w:szCs w:val="19"/>
          <w:color w:val="FF0000"/>
          <w:strike w:val="1"/>
        </w:rPr>
        <w:t>96</w:t>
      </w:r>
      <w:r>
        <w:rPr>
          <w:rFonts w:ascii="Times New Roman" w:cs="Times New Roman" w:eastAsia="Times New Roman" w:hAnsi="Times New Roman"/>
          <w:sz w:val="19"/>
          <w:szCs w:val="19"/>
          <w:u w:val="single" w:color="auto"/>
          <w:color w:val="0000FF"/>
        </w:rPr>
        <w:t>100</w:t>
      </w:r>
      <w:r>
        <w:rPr>
          <w:rFonts w:ascii="Times New Roman" w:cs="Times New Roman" w:eastAsia="Times New Roman" w:hAnsi="Times New Roman"/>
          <w:sz w:val="19"/>
          <w:szCs w:val="19"/>
          <w:color w:val="000000"/>
        </w:rPr>
        <w:t xml:space="preserve"> SECTION 3.18. EEA Financial Institutions </w:t>
      </w:r>
      <w:r>
        <w:rPr>
          <w:rFonts w:ascii="Times New Roman" w:cs="Times New Roman" w:eastAsia="Times New Roman" w:hAnsi="Times New Roman"/>
          <w:sz w:val="19"/>
          <w:szCs w:val="19"/>
          <w:color w:val="FF0000"/>
          <w:strike w:val="1"/>
        </w:rPr>
        <w:t>96</w:t>
      </w:r>
      <w:r>
        <w:rPr>
          <w:rFonts w:ascii="Times New Roman" w:cs="Times New Roman" w:eastAsia="Times New Roman" w:hAnsi="Times New Roman"/>
          <w:sz w:val="19"/>
          <w:szCs w:val="19"/>
          <w:u w:val="single" w:color="auto"/>
          <w:color w:val="0000FF"/>
        </w:rPr>
        <w:t>101</w:t>
      </w:r>
      <w:r>
        <w:rPr>
          <w:rFonts w:ascii="Times New Roman" w:cs="Times New Roman" w:eastAsia="Times New Roman" w:hAnsi="Times New Roman"/>
          <w:sz w:val="19"/>
          <w:szCs w:val="19"/>
          <w:color w:val="000000"/>
        </w:rPr>
        <w:t xml:space="preserve"> ARTICLE IV CONDITIONS  </w:t>
      </w:r>
      <w:r>
        <w:rPr>
          <w:rFonts w:ascii="Times New Roman" w:cs="Times New Roman" w:eastAsia="Times New Roman" w:hAnsi="Times New Roman"/>
          <w:sz w:val="19"/>
          <w:szCs w:val="19"/>
          <w:color w:val="FF0000"/>
          <w:strike w:val="1"/>
        </w:rPr>
        <w:t>97</w:t>
      </w:r>
      <w:r>
        <w:rPr>
          <w:rFonts w:ascii="Times New Roman" w:cs="Times New Roman" w:eastAsia="Times New Roman" w:hAnsi="Times New Roman"/>
          <w:sz w:val="19"/>
          <w:szCs w:val="19"/>
          <w:u w:val="single" w:color="auto"/>
          <w:color w:val="0000FF"/>
        </w:rPr>
        <w:t>101</w:t>
      </w:r>
      <w:r>
        <w:rPr>
          <w:rFonts w:ascii="Times New Roman" w:cs="Times New Roman" w:eastAsia="Times New Roman" w:hAnsi="Times New Roman"/>
          <w:sz w:val="19"/>
          <w:szCs w:val="19"/>
          <w:color w:val="000000"/>
        </w:rPr>
        <w:t xml:space="preserve"> SECTION 4.01. Effective Date  </w:t>
      </w:r>
      <w:r>
        <w:rPr>
          <w:rFonts w:ascii="Times New Roman" w:cs="Times New Roman" w:eastAsia="Times New Roman" w:hAnsi="Times New Roman"/>
          <w:sz w:val="19"/>
          <w:szCs w:val="19"/>
          <w:color w:val="FF0000"/>
          <w:strike w:val="1"/>
        </w:rPr>
        <w:t>97</w:t>
      </w:r>
      <w:r>
        <w:rPr>
          <w:rFonts w:ascii="Times New Roman" w:cs="Times New Roman" w:eastAsia="Times New Roman" w:hAnsi="Times New Roman"/>
          <w:sz w:val="19"/>
          <w:szCs w:val="19"/>
          <w:u w:val="single" w:color="auto"/>
          <w:color w:val="0000FF"/>
        </w:rPr>
        <w:t>101</w:t>
      </w:r>
      <w:r>
        <w:rPr>
          <w:rFonts w:ascii="Times New Roman" w:cs="Times New Roman" w:eastAsia="Times New Roman" w:hAnsi="Times New Roman"/>
          <w:sz w:val="19"/>
          <w:szCs w:val="19"/>
          <w:color w:val="000000"/>
        </w:rPr>
        <w:t xml:space="preserve"> SECTION 4.02. Each Credit Event </w:t>
      </w:r>
      <w:r>
        <w:rPr>
          <w:rFonts w:ascii="Times New Roman" w:cs="Times New Roman" w:eastAsia="Times New Roman" w:hAnsi="Times New Roman"/>
          <w:sz w:val="19"/>
          <w:szCs w:val="19"/>
          <w:color w:val="FF0000"/>
          <w:strike w:val="1"/>
        </w:rPr>
        <w:t>97</w:t>
      </w:r>
      <w:r>
        <w:rPr>
          <w:rFonts w:ascii="Times New Roman" w:cs="Times New Roman" w:eastAsia="Times New Roman" w:hAnsi="Times New Roman"/>
          <w:sz w:val="19"/>
          <w:szCs w:val="19"/>
          <w:u w:val="single" w:color="auto"/>
          <w:color w:val="0000FF"/>
        </w:rPr>
        <w:t>102</w:t>
      </w:r>
      <w:r>
        <w:rPr>
          <w:rFonts w:ascii="Times New Roman" w:cs="Times New Roman" w:eastAsia="Times New Roman" w:hAnsi="Times New Roman"/>
          <w:sz w:val="19"/>
          <w:szCs w:val="19"/>
          <w:color w:val="000000"/>
        </w:rPr>
        <w:t xml:space="preserve"> ARTICLE V AFFIRMATIVE COVENANTS </w:t>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u w:val="single" w:color="auto"/>
          <w:color w:val="0000F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-477520</wp:posOffset>
            </wp:positionV>
            <wp:extent cx="9144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91440" cy="7620"/>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-477520</wp:posOffset>
            </wp:positionV>
            <wp:extent cx="3048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4767580</wp:posOffset>
            </wp:positionH>
            <wp:positionV relativeFrom="paragraph">
              <wp:posOffset>-332740</wp:posOffset>
            </wp:positionV>
            <wp:extent cx="3048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5255895</wp:posOffset>
            </wp:positionH>
            <wp:positionV relativeFrom="paragraph">
              <wp:posOffset>-187960</wp:posOffset>
            </wp:positionV>
            <wp:extent cx="9144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91440" cy="7620"/>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-34925</wp:posOffset>
            </wp:positionV>
            <wp:extent cx="9144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91440" cy="762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-34925</wp:posOffset>
            </wp:positionV>
            <wp:extent cx="3048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97" w:lineRule="exact"/>
        <w:rPr>
          <w:sz w:val="20"/>
          <w:szCs w:val="20"/>
          <w:color w:val="auto"/>
        </w:rPr>
      </w:pPr>
    </w:p>
    <w:p>
      <w:pPr>
        <w:ind w:left="1040" w:right="420"/>
        <w:spacing w:after="0" w:line="254" w:lineRule="auto"/>
        <w:rPr>
          <w:sz w:val="20"/>
          <w:szCs w:val="20"/>
          <w:color w:val="auto"/>
        </w:rPr>
      </w:pPr>
      <w:r>
        <w:rPr>
          <w:rFonts w:ascii="Times New Roman" w:cs="Times New Roman" w:eastAsia="Times New Roman" w:hAnsi="Times New Roman"/>
          <w:sz w:val="19"/>
          <w:szCs w:val="19"/>
          <w:color w:val="auto"/>
        </w:rPr>
        <w:t xml:space="preserve">SECTION 5.01. Financial Statements and Other Information </w:t>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102</w:t>
      </w:r>
      <w:r>
        <w:rPr>
          <w:rFonts w:ascii="Times New Roman" w:cs="Times New Roman" w:eastAsia="Times New Roman" w:hAnsi="Times New Roman"/>
          <w:sz w:val="19"/>
          <w:szCs w:val="19"/>
          <w:color w:val="auto"/>
        </w:rPr>
        <w:t xml:space="preserve"> SECTION 5.02. Notices of Material Events </w:t>
      </w:r>
      <w:r>
        <w:rPr>
          <w:rFonts w:ascii="Times New Roman" w:cs="Times New Roman" w:eastAsia="Times New Roman" w:hAnsi="Times New Roman"/>
          <w:sz w:val="19"/>
          <w:szCs w:val="19"/>
          <w:color w:val="FF0000"/>
          <w:strike w:val="1"/>
        </w:rPr>
        <w:t>100</w:t>
      </w:r>
      <w:r>
        <w:rPr>
          <w:rFonts w:ascii="Times New Roman" w:cs="Times New Roman" w:eastAsia="Times New Roman" w:hAnsi="Times New Roman"/>
          <w:sz w:val="19"/>
          <w:szCs w:val="19"/>
          <w:u w:val="single" w:color="auto"/>
          <w:color w:val="0000FF"/>
        </w:rPr>
        <w:t>105</w:t>
      </w:r>
      <w:r>
        <w:rPr>
          <w:rFonts w:ascii="Times New Roman" w:cs="Times New Roman" w:eastAsia="Times New Roman" w:hAnsi="Times New Roman"/>
          <w:sz w:val="19"/>
          <w:szCs w:val="19"/>
          <w:color w:val="auto"/>
        </w:rPr>
        <w:t xml:space="preserve"> SECTION 5.03. Existence: Conduct of Business </w:t>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u w:val="single" w:color="auto"/>
          <w:color w:val="0000FF"/>
        </w:rPr>
        <w:t>105</w:t>
      </w:r>
      <w:r>
        <w:rPr>
          <w:rFonts w:ascii="Times New Roman" w:cs="Times New Roman" w:eastAsia="Times New Roman" w:hAnsi="Times New Roman"/>
          <w:sz w:val="19"/>
          <w:szCs w:val="19"/>
          <w:color w:val="auto"/>
        </w:rPr>
        <w:t xml:space="preserve"> SECTION 5.04. Payment of Obligations </w:t>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u w:val="single" w:color="auto"/>
          <w:color w:val="0000FF"/>
        </w:rPr>
        <w:t>105</w:t>
      </w:r>
      <w:r>
        <w:rPr>
          <w:rFonts w:ascii="Times New Roman" w:cs="Times New Roman" w:eastAsia="Times New Roman" w:hAnsi="Times New Roman"/>
          <w:sz w:val="19"/>
          <w:szCs w:val="19"/>
          <w:color w:val="auto"/>
        </w:rPr>
        <w:t xml:space="preserve"> SECTION 5.05. Maintenance of Properties; Insurance </w:t>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u w:val="single" w:color="auto"/>
          <w:color w:val="0000FF"/>
        </w:rPr>
        <w:t>105</w:t>
      </w:r>
      <w:r>
        <w:rPr>
          <w:rFonts w:ascii="Times New Roman" w:cs="Times New Roman" w:eastAsia="Times New Roman" w:hAnsi="Times New Roman"/>
          <w:sz w:val="19"/>
          <w:szCs w:val="19"/>
          <w:color w:val="auto"/>
        </w:rPr>
        <w:t xml:space="preserve"> SECTION 5.06. Books and Records; Inspection and Audit Rights </w:t>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u w:val="single" w:color="auto"/>
          <w:color w:val="0000F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-180975</wp:posOffset>
            </wp:positionV>
            <wp:extent cx="3048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-36195</wp:posOffset>
            </wp:positionV>
            <wp:extent cx="3048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FF0000"/>
          <w:strike w:val="1"/>
        </w:rPr>
        <w:t>2</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u w:val="single" w:color="auto"/>
          <w:color w:val="0000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879475</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80"/>
          </w:cols>
          <w:pgMar w:left="1440" w:top="1419" w:right="1380" w:bottom="1440" w:gutter="0" w:footer="0" w:header="0"/>
        </w:sectPr>
      </w:pPr>
    </w:p>
    <w:bookmarkStart w:id="103" w:name="page104"/>
    <w:bookmarkEnd w:id="103"/>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144" w:lineRule="exact"/>
        <w:rPr>
          <w:sz w:val="20"/>
          <w:szCs w:val="20"/>
          <w:color w:val="auto"/>
        </w:rPr>
      </w:pPr>
    </w:p>
    <w:p>
      <w:pPr>
        <w:jc w:val="right"/>
        <w:ind w:left="520" w:right="260"/>
        <w:spacing w:after="0" w:line="255" w:lineRule="auto"/>
        <w:rPr>
          <w:sz w:val="20"/>
          <w:szCs w:val="20"/>
          <w:color w:val="auto"/>
        </w:rPr>
      </w:pPr>
      <w:r>
        <w:rPr>
          <w:rFonts w:ascii="Times New Roman" w:cs="Times New Roman" w:eastAsia="Times New Roman" w:hAnsi="Times New Roman"/>
          <w:sz w:val="19"/>
          <w:szCs w:val="19"/>
          <w:color w:val="auto"/>
        </w:rPr>
        <w:t xml:space="preserve">SECTION 5.07. Compliance with Laws </w:t>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u w:val="single" w:color="auto"/>
          <w:color w:val="0000FF"/>
        </w:rPr>
        <w:t>106</w:t>
      </w:r>
      <w:r>
        <w:rPr>
          <w:rFonts w:ascii="Times New Roman" w:cs="Times New Roman" w:eastAsia="Times New Roman" w:hAnsi="Times New Roman"/>
          <w:sz w:val="19"/>
          <w:szCs w:val="19"/>
          <w:color w:val="auto"/>
        </w:rPr>
        <w:t xml:space="preserve"> SECTION 5.08. Certain Obligations Respecting Subsidiaries; Further Assurances.</w:t>
      </w:r>
      <w:r>
        <w:rPr>
          <w:rFonts w:ascii="Times New Roman" w:cs="Times New Roman" w:eastAsia="Times New Roman" w:hAnsi="Times New Roman"/>
          <w:sz w:val="19"/>
          <w:szCs w:val="19"/>
          <w:color w:val="FF0000"/>
          <w:strike w:val="1"/>
        </w:rPr>
        <w:t>102</w:t>
      </w:r>
      <w:r>
        <w:rPr>
          <w:rFonts w:ascii="Times New Roman" w:cs="Times New Roman" w:eastAsia="Times New Roman" w:hAnsi="Times New Roman"/>
          <w:sz w:val="19"/>
          <w:szCs w:val="19"/>
          <w:u w:val="single" w:color="auto"/>
          <w:color w:val="0000FF"/>
        </w:rPr>
        <w:t>106</w:t>
      </w:r>
      <w:r>
        <w:rPr>
          <w:rFonts w:ascii="Times New Roman" w:cs="Times New Roman" w:eastAsia="Times New Roman" w:hAnsi="Times New Roman"/>
          <w:sz w:val="19"/>
          <w:szCs w:val="19"/>
          <w:color w:val="auto"/>
        </w:rPr>
        <w:t xml:space="preserve"> SECTION 5.09. Use of Proceeds </w:t>
      </w:r>
      <w:r>
        <w:rPr>
          <w:rFonts w:ascii="Times New Roman" w:cs="Times New Roman" w:eastAsia="Times New Roman" w:hAnsi="Times New Roman"/>
          <w:sz w:val="19"/>
          <w:szCs w:val="19"/>
          <w:color w:val="FF0000"/>
          <w:strike w:val="1"/>
        </w:rPr>
        <w:t>103</w:t>
      </w:r>
      <w:r>
        <w:rPr>
          <w:rFonts w:ascii="Times New Roman" w:cs="Times New Roman" w:eastAsia="Times New Roman" w:hAnsi="Times New Roman"/>
          <w:sz w:val="19"/>
          <w:szCs w:val="19"/>
          <w:u w:val="single" w:color="auto"/>
          <w:color w:val="0000FF"/>
        </w:rPr>
        <w:t>107</w:t>
      </w:r>
      <w:r>
        <w:rPr>
          <w:rFonts w:ascii="Times New Roman" w:cs="Times New Roman" w:eastAsia="Times New Roman" w:hAnsi="Times New Roman"/>
          <w:sz w:val="19"/>
          <w:szCs w:val="19"/>
          <w:color w:val="auto"/>
        </w:rPr>
        <w:t xml:space="preserve"> SECTION 5.10. Status of RIC and BDC </w:t>
      </w:r>
      <w:r>
        <w:rPr>
          <w:rFonts w:ascii="Times New Roman" w:cs="Times New Roman" w:eastAsia="Times New Roman" w:hAnsi="Times New Roman"/>
          <w:sz w:val="19"/>
          <w:szCs w:val="19"/>
          <w:color w:val="FF0000"/>
          <w:strike w:val="1"/>
        </w:rPr>
        <w:t>103</w:t>
      </w:r>
      <w:r>
        <w:rPr>
          <w:rFonts w:ascii="Times New Roman" w:cs="Times New Roman" w:eastAsia="Times New Roman" w:hAnsi="Times New Roman"/>
          <w:sz w:val="19"/>
          <w:szCs w:val="19"/>
          <w:u w:val="single" w:color="auto"/>
          <w:color w:val="0000FF"/>
        </w:rPr>
        <w:t>108</w:t>
      </w:r>
      <w:r>
        <w:rPr>
          <w:rFonts w:ascii="Times New Roman" w:cs="Times New Roman" w:eastAsia="Times New Roman" w:hAnsi="Times New Roman"/>
          <w:sz w:val="19"/>
          <w:szCs w:val="19"/>
          <w:color w:val="auto"/>
        </w:rPr>
        <w:t xml:space="preserve"> SECTION 5.11. Investment Policies </w:t>
      </w:r>
      <w:r>
        <w:rPr>
          <w:rFonts w:ascii="Times New Roman" w:cs="Times New Roman" w:eastAsia="Times New Roman" w:hAnsi="Times New Roman"/>
          <w:sz w:val="19"/>
          <w:szCs w:val="19"/>
          <w:color w:val="FF0000"/>
          <w:strike w:val="1"/>
        </w:rPr>
        <w:t>103</w:t>
      </w:r>
      <w:r>
        <w:rPr>
          <w:rFonts w:ascii="Times New Roman" w:cs="Times New Roman" w:eastAsia="Times New Roman" w:hAnsi="Times New Roman"/>
          <w:sz w:val="19"/>
          <w:szCs w:val="19"/>
          <w:u w:val="single" w:color="auto"/>
          <w:color w:val="0000FF"/>
        </w:rPr>
        <w:t>108</w:t>
      </w:r>
      <w:r>
        <w:rPr>
          <w:rFonts w:ascii="Times New Roman" w:cs="Times New Roman" w:eastAsia="Times New Roman" w:hAnsi="Times New Roman"/>
          <w:sz w:val="19"/>
          <w:szCs w:val="19"/>
          <w:color w:val="auto"/>
        </w:rPr>
        <w:t xml:space="preserve"> SECTION 5.12. Portfolio Valuation and Diversification Etc. </w:t>
      </w:r>
      <w:r>
        <w:rPr>
          <w:rFonts w:ascii="Times New Roman" w:cs="Times New Roman" w:eastAsia="Times New Roman" w:hAnsi="Times New Roman"/>
          <w:sz w:val="19"/>
          <w:szCs w:val="19"/>
          <w:color w:val="FF0000"/>
          <w:strike w:val="1"/>
        </w:rPr>
        <w:t>103</w:t>
      </w:r>
      <w:r>
        <w:rPr>
          <w:rFonts w:ascii="Times New Roman" w:cs="Times New Roman" w:eastAsia="Times New Roman" w:hAnsi="Times New Roman"/>
          <w:sz w:val="19"/>
          <w:szCs w:val="19"/>
          <w:u w:val="single" w:color="auto"/>
          <w:color w:val="0000FF"/>
        </w:rPr>
        <w:t>108</w:t>
      </w:r>
      <w:r>
        <w:rPr>
          <w:rFonts w:ascii="Times New Roman" w:cs="Times New Roman" w:eastAsia="Times New Roman" w:hAnsi="Times New Roman"/>
          <w:sz w:val="19"/>
          <w:szCs w:val="19"/>
          <w:color w:val="auto"/>
        </w:rPr>
        <w:t xml:space="preserve"> SECTION 5.13. Calculation of Borrowing Base</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107</w:t>
      </w:r>
      <w:r>
        <w:rPr>
          <w:rFonts w:ascii="Times New Roman" w:cs="Times New Roman" w:eastAsia="Times New Roman" w:hAnsi="Times New Roman"/>
          <w:sz w:val="19"/>
          <w:szCs w:val="19"/>
          <w:u w:val="single" w:color="auto"/>
          <w:color w:val="0000FF"/>
        </w:rPr>
        <w:t>111</w:t>
      </w:r>
      <w:r>
        <w:rPr>
          <w:rFonts w:ascii="Times New Roman" w:cs="Times New Roman" w:eastAsia="Times New Roman" w:hAnsi="Times New Roman"/>
          <w:sz w:val="19"/>
          <w:szCs w:val="19"/>
          <w:color w:val="auto"/>
        </w:rPr>
        <w:t xml:space="preserve"> ARTICLE VI NEGATIVE COVENANTS </w:t>
      </w:r>
      <w:r>
        <w:rPr>
          <w:rFonts w:ascii="Times New Roman" w:cs="Times New Roman" w:eastAsia="Times New Roman" w:hAnsi="Times New Roman"/>
          <w:sz w:val="19"/>
          <w:szCs w:val="19"/>
          <w:color w:val="FF0000"/>
          <w:strike w:val="1"/>
        </w:rPr>
        <w:t>111</w:t>
      </w:r>
      <w:r>
        <w:rPr>
          <w:rFonts w:ascii="Times New Roman" w:cs="Times New Roman" w:eastAsia="Times New Roman" w:hAnsi="Times New Roman"/>
          <w:sz w:val="19"/>
          <w:szCs w:val="19"/>
          <w:u w:val="single" w:color="auto"/>
          <w:color w:val="0000FF"/>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-171450</wp:posOffset>
            </wp:positionV>
            <wp:extent cx="3048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9"/>
          <w:szCs w:val="19"/>
          <w:color w:val="auto"/>
        </w:rPr>
        <w:t xml:space="preserve">SECTION 6.01. Indebtedness </w:t>
      </w:r>
      <w:r>
        <w:rPr>
          <w:rFonts w:ascii="Times New Roman" w:cs="Times New Roman" w:eastAsia="Times New Roman" w:hAnsi="Times New Roman"/>
          <w:sz w:val="19"/>
          <w:szCs w:val="19"/>
          <w:color w:val="FF0000"/>
          <w:strike w:val="1"/>
        </w:rPr>
        <w:t>112</w:t>
      </w:r>
      <w:r>
        <w:rPr>
          <w:rFonts w:ascii="Times New Roman" w:cs="Times New Roman" w:eastAsia="Times New Roman" w:hAnsi="Times New Roman"/>
          <w:sz w:val="19"/>
          <w:szCs w:val="19"/>
          <w:u w:val="single" w:color="auto"/>
          <w:color w:val="0000FF"/>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-21590</wp:posOffset>
            </wp:positionV>
            <wp:extent cx="3048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6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 xml:space="preserve">SECTION 6.02. Liens </w:t>
      </w:r>
      <w:r>
        <w:rPr>
          <w:rFonts w:ascii="Times New Roman" w:cs="Times New Roman" w:eastAsia="Times New Roman" w:hAnsi="Times New Roman"/>
          <w:sz w:val="19"/>
          <w:szCs w:val="19"/>
          <w:color w:val="FF0000"/>
          <w:strike w:val="1"/>
        </w:rPr>
        <w:t>113</w:t>
      </w:r>
      <w:r>
        <w:rPr>
          <w:rFonts w:ascii="Times New Roman" w:cs="Times New Roman" w:eastAsia="Times New Roman" w:hAnsi="Times New Roman"/>
          <w:sz w:val="19"/>
          <w:szCs w:val="19"/>
          <w:u w:val="single" w:color="auto"/>
          <w:color w:val="0000FF"/>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-7620</wp:posOffset>
            </wp:positionV>
            <wp:extent cx="3048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1040" w:right="440"/>
        <w:spacing w:after="0" w:line="250" w:lineRule="auto"/>
        <w:rPr>
          <w:sz w:val="20"/>
          <w:szCs w:val="20"/>
          <w:color w:val="auto"/>
        </w:rPr>
      </w:pPr>
      <w:r>
        <w:rPr>
          <w:rFonts w:ascii="Times New Roman" w:cs="Times New Roman" w:eastAsia="Times New Roman" w:hAnsi="Times New Roman"/>
          <w:sz w:val="19"/>
          <w:szCs w:val="19"/>
          <w:color w:val="auto"/>
        </w:rPr>
        <w:t xml:space="preserve">SECTION 6.03. Fundamental Changes </w:t>
      </w:r>
      <w:r>
        <w:rPr>
          <w:rFonts w:ascii="Times New Roman" w:cs="Times New Roman" w:eastAsia="Times New Roman" w:hAnsi="Times New Roman"/>
          <w:sz w:val="19"/>
          <w:szCs w:val="19"/>
          <w:color w:val="FF0000"/>
          <w:strike w:val="1"/>
        </w:rPr>
        <w:t>114</w:t>
      </w:r>
      <w:r>
        <w:rPr>
          <w:rFonts w:ascii="Times New Roman" w:cs="Times New Roman" w:eastAsia="Times New Roman" w:hAnsi="Times New Roman"/>
          <w:sz w:val="19"/>
          <w:szCs w:val="19"/>
          <w:u w:val="single" w:color="auto"/>
          <w:color w:val="0000FF"/>
        </w:rPr>
        <w:t>119</w:t>
      </w:r>
      <w:r>
        <w:rPr>
          <w:rFonts w:ascii="Times New Roman" w:cs="Times New Roman" w:eastAsia="Times New Roman" w:hAnsi="Times New Roman"/>
          <w:sz w:val="19"/>
          <w:szCs w:val="19"/>
          <w:color w:val="auto"/>
        </w:rPr>
        <w:t xml:space="preserve"> SECTION 6.04. Investments </w:t>
      </w:r>
      <w:r>
        <w:rPr>
          <w:rFonts w:ascii="Times New Roman" w:cs="Times New Roman" w:eastAsia="Times New Roman" w:hAnsi="Times New Roman"/>
          <w:sz w:val="19"/>
          <w:szCs w:val="19"/>
          <w:color w:val="FF0000"/>
          <w:strike w:val="1"/>
        </w:rPr>
        <w:t>116</w:t>
      </w:r>
      <w:r>
        <w:rPr>
          <w:rFonts w:ascii="Times New Roman" w:cs="Times New Roman" w:eastAsia="Times New Roman" w:hAnsi="Times New Roman"/>
          <w:sz w:val="19"/>
          <w:szCs w:val="19"/>
          <w:u w:val="single" w:color="auto"/>
          <w:color w:val="0000FF"/>
        </w:rPr>
        <w:t>121</w:t>
      </w:r>
      <w:r>
        <w:rPr>
          <w:rFonts w:ascii="Times New Roman" w:cs="Times New Roman" w:eastAsia="Times New Roman" w:hAnsi="Times New Roman"/>
          <w:sz w:val="19"/>
          <w:szCs w:val="19"/>
          <w:color w:val="auto"/>
        </w:rPr>
        <w:t xml:space="preserve"> SECTION 6.05. Restricted Payments </w:t>
      </w:r>
      <w:r>
        <w:rPr>
          <w:rFonts w:ascii="Times New Roman" w:cs="Times New Roman" w:eastAsia="Times New Roman" w:hAnsi="Times New Roman"/>
          <w:sz w:val="19"/>
          <w:szCs w:val="19"/>
          <w:color w:val="FF0000"/>
          <w:strike w:val="1"/>
        </w:rPr>
        <w:t>116</w:t>
      </w:r>
      <w:r>
        <w:rPr>
          <w:rFonts w:ascii="Times New Roman" w:cs="Times New Roman" w:eastAsia="Times New Roman" w:hAnsi="Times New Roman"/>
          <w:sz w:val="19"/>
          <w:szCs w:val="19"/>
          <w:u w:val="single" w:color="auto"/>
          <w:color w:val="0000FF"/>
        </w:rPr>
        <w:t>122</w:t>
      </w:r>
      <w:r>
        <w:rPr>
          <w:rFonts w:ascii="Times New Roman" w:cs="Times New Roman" w:eastAsia="Times New Roman" w:hAnsi="Times New Roman"/>
          <w:sz w:val="19"/>
          <w:szCs w:val="19"/>
          <w:color w:val="auto"/>
        </w:rPr>
        <w:t xml:space="preserve"> SECTION 6.06. Certain Restrictions on Subsidiaries </w:t>
      </w:r>
      <w:r>
        <w:rPr>
          <w:rFonts w:ascii="Times New Roman" w:cs="Times New Roman" w:eastAsia="Times New Roman" w:hAnsi="Times New Roman"/>
          <w:sz w:val="19"/>
          <w:szCs w:val="19"/>
          <w:color w:val="FF0000"/>
          <w:strike w:val="1"/>
        </w:rPr>
        <w:t>117</w:t>
      </w:r>
      <w:r>
        <w:rPr>
          <w:rFonts w:ascii="Times New Roman" w:cs="Times New Roman" w:eastAsia="Times New Roman" w:hAnsi="Times New Roman"/>
          <w:sz w:val="19"/>
          <w:szCs w:val="19"/>
          <w:u w:val="single" w:color="auto"/>
          <w:color w:val="0000FF"/>
        </w:rPr>
        <w:t>122</w:t>
      </w:r>
      <w:r>
        <w:rPr>
          <w:rFonts w:ascii="Times New Roman" w:cs="Times New Roman" w:eastAsia="Times New Roman" w:hAnsi="Times New Roman"/>
          <w:sz w:val="19"/>
          <w:szCs w:val="19"/>
          <w:color w:val="auto"/>
        </w:rPr>
        <w:t xml:space="preserve"> SECTION 6.07. Certain Financial Covenants. </w:t>
      </w:r>
      <w:r>
        <w:rPr>
          <w:rFonts w:ascii="Times New Roman" w:cs="Times New Roman" w:eastAsia="Times New Roman" w:hAnsi="Times New Roman"/>
          <w:sz w:val="19"/>
          <w:szCs w:val="19"/>
          <w:color w:val="FF0000"/>
          <w:strike w:val="1"/>
        </w:rPr>
        <w:t>118</w:t>
      </w:r>
      <w:r>
        <w:rPr>
          <w:rFonts w:ascii="Times New Roman" w:cs="Times New Roman" w:eastAsia="Times New Roman" w:hAnsi="Times New Roman"/>
          <w:sz w:val="19"/>
          <w:szCs w:val="19"/>
          <w:u w:val="single" w:color="auto"/>
          <w:color w:val="0000FF"/>
        </w:rPr>
        <w:t>123</w:t>
      </w:r>
      <w:r>
        <w:rPr>
          <w:rFonts w:ascii="Times New Roman" w:cs="Times New Roman" w:eastAsia="Times New Roman" w:hAnsi="Times New Roman"/>
          <w:sz w:val="19"/>
          <w:szCs w:val="19"/>
          <w:color w:val="auto"/>
        </w:rPr>
        <w:t xml:space="preserve"> SECTION 6.08. Transactions with Affiliates </w:t>
      </w:r>
      <w:r>
        <w:rPr>
          <w:rFonts w:ascii="Times New Roman" w:cs="Times New Roman" w:eastAsia="Times New Roman" w:hAnsi="Times New Roman"/>
          <w:sz w:val="19"/>
          <w:szCs w:val="19"/>
          <w:color w:val="FF0000"/>
          <w:strike w:val="1"/>
        </w:rPr>
        <w:t>118</w:t>
      </w:r>
      <w:r>
        <w:rPr>
          <w:rFonts w:ascii="Times New Roman" w:cs="Times New Roman" w:eastAsia="Times New Roman" w:hAnsi="Times New Roman"/>
          <w:sz w:val="19"/>
          <w:szCs w:val="19"/>
          <w:u w:val="single" w:color="auto"/>
          <w:color w:val="0000FF"/>
        </w:rPr>
        <w:t>123</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6.09. Lines of Business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118</w:t>
      </w:r>
      <w:r>
        <w:rPr>
          <w:rFonts w:ascii="Times New Roman" w:cs="Times New Roman" w:eastAsia="Times New Roman" w:hAnsi="Times New Roman"/>
          <w:sz w:val="19"/>
          <w:szCs w:val="19"/>
          <w:u w:val="single" w:color="auto"/>
          <w:color w:val="0000FF"/>
        </w:rPr>
        <w:t>123</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6.10. No Further Negative Pledge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118</w:t>
      </w:r>
      <w:r>
        <w:rPr>
          <w:rFonts w:ascii="Times New Roman" w:cs="Times New Roman" w:eastAsia="Times New Roman" w:hAnsi="Times New Roman"/>
          <w:sz w:val="19"/>
          <w:szCs w:val="19"/>
          <w:u w:val="single" w:color="auto"/>
          <w:color w:val="0000FF"/>
        </w:rPr>
        <w:t>124</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6.11. Modifications of Longer-Term Indebtedness Documents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119</w:t>
      </w:r>
      <w:r>
        <w:rPr>
          <w:rFonts w:ascii="Times New Roman" w:cs="Times New Roman" w:eastAsia="Times New Roman" w:hAnsi="Times New Roman"/>
          <w:sz w:val="19"/>
          <w:szCs w:val="19"/>
          <w:u w:val="single" w:color="auto"/>
          <w:color w:val="0000FF"/>
        </w:rPr>
        <w:t>124</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-26670</wp:posOffset>
            </wp:positionV>
            <wp:extent cx="3048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9"/>
          <w:szCs w:val="19"/>
          <w:color w:val="auto"/>
        </w:rPr>
        <w:t xml:space="preserve">6.12. Payments of Longer-Term Indebtedness, the 2024 Notes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-67310</wp:posOffset>
            </wp:positionV>
            <wp:extent cx="20574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205740" cy="7620"/>
                    </a:xfrm>
                    <a:prstGeom prst="rect">
                      <a:avLst/>
                    </a:prstGeom>
                    <a:noFill/>
                  </pic:spPr>
                </pic:pic>
              </a:graphicData>
            </a:graphic>
          </wp:anchor>
        </w:drawing>
      </w:r>
    </w:p>
    <w:p>
      <w:pPr>
        <w:spacing w:after="0" w:line="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2026 Notes </w:t>
      </w:r>
      <w:r>
        <w:rPr>
          <w:rFonts w:ascii="Times New Roman" w:cs="Times New Roman" w:eastAsia="Times New Roman" w:hAnsi="Times New Roman"/>
          <w:sz w:val="19"/>
          <w:szCs w:val="19"/>
          <w:color w:val="FF0000"/>
          <w:strike w:val="1"/>
        </w:rPr>
        <w:t>119</w:t>
      </w:r>
      <w:r>
        <w:rPr>
          <w:rFonts w:ascii="Times New Roman" w:cs="Times New Roman" w:eastAsia="Times New Roman" w:hAnsi="Times New Roman"/>
          <w:sz w:val="19"/>
          <w:szCs w:val="19"/>
          <w:color w:val="0000FF"/>
        </w:rPr>
        <w:t>, the 2028 Notes and the 2029 Notes 124</w:t>
      </w:r>
      <w:r>
        <w:rPr>
          <w:rFonts w:ascii="Times New Roman" w:cs="Times New Roman" w:eastAsia="Times New Roman" w:hAnsi="Times New Roman"/>
          <w:sz w:val="19"/>
          <w:szCs w:val="19"/>
          <w:color w:val="auto"/>
        </w:rPr>
        <w:t xml:space="preserve"> SECTION 6.13. Accounting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-7620</wp:posOffset>
            </wp:positionV>
            <wp:extent cx="3048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FF0000"/>
          <w:strike w:val="1"/>
        </w:rPr>
        <w:t>120</w:t>
      </w:r>
      <w:r>
        <w:rPr>
          <w:rFonts w:ascii="Times New Roman" w:cs="Times New Roman" w:eastAsia="Times New Roman" w:hAnsi="Times New Roman"/>
          <w:sz w:val="19"/>
          <w:szCs w:val="19"/>
          <w:u w:val="single" w:color="auto"/>
          <w:color w:val="0000FF"/>
        </w:rPr>
        <w:t>125</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6.14. SBIC Guarantee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120</w:t>
      </w:r>
      <w:r>
        <w:rPr>
          <w:rFonts w:ascii="Times New Roman" w:cs="Times New Roman" w:eastAsia="Times New Roman" w:hAnsi="Times New Roman"/>
          <w:sz w:val="19"/>
          <w:szCs w:val="19"/>
          <w:u w:val="single" w:color="auto"/>
          <w:color w:val="0000FF"/>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-21590</wp:posOffset>
            </wp:positionV>
            <wp:extent cx="9144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91440" cy="7620"/>
                    </a:xfrm>
                    <a:prstGeom prst="rect">
                      <a:avLst/>
                    </a:prstGeom>
                    <a:noFill/>
                  </pic:spPr>
                </pic:pic>
              </a:graphicData>
            </a:graphic>
          </wp:anchor>
        </w:drawing>
      </w:r>
    </w:p>
    <w:p>
      <w:pPr>
        <w:ind w:left="1040" w:right="400" w:hanging="707"/>
        <w:spacing w:after="0" w:line="250" w:lineRule="auto"/>
        <w:rPr>
          <w:sz w:val="20"/>
          <w:szCs w:val="20"/>
          <w:color w:val="auto"/>
        </w:rPr>
      </w:pPr>
      <w:r>
        <w:rPr>
          <w:rFonts w:ascii="Times New Roman" w:cs="Times New Roman" w:eastAsia="Times New Roman" w:hAnsi="Times New Roman"/>
          <w:sz w:val="19"/>
          <w:szCs w:val="19"/>
          <w:color w:val="auto"/>
        </w:rPr>
        <w:t xml:space="preserve">ARTICLE VII EVENTS OF DEFAULT </w:t>
      </w:r>
      <w:r>
        <w:rPr>
          <w:rFonts w:ascii="Times New Roman" w:cs="Times New Roman" w:eastAsia="Times New Roman" w:hAnsi="Times New Roman"/>
          <w:sz w:val="19"/>
          <w:szCs w:val="19"/>
          <w:color w:val="FF0000"/>
          <w:strike w:val="1"/>
        </w:rPr>
        <w:t>120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126</w:t>
      </w:r>
      <w:r>
        <w:rPr>
          <w:rFonts w:ascii="Times New Roman" w:cs="Times New Roman" w:eastAsia="Times New Roman" w:hAnsi="Times New Roman"/>
          <w:sz w:val="19"/>
          <w:szCs w:val="19"/>
          <w:color w:val="auto"/>
        </w:rPr>
        <w:t xml:space="preserve"> ARTICLE VIII THE ADMINISTRATIVE AGENT </w:t>
      </w:r>
      <w:r>
        <w:rPr>
          <w:rFonts w:ascii="Times New Roman" w:cs="Times New Roman" w:eastAsia="Times New Roman" w:hAnsi="Times New Roman"/>
          <w:sz w:val="19"/>
          <w:szCs w:val="19"/>
          <w:color w:val="FF0000"/>
          <w:strike w:val="1"/>
        </w:rPr>
        <w:t>124</w:t>
      </w:r>
      <w:r>
        <w:rPr>
          <w:rFonts w:ascii="Times New Roman" w:cs="Times New Roman" w:eastAsia="Times New Roman" w:hAnsi="Times New Roman"/>
          <w:sz w:val="19"/>
          <w:szCs w:val="19"/>
          <w:u w:val="single" w:color="auto"/>
          <w:color w:val="0000FF"/>
        </w:rPr>
        <w:t>130</w:t>
      </w:r>
      <w:r>
        <w:rPr>
          <w:rFonts w:ascii="Times New Roman" w:cs="Times New Roman" w:eastAsia="Times New Roman" w:hAnsi="Times New Roman"/>
          <w:sz w:val="19"/>
          <w:szCs w:val="19"/>
          <w:color w:val="auto"/>
        </w:rPr>
        <w:t xml:space="preserve"> SECTION 8.01. Appointment of the Administrative Agent </w:t>
      </w:r>
      <w:r>
        <w:rPr>
          <w:rFonts w:ascii="Times New Roman" w:cs="Times New Roman" w:eastAsia="Times New Roman" w:hAnsi="Times New Roman"/>
          <w:sz w:val="19"/>
          <w:szCs w:val="19"/>
          <w:color w:val="FF0000"/>
          <w:strike w:val="1"/>
        </w:rPr>
        <w:t>124</w:t>
      </w:r>
      <w:r>
        <w:rPr>
          <w:rFonts w:ascii="Times New Roman" w:cs="Times New Roman" w:eastAsia="Times New Roman" w:hAnsi="Times New Roman"/>
          <w:sz w:val="19"/>
          <w:szCs w:val="19"/>
          <w:u w:val="single" w:color="auto"/>
          <w:color w:val="0000FF"/>
        </w:rPr>
        <w:t>130</w:t>
      </w:r>
      <w:r>
        <w:rPr>
          <w:rFonts w:ascii="Times New Roman" w:cs="Times New Roman" w:eastAsia="Times New Roman" w:hAnsi="Times New Roman"/>
          <w:sz w:val="19"/>
          <w:szCs w:val="19"/>
          <w:color w:val="auto"/>
        </w:rPr>
        <w:t xml:space="preserve"> SECTION 8.02. Capacity as Lender </w:t>
      </w:r>
      <w:r>
        <w:rPr>
          <w:rFonts w:ascii="Times New Roman" w:cs="Times New Roman" w:eastAsia="Times New Roman" w:hAnsi="Times New Roman"/>
          <w:sz w:val="19"/>
          <w:szCs w:val="19"/>
          <w:color w:val="FF0000"/>
          <w:strike w:val="1"/>
        </w:rPr>
        <w:t>125</w:t>
      </w:r>
      <w:r>
        <w:rPr>
          <w:rFonts w:ascii="Times New Roman" w:cs="Times New Roman" w:eastAsia="Times New Roman" w:hAnsi="Times New Roman"/>
          <w:sz w:val="19"/>
          <w:szCs w:val="19"/>
          <w:u w:val="single" w:color="auto"/>
          <w:color w:val="0000FF"/>
        </w:rPr>
        <w:t>130</w:t>
      </w:r>
      <w:r>
        <w:rPr>
          <w:rFonts w:ascii="Times New Roman" w:cs="Times New Roman" w:eastAsia="Times New Roman" w:hAnsi="Times New Roman"/>
          <w:sz w:val="19"/>
          <w:szCs w:val="19"/>
          <w:color w:val="auto"/>
        </w:rPr>
        <w:t xml:space="preserve"> SECTION 8.03. Limitation of Duties; Exculpation </w:t>
      </w:r>
      <w:r>
        <w:rPr>
          <w:rFonts w:ascii="Times New Roman" w:cs="Times New Roman" w:eastAsia="Times New Roman" w:hAnsi="Times New Roman"/>
          <w:sz w:val="19"/>
          <w:szCs w:val="19"/>
          <w:color w:val="FF0000"/>
          <w:strike w:val="1"/>
        </w:rPr>
        <w:t>125</w:t>
      </w:r>
      <w:r>
        <w:rPr>
          <w:rFonts w:ascii="Times New Roman" w:cs="Times New Roman" w:eastAsia="Times New Roman" w:hAnsi="Times New Roman"/>
          <w:sz w:val="19"/>
          <w:szCs w:val="19"/>
          <w:u w:val="single" w:color="auto"/>
          <w:color w:val="0000FF"/>
        </w:rPr>
        <w:t>130</w:t>
      </w:r>
      <w:r>
        <w:rPr>
          <w:rFonts w:ascii="Times New Roman" w:cs="Times New Roman" w:eastAsia="Times New Roman" w:hAnsi="Times New Roman"/>
          <w:sz w:val="19"/>
          <w:szCs w:val="19"/>
          <w:color w:val="auto"/>
        </w:rPr>
        <w:t xml:space="preserve"> SECTION 8.04. Reliance </w:t>
      </w:r>
      <w:r>
        <w:rPr>
          <w:rFonts w:ascii="Times New Roman" w:cs="Times New Roman" w:eastAsia="Times New Roman" w:hAnsi="Times New Roman"/>
          <w:sz w:val="19"/>
          <w:szCs w:val="19"/>
          <w:color w:val="FF0000"/>
          <w:strike w:val="1"/>
        </w:rPr>
        <w:t>125</w:t>
      </w:r>
      <w:r>
        <w:rPr>
          <w:rFonts w:ascii="Times New Roman" w:cs="Times New Roman" w:eastAsia="Times New Roman" w:hAnsi="Times New Roman"/>
          <w:sz w:val="19"/>
          <w:szCs w:val="19"/>
          <w:u w:val="single" w:color="auto"/>
          <w:color w:val="0000FF"/>
          <w:strike w:val="1"/>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5187315</wp:posOffset>
            </wp:positionH>
            <wp:positionV relativeFrom="paragraph">
              <wp:posOffset>-461010</wp:posOffset>
            </wp:positionV>
            <wp:extent cx="3048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1002665</wp:posOffset>
            </wp:positionH>
            <wp:positionV relativeFrom="paragraph">
              <wp:posOffset>-171450</wp:posOffset>
            </wp:positionV>
            <wp:extent cx="3048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9"/>
          <w:szCs w:val="19"/>
          <w:color w:val="auto"/>
        </w:rPr>
        <w:t xml:space="preserve">SECTION 8.05. Sub-Agents </w:t>
      </w:r>
      <w:r>
        <w:rPr>
          <w:rFonts w:ascii="Times New Roman" w:cs="Times New Roman" w:eastAsia="Times New Roman" w:hAnsi="Times New Roman"/>
          <w:sz w:val="19"/>
          <w:szCs w:val="19"/>
          <w:color w:val="FF0000"/>
          <w:strike w:val="1"/>
        </w:rPr>
        <w:t>125</w:t>
      </w:r>
      <w:r>
        <w:rPr>
          <w:rFonts w:ascii="Times New Roman" w:cs="Times New Roman" w:eastAsia="Times New Roman" w:hAnsi="Times New Roman"/>
          <w:sz w:val="19"/>
          <w:szCs w:val="19"/>
          <w:u w:val="single" w:color="auto"/>
          <w:color w:val="0000FF"/>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-21590</wp:posOffset>
            </wp:positionV>
            <wp:extent cx="3048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6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 xml:space="preserve">SECTION 8.06. Resignation; Successor Administrative Agent </w:t>
      </w:r>
      <w:r>
        <w:rPr>
          <w:rFonts w:ascii="Times New Roman" w:cs="Times New Roman" w:eastAsia="Times New Roman" w:hAnsi="Times New Roman"/>
          <w:sz w:val="19"/>
          <w:szCs w:val="19"/>
          <w:color w:val="FF0000"/>
          <w:strike w:val="1"/>
        </w:rPr>
        <w:t>126</w:t>
      </w:r>
      <w:r>
        <w:rPr>
          <w:rFonts w:ascii="Times New Roman" w:cs="Times New Roman" w:eastAsia="Times New Roman" w:hAnsi="Times New Roman"/>
          <w:sz w:val="19"/>
          <w:szCs w:val="19"/>
          <w:u w:val="single" w:color="auto"/>
          <w:color w:val="0000FF"/>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-7620</wp:posOffset>
            </wp:positionV>
            <wp:extent cx="3048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FF0000"/>
          <w:strike w:val="1"/>
        </w:rPr>
        <w:t>3</w:t>
      </w:r>
    </w:p>
    <w:p>
      <w:pPr>
        <w:spacing w:after="0" w:line="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u w:val="single" w:color="auto"/>
          <w:color w:val="0000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879475</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220"/>
          </w:cols>
          <w:pgMar w:left="1440" w:top="1419" w:right="1240" w:bottom="1440" w:gutter="0" w:footer="0" w:header="0"/>
        </w:sectPr>
      </w:pPr>
    </w:p>
    <w:bookmarkStart w:id="104" w:name="page105"/>
    <w:bookmarkEnd w:id="104"/>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144" w:lineRule="exact"/>
        <w:rPr>
          <w:sz w:val="20"/>
          <w:szCs w:val="20"/>
          <w:color w:val="auto"/>
        </w:rPr>
      </w:pPr>
    </w:p>
    <w:p>
      <w:pPr>
        <w:ind w:left="1200" w:right="180" w:firstLine="180"/>
        <w:spacing w:after="0" w:line="262" w:lineRule="auto"/>
        <w:rPr>
          <w:sz w:val="20"/>
          <w:szCs w:val="20"/>
          <w:color w:val="auto"/>
        </w:rPr>
      </w:pPr>
      <w:r>
        <w:rPr>
          <w:rFonts w:ascii="Times New Roman" w:cs="Times New Roman" w:eastAsia="Times New Roman" w:hAnsi="Times New Roman"/>
          <w:sz w:val="19"/>
          <w:szCs w:val="19"/>
          <w:color w:val="auto"/>
        </w:rPr>
        <w:t xml:space="preserve">SECTION 8.07. Reliance by Lenders </w:t>
      </w:r>
      <w:r>
        <w:rPr>
          <w:rFonts w:ascii="Times New Roman" w:cs="Times New Roman" w:eastAsia="Times New Roman" w:hAnsi="Times New Roman"/>
          <w:sz w:val="19"/>
          <w:szCs w:val="19"/>
          <w:color w:val="FF0000"/>
          <w:strike w:val="1"/>
        </w:rPr>
        <w:t>126</w:t>
      </w:r>
      <w:r>
        <w:rPr>
          <w:rFonts w:ascii="Times New Roman" w:cs="Times New Roman" w:eastAsia="Times New Roman" w:hAnsi="Times New Roman"/>
          <w:sz w:val="19"/>
          <w:szCs w:val="19"/>
          <w:u w:val="single" w:color="auto"/>
          <w:color w:val="0000FF"/>
        </w:rPr>
        <w:t>132</w:t>
      </w:r>
      <w:r>
        <w:rPr>
          <w:rFonts w:ascii="Times New Roman" w:cs="Times New Roman" w:eastAsia="Times New Roman" w:hAnsi="Times New Roman"/>
          <w:sz w:val="19"/>
          <w:szCs w:val="19"/>
          <w:color w:val="auto"/>
        </w:rPr>
        <w:t xml:space="preserve"> SECTION 8.08. Modifications to Loan Documents </w:t>
      </w:r>
      <w:r>
        <w:rPr>
          <w:rFonts w:ascii="Times New Roman" w:cs="Times New Roman" w:eastAsia="Times New Roman" w:hAnsi="Times New Roman"/>
          <w:sz w:val="19"/>
          <w:szCs w:val="19"/>
          <w:color w:val="FF0000"/>
          <w:strike w:val="1"/>
        </w:rPr>
        <w:t>127</w:t>
      </w:r>
      <w:r>
        <w:rPr>
          <w:rFonts w:ascii="Times New Roman" w:cs="Times New Roman" w:eastAsia="Times New Roman" w:hAnsi="Times New Roman"/>
          <w:sz w:val="19"/>
          <w:szCs w:val="19"/>
          <w:u w:val="single" w:color="auto"/>
          <w:color w:val="0000FF"/>
        </w:rPr>
        <w:t>132</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8.09. Erroneous Payments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127</w:t>
      </w:r>
      <w:r>
        <w:rPr>
          <w:rFonts w:ascii="Times New Roman" w:cs="Times New Roman" w:eastAsia="Times New Roman" w:hAnsi="Times New Roman"/>
          <w:sz w:val="19"/>
          <w:szCs w:val="19"/>
          <w:u w:val="single" w:color="auto"/>
          <w:color w:val="0000FF"/>
        </w:rPr>
        <w:t>133</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ARTICLE IX MISCELLANEOUS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130</w:t>
      </w:r>
      <w:r>
        <w:rPr>
          <w:rFonts w:ascii="Times New Roman" w:cs="Times New Roman" w:eastAsia="Times New Roman" w:hAnsi="Times New Roman"/>
          <w:sz w:val="19"/>
          <w:szCs w:val="19"/>
          <w:u w:val="single" w:color="auto"/>
          <w:color w:val="0000FF"/>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5194935</wp:posOffset>
            </wp:positionH>
            <wp:positionV relativeFrom="paragraph">
              <wp:posOffset>-27305</wp:posOffset>
            </wp:positionV>
            <wp:extent cx="9144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91440" cy="7620"/>
                    </a:xfrm>
                    <a:prstGeom prst="rect">
                      <a:avLst/>
                    </a:prstGeom>
                    <a:noFill/>
                  </pic:spPr>
                </pic:pic>
              </a:graphicData>
            </a:graphic>
          </wp:anchor>
        </w:drawing>
      </w:r>
    </w:p>
    <w:p>
      <w:pPr>
        <w:ind w:left="1040" w:right="460"/>
        <w:spacing w:after="0" w:line="250" w:lineRule="auto"/>
        <w:rPr>
          <w:sz w:val="20"/>
          <w:szCs w:val="20"/>
          <w:color w:val="auto"/>
        </w:rPr>
      </w:pPr>
      <w:r>
        <w:rPr>
          <w:rFonts w:ascii="Times New Roman" w:cs="Times New Roman" w:eastAsia="Times New Roman" w:hAnsi="Times New Roman"/>
          <w:sz w:val="19"/>
          <w:szCs w:val="19"/>
          <w:color w:val="auto"/>
        </w:rPr>
        <w:t>SECTION 9.01. Notices; Electronic Communications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130</w:t>
      </w:r>
      <w:r>
        <w:rPr>
          <w:rFonts w:ascii="Times New Roman" w:cs="Times New Roman" w:eastAsia="Times New Roman" w:hAnsi="Times New Roman"/>
          <w:sz w:val="19"/>
          <w:szCs w:val="19"/>
          <w:u w:val="single" w:color="auto"/>
          <w:color w:val="0000FF"/>
        </w:rPr>
        <w:t>136</w:t>
      </w:r>
      <w:r>
        <w:rPr>
          <w:rFonts w:ascii="Times New Roman" w:cs="Times New Roman" w:eastAsia="Times New Roman" w:hAnsi="Times New Roman"/>
          <w:sz w:val="19"/>
          <w:szCs w:val="19"/>
          <w:color w:val="auto"/>
        </w:rPr>
        <w:t xml:space="preserve"> SECTION 9.02. Waivers; Amendments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133</w:t>
      </w:r>
      <w:r>
        <w:rPr>
          <w:rFonts w:ascii="Times New Roman" w:cs="Times New Roman" w:eastAsia="Times New Roman" w:hAnsi="Times New Roman"/>
          <w:sz w:val="19"/>
          <w:szCs w:val="19"/>
          <w:u w:val="single" w:color="auto"/>
          <w:color w:val="0000FF"/>
        </w:rPr>
        <w:t>138</w:t>
      </w:r>
      <w:r>
        <w:rPr>
          <w:rFonts w:ascii="Times New Roman" w:cs="Times New Roman" w:eastAsia="Times New Roman" w:hAnsi="Times New Roman"/>
          <w:sz w:val="19"/>
          <w:szCs w:val="19"/>
          <w:color w:val="auto"/>
        </w:rPr>
        <w:t xml:space="preserve"> SECTION 9.03. Expenses; Indemnity; Damage Waiver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135</w:t>
      </w:r>
      <w:r>
        <w:rPr>
          <w:rFonts w:ascii="Times New Roman" w:cs="Times New Roman" w:eastAsia="Times New Roman" w:hAnsi="Times New Roman"/>
          <w:sz w:val="19"/>
          <w:szCs w:val="19"/>
          <w:u w:val="single" w:color="auto"/>
          <w:color w:val="0000FF"/>
        </w:rPr>
        <w:t>141</w:t>
      </w:r>
      <w:r>
        <w:rPr>
          <w:rFonts w:ascii="Times New Roman" w:cs="Times New Roman" w:eastAsia="Times New Roman" w:hAnsi="Times New Roman"/>
          <w:sz w:val="19"/>
          <w:szCs w:val="19"/>
          <w:color w:val="auto"/>
        </w:rPr>
        <w:t xml:space="preserve"> SECTION 9.04. Successors and Assigns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137</w:t>
      </w:r>
      <w:r>
        <w:rPr>
          <w:rFonts w:ascii="Times New Roman" w:cs="Times New Roman" w:eastAsia="Times New Roman" w:hAnsi="Times New Roman"/>
          <w:sz w:val="19"/>
          <w:szCs w:val="19"/>
          <w:u w:val="single" w:color="auto"/>
          <w:color w:val="0000FF"/>
        </w:rPr>
        <w:t>143</w:t>
      </w:r>
      <w:r>
        <w:rPr>
          <w:rFonts w:ascii="Times New Roman" w:cs="Times New Roman" w:eastAsia="Times New Roman" w:hAnsi="Times New Roman"/>
          <w:sz w:val="19"/>
          <w:szCs w:val="19"/>
          <w:color w:val="auto"/>
        </w:rPr>
        <w:t xml:space="preserve"> SECTION 9.05. Survival </w:t>
      </w:r>
      <w:r>
        <w:rPr>
          <w:rFonts w:ascii="Times New Roman" w:cs="Times New Roman" w:eastAsia="Times New Roman" w:hAnsi="Times New Roman"/>
          <w:sz w:val="19"/>
          <w:szCs w:val="19"/>
          <w:color w:val="FF0000"/>
          <w:strike w:val="1"/>
        </w:rPr>
        <w:t>142</w:t>
      </w:r>
      <w:r>
        <w:rPr>
          <w:rFonts w:ascii="Times New Roman" w:cs="Times New Roman" w:eastAsia="Times New Roman" w:hAnsi="Times New Roman"/>
          <w:sz w:val="19"/>
          <w:szCs w:val="19"/>
          <w:u w:val="single" w:color="auto"/>
          <w:color w:val="0000FF"/>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-172085</wp:posOffset>
            </wp:positionV>
            <wp:extent cx="3048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-26670</wp:posOffset>
            </wp:positionV>
            <wp:extent cx="3048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040" w:right="260"/>
        <w:spacing w:after="0" w:line="250" w:lineRule="auto"/>
        <w:rPr>
          <w:sz w:val="20"/>
          <w:szCs w:val="20"/>
          <w:color w:val="auto"/>
        </w:rPr>
      </w:pPr>
      <w:r>
        <w:rPr>
          <w:rFonts w:ascii="Times New Roman" w:cs="Times New Roman" w:eastAsia="Times New Roman" w:hAnsi="Times New Roman"/>
          <w:sz w:val="19"/>
          <w:szCs w:val="19"/>
          <w:color w:val="auto"/>
        </w:rPr>
        <w:t>SECTION 9.06. Counterparts; Integration; Effectiveness; Electronic Execution</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142</w:t>
      </w:r>
      <w:r>
        <w:rPr>
          <w:rFonts w:ascii="Times New Roman" w:cs="Times New Roman" w:eastAsia="Times New Roman" w:hAnsi="Times New Roman"/>
          <w:sz w:val="19"/>
          <w:szCs w:val="19"/>
          <w:u w:val="single" w:color="auto"/>
          <w:color w:val="0000FF"/>
        </w:rPr>
        <w:t>148</w:t>
      </w:r>
      <w:r>
        <w:rPr>
          <w:rFonts w:ascii="Times New Roman" w:cs="Times New Roman" w:eastAsia="Times New Roman" w:hAnsi="Times New Roman"/>
          <w:sz w:val="19"/>
          <w:szCs w:val="19"/>
          <w:color w:val="auto"/>
        </w:rPr>
        <w:t xml:space="preserve"> SECTION 9.07. Severability </w:t>
      </w:r>
      <w:r>
        <w:rPr>
          <w:rFonts w:ascii="Times New Roman" w:cs="Times New Roman" w:eastAsia="Times New Roman" w:hAnsi="Times New Roman"/>
          <w:sz w:val="19"/>
          <w:szCs w:val="19"/>
          <w:color w:val="FF0000"/>
          <w:strike w:val="1"/>
        </w:rPr>
        <w:t>143</w:t>
      </w:r>
      <w:r>
        <w:rPr>
          <w:rFonts w:ascii="Times New Roman" w:cs="Times New Roman" w:eastAsia="Times New Roman" w:hAnsi="Times New Roman"/>
          <w:sz w:val="19"/>
          <w:szCs w:val="19"/>
          <w:u w:val="single" w:color="auto"/>
          <w:color w:val="0000FF"/>
        </w:rPr>
        <w:t>149</w:t>
      </w:r>
      <w:r>
        <w:rPr>
          <w:rFonts w:ascii="Times New Roman" w:cs="Times New Roman" w:eastAsia="Times New Roman" w:hAnsi="Times New Roman"/>
          <w:sz w:val="19"/>
          <w:szCs w:val="19"/>
          <w:color w:val="auto"/>
        </w:rPr>
        <w:t xml:space="preserve"> SECTION 9.08. Right of Setoff </w:t>
      </w:r>
      <w:r>
        <w:rPr>
          <w:rFonts w:ascii="Times New Roman" w:cs="Times New Roman" w:eastAsia="Times New Roman" w:hAnsi="Times New Roman"/>
          <w:sz w:val="19"/>
          <w:szCs w:val="19"/>
          <w:color w:val="FF0000"/>
          <w:strike w:val="1"/>
        </w:rPr>
        <w:t>143</w:t>
      </w:r>
      <w:r>
        <w:rPr>
          <w:rFonts w:ascii="Times New Roman" w:cs="Times New Roman" w:eastAsia="Times New Roman" w:hAnsi="Times New Roman"/>
          <w:sz w:val="19"/>
          <w:szCs w:val="19"/>
          <w:u w:val="single" w:color="auto"/>
          <w:color w:val="0000FF"/>
        </w:rPr>
        <w:t>149</w:t>
      </w:r>
      <w:r>
        <w:rPr>
          <w:rFonts w:ascii="Times New Roman" w:cs="Times New Roman" w:eastAsia="Times New Roman" w:hAnsi="Times New Roman"/>
          <w:sz w:val="19"/>
          <w:szCs w:val="19"/>
          <w:color w:val="auto"/>
        </w:rPr>
        <w:t xml:space="preserve"> SECTION 9.09. Governing Law; Jurisdiction; Etc. </w:t>
      </w:r>
      <w:r>
        <w:rPr>
          <w:rFonts w:ascii="Times New Roman" w:cs="Times New Roman" w:eastAsia="Times New Roman" w:hAnsi="Times New Roman"/>
          <w:sz w:val="19"/>
          <w:szCs w:val="19"/>
          <w:color w:val="FF0000"/>
          <w:strike w:val="1"/>
        </w:rPr>
        <w:t>143</w:t>
      </w:r>
      <w:r>
        <w:rPr>
          <w:rFonts w:ascii="Times New Roman" w:cs="Times New Roman" w:eastAsia="Times New Roman" w:hAnsi="Times New Roman"/>
          <w:sz w:val="19"/>
          <w:szCs w:val="19"/>
          <w:u w:val="single" w:color="auto"/>
          <w:color w:val="0000FF"/>
        </w:rPr>
        <w:t>149</w:t>
      </w:r>
      <w:r>
        <w:rPr>
          <w:rFonts w:ascii="Times New Roman" w:cs="Times New Roman" w:eastAsia="Times New Roman" w:hAnsi="Times New Roman"/>
          <w:sz w:val="19"/>
          <w:szCs w:val="19"/>
          <w:color w:val="auto"/>
        </w:rPr>
        <w:t xml:space="preserve"> SECTION 9.10. WAIVER OF JURY TRIAL </w:t>
      </w:r>
      <w:r>
        <w:rPr>
          <w:rFonts w:ascii="Times New Roman" w:cs="Times New Roman" w:eastAsia="Times New Roman" w:hAnsi="Times New Roman"/>
          <w:sz w:val="19"/>
          <w:szCs w:val="19"/>
          <w:color w:val="FF0000"/>
          <w:strike w:val="1"/>
        </w:rPr>
        <w:t>144</w:t>
      </w:r>
      <w:r>
        <w:rPr>
          <w:rFonts w:ascii="Times New Roman" w:cs="Times New Roman" w:eastAsia="Times New Roman" w:hAnsi="Times New Roman"/>
          <w:sz w:val="19"/>
          <w:szCs w:val="19"/>
          <w:u w:val="single" w:color="auto"/>
          <w:color w:val="0000FF"/>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-316865</wp:posOffset>
            </wp:positionV>
            <wp:extent cx="3048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-26670</wp:posOffset>
            </wp:positionV>
            <wp:extent cx="3048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1040" w:right="1940"/>
        <w:spacing w:after="0" w:line="250" w:lineRule="auto"/>
        <w:rPr>
          <w:sz w:val="20"/>
          <w:szCs w:val="20"/>
          <w:color w:val="auto"/>
        </w:rPr>
      </w:pPr>
      <w:r>
        <w:rPr>
          <w:rFonts w:ascii="Times New Roman" w:cs="Times New Roman" w:eastAsia="Times New Roman" w:hAnsi="Times New Roman"/>
          <w:sz w:val="19"/>
          <w:szCs w:val="19"/>
          <w:color w:val="auto"/>
        </w:rPr>
        <w:t xml:space="preserve">SECTION 9.11. Judgment Currency </w:t>
      </w:r>
      <w:r>
        <w:rPr>
          <w:rFonts w:ascii="Times New Roman" w:cs="Times New Roman" w:eastAsia="Times New Roman" w:hAnsi="Times New Roman"/>
          <w:sz w:val="19"/>
          <w:szCs w:val="19"/>
          <w:color w:val="FF0000"/>
          <w:strike w:val="1"/>
        </w:rPr>
        <w:t>144</w:t>
      </w:r>
      <w:r>
        <w:rPr>
          <w:rFonts w:ascii="Times New Roman" w:cs="Times New Roman" w:eastAsia="Times New Roman" w:hAnsi="Times New Roman"/>
          <w:sz w:val="19"/>
          <w:szCs w:val="19"/>
          <w:u w:val="single" w:color="auto"/>
          <w:color w:val="0000FF"/>
        </w:rPr>
        <w:t>150</w:t>
      </w:r>
      <w:r>
        <w:rPr>
          <w:rFonts w:ascii="Times New Roman" w:cs="Times New Roman" w:eastAsia="Times New Roman" w:hAnsi="Times New Roman"/>
          <w:sz w:val="19"/>
          <w:szCs w:val="19"/>
          <w:color w:val="auto"/>
        </w:rPr>
        <w:t xml:space="preserve"> SECTION 9.12. Headings </w:t>
      </w:r>
      <w:r>
        <w:rPr>
          <w:rFonts w:ascii="Times New Roman" w:cs="Times New Roman" w:eastAsia="Times New Roman" w:hAnsi="Times New Roman"/>
          <w:sz w:val="19"/>
          <w:szCs w:val="19"/>
          <w:color w:val="FF0000"/>
          <w:strike w:val="1"/>
        </w:rPr>
        <w:t>145</w:t>
      </w:r>
      <w:r>
        <w:rPr>
          <w:rFonts w:ascii="Times New Roman" w:cs="Times New Roman" w:eastAsia="Times New Roman" w:hAnsi="Times New Roman"/>
          <w:sz w:val="19"/>
          <w:szCs w:val="19"/>
          <w:u w:val="single" w:color="auto"/>
          <w:color w:val="0000FF"/>
        </w:rPr>
        <w:t>151</w:t>
      </w:r>
      <w:r>
        <w:rPr>
          <w:rFonts w:ascii="Times New Roman" w:cs="Times New Roman" w:eastAsia="Times New Roman" w:hAnsi="Times New Roman"/>
          <w:sz w:val="19"/>
          <w:szCs w:val="19"/>
          <w:color w:val="auto"/>
        </w:rPr>
        <w:t xml:space="preserve"> SECTION 9.13. Treatment of Certain Information; No Fiduciary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-172085</wp:posOffset>
            </wp:positionV>
            <wp:extent cx="3048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-172085</wp:posOffset>
            </wp:positionV>
            <wp:extent cx="3048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700" w:right="860" w:firstLine="1272"/>
        <w:spacing w:after="0" w:line="262" w:lineRule="auto"/>
        <w:rPr>
          <w:sz w:val="20"/>
          <w:szCs w:val="20"/>
          <w:color w:val="auto"/>
        </w:rPr>
      </w:pPr>
      <w:r>
        <w:rPr>
          <w:rFonts w:ascii="Times New Roman" w:cs="Times New Roman" w:eastAsia="Times New Roman" w:hAnsi="Times New Roman"/>
          <w:sz w:val="19"/>
          <w:szCs w:val="19"/>
          <w:color w:val="auto"/>
        </w:rPr>
        <w:t>Confidentiality</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145</w:t>
      </w:r>
      <w:r>
        <w:rPr>
          <w:rFonts w:ascii="Times New Roman" w:cs="Times New Roman" w:eastAsia="Times New Roman" w:hAnsi="Times New Roman"/>
          <w:sz w:val="19"/>
          <w:szCs w:val="19"/>
          <w:u w:val="single" w:color="auto"/>
          <w:color w:val="0000FF"/>
        </w:rPr>
        <w:t>151</w:t>
      </w:r>
      <w:r>
        <w:rPr>
          <w:rFonts w:ascii="Times New Roman" w:cs="Times New Roman" w:eastAsia="Times New Roman" w:hAnsi="Times New Roman"/>
          <w:sz w:val="19"/>
          <w:szCs w:val="19"/>
          <w:color w:val="auto"/>
        </w:rPr>
        <w:t xml:space="preserve"> SECTION 9.14. USA PATRIOT Act </w:t>
      </w:r>
      <w:r>
        <w:rPr>
          <w:rFonts w:ascii="Times New Roman" w:cs="Times New Roman" w:eastAsia="Times New Roman" w:hAnsi="Times New Roman"/>
          <w:sz w:val="19"/>
          <w:szCs w:val="19"/>
          <w:color w:val="FF0000"/>
          <w:strike w:val="1"/>
        </w:rPr>
        <w:t>147</w:t>
      </w:r>
      <w:r>
        <w:rPr>
          <w:rFonts w:ascii="Times New Roman" w:cs="Times New Roman" w:eastAsia="Times New Roman" w:hAnsi="Times New Roman"/>
          <w:sz w:val="19"/>
          <w:szCs w:val="19"/>
          <w:u w:val="single" w:color="auto"/>
          <w:color w:val="0000FF"/>
        </w:rPr>
        <w:t>153</w:t>
      </w:r>
      <w:r>
        <w:rPr>
          <w:rFonts w:ascii="Times New Roman" w:cs="Times New Roman" w:eastAsia="Times New Roman" w:hAnsi="Times New Roman"/>
          <w:sz w:val="19"/>
          <w:szCs w:val="19"/>
          <w:color w:val="auto"/>
        </w:rPr>
        <w:t xml:space="preserve"> SECTION 9.15. Effect of Amendment and Restatement of the Existing Credit Agreement </w:t>
      </w:r>
      <w:r>
        <w:rPr>
          <w:rFonts w:ascii="Times New Roman" w:cs="Times New Roman" w:eastAsia="Times New Roman" w:hAnsi="Times New Roman"/>
          <w:sz w:val="19"/>
          <w:szCs w:val="19"/>
          <w:color w:val="FF0000"/>
          <w:strike w:val="1"/>
        </w:rPr>
        <w:t>147</w:t>
      </w:r>
      <w:r>
        <w:rPr>
          <w:rFonts w:ascii="Times New Roman" w:cs="Times New Roman" w:eastAsia="Times New Roman" w:hAnsi="Times New Roman"/>
          <w:sz w:val="19"/>
          <w:szCs w:val="19"/>
          <w:u w:val="single" w:color="auto"/>
          <w:color w:val="0000FF"/>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-186055</wp:posOffset>
            </wp:positionV>
            <wp:extent cx="3048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4820920</wp:posOffset>
            </wp:positionH>
            <wp:positionV relativeFrom="paragraph">
              <wp:posOffset>-41275</wp:posOffset>
            </wp:positionV>
            <wp:extent cx="3048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 xml:space="preserve">SECTION 9.16. [Reserved] </w:t>
      </w:r>
      <w:r>
        <w:rPr>
          <w:rFonts w:ascii="Times New Roman" w:cs="Times New Roman" w:eastAsia="Times New Roman" w:hAnsi="Times New Roman"/>
          <w:sz w:val="19"/>
          <w:szCs w:val="19"/>
          <w:color w:val="FF0000"/>
          <w:strike w:val="1"/>
        </w:rPr>
        <w:t>147</w:t>
      </w:r>
      <w:r>
        <w:rPr>
          <w:rFonts w:ascii="Times New Roman" w:cs="Times New Roman" w:eastAsia="Times New Roman" w:hAnsi="Times New Roman"/>
          <w:sz w:val="19"/>
          <w:szCs w:val="19"/>
          <w:u w:val="single" w:color="auto"/>
          <w:color w:val="0000FF"/>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-7620</wp:posOffset>
            </wp:positionV>
            <wp:extent cx="3048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9.17. Acknowledgement and Consent to Bail-In of Affected Financial Institutions </w:t>
      </w:r>
      <w:r>
        <w:rPr>
          <w:rFonts w:ascii="Times New Roman" w:cs="Times New Roman" w:eastAsia="Times New Roman" w:hAnsi="Times New Roman"/>
          <w:sz w:val="19"/>
          <w:szCs w:val="19"/>
          <w:color w:val="FF0000"/>
          <w:strike w:val="1"/>
        </w:rPr>
        <w:t>147</w:t>
      </w:r>
      <w:r>
        <w:rPr>
          <w:rFonts w:ascii="Times New Roman" w:cs="Times New Roman" w:eastAsia="Times New Roman" w:hAnsi="Times New Roman"/>
          <w:sz w:val="19"/>
          <w:szCs w:val="19"/>
          <w:u w:val="single" w:color="auto"/>
          <w:color w:val="0000FF"/>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4973320</wp:posOffset>
            </wp:positionH>
            <wp:positionV relativeFrom="paragraph">
              <wp:posOffset>-7620</wp:posOffset>
            </wp:positionV>
            <wp:extent cx="3048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86" w:lineRule="exact"/>
        <w:rPr>
          <w:sz w:val="20"/>
          <w:szCs w:val="20"/>
          <w:color w:val="auto"/>
        </w:rPr>
      </w:pPr>
    </w:p>
    <w:p>
      <w:pPr>
        <w:ind w:left="1040" w:right="260"/>
        <w:spacing w:after="0" w:line="286" w:lineRule="auto"/>
        <w:rPr>
          <w:sz w:val="20"/>
          <w:szCs w:val="20"/>
          <w:color w:val="auto"/>
        </w:rPr>
      </w:pPr>
      <w:r>
        <w:rPr>
          <w:rFonts w:ascii="Times New Roman" w:cs="Times New Roman" w:eastAsia="Times New Roman" w:hAnsi="Times New Roman"/>
          <w:sz w:val="19"/>
          <w:szCs w:val="19"/>
          <w:color w:val="auto"/>
        </w:rPr>
        <w:t xml:space="preserve">SECTION 9.18. Certain ERISA Matters </w:t>
      </w:r>
      <w:r>
        <w:rPr>
          <w:rFonts w:ascii="Times New Roman" w:cs="Times New Roman" w:eastAsia="Times New Roman" w:hAnsi="Times New Roman"/>
          <w:sz w:val="19"/>
          <w:szCs w:val="19"/>
          <w:color w:val="FF0000"/>
          <w:strike w:val="1"/>
        </w:rPr>
        <w:t>148</w:t>
      </w:r>
      <w:r>
        <w:rPr>
          <w:rFonts w:ascii="Times New Roman" w:cs="Times New Roman" w:eastAsia="Times New Roman" w:hAnsi="Times New Roman"/>
          <w:sz w:val="19"/>
          <w:szCs w:val="19"/>
          <w:u w:val="single" w:color="auto"/>
          <w:color w:val="0000FF"/>
        </w:rPr>
        <w:t>154</w:t>
      </w:r>
      <w:r>
        <w:rPr>
          <w:rFonts w:ascii="Times New Roman" w:cs="Times New Roman" w:eastAsia="Times New Roman" w:hAnsi="Times New Roman"/>
          <w:sz w:val="19"/>
          <w:szCs w:val="19"/>
          <w:color w:val="auto"/>
        </w:rPr>
        <w:t xml:space="preserve"> SECTION 9.19. Acknowledgement Regarding Any Supported QFCs </w:t>
      </w:r>
      <w:r>
        <w:rPr>
          <w:rFonts w:ascii="Times New Roman" w:cs="Times New Roman" w:eastAsia="Times New Roman" w:hAnsi="Times New Roman"/>
          <w:sz w:val="19"/>
          <w:szCs w:val="19"/>
          <w:color w:val="FF0000"/>
          <w:strike w:val="1"/>
        </w:rPr>
        <w:t>149</w:t>
      </w:r>
      <w:r>
        <w:rPr>
          <w:rFonts w:ascii="Times New Roman" w:cs="Times New Roman" w:eastAsia="Times New Roman" w:hAnsi="Times New Roman"/>
          <w:sz w:val="19"/>
          <w:szCs w:val="19"/>
          <w:u w:val="single" w:color="auto"/>
          <w:color w:val="0000FF"/>
        </w:rPr>
        <w:t>155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SECTION 9.20. Interest Rate Limitation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-55245</wp:posOffset>
            </wp:positionV>
            <wp:extent cx="3048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FF0000"/>
          <w:strike w:val="1"/>
        </w:rPr>
        <w:t>4</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u w:val="single" w:color="auto"/>
          <w:color w:val="0000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879475</wp:posOffset>
            </wp:positionV>
            <wp:extent cx="673290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80"/>
          </w:cols>
          <w:pgMar w:left="1440" w:top="1419" w:right="1380"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 w:right="2040"/>
        <w:spacing w:after="0" w:line="262" w:lineRule="auto"/>
        <w:rPr>
          <w:sz w:val="20"/>
          <w:szCs w:val="20"/>
          <w:color w:val="auto"/>
        </w:rPr>
      </w:pPr>
      <w:r>
        <w:rPr>
          <w:rFonts w:ascii="Times New Roman" w:cs="Times New Roman" w:eastAsia="Times New Roman" w:hAnsi="Times New Roman"/>
          <w:sz w:val="19"/>
          <w:szCs w:val="19"/>
          <w:color w:val="auto"/>
        </w:rPr>
        <w:t>SCHEDULE 1.01(a) - Approved Dealers and Approved Pricing Services SCHEDULE 1.01(b) - Commitments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SCHEDULE 1.01(c) - Industry Classification Group List SCHEDULE 2.04</w:t>
      </w:r>
    </w:p>
    <w:p>
      <w:pPr>
        <w:spacing w:after="0" w:line="10" w:lineRule="exact"/>
        <w:rPr>
          <w:sz w:val="20"/>
          <w:szCs w:val="20"/>
          <w:color w:val="auto"/>
        </w:rPr>
      </w:pPr>
    </w:p>
    <w:p>
      <w:pPr>
        <w:ind w:left="340" w:right="3080" w:hanging="10"/>
        <w:spacing w:after="0" w:line="250" w:lineRule="auto"/>
        <w:tabs>
          <w:tab w:leader="none" w:pos="452"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Swingline Lender Swingline Sublimit SCHEDULE 2.05 - Issuing Bank LC Exposure SCHEDULE 3.11 - Material Agreements and Liens SCHEDULE 3.12(a) - Subsidiaries</w:t>
      </w:r>
    </w:p>
    <w:p>
      <w:pPr>
        <w:spacing w:after="0" w:line="1" w:lineRule="exact"/>
        <w:rPr>
          <w:rFonts w:ascii="Times New Roman" w:cs="Times New Roman" w:eastAsia="Times New Roman" w:hAnsi="Times New Roman"/>
          <w:sz w:val="19"/>
          <w:szCs w:val="19"/>
          <w:color w:val="auto"/>
        </w:rPr>
      </w:pPr>
    </w:p>
    <w:p>
      <w:pPr>
        <w:ind w:left="340" w:right="500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SCHEDULE 3.12(b) - Investments SCHEDULE 6.08 -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right="2920"/>
        <w:spacing w:after="0" w:line="286" w:lineRule="auto"/>
        <w:rPr>
          <w:sz w:val="20"/>
          <w:szCs w:val="20"/>
          <w:color w:val="auto"/>
        </w:rPr>
      </w:pPr>
      <w:r>
        <w:rPr>
          <w:rFonts w:ascii="Times New Roman" w:cs="Times New Roman" w:eastAsia="Times New Roman" w:hAnsi="Times New Roman"/>
          <w:sz w:val="19"/>
          <w:szCs w:val="19"/>
          <w:color w:val="auto"/>
        </w:rPr>
        <w:t>EXHIBIT A - Form of Assignment and Assumption EXHIBIT B - Form of Borrowing Base Certificate EXHIBIT C - Form of Borrowing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u w:val="single" w:color="auto"/>
          <w:color w:val="0000FF"/>
        </w:rPr>
        <w:t>-i-</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FF0000"/>
          <w:strike w:val="1"/>
        </w:rPr>
        <w:t>753176866 11299570</w:t>
      </w:r>
      <w:r>
        <w:rPr>
          <w:rFonts w:ascii="Times New Roman" w:cs="Times New Roman" w:eastAsia="Times New Roman" w:hAnsi="Times New Roman"/>
          <w:sz w:val="19"/>
          <w:szCs w:val="19"/>
          <w:u w:val="single" w:color="auto"/>
          <w:color w:val="0000FF"/>
          <w:strike w:val="1"/>
        </w:rPr>
        <w:t>763630265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186055</wp:posOffset>
            </wp:positionV>
            <wp:extent cx="67329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6" w:name="page107"/>
    <w:bookmarkEnd w:id="106"/>
    <w:p>
      <w:pPr>
        <w:ind w:left="340"/>
        <w:spacing w:after="0"/>
        <w:rPr>
          <w:sz w:val="20"/>
          <w:szCs w:val="20"/>
          <w:color w:val="auto"/>
        </w:rPr>
      </w:pPr>
      <w:r>
        <w:rPr>
          <w:rFonts w:ascii="Times New Roman" w:cs="Times New Roman" w:eastAsia="Times New Roman" w:hAnsi="Times New Roman"/>
          <w:sz w:val="19"/>
          <w:szCs w:val="19"/>
          <w:b w:val="1"/>
          <w:bCs w:val="1"/>
          <w:color w:val="FF0000"/>
          <w:strike w:val="1"/>
        </w:rPr>
        <w:t>EXECUTION VERSION</w:t>
      </w:r>
    </w:p>
    <w:p>
      <w:pPr>
        <w:spacing w:after="0" w:line="3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SECOND AMENDED AND RESTATED SENIOR SECURED REVOLVING</w:t>
      </w:r>
    </w:p>
    <w:p>
      <w:pPr>
        <w:spacing w:after="0" w:line="32" w:lineRule="exact"/>
        <w:rPr>
          <w:sz w:val="20"/>
          <w:szCs w:val="20"/>
          <w:color w:val="auto"/>
        </w:rPr>
      </w:pPr>
    </w:p>
    <w:p>
      <w:pPr>
        <w:ind w:left="340" w:right="140"/>
        <w:spacing w:after="0" w:line="250" w:lineRule="auto"/>
        <w:rPr>
          <w:sz w:val="20"/>
          <w:szCs w:val="20"/>
          <w:color w:val="auto"/>
        </w:rPr>
      </w:pPr>
      <w:r>
        <w:rPr>
          <w:rFonts w:ascii="Times New Roman" w:cs="Times New Roman" w:eastAsia="Times New Roman" w:hAnsi="Times New Roman"/>
          <w:sz w:val="19"/>
          <w:szCs w:val="19"/>
          <w:color w:val="auto"/>
        </w:rPr>
        <w:t>CREDIT AGREEMENT dated as of February 27, 2014, as amended as of June 3, 2014, as of June 27, 2014, as of October 17, 2014, as of October 2, 2015, as of December 22, 2016, as of</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February 20, 2018, as of November 5, 2018, as of February 14, 2019, as of January 31, 2020,</w:t>
      </w:r>
    </w:p>
    <w:p>
      <w:pPr>
        <w:spacing w:after="0" w:line="10" w:lineRule="exact"/>
        <w:rPr>
          <w:sz w:val="20"/>
          <w:szCs w:val="20"/>
          <w:color w:val="auto"/>
        </w:rPr>
      </w:pPr>
    </w:p>
    <w:p>
      <w:pPr>
        <w:ind w:left="340" w:right="260"/>
        <w:spacing w:after="0" w:line="254" w:lineRule="auto"/>
        <w:rPr>
          <w:sz w:val="20"/>
          <w:szCs w:val="20"/>
          <w:color w:val="auto"/>
        </w:rPr>
      </w:pPr>
      <w:r>
        <w:rPr>
          <w:rFonts w:ascii="Times New Roman" w:cs="Times New Roman" w:eastAsia="Times New Roman" w:hAnsi="Times New Roman"/>
          <w:sz w:val="19"/>
          <w:szCs w:val="19"/>
          <w:color w:val="auto"/>
        </w:rPr>
        <w:t xml:space="preserve">February 5, 2021, December 14, 2021, April 25, 2022, May 19, 2022,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auto"/>
        </w:rPr>
        <w:t xml:space="preserve"> June 12, 2023</w:t>
      </w:r>
      <w:r>
        <w:rPr>
          <w:rFonts w:ascii="Times New Roman" w:cs="Times New Roman" w:eastAsia="Times New Roman" w:hAnsi="Times New Roman"/>
          <w:sz w:val="19"/>
          <w:szCs w:val="19"/>
          <w:u w:val="single" w:color="auto"/>
          <w:color w:val="0000FF"/>
        </w:rPr>
        <w:t>, and April 24, 2024</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among SIXTH STREET SPECIALTY LENDING, INC. (F/K/A TPG Specialty Lending,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LENDERS party hereto, and TRUIST BANK, as Administrative Agent.</w:t>
      </w:r>
    </w:p>
    <w:p>
      <w:pPr>
        <w:spacing w:after="0" w:line="15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9"/>
          <w:szCs w:val="19"/>
          <w:color w:val="auto"/>
        </w:rPr>
        <w:t>The original Senior Secured Revolving Credit Agreement was dated as of August 23,</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2012 and was amended and restated pursuant to the Amended and Restated Senior Secured Revolving Credit</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Agreement dated as of July 2, 2013 (as amended, supplemented or otherwise modified prior to the Effective</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Date,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among the Borrower, the lenders party thereto (collectively, the</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Lenders</w:t>
      </w:r>
      <w:r>
        <w:rPr>
          <w:rFonts w:ascii="Times New Roman" w:cs="Times New Roman" w:eastAsia="Times New Roman" w:hAnsi="Times New Roman"/>
          <w:sz w:val="19"/>
          <w:szCs w:val="19"/>
          <w:color w:val="auto"/>
        </w:rPr>
        <w:t>”) and the Administrative Agent, the Existing Lenders agreed to make extensions of credit to</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Borrower on the terms and conditions set forth therein, including making loans (the “</w:t>
      </w:r>
      <w:r>
        <w:rPr>
          <w:rFonts w:ascii="Times New Roman" w:cs="Times New Roman" w:eastAsia="Times New Roman" w:hAnsi="Times New Roman"/>
          <w:sz w:val="19"/>
          <w:szCs w:val="19"/>
          <w:u w:val="single" w:color="auto"/>
          <w:color w:val="auto"/>
        </w:rPr>
        <w:t>Existing Loans</w:t>
      </w:r>
      <w:r>
        <w:rPr>
          <w:rFonts w:ascii="Times New Roman" w:cs="Times New Roman" w:eastAsia="Times New Roman" w:hAnsi="Times New Roman"/>
          <w:sz w:val="19"/>
          <w:szCs w:val="19"/>
          <w:color w:val="auto"/>
        </w:rPr>
        <w:t>”) to</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Borrower.</w:t>
      </w:r>
    </w:p>
    <w:p>
      <w:pPr>
        <w:spacing w:after="0" w:line="180" w:lineRule="exact"/>
        <w:rPr>
          <w:sz w:val="20"/>
          <w:szCs w:val="20"/>
          <w:color w:val="auto"/>
        </w:rPr>
      </w:pPr>
    </w:p>
    <w:p>
      <w:pPr>
        <w:ind w:left="340" w:right="100" w:firstLine="1728"/>
        <w:spacing w:after="0" w:line="253" w:lineRule="auto"/>
        <w:rPr>
          <w:sz w:val="20"/>
          <w:szCs w:val="20"/>
          <w:color w:val="auto"/>
        </w:rPr>
      </w:pPr>
      <w:r>
        <w:rPr>
          <w:rFonts w:ascii="Times New Roman" w:cs="Times New Roman" w:eastAsia="Times New Roman" w:hAnsi="Times New Roman"/>
          <w:sz w:val="19"/>
          <w:szCs w:val="19"/>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61" w:lineRule="exact"/>
        <w:rPr>
          <w:sz w:val="20"/>
          <w:szCs w:val="20"/>
          <w:color w:val="auto"/>
        </w:rPr>
      </w:pPr>
    </w:p>
    <w:p>
      <w:pPr>
        <w:ind w:left="340" w:right="140" w:firstLine="1728"/>
        <w:spacing w:after="0" w:line="286" w:lineRule="auto"/>
        <w:rPr>
          <w:sz w:val="20"/>
          <w:szCs w:val="20"/>
          <w:color w:val="auto"/>
        </w:rPr>
      </w:pPr>
      <w:r>
        <w:rPr>
          <w:rFonts w:ascii="Times New Roman" w:cs="Times New Roman" w:eastAsia="Times New Roman" w:hAnsi="Times New Roman"/>
          <w:sz w:val="19"/>
          <w:szCs w:val="19"/>
          <w:color w:val="auto"/>
        </w:rPr>
        <w:t>The parties hereto hereby agree to amend and restate the Existing Credit Agreement, and the Existing Credit Agreement is hereby amended and restated in its entirety as follows:</w:t>
      </w:r>
    </w:p>
    <w:p>
      <w:pPr>
        <w:spacing w:after="0" w:line="1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color w:val="auto"/>
        </w:rPr>
        <w:t>ARTICLE</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color w:val="auto"/>
        </w:rPr>
        <w:t>I</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u w:val="single" w:color="auto"/>
          <w:color w:val="auto"/>
        </w:rPr>
        <w:t>DEFINITIONS</w:t>
      </w:r>
    </w:p>
    <w:p>
      <w:pPr>
        <w:spacing w:after="0" w:line="10" w:lineRule="exact"/>
        <w:rPr>
          <w:sz w:val="20"/>
          <w:szCs w:val="20"/>
          <w:color w:val="auto"/>
        </w:rPr>
      </w:pPr>
    </w:p>
    <w:p>
      <w:pPr>
        <w:ind w:left="340" w:right="1400" w:firstLine="708"/>
        <w:spacing w:after="0" w:line="262" w:lineRule="auto"/>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638810</wp:posOffset>
            </wp:positionV>
            <wp:extent cx="67329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131" w:right="1440" w:bottom="1440" w:gutter="0" w:footer="0" w:header="0"/>
        </w:sectPr>
      </w:pPr>
    </w:p>
    <w:bookmarkStart w:id="107" w:name="page108"/>
    <w:bookmarkEnd w:id="107"/>
    <w:p>
      <w:pPr>
        <w:spacing w:after="0" w:line="2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2024 Notes</w:t>
      </w:r>
      <w:r>
        <w:rPr>
          <w:rFonts w:ascii="Times New Roman" w:cs="Times New Roman" w:eastAsia="Times New Roman" w:hAnsi="Times New Roman"/>
          <w:sz w:val="19"/>
          <w:szCs w:val="19"/>
          <w:color w:val="auto"/>
        </w:rPr>
        <w:t>” means the Borrower’s $350,000,000 aggregate principal amount notes due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November 2024.</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2026 Notes</w:t>
      </w:r>
      <w:r>
        <w:rPr>
          <w:rFonts w:ascii="Times New Roman" w:cs="Times New Roman" w:eastAsia="Times New Roman" w:hAnsi="Times New Roman"/>
          <w:sz w:val="19"/>
          <w:szCs w:val="19"/>
          <w:color w:val="auto"/>
        </w:rPr>
        <w:t>” means the Borrower’s $300,000,000 aggregate principal amount notes due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August 2026.</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u w:val="single" w:color="auto"/>
          <w:color w:val="0000FF"/>
        </w:rPr>
        <w:t>“2028 Notes” means the Borrower’s $300,000,000 aggregate principal amount notes due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0000FF"/>
        </w:rPr>
        <w:t>August 2028.</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u w:val="single" w:color="auto"/>
          <w:color w:val="0000FF"/>
        </w:rPr>
        <w:t>“2029 Notes” means the Borrower’s $350,000,000 aggregate principal amount notes due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0000FF"/>
        </w:rPr>
        <w:t>March 2029.</w:t>
      </w:r>
    </w:p>
    <w:p>
      <w:pPr>
        <w:spacing w:after="0" w:line="180" w:lineRule="exact"/>
        <w:rPr>
          <w:sz w:val="20"/>
          <w:szCs w:val="20"/>
          <w:color w:val="auto"/>
        </w:rPr>
      </w:pPr>
    </w:p>
    <w:p>
      <w:pPr>
        <w:ind w:left="1060" w:right="24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ABR</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denominated in Dollars and bearing interest at a rate determined by reference to the Alternate Base Rate.</w:t>
      </w:r>
    </w:p>
    <w:p>
      <w:pPr>
        <w:spacing w:after="0" w:line="144" w:lineRule="exact"/>
        <w:rPr>
          <w:sz w:val="20"/>
          <w:szCs w:val="20"/>
          <w:color w:val="auto"/>
        </w:rPr>
      </w:pPr>
    </w:p>
    <w:p>
      <w:pPr>
        <w:ind w:left="1060" w:right="32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Covered Debt Balance</w:t>
      </w:r>
      <w:r>
        <w:rPr>
          <w:rFonts w:ascii="Times New Roman" w:cs="Times New Roman" w:eastAsia="Times New Roman" w:hAnsi="Times New Roman"/>
          <w:sz w:val="19"/>
          <w:szCs w:val="19"/>
          <w:color w:val="auto"/>
        </w:rPr>
        <w:t xml:space="preserve">” means, on any date, the aggregate Covered Debt Amount on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50" w:lineRule="exact"/>
        <w:rPr>
          <w:sz w:val="20"/>
          <w:szCs w:val="20"/>
          <w:color w:val="auto"/>
        </w:rPr>
      </w:pPr>
    </w:p>
    <w:p>
      <w:pPr>
        <w:ind w:left="1060" w:right="24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Benchmark Rate</w:t>
      </w:r>
      <w:r>
        <w:rPr>
          <w:rFonts w:ascii="Times New Roman" w:cs="Times New Roman" w:eastAsia="Times New Roman" w:hAnsi="Times New Roman"/>
          <w:sz w:val="19"/>
          <w:szCs w:val="19"/>
          <w:color w:val="auto"/>
        </w:rPr>
        <w:t>” means an interest rate per annum (rounded upwards, if necessary, to the next 1/100 of 1%) equal to the Term Benchmark Rate for such Interest Period for such Currency.</w:t>
      </w:r>
    </w:p>
    <w:p>
      <w:pPr>
        <w:spacing w:after="0" w:line="1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means Truist, in its capacity as administrative agent for the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Lenders hereunder.</w:t>
      </w:r>
    </w:p>
    <w:p>
      <w:pPr>
        <w:spacing w:after="0" w:line="180" w:lineRule="exact"/>
        <w:rPr>
          <w:sz w:val="20"/>
          <w:szCs w:val="20"/>
          <w:color w:val="auto"/>
        </w:rPr>
      </w:pPr>
    </w:p>
    <w:p>
      <w:pPr>
        <w:ind w:left="1060" w:right="140" w:firstLine="1740"/>
        <w:spacing w:after="0" w:line="286" w:lineRule="auto"/>
        <w:rPr>
          <w:sz w:val="20"/>
          <w:szCs w:val="20"/>
          <w:color w:val="auto"/>
        </w:rPr>
      </w:pPr>
      <w:r>
        <w:rPr>
          <w:rFonts w:ascii="Times New Roman" w:cs="Times New Roman" w:eastAsia="Times New Roman" w:hAnsi="Times New Roman"/>
          <w:sz w:val="19"/>
          <w:szCs w:val="19"/>
          <w:u w:val="single" w:color="auto"/>
          <w:color w:val="007F00"/>
        </w:rPr>
        <w:t>“Administrative Agent Appraisal Testing Period” has the meaning assigned to such term in Section 5.12(b)(ii)(E)(y).</w:t>
      </w:r>
    </w:p>
    <w:p>
      <w:pPr>
        <w:spacing w:after="0" w:line="127" w:lineRule="exact"/>
        <w:rPr>
          <w:sz w:val="20"/>
          <w:szCs w:val="20"/>
          <w:color w:val="auto"/>
        </w:rPr>
      </w:pPr>
    </w:p>
    <w:p>
      <w:pPr>
        <w:ind w:left="1060" w:right="3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Agent’s Account</w:t>
      </w:r>
      <w:r>
        <w:rPr>
          <w:rFonts w:ascii="Times New Roman" w:cs="Times New Roman" w:eastAsia="Times New Roman" w:hAnsi="Times New Roman"/>
          <w:sz w:val="19"/>
          <w:szCs w:val="19"/>
          <w:color w:val="auto"/>
        </w:rPr>
        <w:t>” means, for each Currency, an account in respect of such Currency designated by the Administrative Agent in a notice to the Borrower and the Lenders.</w:t>
      </w:r>
    </w:p>
    <w:p>
      <w:pPr>
        <w:spacing w:after="0" w:line="127" w:lineRule="exact"/>
        <w:rPr>
          <w:sz w:val="20"/>
          <w:szCs w:val="20"/>
          <w:color w:val="auto"/>
        </w:rPr>
      </w:pPr>
    </w:p>
    <w:p>
      <w:pPr>
        <w:ind w:left="1060" w:right="160" w:firstLine="1716"/>
        <w:spacing w:after="0" w:line="286" w:lineRule="auto"/>
        <w:rPr>
          <w:sz w:val="20"/>
          <w:szCs w:val="20"/>
          <w:color w:val="auto"/>
        </w:rPr>
      </w:pPr>
      <w:r>
        <w:rPr>
          <w:rFonts w:ascii="Times New Roman" w:cs="Times New Roman" w:eastAsia="Times New Roman" w:hAnsi="Times New Roman"/>
          <w:sz w:val="19"/>
          <w:szCs w:val="19"/>
          <w:color w:val="007F00"/>
          <w:strike w:val="1"/>
        </w:rPr>
        <w:t>“</w:t>
      </w:r>
      <w:r>
        <w:rPr>
          <w:rFonts w:ascii="Times New Roman" w:cs="Times New Roman" w:eastAsia="Times New Roman" w:hAnsi="Times New Roman"/>
          <w:sz w:val="19"/>
          <w:szCs w:val="19"/>
          <w:u w:val="single" w:color="auto"/>
          <w:color w:val="007F00"/>
          <w:strike w:val="1"/>
        </w:rPr>
        <w:t>Administrative Agent Appraisal Testing Period</w:t>
      </w:r>
      <w:r>
        <w:rPr>
          <w:rFonts w:ascii="Times New Roman" w:cs="Times New Roman" w:eastAsia="Times New Roman" w:hAnsi="Times New Roman"/>
          <w:sz w:val="19"/>
          <w:szCs w:val="19"/>
          <w:color w:val="007F00"/>
          <w:strike w:val="1"/>
        </w:rPr>
        <w:t xml:space="preserve">” has the meaning assigned to such term in </w:t>
      </w:r>
      <w:r>
        <w:rPr>
          <w:rFonts w:ascii="Times New Roman" w:cs="Times New Roman" w:eastAsia="Times New Roman" w:hAnsi="Times New Roman"/>
          <w:sz w:val="19"/>
          <w:szCs w:val="19"/>
          <w:u w:val="single" w:color="auto"/>
          <w:color w:val="007F00"/>
          <w:strike w:val="1"/>
        </w:rPr>
        <w:t>Section 5.12(b)(ii)(E)(y)</w:t>
      </w:r>
      <w:r>
        <w:rPr>
          <w:rFonts w:ascii="Times New Roman" w:cs="Times New Roman" w:eastAsia="Times New Roman" w:hAnsi="Times New Roman"/>
          <w:sz w:val="19"/>
          <w:szCs w:val="19"/>
          <w:color w:val="007F00"/>
          <w:strike w:val="1"/>
        </w:rPr>
        <w:t>.</w:t>
      </w:r>
    </w:p>
    <w:p>
      <w:pPr>
        <w:spacing w:after="0" w:line="127" w:lineRule="exact"/>
        <w:rPr>
          <w:sz w:val="20"/>
          <w:szCs w:val="20"/>
          <w:color w:val="auto"/>
        </w:rPr>
      </w:pPr>
    </w:p>
    <w:p>
      <w:pPr>
        <w:ind w:left="1060" w:right="80" w:firstLine="171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Questionnaire</w:t>
      </w:r>
      <w:r>
        <w:rPr>
          <w:rFonts w:ascii="Times New Roman" w:cs="Times New Roman" w:eastAsia="Times New Roman" w:hAnsi="Times New Roman"/>
          <w:sz w:val="19"/>
          <w:szCs w:val="19"/>
          <w:color w:val="auto"/>
        </w:rPr>
        <w:t>” means an administrative questionnaire in a form supplied by the Administrative Agent.</w:t>
      </w:r>
    </w:p>
    <w:p>
      <w:pPr>
        <w:spacing w:after="0" w:line="1" w:lineRule="exact"/>
        <w:rPr>
          <w:sz w:val="20"/>
          <w:szCs w:val="20"/>
          <w:color w:val="auto"/>
        </w:rPr>
      </w:pPr>
    </w:p>
    <w:p>
      <w:pPr>
        <w:ind w:left="2460" w:right="12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Advance Rate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Affected Currency</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means (a) any EEA Financial Institution or (b)</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any UK Financial Institution.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08" w:name="page109"/>
    <w:bookmarkEnd w:id="108"/>
    <w:p>
      <w:pPr>
        <w:spacing w:after="0" w:line="269" w:lineRule="exact"/>
        <w:rPr>
          <w:sz w:val="20"/>
          <w:szCs w:val="20"/>
          <w:color w:val="auto"/>
        </w:rPr>
      </w:pPr>
    </w:p>
    <w:p>
      <w:pPr>
        <w:ind w:left="1060" w:right="40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 specified Person at any time, another Person that directly, or indirectly through one or more intermediaries, Controls or is Controlled by or is under common Control with the Person specified at such time.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57" w:lineRule="exact"/>
        <w:rPr>
          <w:sz w:val="20"/>
          <w:szCs w:val="20"/>
          <w:color w:val="auto"/>
        </w:rPr>
      </w:pPr>
    </w:p>
    <w:p>
      <w:pPr>
        <w:ind w:left="1060" w:right="140" w:firstLine="1740"/>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 Agreements</w:t>
      </w:r>
      <w:r>
        <w:rPr>
          <w:rFonts w:ascii="Times New Roman" w:cs="Times New Roman" w:eastAsia="Times New Roman" w:hAnsi="Times New Roman"/>
          <w:sz w:val="19"/>
          <w:szCs w:val="19"/>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54" w:lineRule="exact"/>
        <w:rPr>
          <w:sz w:val="20"/>
          <w:szCs w:val="20"/>
          <w:color w:val="auto"/>
        </w:rPr>
      </w:pPr>
    </w:p>
    <w:p>
      <w:pPr>
        <w:ind w:left="1060" w:right="160" w:firstLine="172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Agreed Foreign Currency</w:t>
      </w:r>
      <w:r>
        <w:rPr>
          <w:rFonts w:ascii="Times New Roman" w:cs="Times New Roman" w:eastAsia="Times New Roman" w:hAnsi="Times New Roman"/>
          <w:sz w:val="19"/>
          <w:szCs w:val="19"/>
          <w:color w:val="auto"/>
        </w:rPr>
        <w:t>” 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freely transferable and convertible into Dollars in the relevant local market, and (b)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6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 xml:space="preserve"> to this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Agreement.</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Alternate Base Rate</w:t>
      </w:r>
      <w:r>
        <w:rPr>
          <w:rFonts w:ascii="Times New Roman" w:cs="Times New Roman" w:eastAsia="Times New Roman" w:hAnsi="Times New Roman"/>
          <w:sz w:val="19"/>
          <w:szCs w:val="19"/>
          <w:color w:val="auto"/>
        </w:rPr>
        <w:t>” means, for any day, a rate per annum equal to the greater of</w:t>
      </w:r>
    </w:p>
    <w:p>
      <w:pPr>
        <w:spacing w:after="0" w:line="32" w:lineRule="exact"/>
        <w:rPr>
          <w:sz w:val="20"/>
          <w:szCs w:val="20"/>
          <w:color w:val="auto"/>
        </w:rPr>
      </w:pPr>
    </w:p>
    <w:p>
      <w:pPr>
        <w:jc w:val="both"/>
        <w:ind w:left="1060" w:right="160" w:hanging="10"/>
        <w:spacing w:after="0" w:line="250" w:lineRule="auto"/>
        <w:tabs>
          <w:tab w:leader="none" w:pos="1321"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zero and (b) the highest of (i) the Prime Rate in effect on such day, (ii) the Federal Funds Effective Rate for such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1/2 of 1% and (iii) the rate per annum equal to 1%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Term SOFR </w:t>
      </w:r>
      <w:r>
        <w:rPr>
          <w:rFonts w:ascii="Times New Roman" w:cs="Times New Roman" w:eastAsia="Times New Roman" w:hAnsi="Times New Roman"/>
          <w:sz w:val="19"/>
          <w:szCs w:val="19"/>
          <w:color w:val="FF0000"/>
          <w:strike w:val="1"/>
        </w:rPr>
        <w:t>for an interest period of one</w:t>
      </w:r>
    </w:p>
    <w:p>
      <w:pPr>
        <w:ind w:left="1060" w:right="22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(1) month for</w:t>
      </w:r>
      <w:r>
        <w:rPr>
          <w:rFonts w:ascii="Times New Roman" w:cs="Times New Roman" w:eastAsia="Times New Roman" w:hAnsi="Times New Roman"/>
          <w:sz w:val="19"/>
          <w:szCs w:val="19"/>
          <w:u w:val="single" w:color="auto"/>
          <w:color w:val="0000FF"/>
        </w:rPr>
        <w:t>on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such day. Any change in the Alternate Base Rate due to a change in the Prime Rate,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Federal Funds Effective Rate or Term SOFR (or successor therefor) as set forth above shall be effective from and including the effective date of such change in the Prime Rate, the Federal Funds Effective Rate or Term SOFR (or successor thereof), respectively. </w:t>
      </w:r>
      <w:r>
        <w:rPr>
          <w:rFonts w:ascii="Times New Roman" w:cs="Times New Roman" w:eastAsia="Times New Roman" w:hAnsi="Times New Roman"/>
          <w:sz w:val="19"/>
          <w:szCs w:val="19"/>
          <w:u w:val="single" w:color="auto"/>
          <w:color w:val="0000FF"/>
        </w:rPr>
        <w:t>If for any reason the Administrative Agent shall have determined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(which determination shall be conclusive absent manifest error) that it is unable to ascertain the Federal Funds Effective Rate for any reason, including the inability or failure of the Administrative Agent to obtain a quotation in accordance with the terms thereof, the Alternate Base Rate shall be determined without regard to clause (b)(ii) of the first sentence of this definition until the circumstances giving rise to such inability no longer exist.</w:t>
      </w:r>
    </w:p>
    <w:p>
      <w:pPr>
        <w:spacing w:after="0" w:line="166" w:lineRule="exact"/>
        <w:rPr>
          <w:sz w:val="20"/>
          <w:szCs w:val="20"/>
          <w:color w:val="auto"/>
        </w:rPr>
      </w:pPr>
    </w:p>
    <w:p>
      <w:pPr>
        <w:ind w:left="1060" w:right="20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Dollar Percentage</w:t>
      </w:r>
      <w:r>
        <w:rPr>
          <w:rFonts w:ascii="Times New Roman" w:cs="Times New Roman" w:eastAsia="Times New Roman" w:hAnsi="Times New Roman"/>
          <w:sz w:val="19"/>
          <w:szCs w:val="19"/>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on and after the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09" w:name="page110"/>
    <w:bookmarkEnd w:id="109"/>
    <w:p>
      <w:pPr>
        <w:spacing w:after="0" w:line="269" w:lineRule="exact"/>
        <w:rPr>
          <w:sz w:val="20"/>
          <w:szCs w:val="20"/>
          <w:color w:val="auto"/>
        </w:rPr>
      </w:pPr>
    </w:p>
    <w:p>
      <w:pPr>
        <w:ind w:left="1060" w:right="920"/>
        <w:spacing w:after="0" w:line="286" w:lineRule="auto"/>
        <w:rPr>
          <w:sz w:val="20"/>
          <w:szCs w:val="20"/>
          <w:color w:val="auto"/>
        </w:rPr>
      </w:pPr>
      <w:r>
        <w:rPr>
          <w:rFonts w:ascii="Times New Roman" w:cs="Times New Roman" w:eastAsia="Times New Roman" w:hAnsi="Times New Roman"/>
          <w:sz w:val="19"/>
          <w:szCs w:val="19"/>
          <w:color w:val="auto"/>
        </w:rPr>
        <w:t>Non-Extended Commitment Termination Date for any Non-Extending Lender, the Applicable Dollar Percentage of such Non-Extending Lender that is a Dollar Lender shall be 0%.</w:t>
      </w:r>
    </w:p>
    <w:p>
      <w:pPr>
        <w:spacing w:after="0" w:line="127" w:lineRule="exact"/>
        <w:rPr>
          <w:sz w:val="20"/>
          <w:szCs w:val="20"/>
          <w:color w:val="auto"/>
        </w:rPr>
      </w:pPr>
    </w:p>
    <w:p>
      <w:pPr>
        <w:ind w:left="1060" w:right="8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Financial Statements</w:t>
      </w:r>
      <w:r>
        <w:rPr>
          <w:rFonts w:ascii="Times New Roman" w:cs="Times New Roman" w:eastAsia="Times New Roman" w:hAnsi="Times New Roman"/>
          <w:sz w:val="19"/>
          <w:szCs w:val="19"/>
          <w:color w:val="auto"/>
        </w:rPr>
        <w:t xml:space="preserve">” means, as at any date, the most-recent audited financial statements of the Borrower delivered to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immediately prior to the delivery to the Lenders of new audited financial statements of the Borrower a Material Adverse Change (the “</w:t>
      </w:r>
      <w:r>
        <w:rPr>
          <w:rFonts w:ascii="Times New Roman" w:cs="Times New Roman" w:eastAsia="Times New Roman" w:hAnsi="Times New Roman"/>
          <w:sz w:val="19"/>
          <w:szCs w:val="19"/>
          <w:u w:val="single" w:color="auto"/>
          <w:color w:val="auto"/>
        </w:rPr>
        <w:t>Pre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existing MAC</w:t>
      </w:r>
      <w:r>
        <w:rPr>
          <w:rFonts w:ascii="Times New Roman" w:cs="Times New Roman" w:eastAsia="Times New Roman" w:hAnsi="Times New Roman"/>
          <w:sz w:val="19"/>
          <w:szCs w:val="19"/>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57" w:lineRule="exact"/>
        <w:rPr>
          <w:sz w:val="20"/>
          <w:szCs w:val="20"/>
          <w:color w:val="auto"/>
        </w:rPr>
      </w:pPr>
    </w:p>
    <w:p>
      <w:pPr>
        <w:ind w:left="1060" w:right="320" w:firstLine="172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Multicurrency Percentage</w:t>
      </w:r>
      <w:r>
        <w:rPr>
          <w:rFonts w:ascii="Times New Roman" w:cs="Times New Roman" w:eastAsia="Times New Roman" w:hAnsi="Times New Roman"/>
          <w:sz w:val="19"/>
          <w:szCs w:val="19"/>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57" w:lineRule="exact"/>
        <w:rPr>
          <w:sz w:val="20"/>
          <w:szCs w:val="20"/>
          <w:color w:val="auto"/>
        </w:rPr>
      </w:pPr>
    </w:p>
    <w:p>
      <w:pPr>
        <w:ind w:left="1060" w:right="16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on and after the Non-Extended Commitment Termination Date for any Non-Extending Lender, the Applicable Percentage of such Non-Extending Lender shall be 0%.</w:t>
      </w:r>
    </w:p>
    <w:p>
      <w:pPr>
        <w:spacing w:after="0" w:line="15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Dealer</w:t>
      </w:r>
      <w:r>
        <w:rPr>
          <w:rFonts w:ascii="Times New Roman" w:cs="Times New Roman" w:eastAsia="Times New Roman" w:hAnsi="Times New Roman"/>
          <w:sz w:val="19"/>
          <w:szCs w:val="19"/>
          <w:color w:val="auto"/>
        </w:rPr>
        <w:t>” means (a) in the case of any Portfolio Investment that is not a</w:t>
      </w:r>
    </w:p>
    <w:p>
      <w:pPr>
        <w:spacing w:after="0" w:line="32" w:lineRule="exact"/>
        <w:rPr>
          <w:sz w:val="20"/>
          <w:szCs w:val="20"/>
          <w:color w:val="auto"/>
        </w:rPr>
      </w:pPr>
    </w:p>
    <w:p>
      <w:pPr>
        <w:ind w:left="1060" w:right="220"/>
        <w:spacing w:after="0" w:line="252" w:lineRule="auto"/>
        <w:rPr>
          <w:sz w:val="20"/>
          <w:szCs w:val="20"/>
          <w:color w:val="auto"/>
        </w:rPr>
      </w:pPr>
      <w:r>
        <w:rPr>
          <w:rFonts w:ascii="Times New Roman" w:cs="Times New Roman" w:eastAsia="Times New Roman" w:hAnsi="Times New Roman"/>
          <w:sz w:val="19"/>
          <w:szCs w:val="19"/>
          <w:color w:val="auto"/>
        </w:rPr>
        <w:t xml:space="preserve">U.S. Government Security, a bank or a broker- dealer registered under the Securities Exchange Act of 1934, as amended, of nationally recognized standing or an Affiliate thereof, (b) in the case of a U.S. Government Security, any primary dealer in U.S. Government Securities, and (c) in the case of any foreign Portfolio Investment, any foreign bank or broker-dealer of internationally recognized standing or an Affiliate thereof, in the case of each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above, as set forth on </w:t>
      </w:r>
      <w:r>
        <w:rPr>
          <w:rFonts w:ascii="Times New Roman" w:cs="Times New Roman" w:eastAsia="Times New Roman" w:hAnsi="Times New Roman"/>
          <w:sz w:val="19"/>
          <w:szCs w:val="19"/>
          <w:u w:val="single" w:color="auto"/>
          <w:color w:val="auto"/>
        </w:rPr>
        <w:t>Schedule 1.01(a)</w:t>
      </w:r>
      <w:r>
        <w:rPr>
          <w:rFonts w:ascii="Times New Roman" w:cs="Times New Roman" w:eastAsia="Times New Roman" w:hAnsi="Times New Roman"/>
          <w:sz w:val="19"/>
          <w:szCs w:val="19"/>
          <w:color w:val="auto"/>
        </w:rPr>
        <w:t xml:space="preserve"> or any other bank or broker-dealer or Affiliate thereof acceptable to the Administrative Agent in its reasonable determination.</w:t>
      </w:r>
    </w:p>
    <w:p>
      <w:pPr>
        <w:spacing w:after="0" w:line="162" w:lineRule="exact"/>
        <w:rPr>
          <w:sz w:val="20"/>
          <w:szCs w:val="20"/>
          <w:color w:val="auto"/>
        </w:rPr>
      </w:pPr>
    </w:p>
    <w:p>
      <w:pPr>
        <w:ind w:left="1060" w:right="12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Pricing Service</w:t>
      </w:r>
      <w:r>
        <w:rPr>
          <w:rFonts w:ascii="Times New Roman" w:cs="Times New Roman" w:eastAsia="Times New Roman" w:hAnsi="Times New Roman"/>
          <w:sz w:val="19"/>
          <w:szCs w:val="19"/>
          <w:color w:val="auto"/>
        </w:rPr>
        <w:t xml:space="preserve">” means a pricing or quotation service as set forth in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1.01(a)</w:t>
      </w:r>
      <w:r>
        <w:rPr>
          <w:rFonts w:ascii="Times New Roman" w:cs="Times New Roman" w:eastAsia="Times New Roman" w:hAnsi="Times New Roman"/>
          <w:sz w:val="19"/>
          <w:szCs w:val="19"/>
          <w:color w:val="auto"/>
        </w:rPr>
        <w:t xml:space="preserve"> or any other pricing or quotation service approved by the </w:t>
      </w:r>
      <w:r>
        <w:rPr>
          <w:rFonts w:ascii="Times New Roman" w:cs="Times New Roman" w:eastAsia="Times New Roman" w:hAnsi="Times New Roman"/>
          <w:sz w:val="19"/>
          <w:szCs w:val="19"/>
          <w:color w:val="FF0000"/>
          <w:strike w:val="1"/>
        </w:rPr>
        <w:t>Board of Directors</w:t>
      </w:r>
      <w:r>
        <w:rPr>
          <w:rFonts w:ascii="Times New Roman" w:cs="Times New Roman" w:eastAsia="Times New Roman" w:hAnsi="Times New Roman"/>
          <w:sz w:val="19"/>
          <w:szCs w:val="19"/>
          <w:u w:val="single" w:color="auto"/>
          <w:color w:val="0000FF"/>
        </w:rPr>
        <w:t>board of directors</w:t>
      </w:r>
      <w:r>
        <w:rPr>
          <w:rFonts w:ascii="Times New Roman" w:cs="Times New Roman" w:eastAsia="Times New Roman" w:hAnsi="Times New Roman"/>
          <w:sz w:val="19"/>
          <w:szCs w:val="19"/>
          <w:color w:val="auto"/>
        </w:rPr>
        <w:t xml:space="preserve"> of the Borrower and designated in writing to the Administrative Agent (which designation shall be accompanied by a copy of a resolution of the </w:t>
      </w:r>
      <w:r>
        <w:rPr>
          <w:rFonts w:ascii="Times New Roman" w:cs="Times New Roman" w:eastAsia="Times New Roman" w:hAnsi="Times New Roman"/>
          <w:sz w:val="19"/>
          <w:szCs w:val="19"/>
          <w:color w:val="FF0000"/>
          <w:strike w:val="1"/>
        </w:rPr>
        <w:t>Board of Directors</w:t>
      </w:r>
      <w:r>
        <w:rPr>
          <w:rFonts w:ascii="Times New Roman" w:cs="Times New Roman" w:eastAsia="Times New Roman" w:hAnsi="Times New Roman"/>
          <w:sz w:val="19"/>
          <w:szCs w:val="19"/>
          <w:u w:val="single" w:color="auto"/>
          <w:color w:val="0000FF"/>
        </w:rPr>
        <w:t>board of directors</w:t>
      </w:r>
      <w:r>
        <w:rPr>
          <w:rFonts w:ascii="Times New Roman" w:cs="Times New Roman" w:eastAsia="Times New Roman" w:hAnsi="Times New Roman"/>
          <w:sz w:val="19"/>
          <w:szCs w:val="19"/>
          <w:color w:val="auto"/>
        </w:rPr>
        <w:t xml:space="preserve"> of the Borrower that such pricing or quotation service has been approved by the Borrower).</w:t>
      </w:r>
    </w:p>
    <w:p>
      <w:pPr>
        <w:spacing w:after="0" w:line="154" w:lineRule="exact"/>
        <w:rPr>
          <w:sz w:val="20"/>
          <w:szCs w:val="20"/>
          <w:color w:val="auto"/>
        </w:rPr>
      </w:pPr>
    </w:p>
    <w:p>
      <w:pPr>
        <w:jc w:val="both"/>
        <w:ind w:left="1060" w:right="14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Third-Party Appraiser</w:t>
      </w:r>
      <w:r>
        <w:rPr>
          <w:rFonts w:ascii="Times New Roman" w:cs="Times New Roman" w:eastAsia="Times New Roman" w:hAnsi="Times New Roman"/>
          <w:sz w:val="19"/>
          <w:szCs w:val="19"/>
          <w:color w:val="auto"/>
        </w:rPr>
        <w:t xml:space="preserve">” means any Independent nationally recognized third-party appraisal firm (a) designated by the Borrower in writing to the Administrative Agent (which designation shall be accompanied by a copy of a resolution of the </w:t>
      </w:r>
      <w:r>
        <w:rPr>
          <w:rFonts w:ascii="Times New Roman" w:cs="Times New Roman" w:eastAsia="Times New Roman" w:hAnsi="Times New Roman"/>
          <w:sz w:val="19"/>
          <w:szCs w:val="19"/>
          <w:color w:val="FF0000"/>
          <w:strike w:val="1"/>
        </w:rPr>
        <w:t>Board of Directors</w:t>
      </w:r>
      <w:r>
        <w:rPr>
          <w:rFonts w:ascii="Times New Roman" w:cs="Times New Roman" w:eastAsia="Times New Roman" w:hAnsi="Times New Roman"/>
          <w:sz w:val="19"/>
          <w:szCs w:val="19"/>
          <w:u w:val="single" w:color="auto"/>
          <w:color w:val="0000FF"/>
        </w:rPr>
        <w:t>board of directors</w:t>
      </w:r>
      <w:r>
        <w:rPr>
          <w:rFonts w:ascii="Times New Roman" w:cs="Times New Roman" w:eastAsia="Times New Roman" w:hAnsi="Times New Roman"/>
          <w:sz w:val="19"/>
          <w:szCs w:val="19"/>
          <w:color w:val="auto"/>
        </w:rPr>
        <w:t xml:space="preserve"> of the Borrower that such firm has been approved by the Borrower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10" w:name="page111"/>
    <w:bookmarkEnd w:id="110"/>
    <w:p>
      <w:pPr>
        <w:spacing w:after="0" w:line="269" w:lineRule="exact"/>
        <w:rPr>
          <w:sz w:val="20"/>
          <w:szCs w:val="20"/>
          <w:color w:val="auto"/>
        </w:rPr>
      </w:pPr>
    </w:p>
    <w:p>
      <w:pPr>
        <w:ind w:left="1060" w:right="180"/>
        <w:spacing w:after="0" w:line="255" w:lineRule="auto"/>
        <w:rPr>
          <w:sz w:val="20"/>
          <w:szCs w:val="20"/>
          <w:color w:val="auto"/>
        </w:rPr>
      </w:pPr>
      <w:r>
        <w:rPr>
          <w:rFonts w:ascii="Times New Roman" w:cs="Times New Roman" w:eastAsia="Times New Roman" w:hAnsi="Times New Roman"/>
          <w:sz w:val="19"/>
          <w:szCs w:val="19"/>
          <w:color w:val="auto"/>
        </w:rPr>
        <w:t xml:space="preserve">for purposes of assisting the </w:t>
      </w:r>
      <w:r>
        <w:rPr>
          <w:rFonts w:ascii="Times New Roman" w:cs="Times New Roman" w:eastAsia="Times New Roman" w:hAnsi="Times New Roman"/>
          <w:sz w:val="19"/>
          <w:szCs w:val="19"/>
          <w:color w:val="FF0000"/>
          <w:strike w:val="1"/>
        </w:rPr>
        <w:t>Board of Directors</w:t>
      </w:r>
      <w:r>
        <w:rPr>
          <w:rFonts w:ascii="Times New Roman" w:cs="Times New Roman" w:eastAsia="Times New Roman" w:hAnsi="Times New Roman"/>
          <w:sz w:val="19"/>
          <w:szCs w:val="19"/>
          <w:u w:val="single" w:color="auto"/>
          <w:color w:val="0000FF"/>
        </w:rPr>
        <w:t>board of directors</w:t>
      </w:r>
      <w:r>
        <w:rPr>
          <w:rFonts w:ascii="Times New Roman" w:cs="Times New Roman" w:eastAsia="Times New Roman" w:hAnsi="Times New Roman"/>
          <w:sz w:val="19"/>
          <w:szCs w:val="19"/>
          <w:color w:val="auto"/>
        </w:rPr>
        <w:t xml:space="preserve"> of the Borrower in making valuations of portfolio assets to determine the Borrower’s compliance with the applicable provisions of the Investment Company Act) and (b) acceptable to the Administrative Agent. It is understood and agreed that Houlihan Lokey Howard &amp; Zukin Capital, Inc., </w:t>
      </w:r>
      <w:r>
        <w:rPr>
          <w:rFonts w:ascii="Times New Roman" w:cs="Times New Roman" w:eastAsia="Times New Roman" w:hAnsi="Times New Roman"/>
          <w:sz w:val="19"/>
          <w:szCs w:val="19"/>
          <w:color w:val="FF0000"/>
          <w:strike w:val="1"/>
        </w:rPr>
        <w:t>Duff &amp; Phelps</w:t>
      </w:r>
      <w:r>
        <w:rPr>
          <w:rFonts w:ascii="Times New Roman" w:cs="Times New Roman" w:eastAsia="Times New Roman" w:hAnsi="Times New Roman"/>
          <w:sz w:val="19"/>
          <w:szCs w:val="19"/>
          <w:u w:val="single" w:color="auto"/>
          <w:color w:val="0000FF"/>
        </w:rPr>
        <w:t>Kroll,</w:t>
      </w:r>
      <w:r>
        <w:rPr>
          <w:rFonts w:ascii="Times New Roman" w:cs="Times New Roman" w:eastAsia="Times New Roman" w:hAnsi="Times New Roman"/>
          <w:sz w:val="19"/>
          <w:szCs w:val="19"/>
          <w:color w:val="auto"/>
        </w:rPr>
        <w:t xml:space="preserve"> LLC, Murray, Devine and Company, Lincoln International LLC (formerly known as Lincoln Partners LLC) and Valuation Research Corporation are acceptable to the Administrative Agent. As used in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hereof, an “Approved Third- 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55" w:lineRule="exact"/>
        <w:rPr>
          <w:sz w:val="20"/>
          <w:szCs w:val="20"/>
          <w:color w:val="auto"/>
        </w:rPr>
      </w:pPr>
    </w:p>
    <w:p>
      <w:pPr>
        <w:ind w:left="1060" w:right="18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and accepted by the Administrative Agent,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(with adjustments thereto to reflect the Classes of Commitments and/or Loans being assigned or outstanding at the time of the respective assignment) or any other form approved by the Administrative Agent and, so long as no Event of Default has occurred and is continuing, the Borrower.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Australia.</w:t>
      </w:r>
    </w:p>
    <w:p>
      <w:pPr>
        <w:spacing w:after="0" w:line="82" w:lineRule="exact"/>
        <w:rPr>
          <w:sz w:val="20"/>
          <w:szCs w:val="20"/>
          <w:color w:val="auto"/>
        </w:rPr>
      </w:pPr>
    </w:p>
    <w:p>
      <w:pPr>
        <w:ind w:left="40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Assuming Lender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2.08(e)(i)</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ASU</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1.04.</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Australian Dollars</w:t>
      </w:r>
      <w:r>
        <w:rPr>
          <w:rFonts w:ascii="Times New Roman" w:cs="Times New Roman" w:eastAsia="Times New Roman" w:hAnsi="Times New Roman"/>
          <w:sz w:val="19"/>
          <w:szCs w:val="19"/>
          <w:color w:val="auto"/>
        </w:rPr>
        <w:t>” means the lawful currency of The Commonwealth of</w:t>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Availability Period</w:t>
      </w:r>
      <w:r>
        <w:rPr>
          <w:rFonts w:ascii="Times New Roman" w:cs="Times New Roman" w:eastAsia="Times New Roman" w:hAnsi="Times New Roman"/>
          <w:sz w:val="19"/>
          <w:szCs w:val="19"/>
          <w:color w:val="auto"/>
        </w:rPr>
        <w:t>” means (a) in the case of any Extending Lender (with respect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720" w:top="1440" w:right="1400" w:bottom="1440" w:gutter="0" w:footer="0" w:header="0"/>
        </w:sectPr>
      </w:pPr>
    </w:p>
    <w:bookmarkStart w:id="112" w:name="page113"/>
    <w:bookmarkEnd w:id="112"/>
    <w:p>
      <w:pPr>
        <w:ind w:left="1060" w:right="1020"/>
        <w:spacing w:after="0" w:line="268" w:lineRule="auto"/>
        <w:rPr>
          <w:sz w:val="20"/>
          <w:szCs w:val="20"/>
          <w:color w:val="auto"/>
        </w:rPr>
      </w:pPr>
      <w:r>
        <w:rPr>
          <w:rFonts w:ascii="Times New Roman" w:cs="Times New Roman" w:eastAsia="Times New Roman" w:hAnsi="Times New Roman"/>
          <w:sz w:val="19"/>
          <w:szCs w:val="19"/>
          <w:color w:val="auto"/>
        </w:rPr>
        <w:t>to such Extending Lender’s Extended Loans), the Extended Availability Period or (b) in the case of any Non-Extending Lender (with respect to such Non -Extending Lender’s Non-Extended Loans), the Non-Extended Availability Period for such Non-Extending Lender, as applicable.</w:t>
      </w:r>
    </w:p>
    <w:p>
      <w:pPr>
        <w:spacing w:after="0" w:line="144" w:lineRule="exact"/>
        <w:rPr>
          <w:sz w:val="20"/>
          <w:szCs w:val="20"/>
          <w:color w:val="auto"/>
        </w:rPr>
      </w:pPr>
    </w:p>
    <w:p>
      <w:pPr>
        <w:ind w:left="1060" w:right="980" w:firstLine="172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xml:space="preserve">”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auto"/>
        </w:rPr>
        <w:t>(d).</w:t>
      </w:r>
    </w:p>
    <w:p>
      <w:pPr>
        <w:spacing w:after="0" w:line="160" w:lineRule="exact"/>
        <w:rPr>
          <w:sz w:val="20"/>
          <w:szCs w:val="20"/>
          <w:color w:val="auto"/>
        </w:rPr>
      </w:pPr>
    </w:p>
    <w:p>
      <w:pPr>
        <w:ind w:left="1060" w:right="98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Action</w:t>
      </w:r>
      <w:r>
        <w:rPr>
          <w:rFonts w:ascii="Times New Roman" w:cs="Times New Roman" w:eastAsia="Times New Roman" w:hAnsi="Times New Roman"/>
          <w:sz w:val="19"/>
          <w:szCs w:val="19"/>
          <w:color w:val="auto"/>
        </w:rPr>
        <w:t>” means the exercise of any Write- Down and Conversion Powers by the applicable Resolution Authority in respect of any liability of an Affected Financial Institution.</w:t>
      </w:r>
    </w:p>
    <w:p>
      <w:pPr>
        <w:spacing w:after="0" w:line="127" w:lineRule="exact"/>
        <w:rPr>
          <w:sz w:val="20"/>
          <w:szCs w:val="20"/>
          <w:color w:val="auto"/>
        </w:rPr>
      </w:pPr>
    </w:p>
    <w:p>
      <w:pPr>
        <w:ind w:left="1060" w:firstLine="1572"/>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720" w:top="1061" w:right="700" w:bottom="1440" w:gutter="0" w:footer="0" w:header="0"/>
        </w:sectPr>
      </w:pPr>
    </w:p>
    <w:bookmarkStart w:id="113" w:name="page114"/>
    <w:bookmarkEnd w:id="113"/>
    <w:p>
      <w:pPr>
        <w:spacing w:after="0" w:line="269" w:lineRule="exact"/>
        <w:rPr>
          <w:sz w:val="20"/>
          <w:szCs w:val="20"/>
          <w:color w:val="auto"/>
        </w:rPr>
      </w:pPr>
    </w:p>
    <w:p>
      <w:pPr>
        <w:ind w:left="1060" w:right="180"/>
        <w:spacing w:after="0" w:line="257" w:lineRule="auto"/>
        <w:rPr>
          <w:sz w:val="20"/>
          <w:szCs w:val="20"/>
          <w:color w:val="auto"/>
        </w:rPr>
      </w:pPr>
      <w:r>
        <w:rPr>
          <w:rFonts w:ascii="Times New Roman" w:cs="Times New Roman" w:eastAsia="Times New Roman" w:hAnsi="Times New Roman"/>
          <w:sz w:val="19"/>
          <w:szCs w:val="19"/>
          <w:color w:val="auto"/>
        </w:rPr>
        <w:t>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has the meaning set forth in the definition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of “Term SOFR”.</w:t>
      </w:r>
    </w:p>
    <w:p>
      <w:pPr>
        <w:spacing w:after="0" w:line="180" w:lineRule="exact"/>
        <w:rPr>
          <w:sz w:val="20"/>
          <w:szCs w:val="20"/>
          <w:color w:val="auto"/>
        </w:rPr>
      </w:pPr>
    </w:p>
    <w:p>
      <w:pPr>
        <w:ind w:left="1060" w:right="140" w:firstLine="172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means, initially, with respect to any Loans denominated in (a) Dollars, the Term SOFR Reference Rate, (b) </w:t>
      </w:r>
      <w:r>
        <w:rPr>
          <w:rFonts w:ascii="Times New Roman" w:cs="Times New Roman" w:eastAsia="Times New Roman" w:hAnsi="Times New Roman"/>
          <w:sz w:val="19"/>
          <w:szCs w:val="19"/>
          <w:u w:val="single" w:color="auto"/>
          <w:color w:val="0000FF"/>
        </w:rPr>
        <w:t>Canadian Dollars, the Term CORRA Reference Rate, (c)</w:t>
      </w:r>
      <w:r>
        <w:rPr>
          <w:rFonts w:ascii="Times New Roman" w:cs="Times New Roman" w:eastAsia="Times New Roman" w:hAnsi="Times New Roman"/>
          <w:sz w:val="19"/>
          <w:szCs w:val="19"/>
          <w:color w:val="auto"/>
        </w:rPr>
        <w:t xml:space="preserve"> Sterling or Swiss Francs, the Daily Simple RFR for such Currency, and (</w:t>
      </w:r>
      <w:r>
        <w:rPr>
          <w:rFonts w:ascii="Times New Roman" w:cs="Times New Roman" w:eastAsia="Times New Roman" w:hAnsi="Times New Roman"/>
          <w:sz w:val="19"/>
          <w:szCs w:val="19"/>
          <w:color w:val="FF0000"/>
          <w:strike w:val="1"/>
        </w:rPr>
        <w:t>c</w:t>
      </w:r>
      <w:r>
        <w:rPr>
          <w:rFonts w:ascii="Times New Roman" w:cs="Times New Roman" w:eastAsia="Times New Roman" w:hAnsi="Times New Roman"/>
          <w:sz w:val="19"/>
          <w:szCs w:val="19"/>
          <w:u w:val="single" w:color="auto"/>
          <w:color w:val="0000FF"/>
        </w:rPr>
        <w:t>d</w:t>
      </w:r>
      <w:r>
        <w:rPr>
          <w:rFonts w:ascii="Times New Roman" w:cs="Times New Roman" w:eastAsia="Times New Roman" w:hAnsi="Times New Roman"/>
          <w:sz w:val="19"/>
          <w:szCs w:val="19"/>
          <w:color w:val="auto"/>
        </w:rPr>
        <w:t xml:space="preserve">) any other Agreed Foreign Currency, the Adjusted Term Benchmark Rate for such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if a Benchmark Transition Event or an Other Benchmark Rate Election and its related Benchmark Replacement Date have occurred with respect to the Term SOFR Reference Rate, the </w:t>
      </w:r>
      <w:r>
        <w:rPr>
          <w:rFonts w:ascii="Times New Roman" w:cs="Times New Roman" w:eastAsia="Times New Roman" w:hAnsi="Times New Roman"/>
          <w:sz w:val="19"/>
          <w:szCs w:val="19"/>
          <w:u w:val="single" w:color="auto"/>
          <w:color w:val="0000FF"/>
        </w:rPr>
        <w:t>Term CORRA Reference Rate, the</w:t>
      </w:r>
      <w:r>
        <w:rPr>
          <w:rFonts w:ascii="Times New Roman" w:cs="Times New Roman" w:eastAsia="Times New Roman" w:hAnsi="Times New Roman"/>
          <w:sz w:val="19"/>
          <w:szCs w:val="19"/>
          <w:color w:val="auto"/>
        </w:rPr>
        <w:t xml:space="preserve"> Daily Simple RFR or the Adjusted Term Benchmark Rate for such Currency or the then current Benchmark, as applicable, then “Benchmark” shall mean the applicable Benchmark Replacement for such Currency</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to the extent that such Benchmark Replacement has replaced such prior benchmark rate pursuant to clause (a)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1060" w:right="10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means, with respect to any Benchmark Transition Event for any then-current Benchmark or Other Benchmark Rate Election, the first alternative set forth in the order below that can be determined by the Administrative Agent for the applicable Benchmark Replacement Date; provided that, other than in the case of the replacement of the Term SOFR Reference Rate, but including in connection with any Other Benchmark Rate Election, such alternative shall be the alternative set forth in clause (2) below:</w:t>
      </w:r>
    </w:p>
    <w:p>
      <w:pPr>
        <w:spacing w:after="0" w:line="15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(1)the sum of (i) Daily Simple SOFR and (ii) 0.10%; and</w:t>
      </w:r>
    </w:p>
    <w:p>
      <w:pPr>
        <w:spacing w:after="0" w:line="202" w:lineRule="exact"/>
        <w:rPr>
          <w:sz w:val="20"/>
          <w:szCs w:val="20"/>
          <w:color w:val="auto"/>
        </w:rPr>
      </w:pPr>
    </w:p>
    <w:p>
      <w:pPr>
        <w:ind w:left="1060" w:right="240" w:firstLine="1728"/>
        <w:spacing w:after="0" w:line="256" w:lineRule="auto"/>
        <w:rPr>
          <w:sz w:val="20"/>
          <w:szCs w:val="20"/>
          <w:color w:val="auto"/>
        </w:rPr>
      </w:pPr>
      <w:r>
        <w:rPr>
          <w:rFonts w:ascii="Times New Roman" w:cs="Times New Roman" w:eastAsia="Times New Roman" w:hAnsi="Times New Roman"/>
          <w:sz w:val="19"/>
          <w:szCs w:val="19"/>
          <w:color w:val="auto"/>
        </w:rPr>
        <w:t xml:space="preserve">(2)the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w:t>
      </w:r>
      <w:r>
        <w:rPr>
          <w:rFonts w:ascii="Times New Roman" w:cs="Times New Roman" w:eastAsia="Times New Roman" w:hAnsi="Times New Roman"/>
          <w:sz w:val="19"/>
          <w:szCs w:val="19"/>
          <w:u w:val="single" w:color="auto"/>
          <w:color w:val="0000FF"/>
        </w:rPr>
        <w:t>in the United States</w:t>
      </w:r>
      <w:r>
        <w:rPr>
          <w:rFonts w:ascii="Times New Roman" w:cs="Times New Roman" w:eastAsia="Times New Roman" w:hAnsi="Times New Roman"/>
          <w:sz w:val="19"/>
          <w:szCs w:val="19"/>
          <w:color w:val="auto"/>
        </w:rPr>
        <w:t xml:space="preserve"> for determining a benchmark rate as a replacement for the then-current Benchmark for syndicated credit facilities denominated in the applicable Currency </w:t>
      </w:r>
      <w:r>
        <w:rPr>
          <w:rFonts w:ascii="Times New Roman" w:cs="Times New Roman" w:eastAsia="Times New Roman" w:hAnsi="Times New Roman"/>
          <w:sz w:val="19"/>
          <w:szCs w:val="19"/>
          <w:u w:val="single" w:color="auto"/>
          <w:color w:val="0000FF"/>
        </w:rPr>
        <w:t>at such time</w:t>
      </w:r>
      <w:r>
        <w:rPr>
          <w:rFonts w:ascii="Times New Roman" w:cs="Times New Roman" w:eastAsia="Times New Roman" w:hAnsi="Times New Roman"/>
          <w:sz w:val="19"/>
          <w:szCs w:val="19"/>
          <w:color w:val="auto"/>
        </w:rPr>
        <w:t xml:space="preserve"> and (b) the related Benchmark Replacement Adjustment.</w:t>
      </w:r>
    </w:p>
    <w:p>
      <w:pPr>
        <w:spacing w:after="0" w:line="157" w:lineRule="exact"/>
        <w:rPr>
          <w:sz w:val="20"/>
          <w:szCs w:val="20"/>
          <w:color w:val="auto"/>
        </w:rPr>
      </w:pPr>
    </w:p>
    <w:p>
      <w:pPr>
        <w:ind w:left="1060" w:right="460" w:firstLine="1728"/>
        <w:spacing w:after="0" w:line="268" w:lineRule="auto"/>
        <w:rPr>
          <w:sz w:val="20"/>
          <w:szCs w:val="20"/>
          <w:color w:val="auto"/>
        </w:rPr>
      </w:pPr>
      <w:r>
        <w:rPr>
          <w:rFonts w:ascii="Times New Roman" w:cs="Times New Roman" w:eastAsia="Times New Roman" w:hAnsi="Times New Roman"/>
          <w:sz w:val="19"/>
          <w:szCs w:val="19"/>
          <w:color w:val="auto"/>
        </w:rPr>
        <w:t>If the Benchmark Replacement as determined pursuant to clause (1) or (2) of this definition would be less than the Floor, the Benchmark Replacement will be deemed to be the Floor for the purposes of this Agreement and the other Loan Documents.</w:t>
      </w:r>
    </w:p>
    <w:p>
      <w:pPr>
        <w:spacing w:after="0" w:line="144" w:lineRule="exact"/>
        <w:rPr>
          <w:sz w:val="20"/>
          <w:szCs w:val="20"/>
          <w:color w:val="auto"/>
        </w:rPr>
      </w:pPr>
    </w:p>
    <w:p>
      <w:pPr>
        <w:ind w:left="1060" w:right="34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for a Currency with an Unadjusted Benchmark Replacement for any applicable Interest Period and Available Tenor for any such setting of such Unadjusted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14" w:name="page115"/>
    <w:bookmarkEnd w:id="114"/>
    <w:p>
      <w:pPr>
        <w:spacing w:after="0" w:line="269" w:lineRule="exact"/>
        <w:rPr>
          <w:sz w:val="20"/>
          <w:szCs w:val="20"/>
          <w:color w:val="auto"/>
        </w:rPr>
      </w:pPr>
    </w:p>
    <w:p>
      <w:pPr>
        <w:ind w:left="1060" w:right="160"/>
        <w:spacing w:after="0" w:line="254" w:lineRule="auto"/>
        <w:rPr>
          <w:sz w:val="20"/>
          <w:szCs w:val="20"/>
          <w:color w:val="auto"/>
        </w:rPr>
      </w:pPr>
      <w:r>
        <w:rPr>
          <w:rFonts w:ascii="Times New Roman" w:cs="Times New Roman" w:eastAsia="Times New Roman" w:hAnsi="Times New Roman"/>
          <w:sz w:val="19"/>
          <w:szCs w:val="19"/>
          <w:color w:val="auto"/>
        </w:rPr>
        <w:t>Benchmark Replacement (excluding, for the avoidance of doubt, Daily Simple SOFR), the spread adjustment, or method for calculating or determining such spread adjustment (which may be a positive or negative value or zero) that has been selected by the Administrative Agent and the Borrower for such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 -prevailing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160" w:lineRule="exact"/>
        <w:rPr>
          <w:sz w:val="20"/>
          <w:szCs w:val="20"/>
          <w:color w:val="auto"/>
        </w:rPr>
      </w:pPr>
    </w:p>
    <w:p>
      <w:pPr>
        <w:ind w:left="1060" w:right="68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a date and time determined by the Administrative Agent, which date shall be no later than the earliest to occur of the following events with respect to the then-current Benchmark:</w:t>
      </w:r>
    </w:p>
    <w:p>
      <w:pPr>
        <w:spacing w:after="0" w:line="1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(1)in the case of clause (1) or (2) of the definition of “Benchmark Transition Event,” the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later of</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(a)the date of the public statement or publication of information referenced</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therein; and</w:t>
      </w:r>
    </w:p>
    <w:p>
      <w:pPr>
        <w:spacing w:after="0" w:line="180"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color w:val="auto"/>
        </w:rPr>
        <w:t>(b)the date on which the administrator of such Benchmark (or the published</w:t>
      </w:r>
    </w:p>
    <w:p>
      <w:pPr>
        <w:spacing w:after="0" w:line="32" w:lineRule="exact"/>
        <w:rPr>
          <w:sz w:val="20"/>
          <w:szCs w:val="20"/>
          <w:color w:val="auto"/>
        </w:rPr>
      </w:pPr>
    </w:p>
    <w:p>
      <w:pPr>
        <w:ind w:left="1060" w:right="80"/>
        <w:spacing w:after="0" w:line="262" w:lineRule="auto"/>
        <w:rPr>
          <w:sz w:val="20"/>
          <w:szCs w:val="20"/>
          <w:color w:val="auto"/>
        </w:rPr>
      </w:pPr>
      <w:r>
        <w:rPr>
          <w:rFonts w:ascii="Times New Roman" w:cs="Times New Roman" w:eastAsia="Times New Roman" w:hAnsi="Times New Roman"/>
          <w:sz w:val="19"/>
          <w:szCs w:val="19"/>
          <w:color w:val="auto"/>
        </w:rPr>
        <w:t>component used in the calculation thereof) permanently or indefinitely ceases to provide all Available Tenors of such Benchmark (or such component thereof);</w:t>
      </w:r>
    </w:p>
    <w:p>
      <w:pPr>
        <w:spacing w:after="0" w:line="149" w:lineRule="exact"/>
        <w:rPr>
          <w:sz w:val="20"/>
          <w:szCs w:val="20"/>
          <w:color w:val="auto"/>
        </w:rPr>
      </w:pPr>
    </w:p>
    <w:p>
      <w:pPr>
        <w:ind w:left="1060" w:right="300" w:firstLine="1728"/>
        <w:spacing w:after="0" w:line="256" w:lineRule="auto"/>
        <w:rPr>
          <w:sz w:val="20"/>
          <w:szCs w:val="20"/>
          <w:color w:val="auto"/>
        </w:rPr>
      </w:pPr>
      <w:r>
        <w:rPr>
          <w:rFonts w:ascii="Times New Roman" w:cs="Times New Roman" w:eastAsia="Times New Roman" w:hAnsi="Times New Roman"/>
          <w:sz w:val="19"/>
          <w:szCs w:val="19"/>
          <w:color w:val="auto"/>
        </w:rPr>
        <w:t xml:space="preserve">(2)in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 or</w:t>
      </w:r>
    </w:p>
    <w:p>
      <w:pPr>
        <w:spacing w:after="0" w:line="157" w:lineRule="exact"/>
        <w:rPr>
          <w:sz w:val="20"/>
          <w:szCs w:val="20"/>
          <w:color w:val="auto"/>
        </w:rPr>
      </w:pPr>
    </w:p>
    <w:p>
      <w:pPr>
        <w:ind w:left="1060" w:right="100" w:firstLine="1728"/>
        <w:spacing w:after="0" w:line="262" w:lineRule="auto"/>
        <w:rPr>
          <w:sz w:val="20"/>
          <w:szCs w:val="20"/>
          <w:color w:val="auto"/>
        </w:rPr>
      </w:pPr>
      <w:r>
        <w:rPr>
          <w:rFonts w:ascii="Times New Roman" w:cs="Times New Roman" w:eastAsia="Times New Roman" w:hAnsi="Times New Roman"/>
          <w:sz w:val="19"/>
          <w:szCs w:val="19"/>
          <w:color w:val="auto"/>
        </w:rPr>
        <w:t>(3)in the case of an Other Benchmark Rate Election, the fifth (5th) Business Day after the date notice of such Other Benchmark Rate Election is provided to the Lenders, so long as the Administrative Agent has not received, by such time, written notice of objection to such Other Benchmark Rate Election, as applicable, from Lenders comprising the Required Lenders.</w:t>
      </w:r>
    </w:p>
    <w:p>
      <w:pPr>
        <w:spacing w:after="0" w:line="150" w:lineRule="exact"/>
        <w:rPr>
          <w:sz w:val="20"/>
          <w:szCs w:val="20"/>
          <w:color w:val="auto"/>
        </w:rPr>
      </w:pPr>
    </w:p>
    <w:p>
      <w:pPr>
        <w:ind w:left="1060" w:right="180" w:firstLine="1728"/>
        <w:spacing w:after="0" w:line="262" w:lineRule="auto"/>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(1) or (2) of this definition with respect to any Benchmark upon the occurrence of the applicable event or events set forth therein with respect to all then-current Available Tenors of such Benchmark (or the published component used in the calculation thereof).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15" w:name="page116"/>
    <w:bookmarkEnd w:id="115"/>
    <w:p>
      <w:pPr>
        <w:spacing w:after="0" w:line="269" w:lineRule="exact"/>
        <w:rPr>
          <w:sz w:val="20"/>
          <w:szCs w:val="20"/>
          <w:color w:val="auto"/>
        </w:rPr>
      </w:pPr>
    </w:p>
    <w:p>
      <w:pPr>
        <w:ind w:left="1060" w:right="2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with respect to any then-current Benchmark, the occurrence of one or more of the following events with respect to such Benchmark:</w:t>
      </w:r>
    </w:p>
    <w:p>
      <w:pPr>
        <w:spacing w:after="0" w:line="127" w:lineRule="exact"/>
        <w:rPr>
          <w:sz w:val="20"/>
          <w:szCs w:val="20"/>
          <w:color w:val="auto"/>
        </w:rPr>
      </w:pPr>
    </w:p>
    <w:p>
      <w:pPr>
        <w:ind w:left="1060" w:right="220" w:firstLine="1728"/>
        <w:spacing w:after="0" w:line="257" w:lineRule="auto"/>
        <w:rPr>
          <w:sz w:val="20"/>
          <w:szCs w:val="20"/>
          <w:color w:val="auto"/>
        </w:rPr>
      </w:pPr>
      <w:r>
        <w:rPr>
          <w:rFonts w:ascii="Times New Roman" w:cs="Times New Roman" w:eastAsia="Times New Roman" w:hAnsi="Times New Roman"/>
          <w:sz w:val="19"/>
          <w:szCs w:val="19"/>
          <w:color w:val="auto"/>
        </w:rPr>
        <w:t>(1)a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7" w:lineRule="exact"/>
        <w:rPr>
          <w:sz w:val="20"/>
          <w:szCs w:val="20"/>
          <w:color w:val="auto"/>
        </w:rPr>
      </w:pPr>
    </w:p>
    <w:p>
      <w:pPr>
        <w:ind w:left="1060" w:right="120" w:firstLine="1728"/>
        <w:spacing w:after="0" w:line="254" w:lineRule="auto"/>
        <w:rPr>
          <w:sz w:val="20"/>
          <w:szCs w:val="20"/>
          <w:color w:val="auto"/>
        </w:rPr>
      </w:pPr>
      <w:r>
        <w:rPr>
          <w:rFonts w:ascii="Times New Roman" w:cs="Times New Roman" w:eastAsia="Times New Roman" w:hAnsi="Times New Roman"/>
          <w:sz w:val="19"/>
          <w:szCs w:val="19"/>
          <w:color w:val="auto"/>
        </w:rPr>
        <w:t xml:space="preserve">(2)a public statement or publication of information by the regulatory supervisor for the administrator of such Benchmark (or the published component used in the calculation thereof), the Board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the Federal Reserve Bank of New York </w:t>
      </w:r>
      <w:r>
        <w:rPr>
          <w:rFonts w:ascii="Times New Roman" w:cs="Times New Roman" w:eastAsia="Times New Roman" w:hAnsi="Times New Roman"/>
          <w:sz w:val="19"/>
          <w:szCs w:val="19"/>
          <w:color w:val="0000FF"/>
        </w:rPr>
        <w:t>or the Bank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Canada</w:t>
      </w:r>
      <w:r>
        <w:rPr>
          <w:rFonts w:ascii="Times New Roman" w:cs="Times New Roman" w:eastAsia="Times New Roman" w:hAnsi="Times New Roman"/>
          <w:sz w:val="19"/>
          <w:szCs w:val="19"/>
          <w:color w:val="auto"/>
        </w:rPr>
        <w:t xml:space="preserve">, as applicable, the central bank for the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-1384935</wp:posOffset>
            </wp:positionV>
            <wp:extent cx="12954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129540" cy="762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-1194435</wp:posOffset>
            </wp:positionV>
            <wp:extent cx="73152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31520" cy="7620"/>
                    </a:xfrm>
                    <a:prstGeom prst="rect">
                      <a:avLst/>
                    </a:prstGeom>
                    <a:noFill/>
                  </pic:spPr>
                </pic:pic>
              </a:graphicData>
            </a:graphic>
          </wp:anchor>
        </w:drawing>
      </w:r>
    </w:p>
    <w:p>
      <w:pPr>
        <w:spacing w:after="0" w:line="137" w:lineRule="exact"/>
        <w:rPr>
          <w:sz w:val="20"/>
          <w:szCs w:val="20"/>
          <w:color w:val="auto"/>
        </w:rPr>
      </w:pPr>
    </w:p>
    <w:p>
      <w:pPr>
        <w:ind w:left="1060" w:right="80" w:firstLine="1728"/>
        <w:spacing w:after="0" w:line="259" w:lineRule="auto"/>
        <w:rPr>
          <w:sz w:val="20"/>
          <w:szCs w:val="20"/>
          <w:color w:val="auto"/>
        </w:rPr>
      </w:pPr>
      <w:r>
        <w:rPr>
          <w:rFonts w:ascii="Times New Roman" w:cs="Times New Roman" w:eastAsia="Times New Roman" w:hAnsi="Times New Roman"/>
          <w:sz w:val="19"/>
          <w:szCs w:val="19"/>
          <w:color w:val="auto"/>
        </w:rPr>
        <w:t>(3)a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54" w:lineRule="exact"/>
        <w:rPr>
          <w:sz w:val="20"/>
          <w:szCs w:val="20"/>
          <w:color w:val="auto"/>
        </w:rPr>
      </w:pPr>
    </w:p>
    <w:p>
      <w:pPr>
        <w:ind w:left="1060" w:right="200" w:firstLine="1728"/>
        <w:spacing w:after="0" w:line="262"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0" w:lineRule="exact"/>
        <w:rPr>
          <w:sz w:val="20"/>
          <w:szCs w:val="20"/>
          <w:color w:val="auto"/>
        </w:rPr>
      </w:pPr>
    </w:p>
    <w:p>
      <w:pPr>
        <w:ind w:left="1060" w:right="12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means, with respect to any then-current Benchmark, the period (if any) (x) beginning at the time that a Benchmark Replacement Date has occurred with respect to such Benchmark if, at such time, no Benchmark Replacement has replaced such then -current Benchmark for all purposes hereunder and under any other Loan Document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auto"/>
        </w:rPr>
        <w:t xml:space="preserve"> and (y) ending at the time that a Benchmark Replacement has replaced such then-current Benchmark for all purposes hereunder and under any other Loan Document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1060" w:right="26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16" w:name="page117"/>
    <w:bookmarkEnd w:id="116"/>
    <w:p>
      <w:pPr>
        <w:spacing w:after="0" w:line="269" w:lineRule="exact"/>
        <w:rPr>
          <w:sz w:val="20"/>
          <w:szCs w:val="20"/>
          <w:color w:val="auto"/>
        </w:rPr>
      </w:pPr>
    </w:p>
    <w:p>
      <w:pPr>
        <w:ind w:left="1060" w:right="540"/>
        <w:spacing w:after="0" w:line="286" w:lineRule="auto"/>
        <w:rPr>
          <w:sz w:val="20"/>
          <w:szCs w:val="20"/>
          <w:color w:val="auto"/>
        </w:rPr>
      </w:pPr>
      <w:r>
        <w:rPr>
          <w:rFonts w:ascii="Times New Roman" w:cs="Times New Roman" w:eastAsia="Times New Roman" w:hAnsi="Times New Roman"/>
          <w:sz w:val="19"/>
          <w:szCs w:val="19"/>
          <w:color w:val="auto"/>
        </w:rPr>
        <w:t>otherwise for purposes of Title I of ERISA or Section 4975 of the Code) the assets of any such “employee benefit plan” or “plan”.</w:t>
      </w:r>
    </w:p>
    <w:p>
      <w:pPr>
        <w:spacing w:after="0" w:line="127" w:lineRule="exact"/>
        <w:rPr>
          <w:sz w:val="20"/>
          <w:szCs w:val="20"/>
          <w:color w:val="auto"/>
        </w:rPr>
      </w:pPr>
    </w:p>
    <w:p>
      <w:pPr>
        <w:ind w:left="1060" w:right="480" w:firstLine="17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Governors of the Federal Reserve System of the United States of America (or any successor thereof).</w:t>
      </w:r>
    </w:p>
    <w:p>
      <w:pPr>
        <w:spacing w:after="0" w:line="1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has the meaning assigned to such term in the preamble to this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Agreement.</w:t>
      </w:r>
    </w:p>
    <w:p>
      <w:pPr>
        <w:spacing w:after="0" w:line="180" w:lineRule="exact"/>
        <w:rPr>
          <w:sz w:val="20"/>
          <w:szCs w:val="20"/>
          <w:color w:val="auto"/>
        </w:rPr>
      </w:pPr>
    </w:p>
    <w:p>
      <w:pPr>
        <w:ind w:left="1060" w:right="1140" w:firstLine="1416"/>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 Asset Coverage Ratio</w:t>
      </w:r>
      <w:r>
        <w:rPr>
          <w:rFonts w:ascii="Times New Roman" w:cs="Times New Roman" w:eastAsia="Times New Roman" w:hAnsi="Times New Roman"/>
          <w:sz w:val="19"/>
          <w:szCs w:val="19"/>
          <w:color w:val="auto"/>
        </w:rPr>
        <w:t>” means the ratio, determined for the Obligors, without duplication, of (a) (i) Total Assets minus (ii) Total Assets Concentration Limitation to (b) Total Secured Debt.</w:t>
      </w:r>
    </w:p>
    <w:p>
      <w:pPr>
        <w:spacing w:after="0" w:line="1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w:t>
      </w:r>
      <w:r>
        <w:rPr>
          <w:rFonts w:ascii="Times New Roman" w:cs="Times New Roman" w:eastAsia="Times New Roman" w:hAnsi="Times New Roman"/>
          <w:sz w:val="19"/>
          <w:szCs w:val="19"/>
          <w:color w:val="auto"/>
        </w:rPr>
        <w:t>” means (a) all Syndicated ABR Loans of the same Class made, converted</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or continued on the same date, (b) all Term Benchmark Loans of the same Class denominated in the same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Currency that have the same Interest Period, (c) all RFR Loans of the same Class and Type denominated in the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same Currency that have the same Interest Period or</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(d) a Swingline Loan.</w:t>
      </w:r>
    </w:p>
    <w:p>
      <w:pPr>
        <w:spacing w:after="0" w:line="10" w:lineRule="exact"/>
        <w:rPr>
          <w:sz w:val="20"/>
          <w:szCs w:val="20"/>
          <w:color w:val="auto"/>
        </w:rPr>
      </w:pPr>
    </w:p>
    <w:p>
      <w:pPr>
        <w:ind w:left="2460" w:right="22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Base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Borrowing 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Certificate</w:t>
      </w:r>
      <w:r>
        <w:rPr>
          <w:rFonts w:ascii="Times New Roman" w:cs="Times New Roman" w:eastAsia="Times New Roman" w:hAnsi="Times New Roman"/>
          <w:sz w:val="19"/>
          <w:szCs w:val="19"/>
          <w:color w:val="auto"/>
        </w:rPr>
        <w:t>” means a certificate of a Financial Officer of the</w:t>
      </w:r>
    </w:p>
    <w:p>
      <w:pPr>
        <w:spacing w:after="0" w:line="1" w:lineRule="exact"/>
        <w:rPr>
          <w:sz w:val="20"/>
          <w:szCs w:val="20"/>
          <w:color w:val="auto"/>
        </w:rPr>
      </w:pPr>
    </w:p>
    <w:p>
      <w:pPr>
        <w:ind w:left="1060" w:right="300"/>
        <w:spacing w:after="0" w:line="262" w:lineRule="auto"/>
        <w:rPr>
          <w:sz w:val="20"/>
          <w:szCs w:val="20"/>
          <w:color w:val="auto"/>
        </w:rPr>
      </w:pPr>
      <w:r>
        <w:rPr>
          <w:rFonts w:ascii="Times New Roman" w:cs="Times New Roman" w:eastAsia="Times New Roman" w:hAnsi="Times New Roman"/>
          <w:sz w:val="19"/>
          <w:szCs w:val="19"/>
          <w:color w:val="auto"/>
        </w:rPr>
        <w:t xml:space="preserve">Borrower,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(or such other form as shall be reasonably satisfactory to the Administrative Agent) and appropriately completed.</w:t>
      </w:r>
    </w:p>
    <w:p>
      <w:pPr>
        <w:spacing w:after="0" w:line="149" w:lineRule="exact"/>
        <w:rPr>
          <w:sz w:val="20"/>
          <w:szCs w:val="20"/>
          <w:color w:val="auto"/>
        </w:rPr>
      </w:pPr>
    </w:p>
    <w:p>
      <w:pPr>
        <w:ind w:left="1060" w:right="160" w:firstLine="1740"/>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Base Deficiency</w:t>
      </w:r>
      <w:r>
        <w:rPr>
          <w:rFonts w:ascii="Times New Roman" w:cs="Times New Roman" w:eastAsia="Times New Roman" w:hAnsi="Times New Roman"/>
          <w:sz w:val="19"/>
          <w:szCs w:val="19"/>
          <w:color w:val="auto"/>
        </w:rPr>
        <w:t xml:space="preserve"> ” means, at any date on which the same is determined, the amount, if any, that (a) the aggregate Covered Debt Amount as of such date exceeds (b) the Borrowing Base as of such date.</w:t>
      </w:r>
    </w:p>
    <w:p>
      <w:pPr>
        <w:spacing w:after="0" w:line="144" w:lineRule="exact"/>
        <w:rPr>
          <w:sz w:val="20"/>
          <w:szCs w:val="20"/>
          <w:color w:val="auto"/>
        </w:rPr>
      </w:pPr>
    </w:p>
    <w:p>
      <w:pPr>
        <w:ind w:left="1060" w:right="32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xml:space="preserve">” means a request by the Borrower for a Syndicated Borrowing in accordance with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which, if in writing, shall be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060" w:right="100" w:firstLine="172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 means any day that is not a Saturday, Sunday or other day on which commercial banks in New York City are authorized or required by law to remain closed, provided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spacing w:after="0" w:line="155" w:lineRule="exact"/>
        <w:rPr>
          <w:sz w:val="20"/>
          <w:szCs w:val="20"/>
          <w:color w:val="auto"/>
        </w:rPr>
      </w:pPr>
    </w:p>
    <w:p>
      <w:pPr>
        <w:ind w:left="1060" w:right="22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Calculation Amount</w:t>
      </w:r>
      <w:r>
        <w:rPr>
          <w:rFonts w:ascii="Times New Roman" w:cs="Times New Roman" w:eastAsia="Times New Roman" w:hAnsi="Times New Roman"/>
          <w:sz w:val="19"/>
          <w:szCs w:val="19"/>
          <w:color w:val="auto"/>
        </w:rPr>
        <w:t xml:space="preserve">” shall mean, as of the end of any Testing Period, an amount equal to the greater of: (a) (i) 125% of the Adjusted Covered Debt Balance (as of the end of such Testing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aggregate Value of all Quoted Investments included in the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17" w:name="page118"/>
    <w:bookmarkEnd w:id="117"/>
    <w:p>
      <w:pPr>
        <w:spacing w:after="0" w:line="200" w:lineRule="exact"/>
        <w:rPr>
          <w:sz w:val="20"/>
          <w:szCs w:val="20"/>
          <w:color w:val="auto"/>
        </w:rPr>
      </w:pPr>
    </w:p>
    <w:p>
      <w:pPr>
        <w:spacing w:after="0" w:line="213"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9"/>
          <w:szCs w:val="19"/>
          <w:color w:val="auto"/>
        </w:rPr>
        <w:t>Borrowing Base (as of the end of such Testing Period) and (b) 10% of the aggregate Value of all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18" w:name="page119"/>
    <w:bookmarkEnd w:id="118"/>
    <w:p>
      <w:pPr>
        <w:spacing w:after="0" w:line="269" w:lineRule="exact"/>
        <w:rPr>
          <w:sz w:val="20"/>
          <w:szCs w:val="20"/>
          <w:color w:val="auto"/>
        </w:rPr>
      </w:pPr>
    </w:p>
    <w:p>
      <w:pPr>
        <w:ind w:left="1060" w:right="120"/>
        <w:spacing w:after="0" w:line="262" w:lineRule="auto"/>
        <w:rPr>
          <w:sz w:val="20"/>
          <w:szCs w:val="20"/>
          <w:color w:val="auto"/>
        </w:rPr>
      </w:pPr>
      <w:r>
        <w:rPr>
          <w:rFonts w:ascii="Times New Roman" w:cs="Times New Roman" w:eastAsia="Times New Roman" w:hAnsi="Times New Roman"/>
          <w:sz w:val="19"/>
          <w:szCs w:val="19"/>
          <w:color w:val="auto"/>
        </w:rPr>
        <w:t xml:space="preserve">Unquoted Investments included in the Borrowing Base (as of the end of such Testing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more than 25% (or, if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applies, 10%, or as near thereto as reasonably practicable) of the aggregate Value of the Unquoted Investments in the Borrowing Base be tested in respect of any applicable Testing Period.</w:t>
      </w:r>
    </w:p>
    <w:p>
      <w:pPr>
        <w:spacing w:after="0" w:line="1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FF0000"/>
          <w:strike w:val="1"/>
        </w:rPr>
        <w:t>CAM Exchange</w:t>
      </w:r>
      <w:r>
        <w:rPr>
          <w:rFonts w:ascii="Times New Roman" w:cs="Times New Roman" w:eastAsia="Times New Roman" w:hAnsi="Times New Roman"/>
          <w:sz w:val="19"/>
          <w:szCs w:val="19"/>
          <w:color w:val="FF0000"/>
          <w:strike w:val="1"/>
        </w:rPr>
        <w:t>” means the exchange of the Lenders’ interests provided for in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FF0000"/>
          <w:strike w:val="1"/>
        </w:rPr>
        <w:t>Article VII</w:t>
      </w:r>
      <w:r>
        <w:rPr>
          <w:rFonts w:ascii="Times New Roman" w:cs="Times New Roman" w:eastAsia="Times New Roman" w:hAnsi="Times New Roman"/>
          <w:sz w:val="19"/>
          <w:szCs w:val="19"/>
          <w:color w:val="FF0000"/>
          <w:strike w:val="1"/>
        </w:rPr>
        <w:t>.</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FF0000"/>
          <w:strike w:val="1"/>
        </w:rPr>
        <w:t>CAM Exchange Date</w:t>
      </w:r>
      <w:r>
        <w:rPr>
          <w:rFonts w:ascii="Times New Roman" w:cs="Times New Roman" w:eastAsia="Times New Roman" w:hAnsi="Times New Roman"/>
          <w:sz w:val="19"/>
          <w:szCs w:val="19"/>
          <w:color w:val="FF0000"/>
          <w:strike w:val="1"/>
        </w:rPr>
        <w:t>” means the date on which any Event of Default referred to</w:t>
      </w:r>
    </w:p>
    <w:p>
      <w:pPr>
        <w:spacing w:after="0" w:line="32" w:lineRule="exact"/>
        <w:rPr>
          <w:sz w:val="20"/>
          <w:szCs w:val="20"/>
          <w:color w:val="auto"/>
        </w:rPr>
      </w:pPr>
    </w:p>
    <w:p>
      <w:pPr>
        <w:ind w:left="1060" w:right="620"/>
        <w:spacing w:after="0" w:line="262" w:lineRule="auto"/>
        <w:rPr>
          <w:sz w:val="20"/>
          <w:szCs w:val="20"/>
          <w:color w:val="auto"/>
        </w:rPr>
      </w:pPr>
      <w:r>
        <w:rPr>
          <w:rFonts w:ascii="Times New Roman" w:cs="Times New Roman" w:eastAsia="Times New Roman" w:hAnsi="Times New Roman"/>
          <w:sz w:val="19"/>
          <w:szCs w:val="19"/>
          <w:color w:val="FF0000"/>
          <w:strike w:val="1"/>
        </w:rPr>
        <w:t xml:space="preserve">in </w:t>
      </w:r>
      <w:r>
        <w:rPr>
          <w:rFonts w:ascii="Times New Roman" w:cs="Times New Roman" w:eastAsia="Times New Roman" w:hAnsi="Times New Roman"/>
          <w:sz w:val="19"/>
          <w:szCs w:val="19"/>
          <w:u w:val="single" w:color="auto"/>
          <w:color w:val="FF0000"/>
          <w:strike w:val="1"/>
        </w:rPr>
        <w:t>clause (j)</w:t>
      </w:r>
      <w:r>
        <w:rPr>
          <w:rFonts w:ascii="Times New Roman" w:cs="Times New Roman" w:eastAsia="Times New Roman" w:hAnsi="Times New Roman"/>
          <w:sz w:val="19"/>
          <w:szCs w:val="19"/>
          <w:color w:val="FF0000"/>
          <w:strike w:val="1"/>
        </w:rPr>
        <w:t xml:space="preserve"> of </w:t>
      </w:r>
      <w:r>
        <w:rPr>
          <w:rFonts w:ascii="Times New Roman" w:cs="Times New Roman" w:eastAsia="Times New Roman" w:hAnsi="Times New Roman"/>
          <w:sz w:val="19"/>
          <w:szCs w:val="19"/>
          <w:u w:val="single" w:color="auto"/>
          <w:color w:val="FF0000"/>
          <w:strike w:val="1"/>
        </w:rPr>
        <w:t>Article VII</w:t>
      </w:r>
      <w:r>
        <w:rPr>
          <w:rFonts w:ascii="Times New Roman" w:cs="Times New Roman" w:eastAsia="Times New Roman" w:hAnsi="Times New Roman"/>
          <w:sz w:val="19"/>
          <w:szCs w:val="19"/>
          <w:color w:val="FF0000"/>
          <w:strike w:val="1"/>
        </w:rPr>
        <w:t xml:space="preserve"> shall occur or the date on which the Borrower receives written notice from the Administrative Agent that any Event of Default referred to in </w:t>
      </w:r>
      <w:r>
        <w:rPr>
          <w:rFonts w:ascii="Times New Roman" w:cs="Times New Roman" w:eastAsia="Times New Roman" w:hAnsi="Times New Roman"/>
          <w:sz w:val="19"/>
          <w:szCs w:val="19"/>
          <w:u w:val="single" w:color="auto"/>
          <w:color w:val="FF0000"/>
          <w:strike w:val="1"/>
        </w:rPr>
        <w:t>clause (i)</w:t>
      </w:r>
      <w:r>
        <w:rPr>
          <w:rFonts w:ascii="Times New Roman" w:cs="Times New Roman" w:eastAsia="Times New Roman" w:hAnsi="Times New Roman"/>
          <w:sz w:val="19"/>
          <w:szCs w:val="19"/>
          <w:color w:val="FF0000"/>
          <w:strike w:val="1"/>
        </w:rPr>
        <w:t xml:space="preserve"> of </w:t>
      </w:r>
      <w:r>
        <w:rPr>
          <w:rFonts w:ascii="Times New Roman" w:cs="Times New Roman" w:eastAsia="Times New Roman" w:hAnsi="Times New Roman"/>
          <w:sz w:val="19"/>
          <w:szCs w:val="19"/>
          <w:u w:val="single" w:color="auto"/>
          <w:color w:val="FF0000"/>
          <w:strike w:val="1"/>
        </w:rPr>
        <w:t>Article VII</w:t>
      </w:r>
      <w:r>
        <w:rPr>
          <w:rFonts w:ascii="Times New Roman" w:cs="Times New Roman" w:eastAsia="Times New Roman" w:hAnsi="Times New Roman"/>
          <w:sz w:val="19"/>
          <w:szCs w:val="19"/>
          <w:color w:val="FF0000"/>
          <w:strike w:val="1"/>
        </w:rPr>
        <w:t xml:space="preserve"> has occurred.</w:t>
      </w:r>
    </w:p>
    <w:p>
      <w:pPr>
        <w:spacing w:after="0" w:line="149" w:lineRule="exact"/>
        <w:rPr>
          <w:sz w:val="20"/>
          <w:szCs w:val="20"/>
          <w:color w:val="auto"/>
        </w:rPr>
      </w:pPr>
    </w:p>
    <w:p>
      <w:pPr>
        <w:ind w:left="1060" w:right="200" w:firstLine="1728"/>
        <w:spacing w:after="0" w:line="259"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FF0000"/>
          <w:strike w:val="1"/>
        </w:rPr>
        <w:t>CAM Percentage</w:t>
      </w:r>
      <w:r>
        <w:rPr>
          <w:rFonts w:ascii="Times New Roman" w:cs="Times New Roman" w:eastAsia="Times New Roman" w:hAnsi="Times New Roman"/>
          <w:sz w:val="19"/>
          <w:szCs w:val="19"/>
          <w:color w:val="FF0000"/>
          <w:strike w:val="1"/>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5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Dollars</w:t>
      </w:r>
      <w:r>
        <w:rPr>
          <w:rFonts w:ascii="Times New Roman" w:cs="Times New Roman" w:eastAsia="Times New Roman" w:hAnsi="Times New Roman"/>
          <w:sz w:val="19"/>
          <w:szCs w:val="19"/>
          <w:color w:val="auto"/>
        </w:rPr>
        <w:t xml:space="preserve">” means the </w:t>
      </w:r>
      <w:r>
        <w:rPr>
          <w:rFonts w:ascii="Times New Roman" w:cs="Times New Roman" w:eastAsia="Times New Roman" w:hAnsi="Times New Roman"/>
          <w:sz w:val="19"/>
          <w:szCs w:val="19"/>
          <w:color w:val="FF0000"/>
          <w:strike w:val="1"/>
        </w:rPr>
        <w:t>single</w:t>
      </w:r>
      <w:r>
        <w:rPr>
          <w:rFonts w:ascii="Times New Roman" w:cs="Times New Roman" w:eastAsia="Times New Roman" w:hAnsi="Times New Roman"/>
          <w:sz w:val="19"/>
          <w:szCs w:val="19"/>
          <w:u w:val="single" w:color="auto"/>
          <w:color w:val="0000FF"/>
        </w:rPr>
        <w:t>lawful</w:t>
      </w:r>
      <w:r>
        <w:rPr>
          <w:rFonts w:ascii="Times New Roman" w:cs="Times New Roman" w:eastAsia="Times New Roman" w:hAnsi="Times New Roman"/>
          <w:sz w:val="19"/>
          <w:szCs w:val="19"/>
          <w:color w:val="auto"/>
        </w:rPr>
        <w:t xml:space="preserve"> currency of Canada.</w:t>
      </w:r>
    </w:p>
    <w:p>
      <w:pPr>
        <w:spacing w:after="0" w:line="202" w:lineRule="exact"/>
        <w:rPr>
          <w:sz w:val="20"/>
          <w:szCs w:val="20"/>
          <w:color w:val="auto"/>
        </w:rPr>
      </w:pPr>
    </w:p>
    <w:p>
      <w:pPr>
        <w:ind w:left="1060" w:right="200" w:firstLine="1728"/>
        <w:spacing w:after="0" w:line="255" w:lineRule="auto"/>
        <w:rPr>
          <w:sz w:val="20"/>
          <w:szCs w:val="20"/>
          <w:color w:val="auto"/>
        </w:rPr>
      </w:pPr>
      <w:r>
        <w:rPr>
          <w:rFonts w:ascii="Times New Roman" w:cs="Times New Roman" w:eastAsia="Times New Roman" w:hAnsi="Times New Roman"/>
          <w:sz w:val="19"/>
          <w:szCs w:val="19"/>
          <w:u w:val="single" w:color="auto"/>
          <w:color w:val="0000FF"/>
        </w:rPr>
        <w:t xml:space="preserve">“Canadian Prime Rate”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w:t>
      </w:r>
      <w:r>
        <w:rPr>
          <w:rFonts w:ascii="Times New Roman" w:cs="Times New Roman" w:eastAsia="Times New Roman" w:hAnsi="Times New Roman"/>
          <w:sz w:val="19"/>
          <w:szCs w:val="19"/>
          <w:u w:val="single" w:color="auto"/>
          <w:color w:val="007F00"/>
        </w:rPr>
        <w:t>the rate per annum equal to</w:t>
      </w:r>
      <w:r>
        <w:rPr>
          <w:rFonts w:ascii="Times New Roman" w:cs="Times New Roman" w:eastAsia="Times New Roman" w:hAnsi="Times New Roman"/>
          <w:sz w:val="19"/>
          <w:szCs w:val="19"/>
          <w:u w:val="single" w:color="auto"/>
          <w:color w:val="0000FF"/>
        </w:rPr>
        <w:t xml:space="preserve"> Term CORRA plus 1%; provided, that if any of the above rates shall be less than 0%, such rate shall be deemed to be 0% for purposes of this Agreement. Any change in the Canadian Prime Rate due to a change in the PRIMCAN Index or Term CORRA shall be effective from and including the effective date of such change in the PRIMCAN Index or Term CORRA, respectively.</w:t>
      </w:r>
    </w:p>
    <w:p>
      <w:pPr>
        <w:spacing w:after="0" w:line="155" w:lineRule="exact"/>
        <w:rPr>
          <w:sz w:val="20"/>
          <w:szCs w:val="20"/>
          <w:color w:val="auto"/>
        </w:rPr>
      </w:pPr>
    </w:p>
    <w:p>
      <w:pPr>
        <w:ind w:left="1060" w:right="22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Lease Obligations</w:t>
      </w:r>
      <w:r>
        <w:rPr>
          <w:rFonts w:ascii="Times New Roman" w:cs="Times New Roman" w:eastAsia="Times New Roman" w:hAnsi="Times New Roman"/>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54" w:lineRule="exact"/>
        <w:rPr>
          <w:sz w:val="20"/>
          <w:szCs w:val="20"/>
          <w:color w:val="auto"/>
        </w:rPr>
      </w:pPr>
    </w:p>
    <w:p>
      <w:pPr>
        <w:ind w:left="1060" w:right="2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w:t>
      </w:r>
      <w:r>
        <w:rPr>
          <w:rFonts w:ascii="Times New Roman" w:cs="Times New Roman" w:eastAsia="Times New Roman" w:hAnsi="Times New Roman"/>
          <w:sz w:val="19"/>
          <w:szCs w:val="19"/>
          <w:color w:val="auto"/>
        </w:rPr>
        <w:t>” means any immediately available funds in Dollars or in any currency other than Dollars (measured in terms of the Dollar Equivalent thereof) which is a freely convertible currency.</w:t>
      </w:r>
    </w:p>
    <w:p>
      <w:pPr>
        <w:spacing w:after="0" w:line="127" w:lineRule="exact"/>
        <w:rPr>
          <w:sz w:val="20"/>
          <w:szCs w:val="20"/>
          <w:color w:val="auto"/>
        </w:rPr>
      </w:pPr>
    </w:p>
    <w:p>
      <w:pPr>
        <w:ind w:left="1060" w:right="20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Collateralize</w:t>
      </w:r>
      <w:r>
        <w:rPr>
          <w:rFonts w:ascii="Times New Roman" w:cs="Times New Roman" w:eastAsia="Times New Roman" w:hAnsi="Times New Roman"/>
          <w:sz w:val="19"/>
          <w:szCs w:val="19"/>
          <w:color w:val="auto"/>
        </w:rPr>
        <w:t xml:space="preserve">” means, in respect of a Letter of Credit or any obligation hereunder, to provide and pledge cash collateral pursuant to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at a location and pursuant to documentation in form and substance reasonably satisfactory to Administrative Agent and each Issuing Bank. “</w:t>
      </w:r>
      <w:r>
        <w:rPr>
          <w:rFonts w:ascii="Times New Roman" w:cs="Times New Roman" w:eastAsia="Times New Roman" w:hAnsi="Times New Roman"/>
          <w:sz w:val="19"/>
          <w:szCs w:val="19"/>
          <w:u w:val="single" w:color="auto"/>
          <w:color w:val="auto"/>
        </w:rPr>
        <w:t>Cash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Cash Collateralized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Cash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19" w:name="page120"/>
    <w:bookmarkEnd w:id="119"/>
    <w:p>
      <w:pPr>
        <w:spacing w:after="0" w:line="269" w:lineRule="exact"/>
        <w:rPr>
          <w:sz w:val="20"/>
          <w:szCs w:val="20"/>
          <w:color w:val="auto"/>
        </w:rPr>
      </w:pPr>
    </w:p>
    <w:p>
      <w:pPr>
        <w:ind w:left="1060" w:right="220"/>
        <w:spacing w:after="0" w:line="286" w:lineRule="auto"/>
        <w:rPr>
          <w:sz w:val="20"/>
          <w:szCs w:val="20"/>
          <w:color w:val="auto"/>
        </w:rPr>
      </w:pPr>
      <w:r>
        <w:rPr>
          <w:rFonts w:ascii="Times New Roman" w:cs="Times New Roman" w:eastAsia="Times New Roman" w:hAnsi="Times New Roman"/>
          <w:sz w:val="19"/>
          <w:szCs w:val="19"/>
          <w:u w:val="single" w:color="auto"/>
          <w:color w:val="auto"/>
        </w:rPr>
        <w:t>Collateralization</w:t>
      </w:r>
      <w:r>
        <w:rPr>
          <w:rFonts w:ascii="Times New Roman" w:cs="Times New Roman" w:eastAsia="Times New Roman" w:hAnsi="Times New Roman"/>
          <w:sz w:val="19"/>
          <w:szCs w:val="19"/>
          <w:color w:val="auto"/>
        </w:rPr>
        <w:t>” shall have meanings correlative to the foregoing and shall include the proceeds of such cash collateral and other credit support.</w:t>
      </w:r>
    </w:p>
    <w:p>
      <w:pPr>
        <w:spacing w:after="0" w:line="1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 investments (other than Cash) that are one or more of the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following obligations:</w:t>
      </w:r>
    </w:p>
    <w:p>
      <w:pPr>
        <w:spacing w:after="0" w:line="180" w:lineRule="exact"/>
        <w:rPr>
          <w:sz w:val="20"/>
          <w:szCs w:val="20"/>
          <w:color w:val="auto"/>
        </w:rPr>
      </w:pPr>
    </w:p>
    <w:p>
      <w:pPr>
        <w:ind w:left="1760" w:right="380" w:firstLine="948"/>
        <w:spacing w:after="0" w:line="286" w:lineRule="auto"/>
        <w:rPr>
          <w:sz w:val="20"/>
          <w:szCs w:val="20"/>
          <w:color w:val="auto"/>
        </w:rPr>
      </w:pPr>
      <w:r>
        <w:rPr>
          <w:rFonts w:ascii="Times New Roman" w:cs="Times New Roman" w:eastAsia="Times New Roman" w:hAnsi="Times New Roman"/>
          <w:sz w:val="19"/>
          <w:szCs w:val="19"/>
          <w:color w:val="auto"/>
        </w:rPr>
        <w:t>(a)U.S. Government Securities, in each case maturing within one year from the date of acquisition thereof;</w:t>
      </w:r>
    </w:p>
    <w:p>
      <w:pPr>
        <w:spacing w:after="0" w:line="127" w:lineRule="exact"/>
        <w:rPr>
          <w:sz w:val="20"/>
          <w:szCs w:val="20"/>
          <w:color w:val="auto"/>
        </w:rPr>
      </w:pPr>
    </w:p>
    <w:p>
      <w:pPr>
        <w:ind w:left="1760" w:right="160" w:firstLine="936"/>
        <w:spacing w:after="0" w:line="259" w:lineRule="auto"/>
        <w:rPr>
          <w:sz w:val="20"/>
          <w:szCs w:val="20"/>
          <w:color w:val="auto"/>
        </w:rPr>
      </w:pPr>
      <w:r>
        <w:rPr>
          <w:rFonts w:ascii="Times New Roman" w:cs="Times New Roman" w:eastAsia="Times New Roman" w:hAnsi="Times New Roman"/>
          <w:sz w:val="19"/>
          <w:szCs w:val="19"/>
          <w:color w:val="auto"/>
        </w:rPr>
        <w:t>(b)investments in commercial paper or other short-term corporate obligations maturing within 270 days from the date of acquisition thereof and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154" w:lineRule="exact"/>
        <w:rPr>
          <w:sz w:val="20"/>
          <w:szCs w:val="20"/>
          <w:color w:val="auto"/>
        </w:rPr>
      </w:pPr>
    </w:p>
    <w:p>
      <w:pPr>
        <w:ind w:left="1760" w:right="100" w:firstLine="936"/>
        <w:spacing w:after="0" w:line="254" w:lineRule="auto"/>
        <w:rPr>
          <w:sz w:val="20"/>
          <w:szCs w:val="20"/>
          <w:color w:val="auto"/>
        </w:rPr>
      </w:pPr>
      <w:r>
        <w:rPr>
          <w:rFonts w:ascii="Times New Roman" w:cs="Times New Roman" w:eastAsia="Times New Roman" w:hAnsi="Times New Roman"/>
          <w:sz w:val="19"/>
          <w:szCs w:val="19"/>
          <w:color w:val="auto"/>
        </w:rPr>
        <w:t xml:space="preserve">(c)investments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P- 1 from Moody’s (or if only one of S&amp;P or Moody’s provides such rating, such investment shall also have an equivalent credit rating from any other rating agency);</w:t>
      </w:r>
    </w:p>
    <w:p>
      <w:pPr>
        <w:spacing w:after="0" w:line="160" w:lineRule="exact"/>
        <w:rPr>
          <w:sz w:val="20"/>
          <w:szCs w:val="20"/>
          <w:color w:val="auto"/>
        </w:rPr>
      </w:pPr>
    </w:p>
    <w:p>
      <w:pPr>
        <w:ind w:left="1760" w:right="160" w:firstLine="936"/>
        <w:spacing w:after="0" w:line="257" w:lineRule="auto"/>
        <w:rPr>
          <w:sz w:val="20"/>
          <w:szCs w:val="20"/>
          <w:color w:val="auto"/>
        </w:rPr>
      </w:pPr>
      <w:r>
        <w:rPr>
          <w:rFonts w:ascii="Times New Roman" w:cs="Times New Roman" w:eastAsia="Times New Roman" w:hAnsi="Times New Roman"/>
          <w:sz w:val="19"/>
          <w:szCs w:val="19"/>
          <w:color w:val="auto"/>
        </w:rPr>
        <w:t xml:space="preserve">(d)fully collateralized repurchase agreements with a term of not more than 30 days from the date of acquisition thereof for U.S. Government Securities and entered into with (i) a financial institution satisfying the criteria described in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this definition or (ii) an Approved Dealer having (or being a member of a consolidated group having) at such date of acquisition, a credit rating of at least A -1 from S&amp;P and at least P -1 from Moody’s (or if only one of S&amp;P or Moody’s provides such rating, such investment shall also have an equivalent credit rating from any other rating agency);</w:t>
      </w:r>
    </w:p>
    <w:p>
      <w:pPr>
        <w:spacing w:after="0" w:line="157" w:lineRule="exact"/>
        <w:rPr>
          <w:sz w:val="20"/>
          <w:szCs w:val="20"/>
          <w:color w:val="auto"/>
        </w:rPr>
      </w:pPr>
    </w:p>
    <w:p>
      <w:pPr>
        <w:jc w:val="both"/>
        <w:ind w:left="1760" w:right="160" w:firstLine="936"/>
        <w:spacing w:after="0" w:line="268" w:lineRule="auto"/>
        <w:rPr>
          <w:sz w:val="20"/>
          <w:szCs w:val="20"/>
          <w:color w:val="auto"/>
        </w:rPr>
      </w:pPr>
      <w:r>
        <w:rPr>
          <w:rFonts w:ascii="Times New Roman" w:cs="Times New Roman" w:eastAsia="Times New Roman" w:hAnsi="Times New Roman"/>
          <w:sz w:val="19"/>
          <w:szCs w:val="19"/>
          <w:color w:val="auto"/>
        </w:rPr>
        <w:t xml:space="preserve">(e)investments in money market funds that invest solely, and which are restricted by their respective charters to invest solely, in investments of the type described in the immediately preceding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above (including as to credit quality and maturity);</w:t>
      </w:r>
    </w:p>
    <w:p>
      <w:pPr>
        <w:spacing w:after="0" w:line="144" w:lineRule="exact"/>
        <w:rPr>
          <w:sz w:val="20"/>
          <w:szCs w:val="20"/>
          <w:color w:val="auto"/>
        </w:rPr>
      </w:pPr>
    </w:p>
    <w:p>
      <w:pPr>
        <w:ind w:left="1060" w:right="380" w:firstLine="1728"/>
        <w:spacing w:after="0" w:line="286" w:lineRule="auto"/>
        <w:rPr>
          <w:sz w:val="20"/>
          <w:szCs w:val="20"/>
          <w:color w:val="auto"/>
        </w:rPr>
      </w:pPr>
      <w:r>
        <w:rPr>
          <w:rFonts w:ascii="Times New Roman" w:cs="Times New Roman" w:eastAsia="Times New Roman" w:hAnsi="Times New Roman"/>
          <w:sz w:val="19"/>
          <w:szCs w:val="19"/>
          <w:color w:val="auto"/>
        </w:rPr>
        <w:t>(f)money market funds that have, at all times, credit ratings of “Aaa” and “MR1+” by Moody’s and “AAAm” or “Aam-G” by S&amp;P, respectively; and</w:t>
      </w:r>
    </w:p>
    <w:p>
      <w:pPr>
        <w:spacing w:after="0" w:line="127" w:lineRule="exact"/>
        <w:rPr>
          <w:sz w:val="20"/>
          <w:szCs w:val="20"/>
          <w:color w:val="auto"/>
        </w:rPr>
      </w:pPr>
    </w:p>
    <w:p>
      <w:pPr>
        <w:ind w:left="1060" w:right="780" w:firstLine="1728"/>
        <w:spacing w:after="0" w:line="262" w:lineRule="auto"/>
        <w:rPr>
          <w:sz w:val="20"/>
          <w:szCs w:val="20"/>
          <w:color w:val="auto"/>
        </w:rPr>
      </w:pPr>
      <w:r>
        <w:rPr>
          <w:rFonts w:ascii="Times New Roman" w:cs="Times New Roman" w:eastAsia="Times New Roman" w:hAnsi="Times New Roman"/>
          <w:sz w:val="19"/>
          <w:szCs w:val="19"/>
          <w:color w:val="auto"/>
        </w:rPr>
        <w:t>(g)any of the following offered by State Street Bank and Trust Company (or any successor custodian or other entity acting in a similar capacity with respect to the Borrower)</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(I) money market deposit accounts, (II) eurodollar time deposits, (III) commercial eurodollar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20" w:name="page121"/>
    <w:bookmarkEnd w:id="120"/>
    <w:p>
      <w:pPr>
        <w:spacing w:after="0" w:line="221"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9"/>
          <w:szCs w:val="19"/>
          <w:color w:val="auto"/>
        </w:rPr>
        <w:t>sweep services or (IV) open commercial paper services, in each case having, at such date of</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21" w:name="page122"/>
    <w:bookmarkEnd w:id="121"/>
    <w:p>
      <w:pPr>
        <w:spacing w:after="0" w:line="269" w:lineRule="exact"/>
        <w:rPr>
          <w:sz w:val="20"/>
          <w:szCs w:val="20"/>
          <w:color w:val="auto"/>
        </w:rPr>
      </w:pPr>
    </w:p>
    <w:p>
      <w:pPr>
        <w:ind w:left="1060" w:right="400"/>
        <w:spacing w:after="0" w:line="286" w:lineRule="auto"/>
        <w:rPr>
          <w:sz w:val="20"/>
          <w:szCs w:val="20"/>
          <w:color w:val="auto"/>
        </w:rPr>
      </w:pPr>
      <w:r>
        <w:rPr>
          <w:rFonts w:ascii="Times New Roman" w:cs="Times New Roman" w:eastAsia="Times New Roman" w:hAnsi="Times New Roman"/>
          <w:sz w:val="19"/>
          <w:szCs w:val="19"/>
          <w:color w:val="auto"/>
        </w:rPr>
        <w:t>acquisition, a credit rating at least A-1 from S&amp;P and at least P-1 from Moody’s and maturing not later than 270 days from the date of acquisition thereof;</w:t>
      </w:r>
    </w:p>
    <w:p>
      <w:pPr>
        <w:spacing w:after="0" w:line="127" w:lineRule="exact"/>
        <w:rPr>
          <w:sz w:val="20"/>
          <w:szCs w:val="20"/>
          <w:color w:val="auto"/>
        </w:rPr>
      </w:pPr>
    </w:p>
    <w:p>
      <w:pPr>
        <w:ind w:left="1060" w:right="240"/>
        <w:spacing w:after="0" w:line="25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 no event shall Cash Equivalents include any obligation that provides for the payment of interest alone (for example, interest- only securities or “IOs”); (ii) if any of Moody’s or S&amp;P changes its rating system, then any ratings included in this definition shall be deemed to be an equivalent rating in a successor rating category of Moody’s or S&amp;P, as the case may be;</w:t>
      </w:r>
    </w:p>
    <w:p>
      <w:pPr>
        <w:spacing w:after="0" w:line="2" w:lineRule="exact"/>
        <w:rPr>
          <w:sz w:val="20"/>
          <w:szCs w:val="20"/>
          <w:color w:val="auto"/>
        </w:rPr>
      </w:pPr>
    </w:p>
    <w:p>
      <w:pPr>
        <w:ind w:left="1060" w:right="360" w:hanging="10"/>
        <w:spacing w:after="0" w:line="253" w:lineRule="auto"/>
        <w:tabs>
          <w:tab w:leader="none" w:pos="1396"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5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9"/>
          <w:szCs w:val="19"/>
          <w:u w:val="single" w:color="auto"/>
          <w:color w:val="0000FF"/>
        </w:rPr>
        <w:t>“Central Bank Rate” means the greater of (A) the sum of (i) for any Loan denominated in</w:t>
      </w:r>
    </w:p>
    <w:p>
      <w:pPr>
        <w:spacing w:after="0" w:line="32" w:lineRule="exact"/>
        <w:rPr>
          <w:sz w:val="20"/>
          <w:szCs w:val="20"/>
          <w:color w:val="auto"/>
        </w:rPr>
      </w:pPr>
    </w:p>
    <w:p>
      <w:pPr>
        <w:ind w:left="1060" w:right="120" w:hanging="10"/>
        <w:spacing w:after="0" w:line="251" w:lineRule="auto"/>
        <w:tabs>
          <w:tab w:leader="none" w:pos="1332" w:val="left"/>
        </w:tabs>
        <w:numPr>
          <w:ilvl w:val="0"/>
          <w:numId w:val="18"/>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Sterling, the Bank of England (or any successor thereto)’s “Bank Rate” as published by the Bank of England (or any successor thereto) from time to time, (y)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spacing w:after="0" w:line="393" w:lineRule="exact"/>
        <w:rPr>
          <w:sz w:val="20"/>
          <w:szCs w:val="20"/>
          <w:color w:val="auto"/>
        </w:rPr>
      </w:pPr>
    </w:p>
    <w:p>
      <w:pPr>
        <w:ind w:left="1060" w:right="220" w:firstLine="1728"/>
        <w:spacing w:after="0" w:line="259" w:lineRule="auto"/>
        <w:rPr>
          <w:sz w:val="20"/>
          <w:szCs w:val="20"/>
          <w:color w:val="auto"/>
        </w:rPr>
      </w:pPr>
      <w:r>
        <w:rPr>
          <w:rFonts w:ascii="Times New Roman" w:cs="Times New Roman" w:eastAsia="Times New Roman" w:hAnsi="Times New Roman"/>
          <w:sz w:val="19"/>
          <w:szCs w:val="19"/>
          <w:u w:val="single" w:color="auto"/>
          <w:color w:val="0000FF"/>
        </w:rPr>
        <w:t>“Central Bank Rate Adjustment” means, for any date, for any Loan denominated in (A) Sterling, a rate equal to the difference (which may be a positive or negative value or zero) of (i) the average of the Daily Simple RFR for Sterling for the five most recent RFR Business Days preceding such day for which SONIA was available (excluding, from such averaging, the highest and the lowest SONIA applicable during such period of five RFR Business Days) minus</w:t>
      </w:r>
    </w:p>
    <w:p>
      <w:pPr>
        <w:spacing w:after="0" w:line="190" w:lineRule="exact"/>
        <w:rPr>
          <w:sz w:val="20"/>
          <w:szCs w:val="20"/>
          <w:color w:val="auto"/>
        </w:rPr>
      </w:pPr>
    </w:p>
    <w:p>
      <w:pPr>
        <w:ind w:left="1060" w:right="180" w:hanging="10"/>
        <w:spacing w:after="0" w:line="253" w:lineRule="auto"/>
        <w:tabs>
          <w:tab w:leader="none" w:pos="1342" w:val="left"/>
        </w:tabs>
        <w:numPr>
          <w:ilvl w:val="0"/>
          <w:numId w:val="19"/>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 Days for Euro preceding such day for which the EURIBOR Screen Rate was available (excluding, from such averaging, the highest and the lowest EURIBOR Screen Rate applicable during such period of five Term Benchmark Bank Days for Euro) minus (ii) the Central Bank Rate in respect of Euro in effect on the last Term Benchmark Bank Day for Euro in such period 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22" w:name="page123"/>
    <w:bookmarkEnd w:id="122"/>
    <w:p>
      <w:pPr>
        <w:spacing w:after="0" w:line="269" w:lineRule="exact"/>
        <w:rPr>
          <w:sz w:val="20"/>
          <w:szCs w:val="20"/>
          <w:color w:val="auto"/>
        </w:rPr>
      </w:pPr>
    </w:p>
    <w:p>
      <w:pPr>
        <w:ind w:left="1060" w:right="100" w:firstLine="1716"/>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 (or any of its Affiliates).</w:t>
      </w:r>
    </w:p>
    <w:p>
      <w:pPr>
        <w:spacing w:after="0" w:line="157" w:lineRule="exact"/>
        <w:rPr>
          <w:sz w:val="20"/>
          <w:szCs w:val="20"/>
          <w:color w:val="auto"/>
        </w:rPr>
      </w:pPr>
    </w:p>
    <w:p>
      <w:pPr>
        <w:ind w:left="1060" w:right="120" w:firstLine="172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(or with respect to a Person becoming a Lender by assignment or joinder after the date of this Agreement, the effective date thereof)),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w:t>
      </w:r>
      <w:r>
        <w:rPr>
          <w:rFonts w:ascii="Times New Roman" w:cs="Times New Roman" w:eastAsia="Times New Roman" w:hAnsi="Times New Roman"/>
          <w:sz w:val="19"/>
          <w:szCs w:val="19"/>
          <w:color w:val="FF0000"/>
          <w:strike w:val="1"/>
        </w:rPr>
        <w:t>controlling</w:t>
      </w:r>
      <w:r>
        <w:rPr>
          <w:rFonts w:ascii="Times New Roman" w:cs="Times New Roman" w:eastAsia="Times New Roman" w:hAnsi="Times New Roman"/>
          <w:sz w:val="19"/>
          <w:szCs w:val="19"/>
          <w:u w:val="single" w:color="auto"/>
          <w:color w:val="0000FF"/>
        </w:rPr>
        <w:t>Controlling</w:t>
      </w:r>
      <w:r>
        <w:rPr>
          <w:rFonts w:ascii="Times New Roman" w:cs="Times New Roman" w:eastAsia="Times New Roman" w:hAnsi="Times New Roman"/>
          <w:sz w:val="19"/>
          <w:szCs w:val="19"/>
          <w:color w:val="auto"/>
        </w:rPr>
        <w:t xml:space="preserve">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63" w:lineRule="exact"/>
        <w:rPr>
          <w:sz w:val="20"/>
          <w:szCs w:val="20"/>
          <w:color w:val="auto"/>
        </w:rPr>
      </w:pPr>
    </w:p>
    <w:p>
      <w:pPr>
        <w:ind w:left="1060" w:right="160" w:firstLine="172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Syndicated Dollar Loans, Syndicated Multicurrency Loans or Swingline Loans; when used in reference to any Lender’s (i) Class of Commitment, refers to whether such Lender is a Dollar Lender or a Multicurrency Lender and</w:t>
      </w:r>
    </w:p>
    <w:p>
      <w:pPr>
        <w:spacing w:after="0" w:line="2" w:lineRule="exact"/>
        <w:rPr>
          <w:sz w:val="20"/>
          <w:szCs w:val="20"/>
          <w:color w:val="auto"/>
        </w:rPr>
      </w:pPr>
    </w:p>
    <w:p>
      <w:pPr>
        <w:ind w:left="1060" w:right="420" w:hanging="10"/>
        <w:spacing w:after="0" w:line="262" w:lineRule="auto"/>
        <w:tabs>
          <w:tab w:leader="none" w:pos="1342"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Class of Final Maturity Date, refers to whether such Lender is an Extending Lender or a Non-Extending Lender; and, when used in reference to any Commitment, refers to whether such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23" w:name="page124"/>
    <w:bookmarkEnd w:id="123"/>
    <w:p>
      <w:pPr>
        <w:spacing w:after="0" w:line="221"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9"/>
          <w:szCs w:val="19"/>
          <w:color w:val="auto"/>
        </w:rPr>
        <w:t>Commitment is a Dollar Commitment or a Multicurrency Commitment. The “</w:t>
      </w:r>
      <w:r>
        <w:rPr>
          <w:rFonts w:ascii="Times New Roman" w:cs="Times New Roman" w:eastAsia="Times New Roman" w:hAnsi="Times New Roman"/>
          <w:sz w:val="19"/>
          <w:szCs w:val="19"/>
          <w:u w:val="single" w:color="auto"/>
          <w:color w:val="auto"/>
        </w:rPr>
        <w:t>Class</w:t>
      </w:r>
      <w:r>
        <w:rPr>
          <w:rFonts w:ascii="Times New Roman" w:cs="Times New Roman" w:eastAsia="Times New Roman" w:hAnsi="Times New Roman"/>
          <w:sz w:val="19"/>
          <w:szCs w:val="19"/>
          <w:color w:val="auto"/>
        </w:rPr>
        <w:t>” of a Letter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24" w:name="page125"/>
    <w:bookmarkEnd w:id="124"/>
    <w:p>
      <w:pPr>
        <w:spacing w:after="0" w:line="26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of Credit refers to whether such Letter of Credit is a Dollar Letter of Credit or a Multicurrency Letter of Credit.</w:t>
      </w:r>
    </w:p>
    <w:p>
      <w:pPr>
        <w:spacing w:after="0" w:line="32" w:lineRule="exact"/>
        <w:rPr>
          <w:sz w:val="20"/>
          <w:szCs w:val="20"/>
          <w:color w:val="auto"/>
        </w:rPr>
      </w:pPr>
    </w:p>
    <w:p>
      <w:pPr>
        <w:ind w:left="246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 from time to time. “</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has the meaning assigned to such term in the Guarantee and Security</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Agreement.</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means Truist in its capacity as Collateral Agent under the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Guarantee and Security Agreement </w:t>
      </w:r>
      <w:r>
        <w:rPr>
          <w:rFonts w:ascii="Times New Roman" w:cs="Times New Roman" w:eastAsia="Times New Roman" w:hAnsi="Times New Roman"/>
          <w:sz w:val="19"/>
          <w:szCs w:val="19"/>
          <w:color w:val="0000FF"/>
        </w:rPr>
        <w:t>and the other Security Documents</w:t>
      </w:r>
      <w:r>
        <w:rPr>
          <w:rFonts w:ascii="Times New Roman" w:cs="Times New Roman" w:eastAsia="Times New Roman" w:hAnsi="Times New Roman"/>
          <w:sz w:val="19"/>
          <w:szCs w:val="19"/>
          <w:color w:val="auto"/>
        </w:rPr>
        <w:t>, and includes any successor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-21590</wp:posOffset>
            </wp:positionV>
            <wp:extent cx="169227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1692275" cy="762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9"/>
          <w:szCs w:val="19"/>
          <w:color w:val="auto"/>
        </w:rPr>
        <w:t>Agent thereunder.</w:t>
      </w:r>
    </w:p>
    <w:p>
      <w:pPr>
        <w:spacing w:after="0" w:line="180" w:lineRule="exact"/>
        <w:rPr>
          <w:sz w:val="20"/>
          <w:szCs w:val="20"/>
          <w:color w:val="auto"/>
        </w:rPr>
      </w:pPr>
    </w:p>
    <w:p>
      <w:pPr>
        <w:ind w:left="1060" w:right="700" w:firstLine="172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Pool</w:t>
      </w:r>
      <w:r>
        <w:rPr>
          <w:rFonts w:ascii="Times New Roman" w:cs="Times New Roman" w:eastAsia="Times New Roman" w:hAnsi="Times New Roman"/>
          <w:sz w:val="19"/>
          <w:szCs w:val="19"/>
          <w:color w:val="auto"/>
        </w:rPr>
        <w:t xml:space="preserve">” 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hereof </w:t>
      </w:r>
      <w:r>
        <w:rPr>
          <w:rFonts w:ascii="Times New Roman" w:cs="Times New Roman" w:eastAsia="Times New Roman" w:hAnsi="Times New Roman"/>
          <w:sz w:val="19"/>
          <w:szCs w:val="19"/>
          <w:u w:val="single" w:color="auto"/>
          <w:color w:val="0000FF"/>
        </w:rPr>
        <w:t>with respect to such Portfolio Investment</w:t>
      </w:r>
      <w:r>
        <w:rPr>
          <w:rFonts w:ascii="Times New Roman" w:cs="Times New Roman" w:eastAsia="Times New Roman" w:hAnsi="Times New Roman"/>
          <w:sz w:val="19"/>
          <w:szCs w:val="19"/>
          <w:color w:val="auto"/>
        </w:rPr>
        <w:t>); provided that in the case of any Portfolio Investment in which the Collateral Agent has a first -priority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seven (7) days of such inclusion.</w:t>
      </w:r>
    </w:p>
    <w:p>
      <w:pPr>
        <w:spacing w:after="0" w:line="160" w:lineRule="exact"/>
        <w:rPr>
          <w:sz w:val="20"/>
          <w:szCs w:val="20"/>
          <w:color w:val="auto"/>
        </w:rPr>
      </w:pPr>
    </w:p>
    <w:p>
      <w:pPr>
        <w:ind w:left="1060" w:right="94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Combined Debt Amount</w:t>
      </w:r>
      <w:r>
        <w:rPr>
          <w:rFonts w:ascii="Times New Roman" w:cs="Times New Roman" w:eastAsia="Times New Roman" w:hAnsi="Times New Roman"/>
          <w:sz w:val="19"/>
          <w:szCs w:val="19"/>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Increase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2.08(e)(i)</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Increase Date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u w:val="single" w:color="auto"/>
          <w:color w:val="0000FF"/>
        </w:rPr>
        <w:t>“Commitment Increase Supplement” has the meaning assigned in Section</w:t>
      </w:r>
    </w:p>
    <w:p>
      <w:pPr>
        <w:spacing w:after="0" w:line="2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0000FF"/>
        </w:rPr>
        <w:t>2.08(e)(ii).</w:t>
      </w:r>
    </w:p>
    <w:p>
      <w:pPr>
        <w:spacing w:after="0" w:line="178" w:lineRule="exact"/>
        <w:rPr>
          <w:sz w:val="20"/>
          <w:szCs w:val="20"/>
          <w:color w:val="auto"/>
        </w:rPr>
      </w:pPr>
    </w:p>
    <w:p>
      <w:pPr>
        <w:ind w:left="1060" w:right="1600" w:firstLine="14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Termination Date</w:t>
      </w:r>
      <w:r>
        <w:rPr>
          <w:rFonts w:ascii="Times New Roman" w:cs="Times New Roman" w:eastAsia="Times New Roman" w:hAnsi="Times New Roman"/>
          <w:sz w:val="19"/>
          <w:szCs w:val="19"/>
          <w:color w:val="auto"/>
        </w:rPr>
        <w:t>” means the Extended Commitment Termination Date or the relevant Non-Extended Commitment Termination Date, as applicable.</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means, collectively, the Dollar Commitments and the Multicurrency</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Commitments.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720" w:top="1440" w:right="860" w:bottom="1440" w:gutter="0" w:footer="0" w:header="0"/>
        </w:sectPr>
      </w:pPr>
    </w:p>
    <w:bookmarkStart w:id="125" w:name="page126"/>
    <w:bookmarkEnd w:id="125"/>
    <w:p>
      <w:pPr>
        <w:spacing w:after="0" w:line="269" w:lineRule="exact"/>
        <w:rPr>
          <w:sz w:val="20"/>
          <w:szCs w:val="20"/>
          <w:color w:val="auto"/>
        </w:rPr>
      </w:pPr>
    </w:p>
    <w:p>
      <w:pPr>
        <w:ind w:left="1060" w:right="80" w:firstLine="172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w:t>
      </w:r>
      <w:r>
        <w:rPr>
          <w:rFonts w:ascii="Times New Roman" w:cs="Times New Roman" w:eastAsia="Times New Roman" w:hAnsi="Times New Roman"/>
          <w:sz w:val="19"/>
          <w:szCs w:val="19"/>
          <w:u w:val="single" w:color="auto"/>
          <w:color w:val="0000FF"/>
        </w:rPr>
        <w:t>Canadian Prime Rate”, the definition of “</w:t>
      </w:r>
      <w:r>
        <w:rPr>
          <w:rFonts w:ascii="Times New Roman" w:cs="Times New Roman" w:eastAsia="Times New Roman" w:hAnsi="Times New Roman"/>
          <w:sz w:val="19"/>
          <w:szCs w:val="19"/>
          <w:color w:val="auto"/>
        </w:rPr>
        <w:t>Business Day”, the definition of “Term Benchmark Banking Day”, the definition of “U.S. Government Securities Business Day”, the definition of “Daily Simple RFR”, the definition of “RFR”, the definition of “RFR Business Day”, the definition of “RFR Interest Day”, the definition of “RFR Reference Day”,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Administrative Agent, after consultation with the Borrower,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(after consultation with the Borrower) decides is reasonably necessary in connection with the administration of this Agreement and the other Loan Documents).</w:t>
      </w:r>
    </w:p>
    <w:p>
      <w:pPr>
        <w:spacing w:after="0" w:line="168" w:lineRule="exact"/>
        <w:rPr>
          <w:sz w:val="20"/>
          <w:szCs w:val="20"/>
          <w:color w:val="auto"/>
        </w:rPr>
      </w:pPr>
    </w:p>
    <w:p>
      <w:pPr>
        <w:ind w:left="1060" w:right="16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Asset Coverage Ratio</w:t>
      </w:r>
      <w:r>
        <w:rPr>
          <w:rFonts w:ascii="Times New Roman" w:cs="Times New Roman" w:eastAsia="Times New Roman" w:hAnsi="Times New Roman"/>
          <w:sz w:val="19"/>
          <w:szCs w:val="19"/>
          <w:color w:val="auto"/>
        </w:rPr>
        <w:t>” means the ratio, determined on a consolidated basis for Borrower and its Subsidiaries, without duplication, of (a) the value of total 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4" w:lineRule="exact"/>
        <w:rPr>
          <w:sz w:val="20"/>
          <w:szCs w:val="20"/>
          <w:color w:val="auto"/>
        </w:rPr>
      </w:pPr>
    </w:p>
    <w:p>
      <w:pPr>
        <w:ind w:left="2460" w:right="28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Group</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5.13(a)</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means the possession, directly or indirectly, of the power to direct or</w:t>
      </w:r>
    </w:p>
    <w:p>
      <w:pPr>
        <w:spacing w:after="0" w:line="1" w:lineRule="exact"/>
        <w:rPr>
          <w:sz w:val="20"/>
          <w:szCs w:val="20"/>
          <w:color w:val="auto"/>
        </w:rPr>
      </w:pPr>
    </w:p>
    <w:p>
      <w:pPr>
        <w:ind w:left="1060" w:right="180"/>
        <w:spacing w:after="0" w:line="254" w:lineRule="auto"/>
        <w:rPr>
          <w:sz w:val="20"/>
          <w:szCs w:val="20"/>
          <w:color w:val="auto"/>
        </w:rPr>
      </w:pPr>
      <w:r>
        <w:rPr>
          <w:rFonts w:ascii="Times New Roman" w:cs="Times New Roman" w:eastAsia="Times New Roman" w:hAnsi="Times New Roman"/>
          <w:sz w:val="19"/>
          <w:szCs w:val="19"/>
          <w:color w:val="auto"/>
        </w:rPr>
        <w:t>cause the direction of the management or policies of a Person, whether through the ability to exercise voting power, by contract or otherwise. “</w:t>
      </w:r>
      <w:r>
        <w:rPr>
          <w:rFonts w:ascii="Times New Roman" w:cs="Times New Roman" w:eastAsia="Times New Roman" w:hAnsi="Times New Roman"/>
          <w:sz w:val="19"/>
          <w:szCs w:val="19"/>
          <w:u w:val="single" w:color="auto"/>
          <w:color w:val="auto"/>
        </w:rPr>
        <w:t>Controlled</w:t>
      </w:r>
      <w:r>
        <w:rPr>
          <w:rFonts w:ascii="Times New Roman" w:cs="Times New Roman" w:eastAsia="Times New Roman" w:hAnsi="Times New Roman"/>
          <w:sz w:val="19"/>
          <w:szCs w:val="19"/>
          <w:color w:val="auto"/>
        </w:rPr>
        <w:t xml:space="preserve">” has a meaning correlative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“Control” shall not include “negative” control or “blocking” rights </w:t>
      </w:r>
      <w:r>
        <w:rPr>
          <w:rFonts w:ascii="Times New Roman" w:cs="Times New Roman" w:eastAsia="Times New Roman" w:hAnsi="Times New Roman"/>
          <w:sz w:val="19"/>
          <w:szCs w:val="19"/>
          <w:u w:val="single" w:color="auto"/>
          <w:color w:val="0000FF"/>
        </w:rPr>
        <w:t>that constitute “protective rights”</w:t>
      </w:r>
      <w:r>
        <w:rPr>
          <w:rFonts w:ascii="Times New Roman" w:cs="Times New Roman" w:eastAsia="Times New Roman" w:hAnsi="Times New Roman"/>
          <w:sz w:val="19"/>
          <w:szCs w:val="19"/>
          <w:color w:val="auto"/>
        </w:rPr>
        <w:t xml:space="preserve"> whereby action cannot be taken without the vote or consent of any Person.</w:t>
      </w:r>
    </w:p>
    <w:p>
      <w:pPr>
        <w:spacing w:after="0" w:line="157" w:lineRule="exact"/>
        <w:rPr>
          <w:sz w:val="20"/>
          <w:szCs w:val="20"/>
          <w:color w:val="auto"/>
        </w:rPr>
      </w:pPr>
    </w:p>
    <w:p>
      <w:pPr>
        <w:jc w:val="both"/>
        <w:ind w:left="1060" w:right="740" w:firstLine="1740"/>
        <w:spacing w:after="0" w:line="268" w:lineRule="auto"/>
        <w:rPr>
          <w:sz w:val="20"/>
          <w:szCs w:val="20"/>
          <w:color w:val="auto"/>
        </w:rPr>
      </w:pPr>
      <w:r>
        <w:rPr>
          <w:rFonts w:ascii="Times New Roman" w:cs="Times New Roman" w:eastAsia="Times New Roman" w:hAnsi="Times New Roman"/>
          <w:sz w:val="19"/>
          <w:szCs w:val="19"/>
          <w:u w:val="single" w:color="auto"/>
          <w:color w:val="0000FF"/>
        </w:rPr>
        <w:t>“CORRA” means the Canadian Overnight Repo Rate Average administered and published by the Bank of Canada (or any successor administrator of the Canadian Overnight Repo Rate Average).</w:t>
      </w:r>
    </w:p>
    <w:p>
      <w:pPr>
        <w:spacing w:after="0" w:line="144" w:lineRule="exact"/>
        <w:rPr>
          <w:sz w:val="20"/>
          <w:szCs w:val="20"/>
          <w:color w:val="auto"/>
        </w:rPr>
      </w:pPr>
    </w:p>
    <w:p>
      <w:pPr>
        <w:jc w:val="both"/>
        <w:ind w:left="1060" w:right="22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Debt Amount</w:t>
      </w:r>
      <w:r>
        <w:rPr>
          <w:rFonts w:ascii="Times New Roman" w:cs="Times New Roman" w:eastAsia="Times New Roman" w:hAnsi="Times New Roman"/>
          <w:sz w:val="19"/>
          <w:szCs w:val="19"/>
          <w:color w:val="auto"/>
        </w:rPr>
        <w:t xml:space="preserve"> ” means, on any date, the sum of (x) all of the Revolving Credit Exposures of all Lenders on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(y) the aggregate amount of Other Covered Indebtedness, the 2024 Notes, the 2026 Notes, </w:t>
      </w:r>
      <w:r>
        <w:rPr>
          <w:rFonts w:ascii="Times New Roman" w:cs="Times New Roman" w:eastAsia="Times New Roman" w:hAnsi="Times New Roman"/>
          <w:sz w:val="19"/>
          <w:szCs w:val="19"/>
          <w:u w:val="single" w:color="auto"/>
          <w:color w:val="0000FF"/>
        </w:rPr>
        <w:t>the 2028 Notes, the 2029 Notes,</w:t>
      </w:r>
      <w:r>
        <w:rPr>
          <w:rFonts w:ascii="Times New Roman" w:cs="Times New Roman" w:eastAsia="Times New Roman" w:hAnsi="Times New Roman"/>
          <w:sz w:val="19"/>
          <w:szCs w:val="19"/>
          <w:color w:val="auto"/>
        </w:rPr>
        <w:t xml:space="preserve"> Special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26" w:name="page127"/>
    <w:bookmarkEnd w:id="126"/>
    <w:p>
      <w:pPr>
        <w:spacing w:after="0" w:line="269" w:lineRule="exact"/>
        <w:rPr>
          <w:sz w:val="20"/>
          <w:szCs w:val="20"/>
          <w:color w:val="auto"/>
        </w:rPr>
      </w:pPr>
    </w:p>
    <w:p>
      <w:pPr>
        <w:ind w:left="1060" w:right="100"/>
        <w:spacing w:after="0" w:line="252" w:lineRule="auto"/>
        <w:rPr>
          <w:sz w:val="20"/>
          <w:szCs w:val="20"/>
          <w:color w:val="auto"/>
        </w:rPr>
      </w:pPr>
      <w:r>
        <w:rPr>
          <w:rFonts w:ascii="Times New Roman" w:cs="Times New Roman" w:eastAsia="Times New Roman" w:hAnsi="Times New Roman"/>
          <w:sz w:val="19"/>
          <w:szCs w:val="19"/>
          <w:color w:val="auto"/>
        </w:rPr>
        <w:t xml:space="preserve">Unsecured Indebtedness and Unsecured Longer -Term Indebtedness on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(z) the LC Exposures fully Cash Collateralized on such date pursuant to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xml:space="preserve"> and the last paragraph of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2024 Notes, the 2026 Notes, </w:t>
      </w:r>
      <w:r>
        <w:rPr>
          <w:rFonts w:ascii="Times New Roman" w:cs="Times New Roman" w:eastAsia="Times New Roman" w:hAnsi="Times New Roman"/>
          <w:sz w:val="19"/>
          <w:szCs w:val="19"/>
          <w:u w:val="single" w:color="auto"/>
          <w:color w:val="0000FF"/>
        </w:rPr>
        <w:t>the 2028 Notes, the 2029 Notes,</w:t>
      </w:r>
      <w:r>
        <w:rPr>
          <w:rFonts w:ascii="Times New Roman" w:cs="Times New Roman" w:eastAsia="Times New Roman" w:hAnsi="Times New Roman"/>
          <w:sz w:val="19"/>
          <w:szCs w:val="19"/>
          <w:color w:val="auto"/>
        </w:rPr>
        <w:t xml:space="preserve"> Special Unsecured Indebtedness and Unsecured Longer-Term Indebtedness shall be excluded from the calculation of the Covered Debt Amount, in each case, until the date that is nine (9) months prior to the scheduled maturity date of the 2024 Notes, the 2026 Notes, </w:t>
      </w:r>
      <w:r>
        <w:rPr>
          <w:rFonts w:ascii="Times New Roman" w:cs="Times New Roman" w:eastAsia="Times New Roman" w:hAnsi="Times New Roman"/>
          <w:sz w:val="19"/>
          <w:szCs w:val="19"/>
          <w:u w:val="single" w:color="auto"/>
          <w:color w:val="0000FF"/>
        </w:rPr>
        <w:t>the 2028 Notes, the 2029 Notes,</w:t>
      </w:r>
      <w:r>
        <w:rPr>
          <w:rFonts w:ascii="Times New Roman" w:cs="Times New Roman" w:eastAsia="Times New Roman" w:hAnsi="Times New Roman"/>
          <w:sz w:val="19"/>
          <w:szCs w:val="19"/>
          <w:color w:val="auto"/>
        </w:rPr>
        <w:t xml:space="preserve"> Special Unsecured Indebtedness or such Unsecured Longer-Term Indebtedness, as applicable (provided that, to the extent, but only to the extent, any portion of the 2024 Notes, the 2026 Notes, </w:t>
      </w:r>
      <w:r>
        <w:rPr>
          <w:rFonts w:ascii="Times New Roman" w:cs="Times New Roman" w:eastAsia="Times New Roman" w:hAnsi="Times New Roman"/>
          <w:sz w:val="19"/>
          <w:szCs w:val="19"/>
          <w:u w:val="single" w:color="auto"/>
          <w:color w:val="0000FF"/>
        </w:rPr>
        <w:t>the 2028 Notes, the 2029 Notes,</w:t>
      </w:r>
      <w:r>
        <w:rPr>
          <w:rFonts w:ascii="Times New Roman" w:cs="Times New Roman" w:eastAsia="Times New Roman" w:hAnsi="Times New Roman"/>
          <w:sz w:val="19"/>
          <w:szCs w:val="19"/>
          <w:color w:val="auto"/>
        </w:rPr>
        <w:t xml:space="preserve"> Special Unsecured Indebtedness or Unsecured Longer-Term Indebtedness is subject to a contractually scheduled amortization payment or other principal payment or mandatory redemption earlier than six (6) months after the Final Maturity Date (in the case of the 2024 Notes, the 2026 </w:t>
      </w:r>
      <w:r>
        <w:rPr>
          <w:rFonts w:ascii="Times New Roman" w:cs="Times New Roman" w:eastAsia="Times New Roman" w:hAnsi="Times New Roman"/>
          <w:sz w:val="19"/>
          <w:szCs w:val="19"/>
          <w:u w:val="single" w:color="auto"/>
          <w:color w:val="0000FF"/>
        </w:rPr>
        <w:t>Notes, the 2028 Notes, the 2029</w:t>
      </w:r>
      <w:r>
        <w:rPr>
          <w:rFonts w:ascii="Times New Roman" w:cs="Times New Roman" w:eastAsia="Times New Roman" w:hAnsi="Times New Roman"/>
          <w:sz w:val="19"/>
          <w:szCs w:val="19"/>
          <w:color w:val="auto"/>
        </w:rPr>
        <w:t xml:space="preserve"> Notes and Unsecured Longer -Term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w:t>
      </w:r>
    </w:p>
    <w:p>
      <w:pPr>
        <w:spacing w:after="0" w:line="17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Currency</w:t>
      </w:r>
      <w:r>
        <w:rPr>
          <w:rFonts w:ascii="Times New Roman" w:cs="Times New Roman" w:eastAsia="Times New Roman" w:hAnsi="Times New Roman"/>
          <w:sz w:val="19"/>
          <w:szCs w:val="19"/>
          <w:color w:val="auto"/>
        </w:rPr>
        <w:t>” means Dollars or any Foreign Currency.</w:t>
      </w:r>
    </w:p>
    <w:p>
      <w:pPr>
        <w:spacing w:after="0" w:line="202" w:lineRule="exact"/>
        <w:rPr>
          <w:sz w:val="20"/>
          <w:szCs w:val="20"/>
          <w:color w:val="auto"/>
        </w:rPr>
      </w:pPr>
    </w:p>
    <w:p>
      <w:pPr>
        <w:ind w:left="1060" w:right="20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RFR</w:t>
      </w:r>
      <w:r>
        <w:rPr>
          <w:rFonts w:ascii="Times New Roman" w:cs="Times New Roman" w:eastAsia="Times New Roman" w:hAnsi="Times New Roman"/>
          <w:sz w:val="19"/>
          <w:szCs w:val="19"/>
          <w:color w:val="auto"/>
        </w:rPr>
        <w:t>” means, for any day (an “</w:t>
      </w:r>
      <w:r>
        <w:rPr>
          <w:rFonts w:ascii="Times New Roman" w:cs="Times New Roman" w:eastAsia="Times New Roman" w:hAnsi="Times New Roman"/>
          <w:sz w:val="19"/>
          <w:szCs w:val="19"/>
          <w:u w:val="single" w:color="auto"/>
          <w:color w:val="auto"/>
        </w:rPr>
        <w:t>RFR Interest Day</w:t>
      </w:r>
      <w:r>
        <w:rPr>
          <w:rFonts w:ascii="Times New Roman" w:cs="Times New Roman" w:eastAsia="Times New Roman" w:hAnsi="Times New Roman"/>
          <w:sz w:val="19"/>
          <w:szCs w:val="19"/>
          <w:color w:val="auto"/>
        </w:rPr>
        <w:t>”), an interest rate per annum equal to (a) for any RFR Loan denominated in Sterling, the greater of (i) SONIA for the day (the “</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Reference Day</w:t>
      </w:r>
      <w:r>
        <w:rPr>
          <w:rFonts w:ascii="Times New Roman" w:cs="Times New Roman" w:eastAsia="Times New Roman" w:hAnsi="Times New Roman"/>
          <w:sz w:val="19"/>
          <w:szCs w:val="19"/>
          <w:color w:val="auto"/>
        </w:rPr>
        <w:t>”) that is five (5) RFR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and (b) for any RFR Loan denominated in Swiss Francs, the greater of (i) SARON for the RFR Reference Day that is five</w:t>
      </w:r>
    </w:p>
    <w:p>
      <w:pPr>
        <w:spacing w:after="0" w:line="6" w:lineRule="exact"/>
        <w:rPr>
          <w:sz w:val="20"/>
          <w:szCs w:val="20"/>
          <w:color w:val="auto"/>
        </w:rPr>
      </w:pPr>
    </w:p>
    <w:p>
      <w:pPr>
        <w:ind w:left="1060" w:right="120" w:hanging="10"/>
        <w:spacing w:after="0" w:line="251" w:lineRule="auto"/>
        <w:tabs>
          <w:tab w:leader="none" w:pos="1332"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RFR Rate as determined pursuant to this sentence shall be utilized for purposes of calculating the Daily Simple RFR for no more than three (3) consecutive RFR Interest Days. Any change in Daily Simple RFR due to a change in the applicable RFR Rate shall be effective from and including the effective date of such change in such RFR Rate without notice to the Borrower.</w:t>
      </w:r>
    </w:p>
    <w:p>
      <w:pPr>
        <w:spacing w:after="0" w:line="165" w:lineRule="exact"/>
        <w:rPr>
          <w:sz w:val="20"/>
          <w:szCs w:val="20"/>
          <w:color w:val="auto"/>
        </w:rPr>
      </w:pPr>
    </w:p>
    <w:p>
      <w:pPr>
        <w:ind w:left="1060" w:right="4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Daily Simple SOFR Interest Day</w:t>
      </w:r>
      <w:r>
        <w:rPr>
          <w:rFonts w:ascii="Times New Roman" w:cs="Times New Roman" w:eastAsia="Times New Roman" w:hAnsi="Times New Roman"/>
          <w:sz w:val="19"/>
          <w:szCs w:val="19"/>
          <w:color w:val="auto"/>
        </w:rPr>
        <w:t>”) the greater of (i) SOFR for the day that is five (5) Business Days prior to (A) if such Daily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27" w:name="page128"/>
    <w:bookmarkEnd w:id="127"/>
    <w:p>
      <w:pPr>
        <w:spacing w:after="0" w:line="269" w:lineRule="exact"/>
        <w:rPr>
          <w:sz w:val="20"/>
          <w:szCs w:val="20"/>
          <w:color w:val="auto"/>
        </w:rPr>
      </w:pPr>
    </w:p>
    <w:p>
      <w:pPr>
        <w:jc w:val="both"/>
        <w:ind w:left="1060" w:right="200"/>
        <w:spacing w:after="0" w:line="268" w:lineRule="auto"/>
        <w:rPr>
          <w:sz w:val="20"/>
          <w:szCs w:val="20"/>
          <w:color w:val="auto"/>
        </w:rPr>
      </w:pPr>
      <w:r>
        <w:rPr>
          <w:rFonts w:ascii="Times New Roman" w:cs="Times New Roman" w:eastAsia="Times New Roman" w:hAnsi="Times New Roman"/>
          <w:sz w:val="19"/>
          <w:szCs w:val="19"/>
          <w:color w:val="auto"/>
        </w:rPr>
        <w:t>Simple SOFR Interest Day is a Business Day, such Daily Simple SOFR Interest Day, (B) if such Daily Simple SOFR Interest Day is not a Business Day, the Business Day immediately preceding such Daily Simple SOFR Interest Day and (ii) 0.00%.</w:t>
      </w:r>
    </w:p>
    <w:p>
      <w:pPr>
        <w:spacing w:after="0" w:line="144" w:lineRule="exact"/>
        <w:rPr>
          <w:sz w:val="20"/>
          <w:szCs w:val="20"/>
          <w:color w:val="auto"/>
        </w:rPr>
      </w:pPr>
    </w:p>
    <w:p>
      <w:pPr>
        <w:ind w:left="1060" w:right="2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means any event or condition which constitutes an Event of Default or which upon notice, lapse of time or both would, unless cured or waived, become an Event of Default.</w:t>
      </w:r>
    </w:p>
    <w:p>
      <w:pPr>
        <w:spacing w:after="0" w:line="127" w:lineRule="exact"/>
        <w:rPr>
          <w:sz w:val="20"/>
          <w:szCs w:val="20"/>
          <w:color w:val="auto"/>
        </w:rPr>
      </w:pPr>
    </w:p>
    <w:p>
      <w:pPr>
        <w:ind w:left="1060" w:right="20" w:firstLine="1716"/>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 19(b)</w:t>
      </w:r>
      <w:r>
        <w:rPr>
          <w:rFonts w:ascii="Times New Roman" w:cs="Times New Roman" w:eastAsia="Times New Roman" w:hAnsi="Times New Roman"/>
          <w:sz w:val="19"/>
          <w:szCs w:val="19"/>
          <w:color w:val="auto"/>
        </w:rPr>
        <w:t>, any Lender that</w:t>
      </w:r>
      <w:r>
        <w:rPr>
          <w:rFonts w:ascii="Times New Roman" w:cs="Times New Roman" w:eastAsia="Times New Roman" w:hAnsi="Times New Roman"/>
          <w:sz w:val="19"/>
          <w:szCs w:val="19"/>
          <w:u w:val="single" w:color="auto"/>
          <w:color w:val="0000FF"/>
        </w:rPr>
        <w:t>, as determined by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the Administrative Agent,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 has failed to (i) fund all or any portion of its Loans or participations in Letters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Credit or Swingline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has not otherwise been waived in accordance with the terms of this Agreement, or (ii) pay to the Administrative Agent, any Issuing Bank, any Swingline Lender or any Lender any other amount required to be paid by it hereunder (including in respect of its participation in Letters of Credit or Swingline Loans) within two (2)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cs="Times New Roman" w:eastAsia="Times New Roman" w:hAnsi="Times New Roman"/>
          <w:sz w:val="19"/>
          <w:szCs w:val="19"/>
          <w:u w:val="single" w:color="auto"/>
          <w:color w:val="000000"/>
        </w:rPr>
        <w:t>clause (c)</w:t>
      </w:r>
      <w:r>
        <w:rPr>
          <w:rFonts w:ascii="Times New Roman" w:cs="Times New Roman" w:eastAsia="Times New Roman" w:hAnsi="Times New Roman"/>
          <w:sz w:val="19"/>
          <w:szCs w:val="19"/>
          <w:color w:val="000000"/>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6139815</wp:posOffset>
            </wp:positionH>
            <wp:positionV relativeFrom="paragraph">
              <wp:posOffset>-4512310</wp:posOffset>
            </wp:positionV>
            <wp:extent cx="762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28" w:name="page129"/>
    <w:bookmarkEnd w:id="128"/>
    <w:p>
      <w:pPr>
        <w:spacing w:after="0" w:line="200" w:lineRule="exact"/>
        <w:rPr>
          <w:sz w:val="20"/>
          <w:szCs w:val="20"/>
          <w:color w:val="auto"/>
        </w:rPr>
      </w:pPr>
    </w:p>
    <w:p>
      <w:pPr>
        <w:spacing w:after="0" w:line="213" w:lineRule="exact"/>
        <w:rPr>
          <w:sz w:val="20"/>
          <w:szCs w:val="20"/>
          <w:color w:val="auto"/>
        </w:rPr>
      </w:pPr>
    </w:p>
    <w:p>
      <w:pPr>
        <w:ind w:left="1060" w:right="820"/>
        <w:spacing w:after="0" w:line="286" w:lineRule="auto"/>
        <w:rPr>
          <w:sz w:val="20"/>
          <w:szCs w:val="20"/>
          <w:color w:val="auto"/>
        </w:rPr>
      </w:pPr>
      <w:r>
        <w:rPr>
          <w:rFonts w:ascii="Times New Roman" w:cs="Times New Roman" w:eastAsia="Times New Roman" w:hAnsi="Times New Roman"/>
          <w:sz w:val="19"/>
          <w:szCs w:val="19"/>
          <w:color w:val="auto"/>
        </w:rPr>
        <w:t>agreements made with such Lender. Any determination by the Administrative Agent that a Lender is a Defaulting Lender under any one or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29" w:name="page130"/>
    <w:bookmarkEnd w:id="129"/>
    <w:p>
      <w:pPr>
        <w:spacing w:after="0" w:line="269" w:lineRule="exact"/>
        <w:rPr>
          <w:sz w:val="20"/>
          <w:szCs w:val="20"/>
          <w:color w:val="auto"/>
        </w:rPr>
      </w:pPr>
    </w:p>
    <w:p>
      <w:pPr>
        <w:ind w:left="1060" w:right="100"/>
        <w:spacing w:after="0" w:line="262" w:lineRule="auto"/>
        <w:rPr>
          <w:sz w:val="20"/>
          <w:szCs w:val="20"/>
          <w:color w:val="auto"/>
        </w:rPr>
      </w:pPr>
      <w:r>
        <w:rPr>
          <w:rFonts w:ascii="Times New Roman" w:cs="Times New Roman" w:eastAsia="Times New Roman" w:hAnsi="Times New Roman"/>
          <w:sz w:val="19"/>
          <w:szCs w:val="19"/>
          <w:color w:val="auto"/>
        </w:rPr>
        <w:t xml:space="preserve">more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 upon such determination (and the Administrative Agent shall deliver written notice of such determination to the Borrower, each Issuing Bank and each Lender and each Swingline Lender).</w:t>
      </w:r>
    </w:p>
    <w:p>
      <w:pPr>
        <w:spacing w:after="0" w:line="1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FF0000"/>
          <w:strike w:val="1"/>
        </w:rPr>
        <w:t>Designated Obligations</w:t>
      </w:r>
      <w:r>
        <w:rPr>
          <w:rFonts w:ascii="Times New Roman" w:cs="Times New Roman" w:eastAsia="Times New Roman" w:hAnsi="Times New Roman"/>
          <w:sz w:val="19"/>
          <w:szCs w:val="19"/>
          <w:color w:val="FF0000"/>
          <w:strike w:val="1"/>
        </w:rPr>
        <w:t>” means all obligations of the Borrower with respect to</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FF0000"/>
          <w:strike w:val="1"/>
        </w:rPr>
        <w:t>(a) principal of and interest on the Loans and (b) accrued and unpaid fees under the Loan Documents.</w:t>
      </w:r>
    </w:p>
    <w:p>
      <w:pPr>
        <w:spacing w:after="0" w:line="180" w:lineRule="exact"/>
        <w:rPr>
          <w:sz w:val="20"/>
          <w:szCs w:val="20"/>
          <w:color w:val="auto"/>
        </w:rPr>
      </w:pPr>
    </w:p>
    <w:p>
      <w:pPr>
        <w:ind w:left="1060" w:right="260" w:firstLine="172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Disposition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Dispose</w:t>
      </w:r>
      <w:r>
        <w:rPr>
          <w:rFonts w:ascii="Times New Roman" w:cs="Times New Roman" w:eastAsia="Times New Roman" w:hAnsi="Times New Roman"/>
          <w:sz w:val="19"/>
          <w:szCs w:val="19"/>
          <w:color w:val="auto"/>
        </w:rPr>
        <w:t xml:space="preserve"> ”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“Disposition” or “Dispose” shall not include the disposition of Investments originated by the Borrower and immediately transferred to a Financing Subsidiary pursuant to a transaction not prohibited hereunder.</w:t>
      </w:r>
    </w:p>
    <w:p>
      <w:pPr>
        <w:spacing w:after="0" w:line="157" w:lineRule="exact"/>
        <w:rPr>
          <w:sz w:val="20"/>
          <w:szCs w:val="20"/>
          <w:color w:val="auto"/>
        </w:rPr>
      </w:pPr>
    </w:p>
    <w:p>
      <w:pPr>
        <w:ind w:left="1060" w:right="400" w:firstLine="1728"/>
        <w:spacing w:after="0" w:line="286" w:lineRule="auto"/>
        <w:rPr>
          <w:sz w:val="20"/>
          <w:szCs w:val="20"/>
          <w:color w:val="auto"/>
        </w:rPr>
      </w:pPr>
      <w:r>
        <w:rPr>
          <w:rFonts w:ascii="Times New Roman" w:cs="Times New Roman" w:eastAsia="Times New Roman" w:hAnsi="Times New Roman"/>
          <w:sz w:val="19"/>
          <w:szCs w:val="19"/>
          <w:u w:val="single" w:color="auto"/>
          <w:color w:val="0000FF"/>
        </w:rPr>
        <w:t>“Disqualified Equity Interest” means any Equity Interest of the Borrower that is not a Permitted Equity Interest.</w:t>
      </w:r>
    </w:p>
    <w:p>
      <w:pPr>
        <w:spacing w:after="0" w:line="127" w:lineRule="exact"/>
        <w:rPr>
          <w:sz w:val="20"/>
          <w:szCs w:val="20"/>
          <w:color w:val="auto"/>
        </w:rPr>
      </w:pPr>
    </w:p>
    <w:p>
      <w:pPr>
        <w:ind w:left="1060" w:right="100" w:firstLine="172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Commitment</w:t>
      </w:r>
      <w:r>
        <w:rPr>
          <w:rFonts w:ascii="Times New Roman" w:cs="Times New Roman" w:eastAsia="Times New Roman" w:hAnsi="Times New Roman"/>
          <w:sz w:val="19"/>
          <w:szCs w:val="19"/>
          <w:color w:val="auto"/>
        </w:rPr>
        <w:t xml:space="preserve">” 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ind w:left="1060" w:right="360" w:hanging="10"/>
        <w:spacing w:after="0" w:line="252" w:lineRule="auto"/>
        <w:tabs>
          <w:tab w:leader="none" w:pos="1332"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reduced or increased from time to time pursuant to assignments by or to such Lender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9.04</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0000FF"/>
        </w:rPr>
        <w:t>initial</w:t>
      </w:r>
      <w:r>
        <w:rPr>
          <w:rFonts w:ascii="Times New Roman" w:cs="Times New Roman" w:eastAsia="Times New Roman" w:hAnsi="Times New Roman"/>
          <w:sz w:val="19"/>
          <w:szCs w:val="19"/>
          <w:color w:val="auto"/>
        </w:rPr>
        <w:t xml:space="preserve"> amount of each Lender’s Dollar Commitment is</w:t>
      </w:r>
      <w:r>
        <w:rPr>
          <w:rFonts w:ascii="Times New Roman" w:cs="Times New Roman" w:eastAsia="Times New Roman" w:hAnsi="Times New Roman"/>
          <w:sz w:val="19"/>
          <w:szCs w:val="19"/>
          <w:color w:val="FF0000"/>
          <w:strike w:val="1"/>
        </w:rPr>
        <w:t>, as of the Fourteenth Amendment 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Date,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set forth on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Schedule 1.01(b)</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u w:val="single" w:color="auto"/>
          <w:color w:val="0000FF"/>
        </w:rPr>
        <w:t>a Commitment Increase Supplement 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Assignment and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Assumption pursuant to which such Lender shall have assumed its Dollar Commitment, as applicable. The aggregate amount of the Lenders’ Dollar Commitments as of the </w:t>
      </w:r>
      <w:r>
        <w:rPr>
          <w:rFonts w:ascii="Times New Roman" w:cs="Times New Roman" w:eastAsia="Times New Roman" w:hAnsi="Times New Roman"/>
          <w:sz w:val="19"/>
          <w:szCs w:val="19"/>
          <w:color w:val="FF0000"/>
          <w:strike w:val="1"/>
        </w:rPr>
        <w:t>Fourteenth</w:t>
      </w:r>
      <w:r>
        <w:rPr>
          <w:rFonts w:ascii="Times New Roman" w:cs="Times New Roman" w:eastAsia="Times New Roman" w:hAnsi="Times New Roman"/>
          <w:sz w:val="19"/>
          <w:szCs w:val="19"/>
          <w:u w:val="single" w:color="auto"/>
          <w:color w:val="0000FF"/>
        </w:rPr>
        <w:t>Fifteenth</w:t>
      </w:r>
      <w:r>
        <w:rPr>
          <w:rFonts w:ascii="Times New Roman" w:cs="Times New Roman" w:eastAsia="Times New Roman" w:hAnsi="Times New Roman"/>
          <w:sz w:val="19"/>
          <w:szCs w:val="19"/>
          <w:color w:val="000000"/>
        </w:rPr>
        <w:t xml:space="preserve"> Amendment Effective Date is $</w:t>
      </w:r>
      <w:r>
        <w:rPr>
          <w:rFonts w:ascii="Times New Roman" w:cs="Times New Roman" w:eastAsia="Times New Roman" w:hAnsi="Times New Roman"/>
          <w:sz w:val="19"/>
          <w:szCs w:val="19"/>
          <w:color w:val="FF0000"/>
          <w:strike w:val="1"/>
        </w:rPr>
        <w:t>560,000,000</w:t>
      </w:r>
      <w:r>
        <w:rPr>
          <w:rFonts w:ascii="Times New Roman" w:cs="Times New Roman" w:eastAsia="Times New Roman" w:hAnsi="Times New Roman"/>
          <w:sz w:val="19"/>
          <w:szCs w:val="19"/>
          <w:u w:val="single" w:color="auto"/>
          <w:color w:val="0000FF"/>
        </w:rPr>
        <w:t>550,000,000</w:t>
      </w:r>
      <w:r>
        <w:rPr>
          <w:rFonts w:ascii="Times New Roman" w:cs="Times New Roman" w:eastAsia="Times New Roman" w:hAnsi="Times New Roman"/>
          <w:sz w:val="19"/>
          <w:szCs w:val="19"/>
          <w:color w:val="000000"/>
        </w:rPr>
        <w:t>.</w:t>
      </w:r>
    </w:p>
    <w:p>
      <w:pPr>
        <w:spacing w:after="0" w:line="162" w:lineRule="exact"/>
        <w:rPr>
          <w:sz w:val="20"/>
          <w:szCs w:val="20"/>
          <w:color w:val="auto"/>
        </w:rPr>
      </w:pPr>
    </w:p>
    <w:p>
      <w:pPr>
        <w:ind w:left="1060" w:right="16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Equivalent</w:t>
      </w:r>
      <w:r>
        <w:rPr>
          <w:rFonts w:ascii="Times New Roman" w:cs="Times New Roman" w:eastAsia="Times New Roman" w:hAnsi="Times New Roman"/>
          <w:sz w:val="19"/>
          <w:szCs w:val="19"/>
          <w:color w:val="auto"/>
        </w:rPr>
        <w:t>” means, on any date of determination, with respect to an amount denominated in any Foreign Currency, the amount of Dollars that would be required to purchase such amount of such Foreign Currency on the date two (2) Business Days prior to such date, based upon the spot selling rate at which the Administrative Agent offers to sell such Foreign Currency for Dollars in the Principal Financial Center for such Foreign Currency at approximately 11:00 a.m., local time in such Principal Financial Center, for delivery two (2) Business Days later.</w:t>
      </w:r>
    </w:p>
    <w:p>
      <w:pPr>
        <w:spacing w:after="0" w:line="157" w:lineRule="exact"/>
        <w:rPr>
          <w:sz w:val="20"/>
          <w:szCs w:val="20"/>
          <w:color w:val="auto"/>
        </w:rPr>
      </w:pPr>
    </w:p>
    <w:p>
      <w:pPr>
        <w:ind w:left="1060" w:right="16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LC Exposure</w:t>
      </w:r>
      <w:r>
        <w:rPr>
          <w:rFonts w:ascii="Times New Roman" w:cs="Times New Roman" w:eastAsia="Times New Roman" w:hAnsi="Times New Roman"/>
          <w:sz w:val="19"/>
          <w:szCs w:val="19"/>
          <w:color w:val="auto"/>
        </w:rPr>
        <w:t xml:space="preserve">” means, at any time, the sum of (a) the aggregate undrawn amount of all outstanding Dollar Letters of Credit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30" w:name="page131"/>
    <w:bookmarkEnd w:id="130"/>
    <w:p>
      <w:pPr>
        <w:spacing w:after="0" w:line="269" w:lineRule="exact"/>
        <w:rPr>
          <w:sz w:val="20"/>
          <w:szCs w:val="20"/>
          <w:color w:val="auto"/>
        </w:rPr>
      </w:pPr>
    </w:p>
    <w:p>
      <w:pPr>
        <w:ind w:left="1060" w:right="16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Lender</w:t>
      </w:r>
      <w:r>
        <w:rPr>
          <w:rFonts w:ascii="Times New Roman" w:cs="Times New Roman" w:eastAsia="Times New Roman" w:hAnsi="Times New Roman"/>
          <w:sz w:val="19"/>
          <w:szCs w:val="19"/>
          <w:color w:val="auto"/>
        </w:rPr>
        <w:t xml:space="preserve">” means the Persons listed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xml:space="preserve"> as having Dollar Commitments and any other Person that shall have become a party hereto pursuant to </w:t>
      </w:r>
      <w:r>
        <w:rPr>
          <w:rFonts w:ascii="Times New Roman" w:cs="Times New Roman" w:eastAsia="Times New Roman" w:hAnsi="Times New Roman"/>
          <w:sz w:val="19"/>
          <w:szCs w:val="19"/>
          <w:color w:val="FF0000"/>
          <w:strike w:val="1"/>
        </w:rPr>
        <w:t>an</w:t>
      </w:r>
      <w:r>
        <w:rPr>
          <w:rFonts w:ascii="Times New Roman" w:cs="Times New Roman" w:eastAsia="Times New Roman" w:hAnsi="Times New Roman"/>
          <w:sz w:val="19"/>
          <w:szCs w:val="19"/>
          <w:u w:val="single" w:color="auto"/>
          <w:color w:val="0000FF"/>
        </w:rPr>
        <w:t>a Commitment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Increase Supplement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Assignment and Assumption that provides for it to assume a Dollar Commitment or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acquire Revolving Dollar Credit Exposure, other than any such Person that ceases to be a party hereto pursuant to an Assignment and Assumption.</w:t>
      </w:r>
    </w:p>
    <w:p>
      <w:pPr>
        <w:spacing w:after="0" w:line="15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Letters of Credit</w:t>
      </w:r>
      <w:r>
        <w:rPr>
          <w:rFonts w:ascii="Times New Roman" w:cs="Times New Roman" w:eastAsia="Times New Roman" w:hAnsi="Times New Roman"/>
          <w:sz w:val="19"/>
          <w:szCs w:val="19"/>
          <w:color w:val="auto"/>
        </w:rPr>
        <w:t>” means Letters of Credit that utilize the Dollar</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Commitments.</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Loan</w:t>
      </w:r>
      <w:r>
        <w:rPr>
          <w:rFonts w:ascii="Times New Roman" w:cs="Times New Roman" w:eastAsia="Times New Roman" w:hAnsi="Times New Roman"/>
          <w:sz w:val="19"/>
          <w:szCs w:val="19"/>
          <w:color w:val="auto"/>
        </w:rPr>
        <w:t>” means a Loan denominated in Dollars.</w:t>
      </w:r>
    </w:p>
    <w:p>
      <w:pPr>
        <w:spacing w:after="0" w:line="20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refers to lawful money of the United States of America.</w:t>
      </w:r>
    </w:p>
    <w:p>
      <w:pPr>
        <w:spacing w:after="0" w:line="202" w:lineRule="exact"/>
        <w:rPr>
          <w:sz w:val="20"/>
          <w:szCs w:val="20"/>
          <w:color w:val="auto"/>
        </w:rPr>
      </w:pPr>
    </w:p>
    <w:p>
      <w:pPr>
        <w:ind w:left="1060" w:right="240" w:firstLine="148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w:t>
      </w:r>
    </w:p>
    <w:p>
      <w:pPr>
        <w:spacing w:after="0" w:line="1" w:lineRule="exact"/>
        <w:rPr>
          <w:sz w:val="20"/>
          <w:szCs w:val="20"/>
          <w:color w:val="auto"/>
        </w:rPr>
      </w:pPr>
    </w:p>
    <w:p>
      <w:pPr>
        <w:ind w:left="1060" w:right="140" w:hanging="10"/>
        <w:spacing w:after="0" w:line="254" w:lineRule="auto"/>
        <w:tabs>
          <w:tab w:leader="none" w:pos="133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7" w:lineRule="exact"/>
        <w:rPr>
          <w:sz w:val="20"/>
          <w:szCs w:val="20"/>
          <w:color w:val="auto"/>
        </w:rPr>
      </w:pPr>
    </w:p>
    <w:p>
      <w:pPr>
        <w:ind w:left="1060" w:right="68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127" w:lineRule="exact"/>
        <w:rPr>
          <w:sz w:val="20"/>
          <w:szCs w:val="20"/>
          <w:color w:val="auto"/>
        </w:rPr>
      </w:pPr>
    </w:p>
    <w:p>
      <w:pPr>
        <w:jc w:val="both"/>
        <w:ind w:left="1060" w:right="36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4" w:lineRule="exact"/>
        <w:rPr>
          <w:sz w:val="20"/>
          <w:szCs w:val="20"/>
          <w:color w:val="auto"/>
        </w:rPr>
      </w:pPr>
    </w:p>
    <w:p>
      <w:pPr>
        <w:jc w:val="both"/>
        <w:ind w:left="1060" w:right="38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xml:space="preserve">” means the date on which the conditions specified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are satisfied (or waived in accordance with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which date is February 27, 2014.</w:t>
      </w:r>
    </w:p>
    <w:p>
      <w:pPr>
        <w:spacing w:after="0" w:line="127" w:lineRule="exact"/>
        <w:rPr>
          <w:sz w:val="20"/>
          <w:szCs w:val="20"/>
          <w:color w:val="auto"/>
        </w:rPr>
      </w:pPr>
    </w:p>
    <w:p>
      <w:pPr>
        <w:ind w:left="1060" w:right="56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xml:space="preserve"> ”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from time to time.</w:t>
      </w:r>
    </w:p>
    <w:p>
      <w:pPr>
        <w:spacing w:after="0" w:line="180" w:lineRule="exact"/>
        <w:rPr>
          <w:sz w:val="20"/>
          <w:szCs w:val="20"/>
          <w:color w:val="auto"/>
        </w:rPr>
      </w:pPr>
    </w:p>
    <w:p>
      <w:pPr>
        <w:ind w:left="1060" w:right="30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Affiliate</w:t>
      </w:r>
      <w:r>
        <w:rPr>
          <w:rFonts w:ascii="Times New Roman" w:cs="Times New Roman" w:eastAsia="Times New Roman" w:hAnsi="Times New Roman"/>
          <w:sz w:val="19"/>
          <w:szCs w:val="19"/>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50" w:lineRule="exact"/>
        <w:rPr>
          <w:sz w:val="20"/>
          <w:szCs w:val="20"/>
          <w:color w:val="auto"/>
        </w:rPr>
      </w:pPr>
    </w:p>
    <w:p>
      <w:pPr>
        <w:ind w:left="1060" w:right="20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31" w:name="page132"/>
    <w:bookmarkEnd w:id="131"/>
    <w:p>
      <w:pPr>
        <w:spacing w:after="0" w:line="269" w:lineRule="exact"/>
        <w:rPr>
          <w:sz w:val="20"/>
          <w:szCs w:val="20"/>
          <w:color w:val="auto"/>
        </w:rPr>
      </w:pPr>
    </w:p>
    <w:p>
      <w:pPr>
        <w:ind w:left="1060" w:right="100"/>
        <w:spacing w:after="0" w:line="258" w:lineRule="auto"/>
        <w:rPr>
          <w:sz w:val="20"/>
          <w:szCs w:val="20"/>
          <w:color w:val="auto"/>
        </w:rPr>
      </w:pPr>
      <w:r>
        <w:rPr>
          <w:rFonts w:ascii="Times New Roman" w:cs="Times New Roman" w:eastAsia="Times New Roman" w:hAnsi="Times New Roman"/>
          <w:sz w:val="19"/>
          <w:szCs w:val="19"/>
          <w:color w:val="auto"/>
        </w:rPr>
        <w:t>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w:t>
      </w:r>
    </w:p>
    <w:p>
      <w:pPr>
        <w:spacing w:after="0" w:line="2" w:lineRule="exact"/>
        <w:rPr>
          <w:sz w:val="20"/>
          <w:szCs w:val="20"/>
          <w:color w:val="auto"/>
        </w:rPr>
      </w:pPr>
    </w:p>
    <w:p>
      <w:pPr>
        <w:ind w:left="1060" w:right="180" w:hanging="10"/>
        <w:spacing w:after="0" w:line="250" w:lineRule="auto"/>
        <w:tabs>
          <w:tab w:leader="none" w:pos="132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4" w:lineRule="exact"/>
        <w:rPr>
          <w:rFonts w:ascii="Times New Roman" w:cs="Times New Roman" w:eastAsia="Times New Roman" w:hAnsi="Times New Roman"/>
          <w:sz w:val="19"/>
          <w:szCs w:val="19"/>
          <w:color w:val="auto"/>
        </w:rPr>
      </w:pPr>
    </w:p>
    <w:p>
      <w:pPr>
        <w:ind w:left="2460" w:right="84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8.09(a)</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Erroneous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Payment Deficiency Assignment</w:t>
      </w:r>
      <w:r>
        <w:rPr>
          <w:rFonts w:ascii="Times New Roman" w:cs="Times New Roman" w:eastAsia="Times New Roman" w:hAnsi="Times New Roman"/>
          <w:sz w:val="19"/>
          <w:szCs w:val="19"/>
          <w:color w:val="auto"/>
        </w:rPr>
        <w:t>” has the meaning assigned to it in</w:t>
      </w:r>
    </w:p>
    <w:p>
      <w:pPr>
        <w:ind w:left="10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8.09(d)</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auto"/>
        </w:rPr>
        <w:t>8.09(d)</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auto"/>
        </w:rPr>
        <w:t>8.09(d)</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Subrogation Rights</w:t>
      </w:r>
      <w:r>
        <w:rPr>
          <w:rFonts w:ascii="Times New Roman" w:cs="Times New Roman" w:eastAsia="Times New Roman" w:hAnsi="Times New Roman"/>
          <w:sz w:val="19"/>
          <w:szCs w:val="19"/>
          <w:color w:val="auto"/>
        </w:rPr>
        <w:t>” has the meaning assigned to it in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auto"/>
        </w:rPr>
        <w:t>Section 8.09(d)</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060" w:right="90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EURIBOR Screen Rate</w:t>
      </w:r>
      <w:r>
        <w:rPr>
          <w:rFonts w:ascii="Times New Roman" w:cs="Times New Roman" w:eastAsia="Times New Roman" w:hAnsi="Times New Roman"/>
          <w:sz w:val="19"/>
          <w:szCs w:val="19"/>
          <w:color w:val="auto"/>
        </w:rPr>
        <w:t>” has the meaning set forth in the definition of “Term</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Benchmark Rate”.</w:t>
      </w:r>
    </w:p>
    <w:p>
      <w:pPr>
        <w:spacing w:after="0" w:line="180" w:lineRule="exact"/>
        <w:rPr>
          <w:sz w:val="20"/>
          <w:szCs w:val="20"/>
          <w:color w:val="auto"/>
        </w:rPr>
      </w:pPr>
    </w:p>
    <w:p>
      <w:pPr>
        <w:ind w:left="2460" w:right="128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w:t>
      </w:r>
      <w:r>
        <w:rPr>
          <w:rFonts w:ascii="Times New Roman" w:cs="Times New Roman" w:eastAsia="Times New Roman" w:hAnsi="Times New Roman"/>
          <w:sz w:val="19"/>
          <w:szCs w:val="19"/>
          <w:color w:val="auto"/>
        </w:rPr>
        <w:t>” means a single currency of the Participating Member States. “</w:t>
      </w:r>
      <w:r>
        <w:rPr>
          <w:rFonts w:ascii="Times New Roman" w:cs="Times New Roman" w:eastAsia="Times New Roman" w:hAnsi="Times New Roman"/>
          <w:sz w:val="19"/>
          <w:szCs w:val="19"/>
          <w:u w:val="single" w:color="auto"/>
          <w:color w:val="auto"/>
        </w:rPr>
        <w:t>Event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1060" w:right="100" w:firstLine="172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32" w:name="page133"/>
    <w:bookmarkEnd w:id="132"/>
    <w:p>
      <w:pPr>
        <w:spacing w:after="0" w:line="269" w:lineRule="exact"/>
        <w:rPr>
          <w:sz w:val="20"/>
          <w:szCs w:val="20"/>
          <w:color w:val="auto"/>
        </w:rPr>
      </w:pPr>
    </w:p>
    <w:p>
      <w:pPr>
        <w:ind w:left="1060" w:right="140"/>
        <w:spacing w:after="0" w:line="254" w:lineRule="auto"/>
        <w:rPr>
          <w:sz w:val="20"/>
          <w:szCs w:val="20"/>
          <w:color w:val="auto"/>
        </w:rPr>
      </w:pPr>
      <w:r>
        <w:rPr>
          <w:rFonts w:ascii="Times New Roman" w:cs="Times New Roman" w:eastAsia="Times New Roman" w:hAnsi="Times New Roman"/>
          <w:sz w:val="19"/>
          <w:szCs w:val="19"/>
          <w:color w:val="auto"/>
        </w:rPr>
        <w:t xml:space="preserve">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 becomes a party to this Agreement or designates a new lending office, except to the extent that such Lender’s assignor or such Lender was entitled to receive additional amounts from the Borrower with respect to such withholding tax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 at the time of such assignment or designation </w:t>
      </w:r>
      <w:r>
        <w:rPr>
          <w:rFonts w:ascii="Times New Roman" w:cs="Times New Roman" w:eastAsia="Times New Roman" w:hAnsi="Times New Roman"/>
          <w:sz w:val="19"/>
          <w:szCs w:val="19"/>
          <w:color w:val="FF0000"/>
          <w:strike w:val="1"/>
        </w:rPr>
        <w:t>(other than to the extent such withholding 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7F00"/>
          <w:strike w:val="1"/>
        </w:rPr>
        <w:t>as a result of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CAM Exchange)</w:t>
      </w:r>
      <w:r>
        <w:rPr>
          <w:rFonts w:ascii="Times New Roman" w:cs="Times New Roman" w:eastAsia="Times New Roman" w:hAnsi="Times New Roman"/>
          <w:sz w:val="19"/>
          <w:szCs w:val="19"/>
          <w:color w:val="auto"/>
        </w:rPr>
        <w:t xml:space="preserve">, or (ii) that is attributable to such Lender’s failure or inability to comply with </w:t>
      </w:r>
      <w:r>
        <w:rPr>
          <w:rFonts w:ascii="Times New Roman" w:cs="Times New Roman" w:eastAsia="Times New Roman" w:hAnsi="Times New Roman"/>
          <w:sz w:val="19"/>
          <w:szCs w:val="19"/>
          <w:u w:val="single" w:color="auto"/>
          <w:color w:val="auto"/>
        </w:rPr>
        <w:t>Section 2.16(f)</w:t>
      </w:r>
      <w:r>
        <w:rPr>
          <w:rFonts w:ascii="Times New Roman" w:cs="Times New Roman" w:eastAsia="Times New Roman" w:hAnsi="Times New Roman"/>
          <w:sz w:val="19"/>
          <w:szCs w:val="19"/>
          <w:color w:val="auto"/>
        </w:rPr>
        <w:t>, (c) any U.S. federal, state or local backup withholding Taxes imposed on payments made under any Loan Document, and (d) any Taxes that are imposed under FATCA.</w:t>
      </w:r>
    </w:p>
    <w:p>
      <w:pPr>
        <w:spacing w:after="0" w:line="16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recitals</w:t>
      </w:r>
      <w:r>
        <w:rPr>
          <w:rFonts w:ascii="Times New Roman" w:cs="Times New Roman" w:eastAsia="Times New Roman" w:hAnsi="Times New Roman"/>
          <w:sz w:val="19"/>
          <w:szCs w:val="19"/>
          <w:color w:val="auto"/>
        </w:rPr>
        <w:t xml:space="preserve"> to this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Agreement.</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Lenders</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recitals</w:t>
      </w:r>
      <w:r>
        <w:rPr>
          <w:rFonts w:ascii="Times New Roman" w:cs="Times New Roman" w:eastAsia="Times New Roman" w:hAnsi="Times New Roman"/>
          <w:sz w:val="19"/>
          <w:szCs w:val="19"/>
          <w:color w:val="auto"/>
        </w:rPr>
        <w:t xml:space="preserve"> to this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33" w:name="page134"/>
    <w:bookmarkEnd w:id="133"/>
    <w:p>
      <w:pPr>
        <w:ind w:left="1060"/>
        <w:spacing w:after="0"/>
        <w:rPr>
          <w:sz w:val="20"/>
          <w:szCs w:val="20"/>
          <w:color w:val="auto"/>
        </w:rPr>
      </w:pPr>
      <w:r>
        <w:rPr>
          <w:rFonts w:ascii="Times New Roman" w:cs="Times New Roman" w:eastAsia="Times New Roman" w:hAnsi="Times New Roman"/>
          <w:sz w:val="19"/>
          <w:szCs w:val="19"/>
          <w:color w:val="auto"/>
        </w:rPr>
        <w:t>Agreement. Agreement.</w:t>
      </w:r>
    </w:p>
    <w:p>
      <w:pPr>
        <w:spacing w:after="0" w:line="32" w:lineRule="exact"/>
        <w:rPr>
          <w:sz w:val="20"/>
          <w:szCs w:val="20"/>
          <w:color w:val="auto"/>
        </w:rPr>
      </w:pPr>
    </w:p>
    <w:p>
      <w:pPr>
        <w:ind w:left="220" w:right="18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Loans</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recitals</w:t>
      </w:r>
      <w:r>
        <w:rPr>
          <w:rFonts w:ascii="Times New Roman" w:cs="Times New Roman" w:eastAsia="Times New Roman" w:hAnsi="Times New Roman"/>
          <w:sz w:val="19"/>
          <w:szCs w:val="19"/>
          <w:color w:val="auto"/>
        </w:rPr>
        <w:t xml:space="preserve"> to this “</w:t>
      </w:r>
      <w:r>
        <w:rPr>
          <w:rFonts w:ascii="Times New Roman" w:cs="Times New Roman" w:eastAsia="Times New Roman" w:hAnsi="Times New Roman"/>
          <w:sz w:val="19"/>
          <w:szCs w:val="19"/>
          <w:u w:val="single" w:color="auto"/>
          <w:color w:val="auto"/>
        </w:rPr>
        <w:t>Extended Applicable Margin</w:t>
      </w:r>
      <w:r>
        <w:rPr>
          <w:rFonts w:ascii="Times New Roman" w:cs="Times New Roman" w:eastAsia="Times New Roman" w:hAnsi="Times New Roman"/>
          <w:sz w:val="19"/>
          <w:szCs w:val="19"/>
          <w:color w:val="auto"/>
        </w:rPr>
        <w:t>” means, with respect to any Extending Lender: (a)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061" w:right="1440" w:bottom="1440" w:gutter="0" w:footer="0" w:header="0"/>
        </w:sectPr>
      </w:pPr>
    </w:p>
    <w:bookmarkStart w:id="134" w:name="page135"/>
    <w:bookmarkEnd w:id="134"/>
    <w:p>
      <w:pPr>
        <w:ind w:left="1060" w:right="60"/>
        <w:spacing w:after="0" w:line="258" w:lineRule="auto"/>
        <w:rPr>
          <w:sz w:val="20"/>
          <w:szCs w:val="20"/>
          <w:color w:val="auto"/>
        </w:rPr>
      </w:pPr>
      <w:r>
        <w:rPr>
          <w:rFonts w:ascii="Times New Roman" w:cs="Times New Roman" w:eastAsia="Times New Roman" w:hAnsi="Times New Roman"/>
          <w:sz w:val="19"/>
          <w:szCs w:val="19"/>
          <w:color w:val="auto"/>
        </w:rPr>
        <w:t>if the Borrowing Base (as of the most recently delivered Borrowing Base Certificate) is equal to or greater than 1.60 times the Combined Debt Amount, (i) with respect to any ABR Loan, 0.75% per annum; (ii) with respect to any Term Benchmark Loan, 1.75% per annum; and (iii) with respect to any RFR Loan 1.75% per annum; and</w:t>
      </w:r>
    </w:p>
    <w:p>
      <w:pPr>
        <w:spacing w:after="0" w:line="2" w:lineRule="exact"/>
        <w:rPr>
          <w:sz w:val="20"/>
          <w:szCs w:val="20"/>
          <w:color w:val="auto"/>
        </w:rPr>
      </w:pPr>
    </w:p>
    <w:p>
      <w:pPr>
        <w:ind w:left="1060" w:right="140" w:hanging="10"/>
        <w:spacing w:after="0" w:line="251" w:lineRule="auto"/>
        <w:tabs>
          <w:tab w:leader="none" w:pos="133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Borrowing Base (as of the most recently delivered Borrowing Base Certificate) is less than 1.60 times the Combined Debt Amount (i) with respect to any ABR Loan, 0.875% per annum; (ii) with respect to any Term Benchmark Loan, 1.875% per annum; and (iii) with respect to any RFR Loan 1.875% per annum.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Borrowing Base Certificate has not been delivered in accordance with </w:t>
      </w:r>
      <w:r>
        <w:rPr>
          <w:rFonts w:ascii="Times New Roman" w:cs="Times New Roman" w:eastAsia="Times New Roman" w:hAnsi="Times New Roman"/>
          <w:sz w:val="19"/>
          <w:szCs w:val="19"/>
          <w:u w:val="single" w:color="auto"/>
          <w:color w:val="auto"/>
        </w:rPr>
        <w:t>Section 5.01(d)</w:t>
      </w:r>
      <w:r>
        <w:rPr>
          <w:rFonts w:ascii="Times New Roman" w:cs="Times New Roman" w:eastAsia="Times New Roman" w:hAnsi="Times New Roman"/>
          <w:sz w:val="19"/>
          <w:szCs w:val="19"/>
          <w:color w:val="auto"/>
        </w:rPr>
        <w:t xml:space="preserve">, then from and including the day immediately succeeding the date on which such Borrowing Base Certificate was required to be delivered, the Extended Applicable Margin shall be the Extended Applicable Margin set forth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to and including the date on which the required Borrowing Base Certificate is delivered.</w:t>
      </w:r>
    </w:p>
    <w:p>
      <w:pPr>
        <w:spacing w:after="0" w:line="166" w:lineRule="exact"/>
        <w:rPr>
          <w:sz w:val="20"/>
          <w:szCs w:val="20"/>
          <w:color w:val="auto"/>
        </w:rPr>
      </w:pPr>
    </w:p>
    <w:p>
      <w:pPr>
        <w:ind w:left="1060" w:right="16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Availability Period</w:t>
      </w:r>
      <w:r>
        <w:rPr>
          <w:rFonts w:ascii="Times New Roman" w:cs="Times New Roman" w:eastAsia="Times New Roman" w:hAnsi="Times New Roman"/>
          <w:sz w:val="19"/>
          <w:szCs w:val="19"/>
          <w:color w:val="auto"/>
        </w:rPr>
        <w:t>” means, with respect to any Extending Lender, the period from and including the Effective Date to but excluding the earlier of the Extended Commitment Termination Date and the date of termination of the Commitments.</w:t>
      </w:r>
    </w:p>
    <w:p>
      <w:pPr>
        <w:spacing w:after="0" w:line="144" w:lineRule="exact"/>
        <w:rPr>
          <w:sz w:val="20"/>
          <w:szCs w:val="20"/>
          <w:color w:val="auto"/>
        </w:rPr>
      </w:pPr>
    </w:p>
    <w:p>
      <w:pPr>
        <w:ind w:left="1060" w:right="60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Commitment Termination Date</w:t>
      </w:r>
      <w:r>
        <w:rPr>
          <w:rFonts w:ascii="Times New Roman" w:cs="Times New Roman" w:eastAsia="Times New Roman" w:hAnsi="Times New Roman"/>
          <w:sz w:val="19"/>
          <w:szCs w:val="19"/>
          <w:color w:val="auto"/>
        </w:rPr>
        <w:t xml:space="preserve">” means, with respect to each Extending Lender, </w:t>
      </w:r>
      <w:r>
        <w:rPr>
          <w:rFonts w:ascii="Times New Roman" w:cs="Times New Roman" w:eastAsia="Times New Roman" w:hAnsi="Times New Roman"/>
          <w:sz w:val="19"/>
          <w:szCs w:val="19"/>
          <w:color w:val="FF0000"/>
          <w:strike w:val="1"/>
        </w:rPr>
        <w:t>June 11</w:t>
      </w:r>
      <w:r>
        <w:rPr>
          <w:rFonts w:ascii="Times New Roman" w:cs="Times New Roman" w:eastAsia="Times New Roman" w:hAnsi="Times New Roman"/>
          <w:sz w:val="19"/>
          <w:szCs w:val="19"/>
          <w:u w:val="single" w:color="auto"/>
          <w:color w:val="0000FF"/>
        </w:rPr>
        <w:t>April 24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2027</w:t>
      </w:r>
      <w:r>
        <w:rPr>
          <w:rFonts w:ascii="Times New Roman" w:cs="Times New Roman" w:eastAsia="Times New Roman" w:hAnsi="Times New Roman"/>
          <w:sz w:val="19"/>
          <w:szCs w:val="19"/>
          <w:u w:val="single" w:color="auto"/>
          <w:color w:val="0000FF"/>
        </w:rPr>
        <w:t>2028</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060" w:right="46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Final Maturity Date</w:t>
      </w:r>
      <w:r>
        <w:rPr>
          <w:rFonts w:ascii="Times New Roman" w:cs="Times New Roman" w:eastAsia="Times New Roman" w:hAnsi="Times New Roman"/>
          <w:sz w:val="19"/>
          <w:szCs w:val="19"/>
          <w:color w:val="auto"/>
        </w:rPr>
        <w:t xml:space="preserve">” means, with respect to each Extending Lender, </w:t>
      </w:r>
      <w:r>
        <w:rPr>
          <w:rFonts w:ascii="Times New Roman" w:cs="Times New Roman" w:eastAsia="Times New Roman" w:hAnsi="Times New Roman"/>
          <w:sz w:val="19"/>
          <w:szCs w:val="19"/>
          <w:color w:val="FF0000"/>
          <w:strike w:val="1"/>
        </w:rPr>
        <w:t>June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12</w:t>
      </w:r>
      <w:r>
        <w:rPr>
          <w:rFonts w:ascii="Times New Roman" w:cs="Times New Roman" w:eastAsia="Times New Roman" w:hAnsi="Times New Roman"/>
          <w:sz w:val="19"/>
          <w:szCs w:val="19"/>
          <w:u w:val="single" w:color="auto"/>
          <w:color w:val="0000FF"/>
        </w:rPr>
        <w:t>April 24</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2028</w:t>
      </w:r>
      <w:r>
        <w:rPr>
          <w:rFonts w:ascii="Times New Roman" w:cs="Times New Roman" w:eastAsia="Times New Roman" w:hAnsi="Times New Roman"/>
          <w:sz w:val="19"/>
          <w:szCs w:val="19"/>
          <w:u w:val="single" w:color="auto"/>
          <w:color w:val="0000FF"/>
        </w:rPr>
        <w:t>2029</w:t>
      </w:r>
      <w:r>
        <w:rPr>
          <w:rFonts w:ascii="Times New Roman" w:cs="Times New Roman" w:eastAsia="Times New Roman" w:hAnsi="Times New Roman"/>
          <w:sz w:val="19"/>
          <w:szCs w:val="19"/>
          <w:color w:val="000000"/>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061" w:right="1440" w:bottom="1440" w:gutter="0" w:footer="0" w:header="0"/>
        </w:sectPr>
      </w:pPr>
    </w:p>
    <w:bookmarkStart w:id="135" w:name="page136"/>
    <w:bookmarkEnd w:id="135"/>
    <w:p>
      <w:pPr>
        <w:spacing w:after="0" w:line="269" w:lineRule="exact"/>
        <w:rPr>
          <w:sz w:val="20"/>
          <w:szCs w:val="20"/>
          <w:color w:val="auto"/>
        </w:rPr>
      </w:pPr>
    </w:p>
    <w:p>
      <w:pPr>
        <w:ind w:left="1060" w:right="12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Loans</w:t>
      </w:r>
      <w:r>
        <w:rPr>
          <w:rFonts w:ascii="Times New Roman" w:cs="Times New Roman" w:eastAsia="Times New Roman" w:hAnsi="Times New Roman"/>
          <w:sz w:val="19"/>
          <w:szCs w:val="19"/>
          <w:color w:val="auto"/>
        </w:rPr>
        <w:t>” means Loans or Borrowings of any Extending Lender maturing on the Extended Final Maturity Date.</w:t>
      </w:r>
    </w:p>
    <w:p>
      <w:pPr>
        <w:spacing w:after="0" w:line="1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Extending Lender</w:t>
      </w:r>
      <w:r>
        <w:rPr>
          <w:rFonts w:ascii="Times New Roman" w:cs="Times New Roman" w:eastAsia="Times New Roman" w:hAnsi="Times New Roman"/>
          <w:sz w:val="19"/>
          <w:szCs w:val="19"/>
          <w:color w:val="auto"/>
        </w:rPr>
        <w:t>” means each Lender designated as an “Extending Lender” on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10" w:lineRule="exact"/>
        <w:rPr>
          <w:sz w:val="20"/>
          <w:szCs w:val="20"/>
          <w:color w:val="auto"/>
        </w:rPr>
      </w:pPr>
    </w:p>
    <w:p>
      <w:pPr>
        <w:ind w:left="2460" w:right="36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External Manager</w:t>
      </w:r>
      <w:r>
        <w:rPr>
          <w:rFonts w:ascii="Times New Roman" w:cs="Times New Roman" w:eastAsia="Times New Roman" w:hAnsi="Times New Roman"/>
          <w:sz w:val="19"/>
          <w:szCs w:val="19"/>
          <w:color w:val="auto"/>
        </w:rPr>
        <w:t>” means Sixth Street Specialty Lending Advisers, LLC. “</w:t>
      </w:r>
      <w:r>
        <w:rPr>
          <w:rFonts w:ascii="Times New Roman" w:cs="Times New Roman" w:eastAsia="Times New Roman" w:hAnsi="Times New Roman"/>
          <w:sz w:val="19"/>
          <w:szCs w:val="19"/>
          <w:u w:val="single" w:color="auto"/>
          <w:color w:val="auto"/>
        </w:rPr>
        <w:t>Extraordinary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Receipts</w:t>
      </w:r>
      <w:r>
        <w:rPr>
          <w:rFonts w:ascii="Times New Roman" w:cs="Times New Roman" w:eastAsia="Times New Roman" w:hAnsi="Times New Roman"/>
          <w:sz w:val="19"/>
          <w:szCs w:val="19"/>
          <w:color w:val="auto"/>
        </w:rPr>
        <w:t>” means any cash received by or paid to any Obligor on</w:t>
      </w:r>
    </w:p>
    <w:p>
      <w:pPr>
        <w:spacing w:after="0" w:line="1" w:lineRule="exact"/>
        <w:rPr>
          <w:sz w:val="20"/>
          <w:szCs w:val="20"/>
          <w:color w:val="auto"/>
        </w:rPr>
      </w:pPr>
    </w:p>
    <w:p>
      <w:pPr>
        <w:ind w:left="1060" w:right="80"/>
        <w:spacing w:after="0" w:line="251" w:lineRule="auto"/>
        <w:rPr>
          <w:sz w:val="20"/>
          <w:szCs w:val="20"/>
          <w:color w:val="auto"/>
        </w:rPr>
      </w:pPr>
      <w:r>
        <w:rPr>
          <w:rFonts w:ascii="Times New Roman" w:cs="Times New Roman" w:eastAsia="Times New Roman" w:hAnsi="Times New Roman"/>
          <w:sz w:val="19"/>
          <w:szCs w:val="19"/>
          <w:color w:val="auto"/>
        </w:rPr>
        <w:t xml:space="preserve">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Extraordinary Receipts shall not include any (x) amounts that the Borrower receives from the Administrative Agent or any Lender pursuant to </w:t>
      </w:r>
      <w:r>
        <w:rPr>
          <w:rFonts w:ascii="Times New Roman" w:cs="Times New Roman" w:eastAsia="Times New Roman" w:hAnsi="Times New Roman"/>
          <w:sz w:val="19"/>
          <w:szCs w:val="19"/>
          <w:u w:val="single" w:color="auto"/>
          <w:color w:val="auto"/>
        </w:rPr>
        <w:t>Section 2.16(f)</w:t>
      </w:r>
      <w:r>
        <w:rPr>
          <w:rFonts w:ascii="Times New Roman" w:cs="Times New Roman" w:eastAsia="Times New Roman" w:hAnsi="Times New Roman"/>
          <w:sz w:val="19"/>
          <w:szCs w:val="19"/>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65" w:lineRule="exact"/>
        <w:rPr>
          <w:sz w:val="20"/>
          <w:szCs w:val="20"/>
          <w:color w:val="auto"/>
        </w:rPr>
      </w:pPr>
    </w:p>
    <w:p>
      <w:pPr>
        <w:ind w:left="1060" w:right="12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54" w:lineRule="exact"/>
        <w:rPr>
          <w:sz w:val="20"/>
          <w:szCs w:val="20"/>
          <w:color w:val="auto"/>
        </w:rPr>
      </w:pPr>
    </w:p>
    <w:p>
      <w:pPr>
        <w:ind w:left="1060" w:right="24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Effective Rate</w:t>
      </w:r>
      <w:r>
        <w:rPr>
          <w:rFonts w:ascii="Times New Roman" w:cs="Times New Roman" w:eastAsia="Times New Roman" w:hAnsi="Times New Roman"/>
          <w:sz w:val="19"/>
          <w:szCs w:val="19"/>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u w:val="single" w:color="auto"/>
          <w:color w:val="0000FF"/>
        </w:rPr>
        <w:t>“Fifteenth Amendment Effective Date” means April 24, 2024.</w:t>
      </w:r>
    </w:p>
    <w:p>
      <w:pPr>
        <w:spacing w:after="0" w:line="202" w:lineRule="exact"/>
        <w:rPr>
          <w:sz w:val="20"/>
          <w:szCs w:val="20"/>
          <w:color w:val="auto"/>
        </w:rPr>
      </w:pPr>
    </w:p>
    <w:p>
      <w:pPr>
        <w:ind w:left="1060" w:right="28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Final Maturity Date</w:t>
      </w:r>
      <w:r>
        <w:rPr>
          <w:rFonts w:ascii="Times New Roman" w:cs="Times New Roman" w:eastAsia="Times New Roman" w:hAnsi="Times New Roman"/>
          <w:sz w:val="19"/>
          <w:szCs w:val="19"/>
          <w:color w:val="auto"/>
        </w:rPr>
        <w:t xml:space="preserve"> ” 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36" w:name="page137"/>
    <w:bookmarkEnd w:id="136"/>
    <w:p>
      <w:pPr>
        <w:spacing w:after="0" w:line="269" w:lineRule="exact"/>
        <w:rPr>
          <w:sz w:val="20"/>
          <w:szCs w:val="20"/>
          <w:color w:val="auto"/>
        </w:rPr>
      </w:pPr>
    </w:p>
    <w:p>
      <w:pPr>
        <w:ind w:left="1060" w:right="680" w:firstLine="17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Officer</w:t>
      </w:r>
      <w:r>
        <w:rPr>
          <w:rFonts w:ascii="Times New Roman" w:cs="Times New Roman" w:eastAsia="Times New Roman" w:hAnsi="Times New Roman"/>
          <w:sz w:val="19"/>
          <w:szCs w:val="19"/>
          <w:color w:val="auto"/>
        </w:rPr>
        <w:t>” means the chief financial officer, principal accounting officer, treasurer or controller of the Borrower.</w:t>
      </w:r>
    </w:p>
    <w:p>
      <w:pPr>
        <w:spacing w:after="0" w:line="127" w:lineRule="exact"/>
        <w:rPr>
          <w:sz w:val="20"/>
          <w:szCs w:val="20"/>
          <w:color w:val="auto"/>
        </w:rPr>
      </w:pPr>
    </w:p>
    <w:p>
      <w:pPr>
        <w:ind w:left="2460" w:right="100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Financing Subsidiary</w:t>
      </w:r>
      <w:r>
        <w:rPr>
          <w:rFonts w:ascii="Times New Roman" w:cs="Times New Roman" w:eastAsia="Times New Roman" w:hAnsi="Times New Roman"/>
          <w:sz w:val="19"/>
          <w:szCs w:val="19"/>
          <w:color w:val="auto"/>
        </w:rPr>
        <w:t>” means an SPE Subsidiary or an SBIC Subsidiary. “</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means a rate of interest equal to zero percent (0.00%)</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Currency</w:t>
      </w:r>
      <w:r>
        <w:rPr>
          <w:rFonts w:ascii="Times New Roman" w:cs="Times New Roman" w:eastAsia="Times New Roman" w:hAnsi="Times New Roman"/>
          <w:sz w:val="19"/>
          <w:szCs w:val="19"/>
          <w:color w:val="auto"/>
        </w:rPr>
        <w:t>” means at any time any Currency other than Dollars.</w:t>
      </w:r>
    </w:p>
    <w:p>
      <w:pPr>
        <w:spacing w:after="0" w:line="180" w:lineRule="exact"/>
        <w:rPr>
          <w:sz w:val="20"/>
          <w:szCs w:val="20"/>
          <w:color w:val="auto"/>
        </w:rPr>
      </w:pPr>
    </w:p>
    <w:p>
      <w:pPr>
        <w:ind w:left="1060" w:right="30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Currency Equivalent</w:t>
      </w:r>
      <w:r>
        <w:rPr>
          <w:rFonts w:ascii="Times New Roman" w:cs="Times New Roman" w:eastAsia="Times New Roman" w:hAnsi="Times New Roman"/>
          <w:sz w:val="19"/>
          <w:szCs w:val="19"/>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50" w:lineRule="exact"/>
        <w:rPr>
          <w:sz w:val="20"/>
          <w:szCs w:val="20"/>
          <w:color w:val="auto"/>
        </w:rPr>
      </w:pPr>
    </w:p>
    <w:p>
      <w:pPr>
        <w:ind w:left="1060" w:right="56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Lender</w:t>
      </w:r>
      <w:r>
        <w:rPr>
          <w:rFonts w:ascii="Times New Roman" w:cs="Times New Roman" w:eastAsia="Times New Roman" w:hAnsi="Times New Roman"/>
          <w:sz w:val="19"/>
          <w:szCs w:val="19"/>
          <w:color w:val="auto"/>
        </w:rPr>
        <w:t>” means any Lender that is not a “United States person” as defined under Section 7701(a)(30) of the Code.</w:t>
      </w:r>
    </w:p>
    <w:p>
      <w:pPr>
        <w:spacing w:after="0" w:line="127" w:lineRule="exact"/>
        <w:rPr>
          <w:sz w:val="20"/>
          <w:szCs w:val="20"/>
          <w:color w:val="auto"/>
        </w:rPr>
      </w:pPr>
    </w:p>
    <w:p>
      <w:pPr>
        <w:ind w:left="1060" w:right="220" w:firstLine="172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w:t>
      </w:r>
      <w:r>
        <w:rPr>
          <w:rFonts w:ascii="Times New Roman" w:cs="Times New Roman" w:eastAsia="Times New Roman" w:hAnsi="Times New Roman"/>
          <w:sz w:val="19"/>
          <w:szCs w:val="19"/>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w:t>
      </w:r>
    </w:p>
    <w:p>
      <w:pPr>
        <w:spacing w:after="0" w:line="2" w:lineRule="exact"/>
        <w:rPr>
          <w:sz w:val="20"/>
          <w:szCs w:val="20"/>
          <w:color w:val="auto"/>
        </w:rPr>
      </w:pPr>
    </w:p>
    <w:p>
      <w:pPr>
        <w:jc w:val="both"/>
        <w:ind w:left="1060" w:right="100" w:hanging="10"/>
        <w:spacing w:after="0" w:line="254" w:lineRule="auto"/>
        <w:tabs>
          <w:tab w:leader="none" w:pos="1332"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FF0000"/>
          <w:strike w:val="1"/>
        </w:rPr>
        <w:t>Fourteenth Amendment Effective Date</w:t>
      </w:r>
      <w:r>
        <w:rPr>
          <w:rFonts w:ascii="Times New Roman" w:cs="Times New Roman" w:eastAsia="Times New Roman" w:hAnsi="Times New Roman"/>
          <w:sz w:val="19"/>
          <w:szCs w:val="19"/>
          <w:color w:val="FF0000"/>
          <w:strike w:val="1"/>
        </w:rPr>
        <w:t>” means June 12, 2023.</w:t>
      </w:r>
    </w:p>
    <w:p>
      <w:pPr>
        <w:spacing w:after="0" w:line="202" w:lineRule="exact"/>
        <w:rPr>
          <w:sz w:val="20"/>
          <w:szCs w:val="20"/>
          <w:color w:val="auto"/>
        </w:rPr>
      </w:pPr>
    </w:p>
    <w:p>
      <w:pPr>
        <w:ind w:left="1060" w:right="12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Fronting Exposure</w:t>
      </w:r>
      <w:r>
        <w:rPr>
          <w:rFonts w:ascii="Times New Roman" w:cs="Times New Roman" w:eastAsia="Times New Roman" w:hAnsi="Times New Roman"/>
          <w:sz w:val="19"/>
          <w:szCs w:val="19"/>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5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 of</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America.</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of</w:t>
      </w:r>
    </w:p>
    <w:p>
      <w:pPr>
        <w:spacing w:after="0" w:line="32" w:lineRule="exact"/>
        <w:rPr>
          <w:sz w:val="20"/>
          <w:szCs w:val="20"/>
          <w:color w:val="auto"/>
        </w:rPr>
      </w:pPr>
    </w:p>
    <w:p>
      <w:pPr>
        <w:ind w:left="1060" w:right="400"/>
        <w:spacing w:after="0" w:line="254" w:lineRule="auto"/>
        <w:rPr>
          <w:sz w:val="20"/>
          <w:szCs w:val="20"/>
          <w:color w:val="auto"/>
        </w:rPr>
      </w:pPr>
      <w:r>
        <w:rPr>
          <w:rFonts w:ascii="Times New Roman" w:cs="Times New Roman" w:eastAsia="Times New Roman" w:hAnsi="Times New Roman"/>
          <w:sz w:val="19"/>
          <w:szCs w:val="19"/>
          <w:color w:val="auto"/>
        </w:rPr>
        <w:t>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57" w:lineRule="exact"/>
        <w:rPr>
          <w:sz w:val="20"/>
          <w:szCs w:val="20"/>
          <w:color w:val="auto"/>
        </w:rPr>
      </w:pPr>
    </w:p>
    <w:p>
      <w:pPr>
        <w:ind w:left="1060" w:right="12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w:t>
      </w:r>
      <w:r>
        <w:rPr>
          <w:rFonts w:ascii="Times New Roman" w:cs="Times New Roman" w:eastAsia="Times New Roman" w:hAnsi="Times New Roman"/>
          <w:sz w:val="19"/>
          <w:szCs w:val="19"/>
          <w:u w:val="single" w:color="auto"/>
          <w:color w:val="auto"/>
        </w:rPr>
        <w:t>Guaranteed</w:t>
      </w:r>
      <w:r>
        <w:rPr>
          <w:rFonts w:ascii="Times New Roman" w:cs="Times New Roman" w:eastAsia="Times New Roman" w:hAnsi="Times New Roman"/>
          <w:sz w:val="19"/>
          <w:szCs w:val="19"/>
          <w:color w:val="auto"/>
        </w:rPr>
        <w:t xml:space="preserve"> ”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in any manner, whether directly or indirectly, and including any obligation of the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37" w:name="page138"/>
    <w:bookmarkEnd w:id="137"/>
    <w:p>
      <w:pPr>
        <w:spacing w:after="0" w:line="269" w:lineRule="exact"/>
        <w:rPr>
          <w:sz w:val="20"/>
          <w:szCs w:val="20"/>
          <w:color w:val="auto"/>
        </w:rPr>
      </w:pPr>
    </w:p>
    <w:p>
      <w:pPr>
        <w:ind w:left="1060" w:right="120"/>
        <w:spacing w:after="0" w:line="253" w:lineRule="auto"/>
        <w:rPr>
          <w:sz w:val="20"/>
          <w:szCs w:val="20"/>
          <w:color w:val="auto"/>
        </w:rPr>
      </w:pPr>
      <w:r>
        <w:rPr>
          <w:rFonts w:ascii="Times New Roman" w:cs="Times New Roman" w:eastAsia="Times New Roman" w:hAnsi="Times New Roman"/>
          <w:sz w:val="19"/>
          <w:szCs w:val="19"/>
          <w:color w:val="auto"/>
        </w:rPr>
        <w:t xml:space="preserve">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shall not include (i) endorsements for collection or deposit in the ordinary course of business or</w:t>
      </w:r>
    </w:p>
    <w:p>
      <w:pPr>
        <w:spacing w:after="0" w:line="4" w:lineRule="exact"/>
        <w:rPr>
          <w:sz w:val="20"/>
          <w:szCs w:val="20"/>
          <w:color w:val="auto"/>
        </w:rPr>
      </w:pPr>
    </w:p>
    <w:p>
      <w:pPr>
        <w:jc w:val="both"/>
        <w:ind w:left="1060" w:right="240" w:hanging="10"/>
        <w:spacing w:after="0" w:line="254" w:lineRule="auto"/>
        <w:tabs>
          <w:tab w:leader="none" w:pos="134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57" w:lineRule="exact"/>
        <w:rPr>
          <w:sz w:val="20"/>
          <w:szCs w:val="20"/>
          <w:color w:val="auto"/>
        </w:rPr>
      </w:pPr>
    </w:p>
    <w:p>
      <w:pPr>
        <w:ind w:left="1060" w:right="22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and Security Agreement</w:t>
      </w:r>
      <w:r>
        <w:rPr>
          <w:rFonts w:ascii="Times New Roman" w:cs="Times New Roman" w:eastAsia="Times New Roman" w:hAnsi="Times New Roman"/>
          <w:sz w:val="19"/>
          <w:szCs w:val="19"/>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restated, modified and supplemented and in effect from time to time.</w:t>
      </w:r>
    </w:p>
    <w:p>
      <w:pPr>
        <w:spacing w:after="0" w:line="157" w:lineRule="exact"/>
        <w:rPr>
          <w:sz w:val="20"/>
          <w:szCs w:val="20"/>
          <w:color w:val="auto"/>
        </w:rPr>
      </w:pPr>
    </w:p>
    <w:p>
      <w:pPr>
        <w:ind w:left="1060" w:right="14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Assumption Agreement</w:t>
      </w:r>
      <w:r>
        <w:rPr>
          <w:rFonts w:ascii="Times New Roman" w:cs="Times New Roman" w:eastAsia="Times New Roman" w:hAnsi="Times New Roman"/>
          <w:sz w:val="19"/>
          <w:szCs w:val="19"/>
          <w:color w:val="auto"/>
        </w:rPr>
        <w:t xml:space="preserve">” means a Guarantee Assumption Agreement substantially in the form of Exhibit B to the Guarantee and Security Agreement between the Collateral Agent and an entity that pursuant to </w:t>
      </w:r>
      <w:r>
        <w:rPr>
          <w:rFonts w:ascii="Times New Roman" w:cs="Times New Roman" w:eastAsia="Times New Roman" w:hAnsi="Times New Roman"/>
          <w:sz w:val="19"/>
          <w:szCs w:val="19"/>
          <w:u w:val="single" w:color="auto"/>
          <w:color w:val="auto"/>
        </w:rPr>
        <w:t>Section 5.08</w:t>
      </w:r>
      <w:r>
        <w:rPr>
          <w:rFonts w:ascii="Times New Roman" w:cs="Times New Roman" w:eastAsia="Times New Roman" w:hAnsi="Times New Roman"/>
          <w:sz w:val="19"/>
          <w:szCs w:val="19"/>
          <w:color w:val="auto"/>
        </w:rPr>
        <w:t xml:space="preserve"> is required to become a “Subsidiary Guarantor” under the Guarantee and Security Agreement (with such changes as the Administrative Agent shall request consistent with the requirements of </w:t>
      </w:r>
      <w:r>
        <w:rPr>
          <w:rFonts w:ascii="Times New Roman" w:cs="Times New Roman" w:eastAsia="Times New Roman" w:hAnsi="Times New Roman"/>
          <w:sz w:val="19"/>
          <w:szCs w:val="19"/>
          <w:u w:val="single" w:color="auto"/>
          <w:color w:val="auto"/>
        </w:rPr>
        <w:t>Section 5.08</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left="1060" w:right="26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Hedging Agreement</w:t>
      </w:r>
      <w:r>
        <w:rPr>
          <w:rFonts w:ascii="Times New Roman" w:cs="Times New Roman" w:eastAsia="Times New Roman" w:hAnsi="Times New Roman"/>
          <w:sz w:val="19"/>
          <w:szCs w:val="19"/>
          <w:color w:val="auto"/>
        </w:rPr>
        <w:t>” means any interest rate protection agreement, foreign currency exchange protection agreement, commodity price protection agreement or other interest or currency exchange rate or commodity price hedging arrangement.</w:t>
      </w:r>
    </w:p>
    <w:p>
      <w:pPr>
        <w:spacing w:after="0" w:line="144" w:lineRule="exact"/>
        <w:rPr>
          <w:sz w:val="20"/>
          <w:szCs w:val="20"/>
          <w:color w:val="auto"/>
        </w:rPr>
      </w:pPr>
    </w:p>
    <w:p>
      <w:pPr>
        <w:ind w:left="1060" w:right="10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Subsidiaries</w:t>
      </w:r>
      <w:r>
        <w:rPr>
          <w:rFonts w:ascii="Times New Roman" w:cs="Times New Roman" w:eastAsia="Times New Roman" w:hAnsi="Times New Roman"/>
          <w:sz w:val="19"/>
          <w:szCs w:val="19"/>
          <w:color w:val="auto"/>
        </w:rPr>
        <w:t xml:space="preserve">” means those Subsidiaries of the Borrower that are “designated” as Immaterial Subsidiaries by the Borrower from time to time (it being understood that the Borrower may at any time change any such designation);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designated Immaterial Subsidiaries shall collectively meet all of the following criteria as of the date of the most recent balance sheet required to be delivered pursuant to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2.08(e)(i)</w:t>
      </w:r>
      <w:r>
        <w:rPr>
          <w:rFonts w:ascii="Times New Roman" w:cs="Times New Roman" w:eastAsia="Times New Roman" w:hAnsi="Times New Roman"/>
          <w:sz w:val="19"/>
          <w:szCs w:val="19"/>
          <w:color w:val="auto"/>
        </w:rPr>
        <w:t>.</w:t>
      </w:r>
    </w:p>
    <w:p>
      <w:pPr>
        <w:spacing w:after="0" w:line="1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means, without duplication, (a) all obligations of</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such Person for borrowed money or with respect to deposits or advances of any kind, (b) all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38" w:name="page139"/>
    <w:bookmarkEnd w:id="138"/>
    <w:p>
      <w:pPr>
        <w:spacing w:after="0" w:line="269" w:lineRule="exact"/>
        <w:rPr>
          <w:sz w:val="20"/>
          <w:szCs w:val="20"/>
          <w:color w:val="auto"/>
        </w:rPr>
      </w:pPr>
    </w:p>
    <w:p>
      <w:pPr>
        <w:ind w:left="1060" w:right="140"/>
        <w:spacing w:after="0" w:line="252" w:lineRule="auto"/>
        <w:rPr>
          <w:sz w:val="20"/>
          <w:szCs w:val="20"/>
          <w:color w:val="auto"/>
        </w:rPr>
      </w:pPr>
      <w:r>
        <w:rPr>
          <w:rFonts w:ascii="Times New Roman" w:cs="Times New Roman" w:eastAsia="Times New Roman" w:hAnsi="Times New Roman"/>
          <w:sz w:val="19"/>
          <w:szCs w:val="19"/>
          <w:color w:val="auto"/>
        </w:rPr>
        <w:t xml:space="preserve">obligations of such Person evidenced by bonds, debentures, notes or similar instruments representing extensions of credit, (c) all obligations of such Person under conditional sale or other title retention agreements relating to property acquired by such Person (excluding accounts payable and accrued expenses incurred in the ordinary course of business),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(i) all obligations, contingent or otherwise, of such Person in respect of bankers’ acceptances </w:t>
      </w:r>
      <w:r>
        <w:rPr>
          <w:rFonts w:ascii="Times New Roman" w:cs="Times New Roman" w:eastAsia="Times New Roman" w:hAnsi="Times New Roman"/>
          <w:sz w:val="19"/>
          <w:szCs w:val="19"/>
          <w:color w:val="0000FF"/>
        </w:rPr>
        <w:t>and (j) 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Disqualified Equity Interests</w:t>
      </w:r>
      <w:r>
        <w:rPr>
          <w:rFonts w:ascii="Times New Roman" w:cs="Times New Roman" w:eastAsia="Times New Roman" w:hAnsi="Times New Roman"/>
          <w:sz w:val="19"/>
          <w:szCs w:val="19"/>
          <w:color w:val="auto"/>
        </w:rPr>
        <w:t>.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escrows or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-1234440</wp:posOffset>
            </wp:positionV>
            <wp:extent cx="20574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205740" cy="762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-1043940</wp:posOffset>
            </wp:positionV>
            <wp:extent cx="50292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502920" cy="7620"/>
                    </a:xfrm>
                    <a:prstGeom prst="rect">
                      <a:avLst/>
                    </a:prstGeom>
                    <a:noFill/>
                  </pic:spPr>
                </pic:pic>
              </a:graphicData>
            </a:graphic>
          </wp:anchor>
        </w:drawing>
      </w:r>
    </w:p>
    <w:p>
      <w:pPr>
        <w:spacing w:after="0" w:line="147" w:lineRule="exact"/>
        <w:rPr>
          <w:sz w:val="20"/>
          <w:szCs w:val="20"/>
          <w:color w:val="auto"/>
        </w:rPr>
      </w:pPr>
    </w:p>
    <w:p>
      <w:pPr>
        <w:ind w:left="1060" w:right="58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Taxes, other than Excluded Taxes, imposed on or with respect to any payment made by or on account of any obligation of the Borrower under this Agreement.</w:t>
      </w:r>
    </w:p>
    <w:p>
      <w:pPr>
        <w:spacing w:after="0" w:line="1" w:lineRule="exact"/>
        <w:rPr>
          <w:sz w:val="20"/>
          <w:szCs w:val="20"/>
          <w:color w:val="auto"/>
        </w:rPr>
      </w:pPr>
    </w:p>
    <w:p>
      <w:pPr>
        <w:ind w:left="2460" w:right="12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9.03(b)</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Independent</w:t>
      </w:r>
      <w:r>
        <w:rPr>
          <w:rFonts w:ascii="Times New Roman" w:cs="Times New Roman" w:eastAsia="Times New Roman" w:hAnsi="Times New Roman"/>
          <w:sz w:val="19"/>
          <w:szCs w:val="19"/>
          <w:color w:val="auto"/>
        </w:rPr>
        <w:t>” when used with respect to any specified Person means that such</w:t>
      </w:r>
    </w:p>
    <w:p>
      <w:pPr>
        <w:spacing w:after="0" w:line="1" w:lineRule="exact"/>
        <w:rPr>
          <w:sz w:val="20"/>
          <w:szCs w:val="20"/>
          <w:color w:val="auto"/>
        </w:rPr>
      </w:pPr>
    </w:p>
    <w:p>
      <w:pPr>
        <w:ind w:left="1060" w:right="220"/>
        <w:spacing w:after="0" w:line="253" w:lineRule="auto"/>
        <w:rPr>
          <w:sz w:val="20"/>
          <w:szCs w:val="20"/>
          <w:color w:val="auto"/>
        </w:rPr>
      </w:pPr>
      <w:r>
        <w:rPr>
          <w:rFonts w:ascii="Times New Roman" w:cs="Times New Roman" w:eastAsia="Times New Roman" w:hAnsi="Times New Roman"/>
          <w:sz w:val="19"/>
          <w:szCs w:val="19"/>
          <w:color w:val="auto"/>
        </w:rPr>
        <w:t>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59" w:lineRule="exact"/>
        <w:rPr>
          <w:sz w:val="20"/>
          <w:szCs w:val="20"/>
          <w:color w:val="auto"/>
        </w:rPr>
      </w:pPr>
    </w:p>
    <w:p>
      <w:pPr>
        <w:ind w:left="1060" w:right="26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Industry Classification Group</w:t>
      </w:r>
      <w:r>
        <w:rPr>
          <w:rFonts w:ascii="Times New Roman" w:cs="Times New Roman" w:eastAsia="Times New Roman" w:hAnsi="Times New Roman"/>
          <w:sz w:val="19"/>
          <w:szCs w:val="19"/>
          <w:color w:val="auto"/>
        </w:rPr>
        <w:t xml:space="preserve">” means (a) any of the classification groups set forth in </w:t>
      </w:r>
      <w:r>
        <w:rPr>
          <w:rFonts w:ascii="Times New Roman" w:cs="Times New Roman" w:eastAsia="Times New Roman" w:hAnsi="Times New Roman"/>
          <w:sz w:val="19"/>
          <w:szCs w:val="19"/>
          <w:u w:val="single" w:color="auto"/>
          <w:color w:val="auto"/>
        </w:rPr>
        <w:t>Schedule 1.01(c)</w:t>
      </w:r>
      <w:r>
        <w:rPr>
          <w:rFonts w:ascii="Times New Roman" w:cs="Times New Roman" w:eastAsia="Times New Roman" w:hAnsi="Times New Roman"/>
          <w:sz w:val="19"/>
          <w:szCs w:val="19"/>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1060" w:right="420" w:firstLine="17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Election Request</w:t>
      </w:r>
      <w:r>
        <w:rPr>
          <w:rFonts w:ascii="Times New Roman" w:cs="Times New Roman" w:eastAsia="Times New Roman" w:hAnsi="Times New Roman"/>
          <w:sz w:val="19"/>
          <w:szCs w:val="19"/>
          <w:color w:val="auto"/>
        </w:rPr>
        <w:t xml:space="preserve">” means a request by the Borrower to convert or continue a Syndicated Borrowing in accordance with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060" w:right="560" w:firstLine="17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Syndicated ABR Loan, each Quarterly Date, (b) with respect to any Term Benchmark Loan or RFR Loan, in each case,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39" w:name="page140"/>
    <w:bookmarkEnd w:id="139"/>
    <w:p>
      <w:pPr>
        <w:spacing w:after="0" w:line="269" w:lineRule="exact"/>
        <w:rPr>
          <w:sz w:val="20"/>
          <w:szCs w:val="20"/>
          <w:color w:val="auto"/>
        </w:rPr>
      </w:pPr>
    </w:p>
    <w:p>
      <w:pPr>
        <w:ind w:left="1060" w:right="100"/>
        <w:spacing w:after="0" w:line="259" w:lineRule="auto"/>
        <w:rPr>
          <w:sz w:val="20"/>
          <w:szCs w:val="20"/>
          <w:color w:val="auto"/>
        </w:rPr>
      </w:pPr>
      <w:r>
        <w:rPr>
          <w:rFonts w:ascii="Times New Roman" w:cs="Times New Roman" w:eastAsia="Times New Roman" w:hAnsi="Times New Roman"/>
          <w:sz w:val="19"/>
          <w:szCs w:val="19"/>
          <w:color w:val="auto"/>
        </w:rPr>
        <w:t>in respect of which the Borrower has selected a one- or three-month Interest Period, the last day of such Interest Period therefor and, in the case of any Term Benchmark Loan with an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54" w:lineRule="exact"/>
        <w:rPr>
          <w:sz w:val="20"/>
          <w:szCs w:val="20"/>
          <w:color w:val="auto"/>
        </w:rPr>
      </w:pPr>
    </w:p>
    <w:p>
      <w:pPr>
        <w:ind w:left="1060" w:right="80" w:firstLine="172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for any Term Benchmark Loan or Borrowing or any RFR Loan or Borrowing, the period commencing on the date of such Loan or Borrowing and ending on the numerically corresponding day in the calendar month that is one month, three months or, except with respect to Term Benchmark Loans denominated in Canadian Dollars and RFR Loans, six months thereafter or, with respect to such portion of any Term Benchmark Loan or Borrowing or any RFR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denominated in a Foreign Currency or RFR Borrowing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auto"/>
        </w:rPr>
        <w:t xml:space="preserve"> (d) shall be available for specification in such Borrowing Request or notice of conversion or continuation unless or until it is reinstated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auto"/>
        </w:rPr>
        <w:t>(d).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63" w:lineRule="exact"/>
        <w:rPr>
          <w:sz w:val="20"/>
          <w:szCs w:val="20"/>
          <w:color w:val="auto"/>
        </w:rPr>
      </w:pPr>
    </w:p>
    <w:p>
      <w:pPr>
        <w:ind w:left="1060" w:right="220" w:firstLine="172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w:t>
      </w:r>
    </w:p>
    <w:p>
      <w:pPr>
        <w:spacing w:after="0" w:line="2" w:lineRule="exact"/>
        <w:rPr>
          <w:sz w:val="20"/>
          <w:szCs w:val="20"/>
          <w:color w:val="auto"/>
        </w:rPr>
      </w:pPr>
    </w:p>
    <w:p>
      <w:pPr>
        <w:ind w:left="1060" w:right="120" w:hanging="10"/>
        <w:spacing w:after="0" w:line="250" w:lineRule="auto"/>
        <w:tabs>
          <w:tab w:leader="none" w:pos="1332"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w:t>
      </w:r>
    </w:p>
    <w:p>
      <w:pPr>
        <w:spacing w:after="0" w:line="1" w:lineRule="exact"/>
        <w:rPr>
          <w:rFonts w:ascii="Times New Roman" w:cs="Times New Roman" w:eastAsia="Times New Roman" w:hAnsi="Times New Roman"/>
          <w:sz w:val="19"/>
          <w:szCs w:val="19"/>
          <w:color w:val="auto"/>
        </w:rPr>
      </w:pPr>
    </w:p>
    <w:p>
      <w:pPr>
        <w:ind w:left="1320" w:hanging="270"/>
        <w:spacing w:after="0"/>
        <w:tabs>
          <w:tab w:leader="none" w:pos="13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Hedging Agreements.</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means the Investment Company Act of 1940, as amended</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from time to time.</w:t>
      </w:r>
    </w:p>
    <w:p>
      <w:pPr>
        <w:spacing w:after="0" w:line="180" w:lineRule="exact"/>
        <w:rPr>
          <w:sz w:val="20"/>
          <w:szCs w:val="20"/>
          <w:color w:val="auto"/>
        </w:rPr>
      </w:pPr>
    </w:p>
    <w:p>
      <w:pPr>
        <w:ind w:left="1060" w:right="76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Policies</w:t>
      </w:r>
      <w:r>
        <w:rPr>
          <w:rFonts w:ascii="Times New Roman" w:cs="Times New Roman" w:eastAsia="Times New Roman" w:hAnsi="Times New Roman"/>
          <w:sz w:val="19"/>
          <w:szCs w:val="19"/>
          <w:color w:val="auto"/>
        </w:rPr>
        <w:t>” means the investment objectives, policies, restrictions and limitations set forth in the “BUSINESS” section of its Registration Statement, and as the same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40" w:name="page141"/>
    <w:bookmarkEnd w:id="140"/>
    <w:p>
      <w:pPr>
        <w:spacing w:after="0" w:line="26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may be changed, altered, expanded, amended, modified, terminated or restated from time to time.</w:t>
      </w:r>
    </w:p>
    <w:p>
      <w:pPr>
        <w:spacing w:after="0" w:line="202" w:lineRule="exact"/>
        <w:rPr>
          <w:sz w:val="20"/>
          <w:szCs w:val="20"/>
          <w:color w:val="auto"/>
        </w:rPr>
      </w:pPr>
    </w:p>
    <w:p>
      <w:pPr>
        <w:ind w:left="1060" w:right="26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xml:space="preserve">” means Truist, JPMorgan Chase Bank, N.A. and any other Issuing Bank designated pursuant to </w:t>
      </w:r>
      <w:r>
        <w:rPr>
          <w:rFonts w:ascii="Times New Roman" w:cs="Times New Roman" w:eastAsia="Times New Roman" w:hAnsi="Times New Roman"/>
          <w:sz w:val="19"/>
          <w:szCs w:val="19"/>
          <w:u w:val="single" w:color="auto"/>
          <w:color w:val="auto"/>
        </w:rPr>
        <w:t>Section 2.05(l)</w:t>
      </w:r>
      <w:r>
        <w:rPr>
          <w:rFonts w:ascii="Times New Roman" w:cs="Times New Roman" w:eastAsia="Times New Roman" w:hAnsi="Times New Roman"/>
          <w:sz w:val="19"/>
          <w:szCs w:val="19"/>
          <w:color w:val="auto"/>
        </w:rPr>
        <w:t xml:space="preserve">, in their capacity as the issuers of Letters of Credit hereunder, and their respective successors in such capacity as provided in </w:t>
      </w:r>
      <w:r>
        <w:rPr>
          <w:rFonts w:ascii="Times New Roman" w:cs="Times New Roman" w:eastAsia="Times New Roman" w:hAnsi="Times New Roman"/>
          <w:sz w:val="19"/>
          <w:szCs w:val="19"/>
          <w:u w:val="single" w:color="auto"/>
          <w:color w:val="auto"/>
        </w:rPr>
        <w:t>Section 2.05(j)</w:t>
      </w:r>
      <w:r>
        <w:rPr>
          <w:rFonts w:ascii="Times New Roman" w:cs="Times New Roman" w:eastAsia="Times New Roman" w:hAnsi="Times New Roman"/>
          <w:sz w:val="19"/>
          <w:szCs w:val="19"/>
          <w:color w:val="auto"/>
        </w:rPr>
        <w:t>. In the case of any Letter of Credit to be issued in an Agreed Foreign Currency, Truist and JPMorgan Chase Bank, N.A., respectively, may designate any of their respective affiliates as the “Issuing Bank” for purposes of such Letter of Credit.</w:t>
      </w:r>
    </w:p>
    <w:p>
      <w:pPr>
        <w:spacing w:after="0" w:line="15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Japanese Yen</w:t>
      </w:r>
      <w:r>
        <w:rPr>
          <w:rFonts w:ascii="Times New Roman" w:cs="Times New Roman" w:eastAsia="Times New Roman" w:hAnsi="Times New Roman"/>
          <w:sz w:val="19"/>
          <w:szCs w:val="19"/>
          <w:color w:val="auto"/>
        </w:rPr>
        <w:t>” means the lawful currency of Japan.</w:t>
      </w:r>
    </w:p>
    <w:p>
      <w:pPr>
        <w:spacing w:after="0" w:line="202" w:lineRule="exact"/>
        <w:rPr>
          <w:sz w:val="20"/>
          <w:szCs w:val="20"/>
          <w:color w:val="auto"/>
        </w:rPr>
      </w:pPr>
    </w:p>
    <w:p>
      <w:pPr>
        <w:ind w:left="1060" w:right="2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Joint Lead Arrangers</w:t>
      </w:r>
      <w:r>
        <w:rPr>
          <w:rFonts w:ascii="Times New Roman" w:cs="Times New Roman" w:eastAsia="Times New Roman" w:hAnsi="Times New Roman"/>
          <w:sz w:val="19"/>
          <w:szCs w:val="19"/>
          <w:color w:val="auto"/>
        </w:rPr>
        <w:t>” means Truist Securities, Inc., JPMorgan Chase Bank, N.A., MUFG Union Bank, N.A., Sumitomo Mitsui Banking Corporation and State Street Bank and Trust Company.</w:t>
      </w:r>
    </w:p>
    <w:p>
      <w:pPr>
        <w:spacing w:after="0" w:line="1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Disbursement</w:t>
      </w:r>
      <w:r>
        <w:rPr>
          <w:rFonts w:ascii="Times New Roman" w:cs="Times New Roman" w:eastAsia="Times New Roman" w:hAnsi="Times New Roman"/>
          <w:sz w:val="19"/>
          <w:szCs w:val="19"/>
          <w:color w:val="auto"/>
        </w:rPr>
        <w:t>” means a payment made by any Issuing Bank pursuant to a Letter of</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Credit.</w:t>
      </w:r>
    </w:p>
    <w:p>
      <w:pPr>
        <w:spacing w:after="0" w:line="180" w:lineRule="exact"/>
        <w:rPr>
          <w:sz w:val="20"/>
          <w:szCs w:val="20"/>
          <w:color w:val="auto"/>
        </w:rPr>
      </w:pPr>
    </w:p>
    <w:p>
      <w:pPr>
        <w:ind w:left="1060" w:right="88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Exposure</w:t>
      </w:r>
      <w:r>
        <w:rPr>
          <w:rFonts w:ascii="Times New Roman" w:cs="Times New Roman" w:eastAsia="Times New Roman" w:hAnsi="Times New Roman"/>
          <w:sz w:val="19"/>
          <w:szCs w:val="19"/>
          <w:color w:val="auto"/>
        </w:rPr>
        <w:t>” means, at any time, the sum of the Dollar LC Exposure and the Multicurrency LC Exposure.</w:t>
      </w:r>
    </w:p>
    <w:p>
      <w:pPr>
        <w:spacing w:after="0" w:line="1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means, collectively, the Dollar Lenders and the Multicurrency Lenders.</w:t>
      </w:r>
    </w:p>
    <w:p>
      <w:pPr>
        <w:spacing w:after="0" w:line="32" w:lineRule="exact"/>
        <w:rPr>
          <w:sz w:val="20"/>
          <w:szCs w:val="20"/>
          <w:color w:val="auto"/>
        </w:rPr>
      </w:pPr>
    </w:p>
    <w:p>
      <w:pPr>
        <w:ind w:left="2460" w:right="80" w:hanging="2052"/>
        <w:spacing w:after="0" w:line="250" w:lineRule="auto"/>
        <w:rPr>
          <w:sz w:val="20"/>
          <w:szCs w:val="20"/>
          <w:color w:val="auto"/>
        </w:rPr>
      </w:pPr>
      <w:r>
        <w:rPr>
          <w:rFonts w:ascii="Times New Roman" w:cs="Times New Roman" w:eastAsia="Times New Roman" w:hAnsi="Times New Roman"/>
          <w:sz w:val="19"/>
          <w:szCs w:val="19"/>
          <w:color w:val="auto"/>
        </w:rPr>
        <w:t>Unless the context otherwise requires, the term “Lenders” includes each Swingline Lender. “</w:t>
      </w:r>
      <w:r>
        <w:rPr>
          <w:rFonts w:ascii="Times New Roman" w:cs="Times New Roman" w:eastAsia="Times New Roman" w:hAnsi="Times New Roman"/>
          <w:sz w:val="19"/>
          <w:szCs w:val="19"/>
          <w:u w:val="single" w:color="auto"/>
          <w:color w:val="auto"/>
        </w:rPr>
        <w:t>Letter of Credit</w:t>
      </w:r>
      <w:r>
        <w:rPr>
          <w:rFonts w:ascii="Times New Roman" w:cs="Times New Roman" w:eastAsia="Times New Roman" w:hAnsi="Times New Roman"/>
          <w:sz w:val="19"/>
          <w:szCs w:val="19"/>
          <w:color w:val="auto"/>
        </w:rPr>
        <w:t>” means any letter of credit issued pursuant to this Agreement.</w:t>
      </w:r>
    </w:p>
    <w:p>
      <w:pPr>
        <w:spacing w:after="0" w:line="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Collateral Account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auto"/>
        </w:rPr>
        <w:t>2.05(k)</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060" w:right="18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Documents</w:t>
      </w:r>
      <w:r>
        <w:rPr>
          <w:rFonts w:ascii="Times New Roman" w:cs="Times New Roman" w:eastAsia="Times New Roman" w:hAnsi="Times New Roman"/>
          <w:sz w:val="19"/>
          <w:szCs w:val="19"/>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57" w:lineRule="exact"/>
        <w:rPr>
          <w:sz w:val="20"/>
          <w:szCs w:val="20"/>
          <w:color w:val="auto"/>
        </w:rPr>
      </w:pPr>
    </w:p>
    <w:p>
      <w:pPr>
        <w:ind w:left="1060" w:right="160" w:firstLine="172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41" w:name="page142"/>
    <w:bookmarkEnd w:id="141"/>
    <w:p>
      <w:pPr>
        <w:spacing w:after="0" w:line="269" w:lineRule="exact"/>
        <w:rPr>
          <w:sz w:val="20"/>
          <w:szCs w:val="20"/>
          <w:color w:val="auto"/>
        </w:rPr>
      </w:pPr>
    </w:p>
    <w:p>
      <w:pPr>
        <w:ind w:left="1060" w:right="8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xml:space="preserve">” 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 December 22, 2016, the Sixth Amendment to this Agreement dated as of February 20, 2018, the Seventh Amendment to this Agreement dated as of November 5, 2018, the Eighth Amendment to this Agreement dated as of February 14, 2019, the Ninth Amendment to this Agreement dated as of January 31, 2020, the Tenth Amendment to this Agreement dated as of February 5, 2021, the Eleventh Amendment to this Agreement dated as of December 14, 2021, the Twelfth Amendment to this Agreement dated as of April 25, 2022, the Thirteenth Amendment to this Agreement dated as of May 19, 2022,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auto"/>
        </w:rPr>
        <w:t xml:space="preserve"> the Fourteenth Amendment to this Agreement dated as of June 12, 2023</w:t>
      </w:r>
      <w:r>
        <w:rPr>
          <w:rFonts w:ascii="Times New Roman" w:cs="Times New Roman" w:eastAsia="Times New Roman" w:hAnsi="Times New Roman"/>
          <w:sz w:val="19"/>
          <w:szCs w:val="19"/>
          <w:u w:val="single" w:color="auto"/>
          <w:color w:val="0000FF"/>
        </w:rPr>
        <w:t>, and the Fifteenth Amendment to this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Agreement dated as of April 24, 2024</w:t>
      </w:r>
      <w:r>
        <w:rPr>
          <w:rFonts w:ascii="Times New Roman" w:cs="Times New Roman" w:eastAsia="Times New Roman" w:hAnsi="Times New Roman"/>
          <w:sz w:val="19"/>
          <w:szCs w:val="19"/>
          <w:color w:val="000000"/>
        </w:rPr>
        <w:t>.</w:t>
      </w:r>
    </w:p>
    <w:p>
      <w:pPr>
        <w:spacing w:after="0" w:line="16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means the loans made by the Lenders to the Borrower pursuant to this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Agreement.</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Margin Stock</w:t>
      </w:r>
      <w:r>
        <w:rPr>
          <w:rFonts w:ascii="Times New Roman" w:cs="Times New Roman" w:eastAsia="Times New Roman" w:hAnsi="Times New Roman"/>
          <w:sz w:val="19"/>
          <w:szCs w:val="19"/>
          <w:color w:val="auto"/>
        </w:rPr>
        <w:t>” means “margin stock” within the meaning of Regulations T, U</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and X.</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Change</w:t>
      </w:r>
      <w:r>
        <w:rPr>
          <w:rFonts w:ascii="Times New Roman" w:cs="Times New Roman" w:eastAsia="Times New Roman" w:hAnsi="Times New Roman"/>
          <w:sz w:val="19"/>
          <w:szCs w:val="19"/>
          <w:color w:val="auto"/>
        </w:rPr>
        <w:t>” has the meaning assigned to such term in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auto"/>
        </w:rPr>
        <w:t>Section 3.04(b)</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060" w:right="140" w:firstLine="172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w:t>
      </w:r>
    </w:p>
    <w:p>
      <w:pPr>
        <w:spacing w:after="0" w:line="2" w:lineRule="exact"/>
        <w:rPr>
          <w:sz w:val="20"/>
          <w:szCs w:val="20"/>
          <w:color w:val="auto"/>
        </w:rPr>
      </w:pPr>
    </w:p>
    <w:p>
      <w:pPr>
        <w:ind w:left="1060" w:right="620" w:hanging="10"/>
        <w:spacing w:after="0" w:line="262" w:lineRule="auto"/>
        <w:tabs>
          <w:tab w:leader="none" w:pos="1332"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validity or enforceability of any of the Loan Documents or the rights or remedies of the Collateral Agent, the Administrative Agent and the Lenders thereunder.</w:t>
      </w:r>
    </w:p>
    <w:p>
      <w:pPr>
        <w:spacing w:after="0" w:line="149" w:lineRule="exact"/>
        <w:rPr>
          <w:sz w:val="20"/>
          <w:szCs w:val="20"/>
          <w:color w:val="auto"/>
        </w:rPr>
      </w:pPr>
    </w:p>
    <w:p>
      <w:pPr>
        <w:ind w:left="1060" w:right="120" w:firstLine="172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Indebtedness</w:t>
      </w:r>
      <w:r>
        <w:rPr>
          <w:rFonts w:ascii="Times New Roman" w:cs="Times New Roman" w:eastAsia="Times New Roman" w:hAnsi="Times New Roman"/>
          <w:sz w:val="19"/>
          <w:szCs w:val="19"/>
          <w:color w:val="auto"/>
        </w:rPr>
        <w:t>” means (a) Indebtedness (other than the Loans, Letters of Credit and Hedging Agreements), of any one or more of the Borrower and its Subsidiaries in an aggregate principal amount exceeding $50,000,000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$50,000,000.</w:t>
      </w:r>
    </w:p>
    <w:p>
      <w:pPr>
        <w:spacing w:after="0" w:line="3" w:lineRule="exact"/>
        <w:rPr>
          <w:sz w:val="20"/>
          <w:szCs w:val="20"/>
          <w:color w:val="auto"/>
        </w:rPr>
      </w:pPr>
    </w:p>
    <w:p>
      <w:pPr>
        <w:ind w:left="2460" w:right="740"/>
        <w:spacing w:after="0" w:line="250" w:lineRule="auto"/>
        <w:rPr>
          <w:sz w:val="20"/>
          <w:szCs w:val="20"/>
          <w:color w:val="auto"/>
        </w:rPr>
      </w:pPr>
      <w:r>
        <w:rPr>
          <w:rFonts w:ascii="Times New Roman" w:cs="Times New Roman" w:eastAsia="Times New Roman" w:hAnsi="Times New Roman"/>
          <w:sz w:val="19"/>
          <w:szCs w:val="19"/>
          <w:u w:val="single" w:color="auto"/>
          <w:color w:val="0000FF"/>
        </w:rPr>
        <w:t>“Maximum Rate” has the meaning assigned to such term in Section 9.20.</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u w:val="single" w:color="auto"/>
          <w:color w:val="000000"/>
        </w:rPr>
        <w:t>Minimum</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Collateral Amount</w:t>
      </w:r>
      <w:r>
        <w:rPr>
          <w:rFonts w:ascii="Times New Roman" w:cs="Times New Roman" w:eastAsia="Times New Roman" w:hAnsi="Times New Roman"/>
          <w:sz w:val="19"/>
          <w:szCs w:val="19"/>
          <w:color w:val="000000"/>
        </w:rPr>
        <w:t>” means, at any time, with respect to Cash</w:t>
      </w:r>
    </w:p>
    <w:p>
      <w:pPr>
        <w:spacing w:after="0" w:line="1" w:lineRule="exact"/>
        <w:rPr>
          <w:sz w:val="20"/>
          <w:szCs w:val="20"/>
          <w:color w:val="auto"/>
        </w:rPr>
      </w:pPr>
    </w:p>
    <w:p>
      <w:pPr>
        <w:ind w:left="1060" w:right="280"/>
        <w:spacing w:after="0" w:line="262" w:lineRule="auto"/>
        <w:rPr>
          <w:sz w:val="20"/>
          <w:szCs w:val="20"/>
          <w:color w:val="auto"/>
        </w:rPr>
      </w:pPr>
      <w:r>
        <w:rPr>
          <w:rFonts w:ascii="Times New Roman" w:cs="Times New Roman" w:eastAsia="Times New Roman" w:hAnsi="Times New Roman"/>
          <w:sz w:val="19"/>
          <w:szCs w:val="19"/>
          <w:color w:val="auto"/>
        </w:rPr>
        <w:t>Collateral consisting of Cash or deposit account balances, an amount equal to 100% of the Fronting Exposure of each Issuing Bank with respect to Letters of Credit issued and outstanding at such time.</w:t>
      </w:r>
    </w:p>
    <w:p>
      <w:pPr>
        <w:spacing w:after="0" w:line="14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means Moody’s Investors Service, Inc. or any successor thereto.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42" w:name="page143"/>
    <w:bookmarkEnd w:id="142"/>
    <w:p>
      <w:pPr>
        <w:spacing w:after="0" w:line="269" w:lineRule="exact"/>
        <w:rPr>
          <w:sz w:val="20"/>
          <w:szCs w:val="20"/>
          <w:color w:val="auto"/>
        </w:rPr>
      </w:pPr>
    </w:p>
    <w:p>
      <w:pPr>
        <w:ind w:left="1060" w:right="14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Commitment</w:t>
      </w:r>
      <w:r>
        <w:rPr>
          <w:rFonts w:ascii="Times New Roman" w:cs="Times New Roman" w:eastAsia="Times New Roman" w:hAnsi="Times New Roman"/>
          <w:sz w:val="19"/>
          <w:szCs w:val="19"/>
          <w:color w:val="auto"/>
        </w:rPr>
        <w:t xml:space="preserve">” 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or increased from time to time pursuant to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and (b) reduced or increased from time to time pursuant to assignments by or to such Lender pursuant to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0000FF"/>
        </w:rPr>
        <w:t>initial</w:t>
      </w:r>
      <w:r>
        <w:rPr>
          <w:rFonts w:ascii="Times New Roman" w:cs="Times New Roman" w:eastAsia="Times New Roman" w:hAnsi="Times New Roman"/>
          <w:sz w:val="19"/>
          <w:szCs w:val="19"/>
          <w:color w:val="auto"/>
        </w:rPr>
        <w:t xml:space="preserve"> amount of each Lender’s Multicurrency Commitment is</w:t>
      </w:r>
      <w:r>
        <w:rPr>
          <w:rFonts w:ascii="Times New Roman" w:cs="Times New Roman" w:eastAsia="Times New Roman" w:hAnsi="Times New Roman"/>
          <w:sz w:val="19"/>
          <w:szCs w:val="19"/>
          <w:color w:val="FF0000"/>
          <w:strike w:val="1"/>
        </w:rPr>
        <w:t>, as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the Fourteenth Amendment Effective Date,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set forth on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Schedule 1.01(b)</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u w:val="single" w:color="auto"/>
          <w:color w:val="0000FF"/>
        </w:rPr>
        <w:t>a Commitment Increase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Supplement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Assignment and Assumption pursuant to which such Lender shall have assumed its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Multicurrency commitment, as applicable. The aggregate amount of the Lenders’ Multicurrency Commitments as of the </w:t>
      </w:r>
      <w:r>
        <w:rPr>
          <w:rFonts w:ascii="Times New Roman" w:cs="Times New Roman" w:eastAsia="Times New Roman" w:hAnsi="Times New Roman"/>
          <w:sz w:val="19"/>
          <w:szCs w:val="19"/>
          <w:color w:val="FF0000"/>
          <w:strike w:val="1"/>
        </w:rPr>
        <w:t>Fourteenth</w:t>
      </w:r>
      <w:r>
        <w:rPr>
          <w:rFonts w:ascii="Times New Roman" w:cs="Times New Roman" w:eastAsia="Times New Roman" w:hAnsi="Times New Roman"/>
          <w:sz w:val="19"/>
          <w:szCs w:val="19"/>
          <w:u w:val="single" w:color="auto"/>
          <w:color w:val="0000FF"/>
        </w:rPr>
        <w:t>Fifteenth</w:t>
      </w:r>
      <w:r>
        <w:rPr>
          <w:rFonts w:ascii="Times New Roman" w:cs="Times New Roman" w:eastAsia="Times New Roman" w:hAnsi="Times New Roman"/>
          <w:sz w:val="19"/>
          <w:szCs w:val="19"/>
          <w:color w:val="000000"/>
        </w:rPr>
        <w:t xml:space="preserve"> Amendment Effective Date is $1,150,000,000.</w:t>
      </w:r>
    </w:p>
    <w:p>
      <w:pPr>
        <w:spacing w:after="0" w:line="165" w:lineRule="exact"/>
        <w:rPr>
          <w:sz w:val="20"/>
          <w:szCs w:val="20"/>
          <w:color w:val="auto"/>
        </w:rPr>
      </w:pPr>
    </w:p>
    <w:p>
      <w:pPr>
        <w:ind w:left="1060" w:right="18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LC Exposure</w:t>
      </w:r>
      <w:r>
        <w:rPr>
          <w:rFonts w:ascii="Times New Roman" w:cs="Times New Roman" w:eastAsia="Times New Roman" w:hAnsi="Times New Roman"/>
          <w:sz w:val="19"/>
          <w:szCs w:val="19"/>
          <w:color w:val="auto"/>
        </w:rPr>
        <w:t xml:space="preserve">” means, at any time, the sum of (a) the aggregate undrawn amount of all outstanding Multicurrency Letters of Credit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54" w:lineRule="exact"/>
        <w:rPr>
          <w:sz w:val="20"/>
          <w:szCs w:val="20"/>
          <w:color w:val="auto"/>
        </w:rPr>
      </w:pPr>
    </w:p>
    <w:p>
      <w:pPr>
        <w:ind w:left="1060" w:right="62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Lender</w:t>
      </w:r>
      <w:r>
        <w:rPr>
          <w:rFonts w:ascii="Times New Roman" w:cs="Times New Roman" w:eastAsia="Times New Roman" w:hAnsi="Times New Roman"/>
          <w:sz w:val="19"/>
          <w:szCs w:val="19"/>
          <w:color w:val="auto"/>
        </w:rPr>
        <w:t xml:space="preserve">” means the Persons listed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xml:space="preserve"> as having Multicurrency Commitments and any other Person that shall have become a party hereto pursuant to </w:t>
      </w:r>
      <w:r>
        <w:rPr>
          <w:rFonts w:ascii="Times New Roman" w:cs="Times New Roman" w:eastAsia="Times New Roman" w:hAnsi="Times New Roman"/>
          <w:sz w:val="19"/>
          <w:szCs w:val="19"/>
          <w:color w:val="FF0000"/>
          <w:strike w:val="1"/>
        </w:rPr>
        <w:t>an</w:t>
      </w: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Commitment Increase Supplement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Assignment and Assumption that provides for it to assume a</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Multicurrency Commitment or to acquire Revolving Multicurrency Credit Exposure, other than any such Person that ceases to be a party hereto pursuant to an Assignment and Assumption.</w:t>
      </w:r>
    </w:p>
    <w:p>
      <w:pPr>
        <w:spacing w:after="0" w:line="1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Letters of Credit</w:t>
      </w:r>
      <w:r>
        <w:rPr>
          <w:rFonts w:ascii="Times New Roman" w:cs="Times New Roman" w:eastAsia="Times New Roman" w:hAnsi="Times New Roman"/>
          <w:sz w:val="19"/>
          <w:szCs w:val="19"/>
          <w:color w:val="auto"/>
        </w:rPr>
        <w:t>” means Letters of Credit that utilize the Multicurrency</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Commitments.</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Loan</w:t>
      </w:r>
      <w:r>
        <w:rPr>
          <w:rFonts w:ascii="Times New Roman" w:cs="Times New Roman" w:eastAsia="Times New Roman" w:hAnsi="Times New Roman"/>
          <w:sz w:val="19"/>
          <w:szCs w:val="19"/>
          <w:color w:val="auto"/>
        </w:rPr>
        <w:t>” means a Loan denominated in Dollars or an Agreed Foreign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Currency.</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 multiemployer plan as defined in Section 4001(a)(3) of</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ERISA.</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National Currency</w:t>
      </w:r>
      <w:r>
        <w:rPr>
          <w:rFonts w:ascii="Times New Roman" w:cs="Times New Roman" w:eastAsia="Times New Roman" w:hAnsi="Times New Roman"/>
          <w:sz w:val="19"/>
          <w:szCs w:val="19"/>
          <w:color w:val="auto"/>
        </w:rPr>
        <w:t>” means the currency, other than the Euro, of a Participating</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Member State.</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Cash Proceeds</w:t>
      </w:r>
      <w:r>
        <w:rPr>
          <w:rFonts w:ascii="Times New Roman" w:cs="Times New Roman" w:eastAsia="Times New Roman" w:hAnsi="Times New Roman"/>
          <w:sz w:val="19"/>
          <w:szCs w:val="19"/>
          <w:color w:val="auto"/>
        </w:rPr>
        <w:t>” means:</w:t>
      </w:r>
    </w:p>
    <w:p>
      <w:pPr>
        <w:spacing w:after="0" w:line="20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(a)with respect to any Disposition by the Borrower or any of its Subsidiaries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(other than Financing Subsidiaries), or any Extraordinary Receipt received or paid to the account of the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Borrower or any of its Subsidiaries (other than Financing Subsidiaries) (in each case, which requires a payment</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of the Loans under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an amount equal to (a) the sum of cash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43" w:name="page144"/>
    <w:bookmarkEnd w:id="143"/>
    <w:p>
      <w:pPr>
        <w:spacing w:after="0" w:line="221"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9"/>
          <w:szCs w:val="19"/>
          <w:color w:val="auto"/>
        </w:rPr>
        <w:t>and Cash Equivalents received in connection with such transaction (including any cash or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44" w:name="page145"/>
    <w:bookmarkEnd w:id="144"/>
    <w:p>
      <w:pPr>
        <w:spacing w:after="0" w:line="269" w:lineRule="exact"/>
        <w:rPr>
          <w:sz w:val="20"/>
          <w:szCs w:val="20"/>
          <w:color w:val="auto"/>
        </w:rPr>
      </w:pPr>
    </w:p>
    <w:p>
      <w:pPr>
        <w:ind w:left="1060" w:right="140"/>
        <w:spacing w:after="0" w:line="256" w:lineRule="auto"/>
        <w:rPr>
          <w:sz w:val="20"/>
          <w:szCs w:val="20"/>
          <w:color w:val="auto"/>
        </w:rPr>
      </w:pPr>
      <w:r>
        <w:rPr>
          <w:rFonts w:ascii="Times New Roman" w:cs="Times New Roman" w:eastAsia="Times New Roman" w:hAnsi="Times New Roman"/>
          <w:sz w:val="19"/>
          <w:szCs w:val="19"/>
          <w:color w:val="auto"/>
        </w:rPr>
        <w:t xml:space="preserve">Cash Equivalents received by way of deferred payment pursuant to, or by monetization of, a note receivable or otherwise, but only as and when so received)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sum of (i) the principal amount of any Indebtedness that is secured by the applicable asset and that is required to be repaid in connection with such transaction (other than Indebtedness under the Loan Documents),</w:t>
      </w:r>
    </w:p>
    <w:p>
      <w:pPr>
        <w:spacing w:after="0" w:line="2" w:lineRule="exact"/>
        <w:rPr>
          <w:sz w:val="20"/>
          <w:szCs w:val="20"/>
          <w:color w:val="auto"/>
        </w:rPr>
      </w:pPr>
    </w:p>
    <w:p>
      <w:pPr>
        <w:ind w:left="1060" w:right="160" w:hanging="10"/>
        <w:spacing w:after="0" w:line="252" w:lineRule="auto"/>
        <w:tabs>
          <w:tab w:leader="none" w:pos="134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amount of any estimated taxes pursuant to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61" w:lineRule="exact"/>
        <w:rPr>
          <w:sz w:val="20"/>
          <w:szCs w:val="20"/>
          <w:color w:val="auto"/>
        </w:rPr>
      </w:pPr>
    </w:p>
    <w:p>
      <w:pPr>
        <w:ind w:left="1060" w:right="220" w:firstLine="1728"/>
        <w:spacing w:after="0" w:line="253" w:lineRule="auto"/>
        <w:rPr>
          <w:sz w:val="20"/>
          <w:szCs w:val="20"/>
          <w:color w:val="auto"/>
        </w:rPr>
      </w:pPr>
      <w:r>
        <w:rPr>
          <w:rFonts w:ascii="Times New Roman" w:cs="Times New Roman" w:eastAsia="Times New Roman" w:hAnsi="Times New Roman"/>
          <w:sz w:val="19"/>
          <w:szCs w:val="19"/>
          <w:color w:val="auto"/>
        </w:rPr>
        <w:t xml:space="preserve">(b)with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an amount equal to (i) the sum of the cash and Cash Equivalents received in connection with such transaction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sum of (1) reasonable out-of-pocket fees, costs and expenses, incurred by the Borrower or such Subsidiary in connection therewith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any reasonable costs, fees, commissions, premiums, expenses, or underwriting discounts or commissions incurred by the Borrower or any of its Subsidiaries in connection with such sale or issuance.</w:t>
      </w:r>
    </w:p>
    <w:p>
      <w:pPr>
        <w:spacing w:after="0" w:line="165" w:lineRule="exact"/>
        <w:rPr>
          <w:sz w:val="20"/>
          <w:szCs w:val="20"/>
          <w:color w:val="auto"/>
        </w:rPr>
      </w:pPr>
    </w:p>
    <w:p>
      <w:pPr>
        <w:ind w:left="2460" w:right="148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Zealand Dollars</w:t>
      </w:r>
      <w:r>
        <w:rPr>
          <w:rFonts w:ascii="Times New Roman" w:cs="Times New Roman" w:eastAsia="Times New Roman" w:hAnsi="Times New Roman"/>
          <w:sz w:val="19"/>
          <w:szCs w:val="19"/>
          <w:color w:val="auto"/>
        </w:rPr>
        <w:t xml:space="preserve"> ” means the lawful currency of New Zealand. </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FF0000"/>
          <w:strike w:val="1"/>
        </w:rPr>
        <w:t>Ninth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FF0000"/>
        </w:rPr>
        <w:t>Amendment Effective Date</w:t>
      </w:r>
      <w:r>
        <w:rPr>
          <w:rFonts w:ascii="Times New Roman" w:cs="Times New Roman" w:eastAsia="Times New Roman" w:hAnsi="Times New Roman"/>
          <w:sz w:val="19"/>
          <w:szCs w:val="19"/>
          <w:color w:val="FF0000"/>
        </w:rPr>
        <w:t>” means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1566545</wp:posOffset>
            </wp:positionH>
            <wp:positionV relativeFrom="paragraph">
              <wp:posOffset>-73025</wp:posOffset>
            </wp:positionV>
            <wp:extent cx="263715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2637155" cy="762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9.02(d)</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Non-Defaulting Lender</w:t>
      </w:r>
      <w:r>
        <w:rPr>
          <w:rFonts w:ascii="Times New Roman" w:cs="Times New Roman" w:eastAsia="Times New Roman" w:hAnsi="Times New Roman"/>
          <w:sz w:val="19"/>
          <w:szCs w:val="19"/>
          <w:color w:val="auto"/>
        </w:rPr>
        <w:t>” means, at any time, a Lender that is not a Defaulting Lender at</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such time.</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Non-Extended Applicable Margin</w:t>
      </w:r>
      <w:r>
        <w:rPr>
          <w:rFonts w:ascii="Times New Roman" w:cs="Times New Roman" w:eastAsia="Times New Roman" w:hAnsi="Times New Roman"/>
          <w:sz w:val="19"/>
          <w:szCs w:val="19"/>
          <w:color w:val="auto"/>
        </w:rPr>
        <w:t>” means:</w:t>
      </w:r>
    </w:p>
    <w:p>
      <w:pPr>
        <w:spacing w:after="0" w:line="202" w:lineRule="exact"/>
        <w:rPr>
          <w:sz w:val="20"/>
          <w:szCs w:val="20"/>
          <w:color w:val="auto"/>
        </w:rPr>
      </w:pPr>
    </w:p>
    <w:p>
      <w:pPr>
        <w:ind w:left="1060" w:right="240" w:firstLine="1728"/>
        <w:spacing w:after="0" w:line="257" w:lineRule="auto"/>
        <w:rPr>
          <w:sz w:val="20"/>
          <w:szCs w:val="20"/>
          <w:color w:val="auto"/>
        </w:rPr>
      </w:pPr>
      <w:r>
        <w:rPr>
          <w:rFonts w:ascii="Times New Roman" w:cs="Times New Roman" w:eastAsia="Times New Roman" w:hAnsi="Times New Roman"/>
          <w:sz w:val="19"/>
          <w:szCs w:val="19"/>
          <w:color w:val="auto"/>
        </w:rPr>
        <w:t>(a)with respect to each Non-Extending Lender to which the Non-Extended Final Maturity Date of January 31, 2025 is applicable, (i) if the Borrowing Base (as of the most recently delivered Borrowing Base Certificate) is equal to or greater than 1.85 times the Combined Debt Amount, (A) with respect to any ABR Loan, 0.75% per annum; (B) with respect to any Term Benchmark Loan, 1.75% per annum; and (C) with respect to any RFR Loan, 1.75% per annum plus the RFR Applicable Credit Adjustment Spread; and (ii) if the Borrowing Base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45" w:name="page146"/>
    <w:bookmarkEnd w:id="145"/>
    <w:p>
      <w:pPr>
        <w:spacing w:after="0" w:line="269" w:lineRule="exact"/>
        <w:rPr>
          <w:sz w:val="20"/>
          <w:szCs w:val="20"/>
          <w:color w:val="auto"/>
        </w:rPr>
      </w:pPr>
    </w:p>
    <w:p>
      <w:pPr>
        <w:ind w:left="1060" w:right="60"/>
        <w:spacing w:after="0" w:line="262" w:lineRule="auto"/>
        <w:rPr>
          <w:sz w:val="20"/>
          <w:szCs w:val="20"/>
          <w:color w:val="auto"/>
        </w:rPr>
      </w:pPr>
      <w:r>
        <w:rPr>
          <w:rFonts w:ascii="Times New Roman" w:cs="Times New Roman" w:eastAsia="Times New Roman" w:hAnsi="Times New Roman"/>
          <w:sz w:val="19"/>
          <w:szCs w:val="19"/>
          <w:color w:val="auto"/>
        </w:rPr>
        <w:t>(as of the most recently delivered Borrowing Base Certificate) is less than 1.85 times the Combined Debt Amount (A) with respect to any ABR Loan, 0.875% per annum; (B) with respect to any Term Benchmark Loan, 1.875% per annum; and (C) with respect to any RFR Loan, 1.875% per annum plus the RFR Applicable Credit Adjustment Spread;</w:t>
      </w:r>
    </w:p>
    <w:p>
      <w:pPr>
        <w:spacing w:after="0" w:line="150" w:lineRule="exact"/>
        <w:rPr>
          <w:sz w:val="20"/>
          <w:szCs w:val="20"/>
          <w:color w:val="auto"/>
        </w:rPr>
      </w:pPr>
    </w:p>
    <w:p>
      <w:pPr>
        <w:ind w:left="1060" w:right="60" w:firstLine="1728"/>
        <w:spacing w:after="0" w:line="255" w:lineRule="auto"/>
        <w:rPr>
          <w:sz w:val="20"/>
          <w:szCs w:val="20"/>
          <w:color w:val="auto"/>
        </w:rPr>
      </w:pPr>
      <w:r>
        <w:rPr>
          <w:rFonts w:ascii="Times New Roman" w:cs="Times New Roman" w:eastAsia="Times New Roman" w:hAnsi="Times New Roman"/>
          <w:sz w:val="19"/>
          <w:szCs w:val="19"/>
          <w:color w:val="auto"/>
        </w:rPr>
        <w:t>(b)with respect to each Non-Extending Lender to which the Non-Extended Final Maturity Date of February 4, 2026 is applicable, (i) if the Borrowing Base (as of the most recently delivered Borrowing Base Certificate) is equal to or greater than 1.85 times the Combined Debt Amount, (A) with respect to any ABR Loan, 0.75% per annum; (B) with respect to any Term Benchmark Loan, 1.75% per annum; and (C) with respect to any RFR Loan, 1.75% per annum plus the RFR Applicable Credit Adjustment Spread; and (ii) if the Borrowing Base (as of the most recently delivered Borrowing Base Certificate) is less than 1.85 times the Combined Debt Amount (A) with respect to any ABR Loan, 0.875% per annum; (B) with respect to any Term Benchmark Loan, 1.875% per annum; and (C) with respect to any RFR Loan, 1.875% per annum plus the RFR Applicable Credit Adjustment Spread; and</w:t>
      </w:r>
    </w:p>
    <w:p>
      <w:pPr>
        <w:spacing w:after="0" w:line="155" w:lineRule="exact"/>
        <w:rPr>
          <w:sz w:val="20"/>
          <w:szCs w:val="20"/>
          <w:color w:val="auto"/>
        </w:rPr>
      </w:pPr>
    </w:p>
    <w:p>
      <w:pPr>
        <w:ind w:left="1060" w:right="80" w:firstLine="1728"/>
        <w:spacing w:after="0" w:line="255" w:lineRule="auto"/>
        <w:rPr>
          <w:sz w:val="20"/>
          <w:szCs w:val="20"/>
          <w:color w:val="auto"/>
        </w:rPr>
      </w:pPr>
      <w:r>
        <w:rPr>
          <w:rFonts w:ascii="Times New Roman" w:cs="Times New Roman" w:eastAsia="Times New Roman" w:hAnsi="Times New Roman"/>
          <w:sz w:val="19"/>
          <w:szCs w:val="19"/>
          <w:color w:val="auto"/>
        </w:rPr>
        <w:t>(c)with respect to each Non-Extending Lender to which the Non-Extended Final Maturity Date of April 23, 2027 is applicable, (i) if the Borrowing Base (as of the most recently delivered Borrowing Base Certificate) is equal to or greater than 1.60 times the Combined Debt Amount, (A) with respect to any ABR Loan, 0.75% per annum; (B) with respect to any Term Benchmark Loan, 1.75% per annum; and (C) with respect to any RFR Loan 1.75% per annum; and (ii) if the Borrowing Base (as of the most recently delivered Borrowing Base Certificate) is less than 1.60 times the Combined Debt Amount (A) with respect to any ABR Loan, 0.875% per annum; (B) with respect to any Term Benchmark Loan, 1.875% per annum; and (C) with respect to any RFR Loan 1.875% per annum.</w:t>
      </w:r>
    </w:p>
    <w:p>
      <w:pPr>
        <w:spacing w:after="0" w:line="160" w:lineRule="exact"/>
        <w:rPr>
          <w:sz w:val="20"/>
          <w:szCs w:val="20"/>
          <w:color w:val="auto"/>
        </w:rPr>
      </w:pPr>
    </w:p>
    <w:p>
      <w:pPr>
        <w:ind w:left="1060" w:right="80" w:firstLine="1728"/>
        <w:spacing w:after="0" w:line="255" w:lineRule="auto"/>
        <w:rPr>
          <w:sz w:val="20"/>
          <w:szCs w:val="20"/>
          <w:color w:val="auto"/>
        </w:rPr>
      </w:pPr>
      <w:r>
        <w:rPr>
          <w:rFonts w:ascii="Times New Roman" w:cs="Times New Roman" w:eastAsia="Times New Roman" w:hAnsi="Times New Roman"/>
          <w:sz w:val="19"/>
          <w:szCs w:val="19"/>
          <w:color w:val="auto"/>
        </w:rPr>
        <w:t>Any change in the Non-Extended Applicable Margin due to a change in the ratio of the Borrowing Base to the Combined Debt Amount as set forth in any Borrowing Base Certificate shall be effective from and including the day immediately succeeding the date of delivery of such Borrowing Base Certificate; provided that if any Borrowing Base Certificate has not been delivered in accordance with Section 5.01(d), then from and including the day immediately succeeding the date on which such Borrowing Base Certificate was required to be delivered, the Non-Extended Applicable Margin shall be the Non-Extended Applicable Margin set forth in clause (a)(ii), clause (b)(ii) or clause (c)(ii) above, as applicable, to and including the date on which the required Borrowing Base Certificate is delivered.</w:t>
      </w:r>
    </w:p>
    <w:p>
      <w:pPr>
        <w:spacing w:after="0" w:line="160" w:lineRule="exact"/>
        <w:rPr>
          <w:sz w:val="20"/>
          <w:szCs w:val="20"/>
          <w:color w:val="auto"/>
        </w:rPr>
      </w:pPr>
    </w:p>
    <w:p>
      <w:pPr>
        <w:jc w:val="both"/>
        <w:ind w:left="1060" w:right="12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Non-Extended Availability Period</w:t>
      </w:r>
      <w:r>
        <w:rPr>
          <w:rFonts w:ascii="Times New Roman" w:cs="Times New Roman" w:eastAsia="Times New Roman" w:hAnsi="Times New Roman"/>
          <w:sz w:val="19"/>
          <w:szCs w:val="19"/>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44" w:lineRule="exact"/>
        <w:rPr>
          <w:sz w:val="20"/>
          <w:szCs w:val="20"/>
          <w:color w:val="auto"/>
        </w:rPr>
      </w:pPr>
    </w:p>
    <w:p>
      <w:pPr>
        <w:ind w:left="1060" w:right="28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Non-Extended Commitment Termination Date</w:t>
      </w:r>
      <w:r>
        <w:rPr>
          <w:rFonts w:ascii="Times New Roman" w:cs="Times New Roman" w:eastAsia="Times New Roman" w:hAnsi="Times New Roman"/>
          <w:sz w:val="19"/>
          <w:szCs w:val="19"/>
          <w:color w:val="auto"/>
        </w:rPr>
        <w:t xml:space="preserve">” means, with respect to each Non-Extending Lender, the “Non -Extended Commitment Termination Date” set forth next to such Non-Extending Lender’s name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46" w:name="page147"/>
    <w:bookmarkEnd w:id="146"/>
    <w:p>
      <w:pPr>
        <w:spacing w:after="0" w:line="269" w:lineRule="exact"/>
        <w:rPr>
          <w:sz w:val="20"/>
          <w:szCs w:val="20"/>
          <w:color w:val="auto"/>
        </w:rPr>
      </w:pPr>
    </w:p>
    <w:p>
      <w:pPr>
        <w:ind w:left="1060" w:right="58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 -Extended Final Maturity Date</w:t>
      </w:r>
      <w:r>
        <w:rPr>
          <w:rFonts w:ascii="Times New Roman" w:cs="Times New Roman" w:eastAsia="Times New Roman" w:hAnsi="Times New Roman"/>
          <w:sz w:val="19"/>
          <w:szCs w:val="19"/>
          <w:color w:val="auto"/>
        </w:rPr>
        <w:t xml:space="preserve">” means, with respect to each Non-Extending Lender, the “Non-Extended Final Maturity Date” set forth next to such Non-Extending Lender’s name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1060" w:right="58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Non-Extended Loans</w:t>
      </w:r>
      <w:r>
        <w:rPr>
          <w:rFonts w:ascii="Times New Roman" w:cs="Times New Roman" w:eastAsia="Times New Roman" w:hAnsi="Times New Roman"/>
          <w:sz w:val="19"/>
          <w:szCs w:val="19"/>
          <w:color w:val="auto"/>
        </w:rPr>
        <w:t>” means Loans or Borrowings of any Non-Extending Lender maturing on the Non-Extended Final Maturity Date for such Non-Extending Lender.</w:t>
      </w:r>
    </w:p>
    <w:p>
      <w:pPr>
        <w:spacing w:after="0" w:line="1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Non-Extending Lender</w:t>
      </w:r>
      <w:r>
        <w:rPr>
          <w:rFonts w:ascii="Times New Roman" w:cs="Times New Roman" w:eastAsia="Times New Roman" w:hAnsi="Times New Roman"/>
          <w:sz w:val="19"/>
          <w:szCs w:val="19"/>
          <w:color w:val="auto"/>
        </w:rPr>
        <w:t>” means each Lender designated as a “Non-Extending Lender”</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left="1060" w:right="30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Non-Public Information</w:t>
      </w:r>
      <w:r>
        <w:rPr>
          <w:rFonts w:ascii="Times New Roman" w:cs="Times New Roman" w:eastAsia="Times New Roman" w:hAnsi="Times New Roman"/>
          <w:sz w:val="19"/>
          <w:szCs w:val="19"/>
          <w:color w:val="auto"/>
        </w:rPr>
        <w:t>” means material non-public information (within the meaning of United States federal, state or other applicable securities laws) with respect to Borrower or its Affiliates or their Securities.</w:t>
      </w:r>
    </w:p>
    <w:p>
      <w:pPr>
        <w:spacing w:after="0" w:line="1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Obligor</w:t>
      </w:r>
      <w:r>
        <w:rPr>
          <w:rFonts w:ascii="Times New Roman" w:cs="Times New Roman" w:eastAsia="Times New Roman" w:hAnsi="Times New Roman"/>
          <w:sz w:val="19"/>
          <w:szCs w:val="19"/>
          <w:color w:val="auto"/>
        </w:rPr>
        <w:t>” means, collectively, the Borrower and the Subsidiary Guarantors.</w:t>
      </w:r>
    </w:p>
    <w:p>
      <w:pPr>
        <w:spacing w:after="0" w:line="32" w:lineRule="exact"/>
        <w:rPr>
          <w:sz w:val="20"/>
          <w:szCs w:val="20"/>
          <w:color w:val="auto"/>
        </w:rPr>
      </w:pPr>
    </w:p>
    <w:p>
      <w:pPr>
        <w:ind w:left="2460" w:right="66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Original Currency</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Original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means July 3, 2013.</w:t>
      </w:r>
    </w:p>
    <w:p>
      <w:pPr>
        <w:spacing w:after="0" w:line="1" w:lineRule="exact"/>
        <w:rPr>
          <w:sz w:val="20"/>
          <w:szCs w:val="20"/>
          <w:color w:val="auto"/>
        </w:rPr>
      </w:pPr>
    </w:p>
    <w:p>
      <w:pPr>
        <w:ind w:left="1060" w:right="16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Benchmark Rate Election</w:t>
      </w:r>
      <w:r>
        <w:rPr>
          <w:rFonts w:ascii="Times New Roman" w:cs="Times New Roman" w:eastAsia="Times New Roman" w:hAnsi="Times New Roman"/>
          <w:sz w:val="19"/>
          <w:szCs w:val="19"/>
          <w:color w:val="auto"/>
        </w:rPr>
        <w:t>” means, with respect to any Loan denominated in Dollars, if a Benchmark Replacement for the Term SOFR Reference Rate has been determined in accordance with clause (1) of the definition of “Benchmark Replacement”, that the Administrative Agent, in its sole discretion, and the Borrower have jointly elected to trigger a fallback from the then -current Benchmark and the Administrative Agent has provided written notice of such election to the Borrower and the Lenders.</w:t>
      </w:r>
    </w:p>
    <w:p>
      <w:pPr>
        <w:spacing w:after="0" w:line="159" w:lineRule="exact"/>
        <w:rPr>
          <w:sz w:val="20"/>
          <w:szCs w:val="20"/>
          <w:color w:val="auto"/>
        </w:rPr>
      </w:pPr>
    </w:p>
    <w:p>
      <w:pPr>
        <w:ind w:left="1060" w:right="180" w:firstLine="174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Covered Indebtedness</w:t>
      </w:r>
      <w:r>
        <w:rPr>
          <w:rFonts w:ascii="Times New Roman" w:cs="Times New Roman" w:eastAsia="Times New Roman" w:hAnsi="Times New Roman"/>
          <w:sz w:val="19"/>
          <w:szCs w:val="19"/>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Times New Roman" w:cs="Times New Roman" w:eastAsia="Times New Roman" w:hAnsi="Times New Roman"/>
          <w:sz w:val="19"/>
          <w:szCs w:val="19"/>
          <w:u w:val="single" w:color="auto"/>
          <w:color w:val="auto"/>
        </w:rPr>
        <w:t>Section 6.02(e)</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1060" w:right="180" w:firstLine="172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Permitted Indebtedness</w:t>
      </w:r>
      <w:r>
        <w:rPr>
          <w:rFonts w:ascii="Times New Roman" w:cs="Times New Roman" w:eastAsia="Times New Roman" w:hAnsi="Times New Roman"/>
          <w:sz w:val="19"/>
          <w:szCs w:val="19"/>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19"/>
          <w:szCs w:val="19"/>
          <w:u w:val="single" w:color="auto"/>
          <w:color w:val="auto"/>
        </w:rPr>
        <w:t>clause (l)</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means any and all present or future stamp or documentary Taxes or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47" w:name="page148"/>
    <w:bookmarkEnd w:id="147"/>
    <w:p>
      <w:pPr>
        <w:spacing w:after="0" w:line="200" w:lineRule="exact"/>
        <w:rPr>
          <w:sz w:val="20"/>
          <w:szCs w:val="20"/>
          <w:color w:val="auto"/>
        </w:rPr>
      </w:pPr>
    </w:p>
    <w:p>
      <w:pPr>
        <w:spacing w:after="0" w:line="213"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9"/>
          <w:szCs w:val="19"/>
          <w:color w:val="auto"/>
        </w:rPr>
        <w:t>any other excise or property Taxes, charges or similar levies arising from any payment made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48" w:name="page149"/>
    <w:bookmarkEnd w:id="148"/>
    <w:p>
      <w:pPr>
        <w:spacing w:after="0" w:line="269" w:lineRule="exact"/>
        <w:rPr>
          <w:sz w:val="20"/>
          <w:szCs w:val="20"/>
          <w:color w:val="auto"/>
        </w:rPr>
      </w:pPr>
    </w:p>
    <w:p>
      <w:pPr>
        <w:ind w:left="1060" w:right="140"/>
        <w:spacing w:after="0" w:line="258" w:lineRule="auto"/>
        <w:rPr>
          <w:sz w:val="20"/>
          <w:szCs w:val="20"/>
          <w:color w:val="auto"/>
        </w:rPr>
      </w:pPr>
      <w:r>
        <w:rPr>
          <w:rFonts w:ascii="Times New Roman" w:cs="Times New Roman" w:eastAsia="Times New Roman" w:hAnsi="Times New Roman"/>
          <w:sz w:val="19"/>
          <w:szCs w:val="19"/>
          <w:color w:val="auto"/>
        </w:rPr>
        <w:t xml:space="preserve">under any Loan Document or from the execution, delivery or enforcement of, or otherwise with respect to, any Loan Document, excluding (i) any such Taxes, charges or similar levies resulting from an assignment by any Lender in accordance with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hereof (unless such assignment is made pursuant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or</w:t>
      </w:r>
    </w:p>
    <w:p>
      <w:pPr>
        <w:spacing w:after="0" w:line="2" w:lineRule="exact"/>
        <w:rPr>
          <w:sz w:val="20"/>
          <w:szCs w:val="20"/>
          <w:color w:val="auto"/>
        </w:rPr>
      </w:pPr>
    </w:p>
    <w:p>
      <w:pPr>
        <w:ind w:left="1060" w:right="60" w:hanging="10"/>
        <w:spacing w:after="0" w:line="250" w:lineRule="auto"/>
        <w:tabs>
          <w:tab w:leader="none" w:pos="134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 w:lineRule="exact"/>
        <w:rPr>
          <w:rFonts w:ascii="Times New Roman" w:cs="Times New Roman" w:eastAsia="Times New Roman" w:hAnsi="Times New Roman"/>
          <w:sz w:val="19"/>
          <w:szCs w:val="19"/>
          <w:color w:val="auto"/>
        </w:rPr>
      </w:pPr>
    </w:p>
    <w:p>
      <w:pPr>
        <w:ind w:left="2460" w:right="8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9.04(f)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9.04(f)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Participating Member State</w:t>
      </w:r>
      <w:r>
        <w:rPr>
          <w:rFonts w:ascii="Times New Roman" w:cs="Times New Roman" w:eastAsia="Times New Roman" w:hAnsi="Times New Roman"/>
          <w:sz w:val="19"/>
          <w:szCs w:val="19"/>
          <w:color w:val="auto"/>
        </w:rPr>
        <w:t>” means any member state of the European</w:t>
      </w:r>
    </w:p>
    <w:p>
      <w:pPr>
        <w:spacing w:after="0" w:line="1" w:lineRule="exact"/>
        <w:rPr>
          <w:rFonts w:ascii="Times New Roman" w:cs="Times New Roman" w:eastAsia="Times New Roman" w:hAnsi="Times New Roman"/>
          <w:sz w:val="19"/>
          <w:szCs w:val="19"/>
          <w:color w:val="auto"/>
        </w:rPr>
      </w:pPr>
    </w:p>
    <w:p>
      <w:pPr>
        <w:ind w:left="1060" w:right="20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Community that adopts or has adopted the Euro as its lawful currency in accordance with the legislation of the European Union relating to the European Monetary Union.</w:t>
      </w:r>
    </w:p>
    <w:p>
      <w:pPr>
        <w:spacing w:after="0" w:line="149" w:lineRule="exact"/>
        <w:rPr>
          <w:sz w:val="20"/>
          <w:szCs w:val="20"/>
          <w:color w:val="auto"/>
        </w:rPr>
      </w:pPr>
    </w:p>
    <w:p>
      <w:pPr>
        <w:ind w:left="1060" w:right="46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means the Pension Benefit Guaranty Corporation referred to and defined in ERISA and any successor entity performing similar functions.</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u w:val="single" w:color="auto"/>
          <w:color w:val="0000FF"/>
        </w:rPr>
        <w:t>“Periodic Term CORRA Determination Day” has the meaning specified in the definition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0000FF"/>
        </w:rPr>
        <w:t>of “Term CORRA”.</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has the meaning set forth in the definition of</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“Term SOFR”.</w:t>
      </w:r>
    </w:p>
    <w:p>
      <w:pPr>
        <w:spacing w:after="0" w:line="180" w:lineRule="exact"/>
        <w:rPr>
          <w:sz w:val="20"/>
          <w:szCs w:val="20"/>
          <w:color w:val="auto"/>
        </w:rPr>
      </w:pPr>
    </w:p>
    <w:p>
      <w:pPr>
        <w:ind w:left="1060" w:right="14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Equity Interests</w:t>
      </w:r>
      <w:r>
        <w:rPr>
          <w:rFonts w:ascii="Times New Roman" w:cs="Times New Roman" w:eastAsia="Times New Roman" w:hAnsi="Times New Roman"/>
          <w:sz w:val="19"/>
          <w:szCs w:val="19"/>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44" w:lineRule="exact"/>
        <w:rPr>
          <w:sz w:val="20"/>
          <w:szCs w:val="20"/>
          <w:color w:val="auto"/>
        </w:rPr>
      </w:pPr>
    </w:p>
    <w:p>
      <w:pPr>
        <w:ind w:left="1060" w:right="160" w:firstLine="172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Liens</w:t>
      </w:r>
      <w:r>
        <w:rPr>
          <w:rFonts w:ascii="Times New Roman" w:cs="Times New Roman" w:eastAsia="Times New Roman" w:hAnsi="Times New Roman"/>
          <w:sz w:val="19"/>
          <w:szCs w:val="19"/>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w:t>
      </w:r>
    </w:p>
    <w:p>
      <w:pPr>
        <w:spacing w:after="0" w:line="2" w:lineRule="exact"/>
        <w:rPr>
          <w:sz w:val="20"/>
          <w:szCs w:val="20"/>
          <w:color w:val="auto"/>
        </w:rPr>
      </w:pPr>
    </w:p>
    <w:p>
      <w:pPr>
        <w:ind w:left="1060" w:right="200" w:hanging="10"/>
        <w:spacing w:after="0" w:line="251" w:lineRule="auto"/>
        <w:tabs>
          <w:tab w:leader="none" w:pos="1332"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liens in respect of employee benefit plans arising under ERISA) or to secure public or statutory obligations; (e) Liens securing the performance of, or payment in respect of, bids,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49" w:name="page150"/>
    <w:bookmarkEnd w:id="149"/>
    <w:p>
      <w:pPr>
        <w:spacing w:after="0" w:line="200" w:lineRule="exact"/>
        <w:rPr>
          <w:sz w:val="20"/>
          <w:szCs w:val="20"/>
          <w:color w:val="auto"/>
        </w:rPr>
      </w:pPr>
    </w:p>
    <w:p>
      <w:pPr>
        <w:spacing w:after="0" w:line="213" w:lineRule="exact"/>
        <w:rPr>
          <w:sz w:val="20"/>
          <w:szCs w:val="20"/>
          <w:color w:val="auto"/>
        </w:rPr>
      </w:pPr>
    </w:p>
    <w:p>
      <w:pPr>
        <w:jc w:val="right"/>
        <w:ind w:right="3700"/>
        <w:spacing w:after="0"/>
        <w:rPr>
          <w:sz w:val="20"/>
          <w:szCs w:val="20"/>
          <w:color w:val="auto"/>
        </w:rPr>
      </w:pPr>
      <w:r>
        <w:rPr>
          <w:rFonts w:ascii="Times New Roman" w:cs="Times New Roman" w:eastAsia="Times New Roman" w:hAnsi="Times New Roman"/>
          <w:sz w:val="19"/>
          <w:szCs w:val="19"/>
          <w:color w:val="auto"/>
        </w:rPr>
        <w:t>insurance premiums, deductibles or co-insured amounts, tenders,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50" w:name="page151"/>
    <w:bookmarkEnd w:id="150"/>
    <w:p>
      <w:pPr>
        <w:spacing w:after="0" w:line="269" w:lineRule="exact"/>
        <w:rPr>
          <w:sz w:val="20"/>
          <w:szCs w:val="20"/>
          <w:color w:val="auto"/>
        </w:rPr>
      </w:pPr>
    </w:p>
    <w:p>
      <w:pPr>
        <w:ind w:left="1060" w:right="120"/>
        <w:spacing w:after="0" w:line="252" w:lineRule="auto"/>
        <w:rPr>
          <w:sz w:val="20"/>
          <w:szCs w:val="20"/>
          <w:color w:val="auto"/>
        </w:rPr>
      </w:pPr>
      <w:r>
        <w:rPr>
          <w:rFonts w:ascii="Times New Roman" w:cs="Times New Roman" w:eastAsia="Times New Roman" w:hAnsi="Times New Roman"/>
          <w:sz w:val="19"/>
          <w:szCs w:val="19"/>
          <w:color w:val="auto"/>
        </w:rPr>
        <w:t xml:space="preserve">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19"/>
          <w:szCs w:val="19"/>
          <w:u w:val="single" w:color="auto"/>
          <w:color w:val="auto"/>
        </w:rPr>
        <w:t>clause (l)</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167" w:lineRule="exact"/>
        <w:rPr>
          <w:sz w:val="20"/>
          <w:szCs w:val="20"/>
          <w:color w:val="auto"/>
        </w:rPr>
      </w:pPr>
    </w:p>
    <w:p>
      <w:pPr>
        <w:ind w:left="1060" w:right="200" w:firstLine="172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Policy Amendment</w:t>
      </w:r>
      <w:r>
        <w:rPr>
          <w:rFonts w:ascii="Times New Roman" w:cs="Times New Roman" w:eastAsia="Times New Roman" w:hAnsi="Times New Roman"/>
          <w:sz w:val="19"/>
          <w:szCs w:val="19"/>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w:t>
      </w:r>
      <w:r>
        <w:rPr>
          <w:rFonts w:ascii="Times New Roman" w:cs="Times New Roman" w:eastAsia="Times New Roman" w:hAnsi="Times New Roman"/>
          <w:sz w:val="19"/>
          <w:szCs w:val="19"/>
          <w:color w:val="FF0000"/>
          <w:strike w:val="1"/>
        </w:rPr>
        <w:t>material</w:t>
      </w:r>
      <w:r>
        <w:rPr>
          <w:rFonts w:ascii="Times New Roman" w:cs="Times New Roman" w:eastAsia="Times New Roman" w:hAnsi="Times New Roman"/>
          <w:sz w:val="19"/>
          <w:szCs w:val="19"/>
          <w:u w:val="single" w:color="auto"/>
          <w:color w:val="0000FF"/>
        </w:rPr>
        <w:t>materially adverse</w:t>
      </w:r>
      <w:r>
        <w:rPr>
          <w:rFonts w:ascii="Times New Roman" w:cs="Times New Roman" w:eastAsia="Times New Roman" w:hAnsi="Times New Roman"/>
          <w:sz w:val="19"/>
          <w:szCs w:val="19"/>
          <w:color w:val="auto"/>
        </w:rPr>
        <w:t>” if investment size proportionately increases as the size of the Borrower’s capital base changes).</w:t>
      </w:r>
    </w:p>
    <w:p>
      <w:pPr>
        <w:spacing w:after="0" w:line="160" w:lineRule="exact"/>
        <w:rPr>
          <w:sz w:val="20"/>
          <w:szCs w:val="20"/>
          <w:color w:val="auto"/>
        </w:rPr>
      </w:pPr>
    </w:p>
    <w:p>
      <w:pPr>
        <w:ind w:left="1060" w:right="10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SBIC Guarantee</w:t>
      </w:r>
      <w:r>
        <w:rPr>
          <w:rFonts w:ascii="Times New Roman" w:cs="Times New Roman" w:eastAsia="Times New Roman" w:hAnsi="Times New Roman"/>
          <w:sz w:val="19"/>
          <w:szCs w:val="19"/>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Times New Roman" w:cs="Times New Roman" w:eastAsia="Times New Roman" w:hAnsi="Times New Roman"/>
          <w:sz w:val="19"/>
          <w:szCs w:val="19"/>
          <w:u w:val="single" w:color="auto"/>
          <w:color w:val="auto"/>
        </w:rPr>
        <w:t>clause (s)</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it shall be an Event of Default hereunder if any such event or condition giving rise to such recourse occurs).</w:t>
      </w:r>
    </w:p>
    <w:p>
      <w:pPr>
        <w:spacing w:after="0" w:line="154" w:lineRule="exact"/>
        <w:rPr>
          <w:sz w:val="20"/>
          <w:szCs w:val="20"/>
          <w:color w:val="auto"/>
        </w:rPr>
      </w:pPr>
    </w:p>
    <w:p>
      <w:pPr>
        <w:ind w:left="1060" w:right="36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natural person, corporation, limited liability company, trust, joint venture, association, company, partnership, Governmental Authority or other entity.</w:t>
      </w:r>
    </w:p>
    <w:p>
      <w:pPr>
        <w:spacing w:after="0" w:line="127" w:lineRule="exact"/>
        <w:rPr>
          <w:sz w:val="20"/>
          <w:szCs w:val="20"/>
          <w:color w:val="auto"/>
        </w:rPr>
      </w:pPr>
    </w:p>
    <w:p>
      <w:pPr>
        <w:jc w:val="both"/>
        <w:ind w:left="1060" w:right="48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 if such plan were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51" w:name="page152"/>
    <w:bookmarkEnd w:id="151"/>
    <w:p>
      <w:pPr>
        <w:spacing w:after="0" w:line="269" w:lineRule="exact"/>
        <w:rPr>
          <w:sz w:val="20"/>
          <w:szCs w:val="20"/>
          <w:color w:val="auto"/>
        </w:rPr>
      </w:pPr>
    </w:p>
    <w:p>
      <w:pPr>
        <w:ind w:left="1060" w:right="960"/>
        <w:spacing w:after="0" w:line="286" w:lineRule="auto"/>
        <w:rPr>
          <w:sz w:val="20"/>
          <w:szCs w:val="20"/>
          <w:color w:val="auto"/>
        </w:rPr>
      </w:pPr>
      <w:r>
        <w:rPr>
          <w:rFonts w:ascii="Times New Roman" w:cs="Times New Roman" w:eastAsia="Times New Roman" w:hAnsi="Times New Roman"/>
          <w:sz w:val="19"/>
          <w:szCs w:val="19"/>
          <w:color w:val="auto"/>
        </w:rPr>
        <w:t>terminated, would under Section 4069 of ERISA be deemed to be) an “employer” as defined in Section 3(5) of ERISA.</w:t>
      </w:r>
    </w:p>
    <w:p>
      <w:pPr>
        <w:spacing w:after="0" w:line="1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5.01(i)</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60" w:right="90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Portfolio Investment</w:t>
      </w:r>
      <w:r>
        <w:rPr>
          <w:rFonts w:ascii="Times New Roman" w:cs="Times New Roman" w:eastAsia="Times New Roman" w:hAnsi="Times New Roman"/>
          <w:sz w:val="19"/>
          <w:szCs w:val="19"/>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(c) any Investment, which if debt, is an obligation (other than a revolving loan or delayed draw term loan) pursuant to which any future advances or payments to the Obligor may be required to be made by the Borrower; (d) any Investment which is made to a bankrupt entity (other than a debtor-in-possession financing and current pay obligations); and (e) any Investment, Cash or account in which a Financing Subsidiary has an interest.</w:t>
      </w:r>
    </w:p>
    <w:p>
      <w:pPr>
        <w:spacing w:after="0" w:line="165" w:lineRule="exact"/>
        <w:rPr>
          <w:sz w:val="20"/>
          <w:szCs w:val="20"/>
          <w:color w:val="auto"/>
        </w:rPr>
      </w:pPr>
    </w:p>
    <w:p>
      <w:pPr>
        <w:ind w:left="1060" w:right="112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xml:space="preserve">” means the rate which is quoted as the “prime rate” in the print edition of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Money Rates Section.</w:t>
      </w:r>
    </w:p>
    <w:p>
      <w:pPr>
        <w:spacing w:after="0" w:line="127" w:lineRule="exact"/>
        <w:rPr>
          <w:sz w:val="20"/>
          <w:szCs w:val="20"/>
          <w:color w:val="auto"/>
        </w:rPr>
      </w:pPr>
    </w:p>
    <w:p>
      <w:pPr>
        <w:ind w:left="1060" w:right="102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Principal Financial Center</w:t>
      </w:r>
      <w:r>
        <w:rPr>
          <w:rFonts w:ascii="Times New Roman" w:cs="Times New Roman" w:eastAsia="Times New Roman" w:hAnsi="Times New Roman"/>
          <w:sz w:val="19"/>
          <w:szCs w:val="19"/>
          <w:color w:val="auto"/>
        </w:rPr>
        <w:t>” means, in the case of any Currency, the principal financial center where such Currency is cleared and settled, as determined by the Administrative Agent.</w:t>
      </w:r>
    </w:p>
    <w:p>
      <w:pPr>
        <w:spacing w:after="0" w:line="127" w:lineRule="exact"/>
        <w:rPr>
          <w:sz w:val="20"/>
          <w:szCs w:val="20"/>
          <w:color w:val="auto"/>
        </w:rPr>
      </w:pPr>
    </w:p>
    <w:p>
      <w:pPr>
        <w:ind w:left="1060" w:right="20" w:firstLine="1572"/>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27" w:lineRule="exact"/>
        <w:rPr>
          <w:sz w:val="20"/>
          <w:szCs w:val="20"/>
          <w:color w:val="auto"/>
        </w:rPr>
      </w:pPr>
    </w:p>
    <w:p>
      <w:pPr>
        <w:ind w:left="1060" w:firstLine="1572"/>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Lender</w:t>
      </w:r>
      <w:r>
        <w:rPr>
          <w:rFonts w:ascii="Times New Roman" w:cs="Times New Roman" w:eastAsia="Times New Roman" w:hAnsi="Times New Roman"/>
          <w:sz w:val="19"/>
          <w:szCs w:val="19"/>
          <w:color w:val="auto"/>
        </w:rPr>
        <w:t>” means Lenders that do not wish to receive Non-Public Information with respect to the Borrower or any of its Subsidiaries or their Securities.</w:t>
      </w:r>
    </w:p>
    <w:p>
      <w:pPr>
        <w:spacing w:after="0" w:line="127" w:lineRule="exact"/>
        <w:rPr>
          <w:sz w:val="20"/>
          <w:szCs w:val="20"/>
          <w:color w:val="auto"/>
        </w:rPr>
      </w:pPr>
    </w:p>
    <w:p>
      <w:pPr>
        <w:ind w:left="1060" w:right="840" w:firstLine="17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Quarterly Dates</w:t>
      </w:r>
      <w:r>
        <w:rPr>
          <w:rFonts w:ascii="Times New Roman" w:cs="Times New Roman" w:eastAsia="Times New Roman" w:hAnsi="Times New Roman"/>
          <w:sz w:val="19"/>
          <w:szCs w:val="19"/>
          <w:color w:val="auto"/>
        </w:rPr>
        <w:t>” means the last Business Day of March, June, September and December in each year, commencing on September 30, 2013.</w:t>
      </w:r>
    </w:p>
    <w:p>
      <w:pPr>
        <w:spacing w:after="0" w:line="127" w:lineRule="exact"/>
        <w:rPr>
          <w:sz w:val="20"/>
          <w:szCs w:val="20"/>
          <w:color w:val="auto"/>
        </w:rPr>
      </w:pPr>
    </w:p>
    <w:p>
      <w:pPr>
        <w:ind w:left="1060" w:right="1520" w:firstLine="17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Quoted Investments</w:t>
      </w:r>
      <w:r>
        <w:rPr>
          <w:rFonts w:ascii="Times New Roman" w:cs="Times New Roman" w:eastAsia="Times New Roman" w:hAnsi="Times New Roman"/>
          <w:sz w:val="19"/>
          <w:szCs w:val="19"/>
          <w:color w:val="auto"/>
        </w:rPr>
        <w:t xml:space="preserve">” means a Portfolio Investment with a value assigned by the Borrower pursuant to </w:t>
      </w:r>
      <w:r>
        <w:rPr>
          <w:rFonts w:ascii="Times New Roman" w:cs="Times New Roman" w:eastAsia="Times New Roman" w:hAnsi="Times New Roman"/>
          <w:sz w:val="19"/>
          <w:szCs w:val="19"/>
          <w:u w:val="single" w:color="auto"/>
          <w:color w:val="auto"/>
        </w:rPr>
        <w:t>Section 5.12(b)(ii)(A)</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9.04(c)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60" w:right="840" w:firstLine="17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Registration Statement</w:t>
      </w:r>
      <w:r>
        <w:rPr>
          <w:rFonts w:ascii="Times New Roman" w:cs="Times New Roman" w:eastAsia="Times New Roman" w:hAnsi="Times New Roman"/>
          <w:sz w:val="19"/>
          <w:szCs w:val="19"/>
          <w:color w:val="auto"/>
        </w:rPr>
        <w:t>” means the Registration Statement filed by the Borrower with the Securities and Exchange Commission on March 14, 2011.</w:t>
      </w:r>
    </w:p>
    <w:p>
      <w:pPr>
        <w:spacing w:after="0" w:line="127" w:lineRule="exact"/>
        <w:rPr>
          <w:sz w:val="20"/>
          <w:szCs w:val="20"/>
          <w:color w:val="auto"/>
        </w:rPr>
      </w:pPr>
    </w:p>
    <w:p>
      <w:pPr>
        <w:ind w:left="1060" w:right="1300" w:firstLine="17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Regulations D, T, U and X</w:t>
      </w:r>
      <w:r>
        <w:rPr>
          <w:rFonts w:ascii="Times New Roman" w:cs="Times New Roman" w:eastAsia="Times New Roman" w:hAnsi="Times New Roman"/>
          <w:sz w:val="19"/>
          <w:szCs w:val="19"/>
          <w:color w:val="auto"/>
        </w:rPr>
        <w:t>” means, respectively, Regulations D, T, U and X of the Board, as the same may be modified and supplemented and in effect from time to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20" w:top="1440" w:right="660" w:bottom="1440" w:gutter="0" w:footer="0" w:header="0"/>
        </w:sectPr>
      </w:pPr>
    </w:p>
    <w:bookmarkStart w:id="152" w:name="page153"/>
    <w:bookmarkEnd w:id="152"/>
    <w:p>
      <w:pPr>
        <w:spacing w:after="0" w:line="269" w:lineRule="exact"/>
        <w:rPr>
          <w:sz w:val="20"/>
          <w:szCs w:val="20"/>
          <w:color w:val="auto"/>
        </w:rPr>
      </w:pPr>
    </w:p>
    <w:p>
      <w:pPr>
        <w:ind w:left="1060" w:right="300" w:firstLine="1740"/>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specified Person, such Person’s Affiliates and the respective partners, directors, officers, employees, agents and advisors of such Person and such Person’s Affiliates.</w:t>
      </w:r>
    </w:p>
    <w:p>
      <w:pPr>
        <w:spacing w:after="0" w:line="1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(a) with respect to a Benchmark Replacement in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respect of obligations, interest, fees, commissions or other amounts </w:t>
      </w:r>
      <w:r>
        <w:rPr>
          <w:rFonts w:ascii="Times New Roman" w:cs="Times New Roman" w:eastAsia="Times New Roman" w:hAnsi="Times New Roman"/>
          <w:sz w:val="19"/>
          <w:szCs w:val="19"/>
          <w:color w:val="FF0000"/>
          <w:strike w:val="1"/>
        </w:rPr>
        <w:t>owing hereunder</w:t>
      </w:r>
      <w:r>
        <w:rPr>
          <w:rFonts w:ascii="Times New Roman" w:cs="Times New Roman" w:eastAsia="Times New Roman" w:hAnsi="Times New Roman"/>
          <w:sz w:val="19"/>
          <w:szCs w:val="19"/>
          <w:color w:val="auto"/>
        </w:rPr>
        <w:t xml:space="preserve"> denominated in, or</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calculated with respect to Dollars, the Board and/or the Federal Reserve Bank of New York, or a committee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officially endorsed or convened by the Board and/or the Federal Reserve Bank of New York or, in each case,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any successor thereto, (b) with respect to a Benchmark Replacement in respect of obligations, interest, fees,</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commissions or other amounts </w:t>
      </w:r>
      <w:r>
        <w:rPr>
          <w:rFonts w:ascii="Times New Roman" w:cs="Times New Roman" w:eastAsia="Times New Roman" w:hAnsi="Times New Roman"/>
          <w:sz w:val="19"/>
          <w:szCs w:val="19"/>
          <w:color w:val="FF0000"/>
          <w:strike w:val="1"/>
        </w:rPr>
        <w:t>owing hereunder</w:t>
      </w:r>
      <w:r>
        <w:rPr>
          <w:rFonts w:ascii="Times New Roman" w:cs="Times New Roman" w:eastAsia="Times New Roman" w:hAnsi="Times New Roman"/>
          <w:sz w:val="19"/>
          <w:szCs w:val="19"/>
          <w:color w:val="auto"/>
        </w:rPr>
        <w:t xml:space="preserve"> denominated in, or calculated with respect to,</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FF0000"/>
          <w:strike w:val="1"/>
        </w:rPr>
        <w:t>Sterling</w:t>
      </w:r>
      <w:r>
        <w:rPr>
          <w:rFonts w:ascii="Times New Roman" w:cs="Times New Roman" w:eastAsia="Times New Roman" w:hAnsi="Times New Roman"/>
          <w:sz w:val="19"/>
          <w:szCs w:val="19"/>
          <w:u w:val="single" w:color="auto"/>
          <w:color w:val="0000FF"/>
        </w:rPr>
        <w:t>Canadian Dollars</w:t>
      </w:r>
      <w:r>
        <w:rPr>
          <w:rFonts w:ascii="Times New Roman" w:cs="Times New Roman" w:eastAsia="Times New Roman" w:hAnsi="Times New Roman"/>
          <w:sz w:val="19"/>
          <w:szCs w:val="19"/>
          <w:color w:val="000000"/>
        </w:rPr>
        <w:t>, the Bank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England</w:t>
      </w:r>
      <w:r>
        <w:rPr>
          <w:rFonts w:ascii="Times New Roman" w:cs="Times New Roman" w:eastAsia="Times New Roman" w:hAnsi="Times New Roman"/>
          <w:sz w:val="19"/>
          <w:szCs w:val="19"/>
          <w:u w:val="single" w:color="auto"/>
          <w:color w:val="0000FF"/>
        </w:rPr>
        <w:t>Canada</w:t>
      </w:r>
      <w:r>
        <w:rPr>
          <w:rFonts w:ascii="Times New Roman" w:cs="Times New Roman" w:eastAsia="Times New Roman" w:hAnsi="Times New Roman"/>
          <w:sz w:val="19"/>
          <w:szCs w:val="19"/>
          <w:color w:val="000000"/>
        </w:rPr>
        <w:t>, or a committee officially endorsed or convened by the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Bank of </w:t>
      </w:r>
      <w:r>
        <w:rPr>
          <w:rFonts w:ascii="Times New Roman" w:cs="Times New Roman" w:eastAsia="Times New Roman" w:hAnsi="Times New Roman"/>
          <w:sz w:val="19"/>
          <w:szCs w:val="19"/>
          <w:color w:val="FF0000"/>
          <w:strike w:val="1"/>
        </w:rPr>
        <w:t>England</w:t>
      </w:r>
      <w:r>
        <w:rPr>
          <w:rFonts w:ascii="Times New Roman" w:cs="Times New Roman" w:eastAsia="Times New Roman" w:hAnsi="Times New Roman"/>
          <w:sz w:val="19"/>
          <w:szCs w:val="19"/>
          <w:u w:val="single" w:color="auto"/>
          <w:color w:val="0000FF"/>
        </w:rPr>
        <w:t>Canada</w:t>
      </w:r>
      <w:r>
        <w:rPr>
          <w:rFonts w:ascii="Times New Roman" w:cs="Times New Roman" w:eastAsia="Times New Roman" w:hAnsi="Times New Roman"/>
          <w:sz w:val="19"/>
          <w:szCs w:val="19"/>
          <w:color w:val="auto"/>
        </w:rPr>
        <w:t xml:space="preserve"> or, in each case, any successor thereto, (c) with respect to a Benchmark Replacement</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in respect of obligations, interest, fees, commissions or other amounts owing hereunder denominated in, or</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calculated with respect to, </w:t>
      </w:r>
      <w:r>
        <w:rPr>
          <w:rFonts w:ascii="Times New Roman" w:cs="Times New Roman" w:eastAsia="Times New Roman" w:hAnsi="Times New Roman"/>
          <w:sz w:val="19"/>
          <w:szCs w:val="19"/>
          <w:u w:val="single" w:color="auto"/>
          <w:color w:val="0000FF"/>
        </w:rPr>
        <w:t>Sterling, the Bank of England, or a committee officially endorsed or convened by</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0000FF"/>
        </w:rPr>
        <w:t>the Bank of England or, in each case, any successor thereto, (d) with respect to a Benchmark Replacement in</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0000FF"/>
        </w:rPr>
        <w:t>respect of obligations, interest, fees, commissions or other amounts denominated in, or calculated with respect</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0000FF"/>
        </w:rPr>
        <w:t>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Euro, the European Central Bank, or a committee officially endorsed or convened by the European Central</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Bank or, in each case, any successor thereto, and (</w:t>
      </w:r>
      <w:r>
        <w:rPr>
          <w:rFonts w:ascii="Times New Roman" w:cs="Times New Roman" w:eastAsia="Times New Roman" w:hAnsi="Times New Roman"/>
          <w:sz w:val="19"/>
          <w:szCs w:val="19"/>
          <w:color w:val="FF0000"/>
          <w:strike w:val="1"/>
        </w:rPr>
        <w:t>d</w:t>
      </w:r>
      <w:r>
        <w:rPr>
          <w:rFonts w:ascii="Times New Roman" w:cs="Times New Roman" w:eastAsia="Times New Roman" w:hAnsi="Times New Roman"/>
          <w:sz w:val="19"/>
          <w:szCs w:val="19"/>
          <w:u w:val="single" w:color="auto"/>
          <w:color w:val="0000FF"/>
        </w:rPr>
        <w:t>e</w:t>
      </w:r>
      <w:r>
        <w:rPr>
          <w:rFonts w:ascii="Times New Roman" w:cs="Times New Roman" w:eastAsia="Times New Roman" w:hAnsi="Times New Roman"/>
          <w:sz w:val="19"/>
          <w:szCs w:val="19"/>
          <w:color w:val="auto"/>
        </w:rPr>
        <w:t>) with respect to a Benchmark Replacement in respect of</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obligations, interest, fees, commissions or other amounts </w:t>
      </w:r>
      <w:r>
        <w:rPr>
          <w:rFonts w:ascii="Times New Roman" w:cs="Times New Roman" w:eastAsia="Times New Roman" w:hAnsi="Times New Roman"/>
          <w:sz w:val="19"/>
          <w:szCs w:val="19"/>
          <w:color w:val="FF0000"/>
          <w:strike w:val="1"/>
        </w:rPr>
        <w:t>owing hereunder</w:t>
      </w:r>
      <w:r>
        <w:rPr>
          <w:rFonts w:ascii="Times New Roman" w:cs="Times New Roman" w:eastAsia="Times New Roman" w:hAnsi="Times New Roman"/>
          <w:sz w:val="19"/>
          <w:szCs w:val="19"/>
          <w:color w:val="auto"/>
        </w:rPr>
        <w:t xml:space="preserve"> denominated in, or calculated with</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respect to, any Currency (other than Dollars, </w:t>
      </w:r>
      <w:r>
        <w:rPr>
          <w:rFonts w:ascii="Times New Roman" w:cs="Times New Roman" w:eastAsia="Times New Roman" w:hAnsi="Times New Roman"/>
          <w:sz w:val="19"/>
          <w:szCs w:val="19"/>
          <w:u w:val="single" w:color="auto"/>
          <w:color w:val="0000FF"/>
        </w:rPr>
        <w:t>Canadian Dollars,</w:t>
      </w:r>
      <w:r>
        <w:rPr>
          <w:rFonts w:ascii="Times New Roman" w:cs="Times New Roman" w:eastAsia="Times New Roman" w:hAnsi="Times New Roman"/>
          <w:sz w:val="19"/>
          <w:szCs w:val="19"/>
          <w:color w:val="auto"/>
        </w:rPr>
        <w:t xml:space="preserve"> Sterling or Euro), (1) the central bank for the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Currency in which such obligations, interest, fees, commissions or other amounts are denominated, or</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calculated with respect thereto, or any central bank or other supervisor which is responsible for supervising</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either (A) such Benchmark Replacement or (B) the administrator of such Benchmark Replacement or (2) any</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working group or committee officially endorsed or convened by (A) the central bank for the Currency in which</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such obligations, interest, fees, commissions or other amounts are denominated, or calculated with respect to,</w:t>
      </w:r>
    </w:p>
    <w:p>
      <w:pPr>
        <w:spacing w:after="0" w:line="10" w:lineRule="exact"/>
        <w:rPr>
          <w:sz w:val="20"/>
          <w:szCs w:val="20"/>
          <w:color w:val="auto"/>
        </w:rPr>
      </w:pPr>
    </w:p>
    <w:p>
      <w:pPr>
        <w:ind w:left="1060" w:right="340" w:hanging="10"/>
        <w:spacing w:after="0" w:line="256" w:lineRule="auto"/>
        <w:tabs>
          <w:tab w:leader="none" w:pos="136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55" w:lineRule="exact"/>
        <w:rPr>
          <w:sz w:val="20"/>
          <w:szCs w:val="20"/>
          <w:color w:val="auto"/>
        </w:rPr>
      </w:pPr>
    </w:p>
    <w:p>
      <w:pPr>
        <w:ind w:left="1060" w:right="120" w:firstLine="172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xml:space="preserve">” means, at any time, Lenders having Revolving Credit Exposures and unused Commitments representing more than 50% of the sum of the total Revolving Credit Exposures and unused Commitments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Revolving Credit Exposures and unused Commitments of any Defaulting Lender shall be disregarded in the determination of Required Lenders. The Required Lenders of a Class (which shall include the terms “</w:t>
      </w:r>
      <w:r>
        <w:rPr>
          <w:rFonts w:ascii="Times New Roman" w:cs="Times New Roman" w:eastAsia="Times New Roman" w:hAnsi="Times New Roman"/>
          <w:sz w:val="19"/>
          <w:szCs w:val="19"/>
          <w:u w:val="single" w:color="auto"/>
          <w:color w:val="auto"/>
        </w:rPr>
        <w:t>Required Dollar Lenders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Required Multicurrency Lenders</w:t>
      </w:r>
      <w:r>
        <w:rPr>
          <w:rFonts w:ascii="Times New Roman" w:cs="Times New Roman" w:eastAsia="Times New Roman" w:hAnsi="Times New Roman"/>
          <w:sz w:val="19"/>
          <w:szCs w:val="19"/>
          <w:color w:val="auto"/>
        </w:rPr>
        <w:t>”)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53" w:name="page154"/>
    <w:bookmarkEnd w:id="153"/>
    <w:p>
      <w:pPr>
        <w:spacing w:after="0" w:line="269" w:lineRule="exact"/>
        <w:rPr>
          <w:sz w:val="20"/>
          <w:szCs w:val="20"/>
          <w:color w:val="auto"/>
        </w:rPr>
      </w:pPr>
    </w:p>
    <w:p>
      <w:pPr>
        <w:ind w:left="1060" w:right="22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 Authority.</w:t>
      </w:r>
    </w:p>
    <w:p>
      <w:pPr>
        <w:spacing w:after="0" w:line="127" w:lineRule="exact"/>
        <w:rPr>
          <w:sz w:val="20"/>
          <w:szCs w:val="20"/>
          <w:color w:val="auto"/>
        </w:rPr>
      </w:pPr>
    </w:p>
    <w:p>
      <w:pPr>
        <w:ind w:left="1060" w:right="66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means the chief executive officer, president, chief financial officer, treasurer, assistant treasurer or controller of an Obligor.</w:t>
      </w:r>
    </w:p>
    <w:p>
      <w:pPr>
        <w:spacing w:after="0" w:line="127" w:lineRule="exact"/>
        <w:rPr>
          <w:sz w:val="20"/>
          <w:szCs w:val="20"/>
          <w:color w:val="auto"/>
        </w:rPr>
      </w:pPr>
    </w:p>
    <w:p>
      <w:pPr>
        <w:ind w:left="1060" w:right="10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w:t>
      </w:r>
    </w:p>
    <w:p>
      <w:pPr>
        <w:spacing w:after="0" w:line="6" w:lineRule="exact"/>
        <w:rPr>
          <w:sz w:val="20"/>
          <w:szCs w:val="20"/>
          <w:color w:val="auto"/>
        </w:rPr>
      </w:pPr>
    </w:p>
    <w:p>
      <w:pPr>
        <w:ind w:left="1060" w:right="260" w:hanging="10"/>
        <w:spacing w:after="0" w:line="262" w:lineRule="auto"/>
        <w:tabs>
          <w:tab w:leader="none" w:pos="133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triggering and/or settlement thereof; or (y) any cash payment made by the Borrower in respect thereof, shall constitute a Restricted Payment hereunder).</w:t>
      </w:r>
    </w:p>
    <w:p>
      <w:pPr>
        <w:spacing w:after="0" w:line="149" w:lineRule="exact"/>
        <w:rPr>
          <w:sz w:val="20"/>
          <w:szCs w:val="20"/>
          <w:color w:val="auto"/>
        </w:rPr>
      </w:pPr>
    </w:p>
    <w:p>
      <w:pPr>
        <w:jc w:val="both"/>
        <w:ind w:left="1060" w:right="12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Return of Capital</w:t>
      </w:r>
      <w:r>
        <w:rPr>
          <w:rFonts w:ascii="Times New Roman" w:cs="Times New Roman" w:eastAsia="Times New Roman" w:hAnsi="Times New Roman"/>
          <w:sz w:val="19"/>
          <w:szCs w:val="19"/>
          <w:color w:val="auto"/>
        </w:rPr>
        <w:t>” means (a) any net cash amount received by any Obligor in respect of the outstanding principal of any Portfolio Investment (whether at stated maturity, by acceleration or otherwise),</w:t>
      </w:r>
    </w:p>
    <w:p>
      <w:pPr>
        <w:spacing w:after="0" w:line="1" w:lineRule="exact"/>
        <w:rPr>
          <w:sz w:val="20"/>
          <w:szCs w:val="20"/>
          <w:color w:val="auto"/>
        </w:rPr>
      </w:pPr>
    </w:p>
    <w:p>
      <w:pPr>
        <w:ind w:left="1060" w:right="180" w:hanging="10"/>
        <w:spacing w:after="0" w:line="250" w:lineRule="auto"/>
        <w:tabs>
          <w:tab w:leader="none" w:pos="133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duplication of amounts received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any net cash proceeds received by any Obligor from the sale of any property or assets pledged as collateral in respect of any Portfolio Investment to the extent such net cash proceeds are less than or equal to the outstanding principal balance of such Portfolio Investment,</w:t>
      </w:r>
    </w:p>
    <w:p>
      <w:pPr>
        <w:spacing w:after="0" w:line="1" w:lineRule="exact"/>
        <w:rPr>
          <w:rFonts w:ascii="Times New Roman" w:cs="Times New Roman" w:eastAsia="Times New Roman" w:hAnsi="Times New Roman"/>
          <w:sz w:val="19"/>
          <w:szCs w:val="19"/>
          <w:color w:val="auto"/>
        </w:rPr>
      </w:pPr>
    </w:p>
    <w:p>
      <w:pPr>
        <w:ind w:left="1060" w:right="700" w:hanging="10"/>
        <w:spacing w:after="0" w:line="250" w:lineRule="auto"/>
        <w:tabs>
          <w:tab w:leader="none" w:pos="132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cash amount received by any Obligor in respect of any Portfolio Investment that is an Equity Interest</w:t>
      </w:r>
    </w:p>
    <w:p>
      <w:pPr>
        <w:ind w:left="1060" w:right="180" w:hanging="10"/>
        <w:spacing w:after="0" w:line="253" w:lineRule="auto"/>
        <w:tabs>
          <w:tab w:leader="none" w:pos="1332"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net of any fees, costs, expenses and taxes payable with respect thereto).</w:t>
      </w:r>
    </w:p>
    <w:p>
      <w:pPr>
        <w:spacing w:after="0" w:line="159" w:lineRule="exact"/>
        <w:rPr>
          <w:sz w:val="20"/>
          <w:szCs w:val="20"/>
          <w:color w:val="auto"/>
        </w:rPr>
      </w:pPr>
    </w:p>
    <w:p>
      <w:pPr>
        <w:ind w:left="1060" w:right="20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Exposure</w:t>
      </w:r>
      <w:r>
        <w:rPr>
          <w:rFonts w:ascii="Times New Roman" w:cs="Times New Roman" w:eastAsia="Times New Roman" w:hAnsi="Times New Roman"/>
          <w:sz w:val="19"/>
          <w:szCs w:val="19"/>
          <w:color w:val="auto"/>
        </w:rPr>
        <w:t xml:space="preserve"> ” means, with respect to any Lender at any time, the sum of the outstanding principal amount of such Lender’s Revolving Dollar Credit Exposure and Revolving Multicurrency Credit Exposure at such time.</w:t>
      </w:r>
    </w:p>
    <w:p>
      <w:pPr>
        <w:spacing w:after="0" w:line="144" w:lineRule="exact"/>
        <w:rPr>
          <w:sz w:val="20"/>
          <w:szCs w:val="20"/>
          <w:color w:val="auto"/>
        </w:rPr>
      </w:pPr>
    </w:p>
    <w:p>
      <w:pPr>
        <w:ind w:left="1060" w:right="24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Dollar Credit Exposure</w:t>
      </w:r>
      <w:r>
        <w:rPr>
          <w:rFonts w:ascii="Times New Roman" w:cs="Times New Roman" w:eastAsia="Times New Roman" w:hAnsi="Times New Roman"/>
          <w:sz w:val="19"/>
          <w:szCs w:val="19"/>
          <w:color w:val="auto"/>
        </w:rPr>
        <w:t xml:space="preserve"> ” means, with respect to any Lender at any time, the sum of the outstanding principal amount of such Lender’s Syndicated Loans, and its LC Exposure and Swingline Exposure, at such time made or incurred under the Dollar Commitments.</w:t>
      </w:r>
    </w:p>
    <w:p>
      <w:pPr>
        <w:spacing w:after="0" w:line="144" w:lineRule="exact"/>
        <w:rPr>
          <w:sz w:val="20"/>
          <w:szCs w:val="20"/>
          <w:color w:val="auto"/>
        </w:rPr>
      </w:pPr>
    </w:p>
    <w:p>
      <w:pPr>
        <w:ind w:left="1060" w:right="12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Multicurrency Credit Exposure</w:t>
      </w:r>
      <w:r>
        <w:rPr>
          <w:rFonts w:ascii="Times New Roman" w:cs="Times New Roman" w:eastAsia="Times New Roman" w:hAnsi="Times New Roman"/>
          <w:sz w:val="19"/>
          <w:szCs w:val="19"/>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44" w:lineRule="exact"/>
        <w:rPr>
          <w:sz w:val="20"/>
          <w:szCs w:val="20"/>
          <w:color w:val="auto"/>
        </w:rPr>
      </w:pPr>
    </w:p>
    <w:p>
      <w:pPr>
        <w:ind w:left="1060" w:right="200" w:firstLine="1740"/>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Percentage</w:t>
      </w:r>
      <w:r>
        <w:rPr>
          <w:rFonts w:ascii="Times New Roman" w:cs="Times New Roman" w:eastAsia="Times New Roman" w:hAnsi="Times New Roman"/>
          <w:sz w:val="19"/>
          <w:szCs w:val="19"/>
          <w:color w:val="auto"/>
        </w:rPr>
        <w:t>” means, as of any date of determination, the result, expressed as a percentage, of the Revolving Credit Exposure on such date divided by the aggregate outstanding Covered Debt Amount on such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54" w:name="page155"/>
    <w:bookmarkEnd w:id="154"/>
    <w:p>
      <w:pPr>
        <w:spacing w:after="0" w:line="269" w:lineRule="exact"/>
        <w:rPr>
          <w:sz w:val="20"/>
          <w:szCs w:val="20"/>
          <w:color w:val="auto"/>
        </w:rPr>
      </w:pPr>
    </w:p>
    <w:p>
      <w:pPr>
        <w:jc w:val="both"/>
        <w:ind w:left="1060" w:right="18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bearing interest at a rate determined by reference to the Daily Simple RFR for the applicable Currency.</w:t>
      </w:r>
    </w:p>
    <w:p>
      <w:pPr>
        <w:spacing w:after="0" w:line="1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Administrator</w:t>
      </w:r>
      <w:r>
        <w:rPr>
          <w:rFonts w:ascii="Times New Roman" w:cs="Times New Roman" w:eastAsia="Times New Roman" w:hAnsi="Times New Roman"/>
          <w:sz w:val="19"/>
          <w:szCs w:val="19"/>
          <w:color w:val="auto"/>
        </w:rPr>
        <w:t>” means the SONIA Administrator or the SARON Administrator, as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applicable.</w:t>
      </w:r>
    </w:p>
    <w:p>
      <w:pPr>
        <w:spacing w:after="0" w:line="180" w:lineRule="exact"/>
        <w:rPr>
          <w:sz w:val="20"/>
          <w:szCs w:val="20"/>
          <w:color w:val="auto"/>
        </w:rPr>
      </w:pPr>
    </w:p>
    <w:p>
      <w:pPr>
        <w:ind w:left="1060" w:right="60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Administrator’s Website</w:t>
      </w:r>
      <w:r>
        <w:rPr>
          <w:rFonts w:ascii="Times New Roman" w:cs="Times New Roman" w:eastAsia="Times New Roman" w:hAnsi="Times New Roman"/>
          <w:sz w:val="19"/>
          <w:szCs w:val="19"/>
          <w:color w:val="auto"/>
        </w:rPr>
        <w:t>” means the SONIA Administrator’s Website or the SARON Administrator’s Website, as applicable.</w:t>
      </w:r>
    </w:p>
    <w:p>
      <w:pPr>
        <w:spacing w:after="0" w:line="127" w:lineRule="exact"/>
        <w:rPr>
          <w:sz w:val="20"/>
          <w:szCs w:val="20"/>
          <w:color w:val="auto"/>
        </w:rPr>
      </w:pPr>
    </w:p>
    <w:p>
      <w:pPr>
        <w:ind w:left="1060" w:right="14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Applicable Credit Adjustment Spread</w:t>
      </w:r>
      <w:r>
        <w:rPr>
          <w:rFonts w:ascii="Times New Roman" w:cs="Times New Roman" w:eastAsia="Times New Roman" w:hAnsi="Times New Roman"/>
          <w:sz w:val="19"/>
          <w:szCs w:val="19"/>
          <w:color w:val="auto"/>
        </w:rPr>
        <w:t>” means, (a) with respect to RFR Loans denominated in Sterling, (i) with an Interest Period of three months, 0.1193% and (ii) with an Interest Period of one month, 0.0326%, and (b) with respect to RFR Loans denominated in Swiss Francs (i) with an Interest Period of three months, 0.0031% and (ii) with an Interest Period of one month, -0.0571%.</w:t>
      </w:r>
    </w:p>
    <w:p>
      <w:pPr>
        <w:spacing w:after="0" w:line="150" w:lineRule="exact"/>
        <w:rPr>
          <w:sz w:val="20"/>
          <w:szCs w:val="20"/>
          <w:color w:val="auto"/>
        </w:rPr>
      </w:pPr>
    </w:p>
    <w:p>
      <w:pPr>
        <w:ind w:left="1060" w:right="20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Business Day</w:t>
      </w:r>
      <w:r>
        <w:rPr>
          <w:rFonts w:ascii="Times New Roman" w:cs="Times New Roman" w:eastAsia="Times New Roman" w:hAnsi="Times New Roman"/>
          <w:sz w:val="19"/>
          <w:szCs w:val="19"/>
          <w:color w:val="auto"/>
        </w:rPr>
        <w:t>” means, for any Loans, Borrowings, interest, fees, commissions or other amounts denominated in, or calculated with respect to, (a) Sterling, any day except for (i) a Saturday, (ii) a Sunday or (iii) a day on which banks are closed for general business in London, and (b) Swiss Francs, any day except for (i) a Saturday, (ii) a Sunday or (iii) a day on which banks are closed for the settlement of payments and foreign exchange transactions in Zurich.</w:t>
      </w:r>
    </w:p>
    <w:p>
      <w:pPr>
        <w:spacing w:after="0" w:line="15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Interest Day</w:t>
      </w:r>
      <w:r>
        <w:rPr>
          <w:rFonts w:ascii="Times New Roman" w:cs="Times New Roman" w:eastAsia="Times New Roman" w:hAnsi="Times New Roman"/>
          <w:sz w:val="19"/>
          <w:szCs w:val="19"/>
          <w:color w:val="auto"/>
        </w:rPr>
        <w:t>” has the meaning specified in the definition of “Daily Simple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RFR”.</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Rate</w:t>
      </w:r>
      <w:r>
        <w:rPr>
          <w:rFonts w:ascii="Times New Roman" w:cs="Times New Roman" w:eastAsia="Times New Roman" w:hAnsi="Times New Roman"/>
          <w:sz w:val="19"/>
          <w:szCs w:val="19"/>
          <w:color w:val="auto"/>
        </w:rPr>
        <w:t>” means, for any Loans, Borrowings, interest, fees, commissions or</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other amounts denominated in, or calculated with respect to (a) Sterling, SONIA, and (b) Swiss Francs,</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SARON.</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Reference Day</w:t>
      </w:r>
      <w:r>
        <w:rPr>
          <w:rFonts w:ascii="Times New Roman" w:cs="Times New Roman" w:eastAsia="Times New Roman" w:hAnsi="Times New Roman"/>
          <w:sz w:val="19"/>
          <w:szCs w:val="19"/>
          <w:color w:val="auto"/>
        </w:rPr>
        <w:t>” has the meaning specified in the definition of “Daily</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Simple RFR”.</w:t>
      </w:r>
    </w:p>
    <w:p>
      <w:pPr>
        <w:spacing w:after="0" w:line="180" w:lineRule="exact"/>
        <w:rPr>
          <w:sz w:val="20"/>
          <w:szCs w:val="20"/>
          <w:color w:val="auto"/>
        </w:rPr>
      </w:pPr>
    </w:p>
    <w:p>
      <w:pPr>
        <w:ind w:left="1060" w:right="1580" w:firstLine="14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RIC</w:t>
      </w:r>
      <w:r>
        <w:rPr>
          <w:rFonts w:ascii="Times New Roman" w:cs="Times New Roman" w:eastAsia="Times New Roman" w:hAnsi="Times New Roman"/>
          <w:sz w:val="19"/>
          <w:szCs w:val="19"/>
          <w:color w:val="auto"/>
        </w:rPr>
        <w:t>” means a person qualifying for treatment as a “regulated investment company” under the Code.</w:t>
      </w:r>
    </w:p>
    <w:p>
      <w:pPr>
        <w:spacing w:after="0" w:line="1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means S&amp;P Global Ratings or any successor thereto.</w:t>
      </w:r>
    </w:p>
    <w:p>
      <w:pPr>
        <w:spacing w:after="0" w:line="202" w:lineRule="exact"/>
        <w:rPr>
          <w:sz w:val="20"/>
          <w:szCs w:val="20"/>
          <w:color w:val="auto"/>
        </w:rPr>
      </w:pPr>
    </w:p>
    <w:p>
      <w:pPr>
        <w:ind w:left="1060" w:right="14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Country</w:t>
      </w:r>
      <w:r>
        <w:rPr>
          <w:rFonts w:ascii="Times New Roman" w:cs="Times New Roman" w:eastAsia="Times New Roman" w:hAnsi="Times New Roman"/>
          <w:sz w:val="19"/>
          <w:szCs w:val="19"/>
          <w:color w:val="auto"/>
        </w:rPr>
        <w:t>” means, at any time, a country, territory or region that is the subject or the target of country-wide or territory-wide Sanctions broadly prohibiting dealings with such country, territory or region (currently, Cuba, Iran, North Korea and Syria, the Crimea Region of Ukraine, the so-called Donetsk People’s Republic, the so-called Luhansk People’s Republic and non-government-controlled areas of the Zaporizhzhia and Kherson Regions of Ukraine).</w:t>
      </w:r>
    </w:p>
    <w:p>
      <w:pPr>
        <w:spacing w:after="0" w:line="15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3.15(a)</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55" w:name="page156"/>
    <w:bookmarkEnd w:id="155"/>
    <w:p>
      <w:pPr>
        <w:spacing w:after="0" w:line="269" w:lineRule="exact"/>
        <w:rPr>
          <w:sz w:val="20"/>
          <w:szCs w:val="20"/>
          <w:color w:val="auto"/>
        </w:rPr>
      </w:pPr>
    </w:p>
    <w:p>
      <w:pPr>
        <w:ind w:left="1060" w:right="28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SARON</w:t>
      </w:r>
      <w:r>
        <w:rPr>
          <w:rFonts w:ascii="Times New Roman" w:cs="Times New Roman" w:eastAsia="Times New Roman" w:hAnsi="Times New Roman"/>
          <w:sz w:val="19"/>
          <w:szCs w:val="19"/>
          <w:color w:val="auto"/>
        </w:rPr>
        <w:t>” means a rate equal to the Swiss Average Rate Overnight as administered by the SARON Administrator.</w:t>
      </w:r>
    </w:p>
    <w:p>
      <w:pPr>
        <w:spacing w:after="0" w:line="127" w:lineRule="exact"/>
        <w:rPr>
          <w:sz w:val="20"/>
          <w:szCs w:val="20"/>
          <w:color w:val="auto"/>
        </w:rPr>
      </w:pPr>
    </w:p>
    <w:p>
      <w:pPr>
        <w:ind w:left="1060" w:right="82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SARON Administrator</w:t>
      </w:r>
      <w:r>
        <w:rPr>
          <w:rFonts w:ascii="Times New Roman" w:cs="Times New Roman" w:eastAsia="Times New Roman" w:hAnsi="Times New Roman"/>
          <w:sz w:val="19"/>
          <w:szCs w:val="19"/>
          <w:color w:val="auto"/>
        </w:rPr>
        <w:t>” means the SIX Swiss Exchange AG (or any successor administrator of the Swiss Average Rate Overnight).</w:t>
      </w:r>
    </w:p>
    <w:p>
      <w:pPr>
        <w:spacing w:after="0" w:line="127" w:lineRule="exact"/>
        <w:rPr>
          <w:sz w:val="20"/>
          <w:szCs w:val="20"/>
          <w:color w:val="auto"/>
        </w:rPr>
      </w:pPr>
    </w:p>
    <w:p>
      <w:pPr>
        <w:jc w:val="both"/>
        <w:ind w:left="1060" w:right="760" w:firstLine="1740"/>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SARON Administrator’s Website</w:t>
      </w:r>
      <w:r>
        <w:rPr>
          <w:rFonts w:ascii="Times New Roman" w:cs="Times New Roman" w:eastAsia="Times New Roman" w:hAnsi="Times New Roman"/>
          <w:sz w:val="19"/>
          <w:szCs w:val="19"/>
          <w:color w:val="auto"/>
        </w:rPr>
        <w:t xml:space="preserve"> ” means SIX Swiss Exchange AG’s website, currently at https://www.six-group.com, or any successor source for the Swiss Average Rate Overnight identified as such by the SARON Administrator from time to time.</w:t>
      </w:r>
    </w:p>
    <w:p>
      <w:pPr>
        <w:spacing w:after="0" w:line="1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SBA</w:t>
      </w:r>
      <w:r>
        <w:rPr>
          <w:rFonts w:ascii="Times New Roman" w:cs="Times New Roman" w:eastAsia="Times New Roman" w:hAnsi="Times New Roman"/>
          <w:sz w:val="19"/>
          <w:szCs w:val="19"/>
          <w:color w:val="auto"/>
        </w:rPr>
        <w:t>” means the United States Small Business Administration.</w:t>
      </w:r>
    </w:p>
    <w:p>
      <w:pPr>
        <w:spacing w:after="0" w:line="202" w:lineRule="exact"/>
        <w:rPr>
          <w:sz w:val="20"/>
          <w:szCs w:val="20"/>
          <w:color w:val="auto"/>
        </w:rPr>
      </w:pPr>
    </w:p>
    <w:p>
      <w:pPr>
        <w:ind w:left="1060" w:right="5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SBIC Equity Commitment</w:t>
      </w:r>
      <w:r>
        <w:rPr>
          <w:rFonts w:ascii="Times New Roman" w:cs="Times New Roman" w:eastAsia="Times New Roman" w:hAnsi="Times New Roman"/>
          <w:sz w:val="19"/>
          <w:szCs w:val="19"/>
          <w:color w:val="auto"/>
        </w:rPr>
        <w:t>” means a commitment by the Borrower to make one or more capital contributions to an SBIC Subsidiary.</w:t>
      </w:r>
    </w:p>
    <w:p>
      <w:pPr>
        <w:spacing w:after="0" w:line="127" w:lineRule="exact"/>
        <w:rPr>
          <w:sz w:val="20"/>
          <w:szCs w:val="20"/>
          <w:color w:val="auto"/>
        </w:rPr>
      </w:pPr>
    </w:p>
    <w:p>
      <w:pPr>
        <w:ind w:left="1060" w:right="10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SBIC Subsidiary</w:t>
      </w:r>
      <w:r>
        <w:rPr>
          <w:rFonts w:ascii="Times New Roman" w:cs="Times New Roman" w:eastAsia="Times New Roman" w:hAnsi="Times New Roman"/>
          <w:sz w:val="19"/>
          <w:szCs w:val="19"/>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w:t>
      </w:r>
    </w:p>
    <w:p>
      <w:pPr>
        <w:spacing w:after="0" w:line="2" w:lineRule="exact"/>
        <w:rPr>
          <w:sz w:val="20"/>
          <w:szCs w:val="20"/>
          <w:color w:val="auto"/>
        </w:rPr>
      </w:pPr>
    </w:p>
    <w:p>
      <w:pPr>
        <w:ind w:left="1060" w:right="100" w:hanging="10"/>
        <w:spacing w:after="0" w:line="252" w:lineRule="auto"/>
        <w:tabs>
          <w:tab w:leader="none" w:pos="1396"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61" w:lineRule="exact"/>
        <w:rPr>
          <w:sz w:val="20"/>
          <w:szCs w:val="20"/>
          <w:color w:val="auto"/>
        </w:rPr>
      </w:pPr>
    </w:p>
    <w:p>
      <w:pPr>
        <w:ind w:left="1060" w:right="14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Longer-Term Indebtedness</w:t>
      </w:r>
      <w:r>
        <w:rPr>
          <w:rFonts w:ascii="Times New Roman" w:cs="Times New Roman" w:eastAsia="Times New Roman" w:hAnsi="Times New Roman"/>
          <w:sz w:val="19"/>
          <w:szCs w:val="19"/>
          <w:color w:val="auto"/>
        </w:rPr>
        <w:t xml:space="preserve">” means, as at any date, Indebtedness (other than Indebtedness hereunder) of an Obligor (which may be Guaranteed by Subsidiary Guarantors)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19"/>
          <w:szCs w:val="19"/>
          <w:u w:val="single" w:color="auto"/>
          <w:color w:val="auto"/>
        </w:rPr>
        <w:t>Section 6.01(i)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6.01(o</w:t>
      </w:r>
      <w:r>
        <w:rPr>
          <w:rFonts w:ascii="Times New Roman" w:cs="Times New Roman" w:eastAsia="Times New Roman" w:hAnsi="Times New Roman"/>
          <w:sz w:val="19"/>
          <w:szCs w:val="19"/>
          <w:color w:val="auto"/>
        </w:rPr>
        <w:t xml:space="preserve">)) prior to, and a final maturity date not earlier than, six months after the Extended Final Maturity Date (it being understood that none of: (w) the conversion features </w:t>
      </w:r>
      <w:r>
        <w:rPr>
          <w:rFonts w:ascii="Times New Roman" w:cs="Times New Roman" w:eastAsia="Times New Roman" w:hAnsi="Times New Roman"/>
          <w:sz w:val="19"/>
          <w:szCs w:val="19"/>
          <w:u w:val="single" w:color="auto"/>
          <w:color w:val="0000FF"/>
        </w:rPr>
        <w:t>into Permitted Equity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Interests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under convertible notes; (x) the triggering and/or settlement thereof; or (y) any cash payment made in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respect thereof, shall constitute “amortization” for purposes of this </w:t>
      </w:r>
      <w:r>
        <w:rPr>
          <w:rFonts w:ascii="Times New Roman" w:cs="Times New Roman" w:eastAsia="Times New Roman" w:hAnsi="Times New Roman"/>
          <w:sz w:val="19"/>
          <w:szCs w:val="19"/>
          <w:u w:val="single" w:color="auto"/>
          <w:color w:val="000000"/>
        </w:rPr>
        <w:t>clause (a)</w:t>
      </w:r>
      <w:r>
        <w:rPr>
          <w:rFonts w:ascii="Times New Roman" w:cs="Times New Roman" w:eastAsia="Times New Roman" w:hAnsi="Times New Roman"/>
          <w:sz w:val="19"/>
          <w:szCs w:val="19"/>
          <w:color w:val="000000"/>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56" w:name="page157"/>
    <w:bookmarkEnd w:id="156"/>
    <w:p>
      <w:pPr>
        <w:spacing w:after="0" w:line="269" w:lineRule="exact"/>
        <w:rPr>
          <w:sz w:val="20"/>
          <w:szCs w:val="20"/>
          <w:color w:val="auto"/>
        </w:rPr>
      </w:pPr>
    </w:p>
    <w:p>
      <w:pPr>
        <w:ind w:left="1060" w:right="160"/>
        <w:spacing w:after="0" w:line="256" w:lineRule="auto"/>
        <w:rPr>
          <w:sz w:val="20"/>
          <w:szCs w:val="20"/>
          <w:color w:val="auto"/>
        </w:rPr>
      </w:pPr>
      <w:r>
        <w:rPr>
          <w:rFonts w:ascii="Times New Roman" w:cs="Times New Roman" w:eastAsia="Times New Roman" w:hAnsi="Times New Roman"/>
          <w:sz w:val="19"/>
          <w:szCs w:val="19"/>
          <w:color w:val="auto"/>
        </w:rPr>
        <w:t>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57" w:lineRule="exact"/>
        <w:rPr>
          <w:sz w:val="20"/>
          <w:szCs w:val="20"/>
          <w:color w:val="auto"/>
        </w:rPr>
      </w:pPr>
    </w:p>
    <w:p>
      <w:pPr>
        <w:ind w:left="1060" w:right="380" w:firstLine="172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Shorter -Term Indebtedness</w:t>
      </w:r>
      <w:r>
        <w:rPr>
          <w:rFonts w:ascii="Times New Roman" w:cs="Times New Roman" w:eastAsia="Times New Roman" w:hAnsi="Times New Roman"/>
          <w:sz w:val="19"/>
          <w:szCs w:val="19"/>
          <w:color w:val="auto"/>
        </w:rPr>
        <w:t>” means, collectively, (a) any Indebtedness of an Obligor that is secured by any assets of any Obligor and that does not constitute Secured Longer- Term Indebtedness, (b) any Indebtedness of an Obligor that is not secured by any assets of any Obligor other than pursuant to this Agreement or the Security Documents and the holders of which (or an authorized agent, representative or trustee of such holders) have either executed</w:t>
      </w:r>
    </w:p>
    <w:p>
      <w:pPr>
        <w:spacing w:after="0" w:line="2" w:lineRule="exact"/>
        <w:rPr>
          <w:sz w:val="20"/>
          <w:szCs w:val="20"/>
          <w:color w:val="auto"/>
        </w:rPr>
      </w:pPr>
    </w:p>
    <w:p>
      <w:pPr>
        <w:ind w:left="1060" w:right="140" w:hanging="10"/>
        <w:spacing w:after="0" w:line="250" w:lineRule="auto"/>
        <w:tabs>
          <w:tab w:leader="none" w:pos="128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w:t>
      </w:r>
    </w:p>
    <w:p>
      <w:pPr>
        <w:spacing w:after="0" w:line="2" w:lineRule="exact"/>
        <w:rPr>
          <w:rFonts w:ascii="Times New Roman" w:cs="Times New Roman" w:eastAsia="Times New Roman" w:hAnsi="Times New Roman"/>
          <w:sz w:val="19"/>
          <w:szCs w:val="19"/>
          <w:color w:val="auto"/>
        </w:rPr>
      </w:pPr>
    </w:p>
    <w:p>
      <w:pPr>
        <w:ind w:left="1320" w:hanging="270"/>
        <w:spacing w:after="0"/>
        <w:tabs>
          <w:tab w:leader="none" w:pos="132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Indebtedness that is designated as “Secured Shorter-Term Indebtedness” pursuant to </w:t>
      </w:r>
      <w:r>
        <w:rPr>
          <w:rFonts w:ascii="Times New Roman" w:cs="Times New Roman" w:eastAsia="Times New Roman" w:hAnsi="Times New Roman"/>
          <w:sz w:val="19"/>
          <w:szCs w:val="19"/>
          <w:u w:val="single" w:color="auto"/>
          <w:color w:val="auto"/>
        </w:rPr>
        <w:t>Section 6.11(a)</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060" w:right="160" w:firstLine="172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57" w:lineRule="exact"/>
        <w:rPr>
          <w:sz w:val="20"/>
          <w:szCs w:val="20"/>
          <w:color w:val="auto"/>
        </w:rPr>
      </w:pPr>
    </w:p>
    <w:p>
      <w:pPr>
        <w:ind w:left="1060" w:right="44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Shareholders’ Equity</w:t>
      </w:r>
      <w:r>
        <w:rPr>
          <w:rFonts w:ascii="Times New Roman" w:cs="Times New Roman" w:eastAsia="Times New Roman" w:hAnsi="Times New Roman"/>
          <w:sz w:val="19"/>
          <w:szCs w:val="19"/>
          <w:color w:val="auto"/>
        </w:rPr>
        <w:t>” means, at any date, the amount determined on a consolidated basis, without duplication, in accordance with GAAP, of shareholders equity for the Borrower and its Subsidiaries at such date.</w:t>
      </w:r>
    </w:p>
    <w:p>
      <w:pPr>
        <w:spacing w:after="0" w:line="144" w:lineRule="exact"/>
        <w:rPr>
          <w:sz w:val="20"/>
          <w:szCs w:val="20"/>
          <w:color w:val="auto"/>
        </w:rPr>
      </w:pPr>
    </w:p>
    <w:p>
      <w:pPr>
        <w:ind w:left="1060" w:right="76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per annum equal to the secured overnight financing rate as administered by the SOFR Administrator.</w:t>
      </w:r>
    </w:p>
    <w:p>
      <w:pPr>
        <w:spacing w:after="0" w:line="127" w:lineRule="exact"/>
        <w:rPr>
          <w:sz w:val="20"/>
          <w:szCs w:val="20"/>
          <w:color w:val="auto"/>
        </w:rPr>
      </w:pPr>
    </w:p>
    <w:p>
      <w:pPr>
        <w:ind w:left="1060" w:right="38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w:t>
      </w:r>
      <w:r>
        <w:rPr>
          <w:rFonts w:ascii="Times New Roman" w:cs="Times New Roman" w:eastAsia="Times New Roman" w:hAnsi="Times New Roman"/>
          <w:sz w:val="19"/>
          <w:szCs w:val="19"/>
          <w:color w:val="auto"/>
        </w:rPr>
        <w:t>” means the Federal Reserve Bank of New York (or a successor administrator of the secured overnight financing rate).</w:t>
      </w:r>
    </w:p>
    <w:p>
      <w:pPr>
        <w:spacing w:after="0" w:line="127" w:lineRule="exact"/>
        <w:rPr>
          <w:sz w:val="20"/>
          <w:szCs w:val="20"/>
          <w:color w:val="auto"/>
        </w:rPr>
      </w:pPr>
    </w:p>
    <w:p>
      <w:pPr>
        <w:ind w:left="1060" w:right="3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a rate equal to the Sterling Overnight Index Average as administered by the SONIA Administrator.</w:t>
      </w:r>
    </w:p>
    <w:p>
      <w:pPr>
        <w:spacing w:after="0" w:line="127" w:lineRule="exact"/>
        <w:rPr>
          <w:sz w:val="20"/>
          <w:szCs w:val="20"/>
          <w:color w:val="auto"/>
        </w:rPr>
      </w:pPr>
    </w:p>
    <w:p>
      <w:pPr>
        <w:ind w:left="1060" w:right="2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w:t>
      </w:r>
      <w:r>
        <w:rPr>
          <w:rFonts w:ascii="Times New Roman" w:cs="Times New Roman" w:eastAsia="Times New Roman" w:hAnsi="Times New Roman"/>
          <w:sz w:val="19"/>
          <w:szCs w:val="19"/>
          <w:color w:val="auto"/>
        </w:rPr>
        <w:t>” means the Bank of England (or any successor administrator of the Sterling Overnight Index Average).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57" w:name="page158"/>
    <w:bookmarkEnd w:id="157"/>
    <w:p>
      <w:pPr>
        <w:spacing w:after="0" w:line="269" w:lineRule="exact"/>
        <w:rPr>
          <w:sz w:val="20"/>
          <w:szCs w:val="20"/>
          <w:color w:val="auto"/>
        </w:rPr>
      </w:pPr>
    </w:p>
    <w:p>
      <w:pPr>
        <w:ind w:left="1060" w:right="24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Administrator’s Website</w:t>
      </w:r>
      <w:r>
        <w:rPr>
          <w:rFonts w:ascii="Times New Roman" w:cs="Times New Roman" w:eastAsia="Times New Roman" w:hAnsi="Times New Roman"/>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44" w:lineRule="exact"/>
        <w:rPr>
          <w:sz w:val="20"/>
          <w:szCs w:val="20"/>
          <w:color w:val="auto"/>
        </w:rPr>
      </w:pPr>
    </w:p>
    <w:p>
      <w:pPr>
        <w:ind w:left="1060" w:right="30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 Subsidiary</w:t>
      </w:r>
      <w:r>
        <w:rPr>
          <w:rFonts w:ascii="Times New Roman" w:cs="Times New Roman" w:eastAsia="Times New Roman" w:hAnsi="Times New Roman"/>
          <w:sz w:val="19"/>
          <w:szCs w:val="19"/>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50" w:lineRule="exact"/>
        <w:rPr>
          <w:sz w:val="20"/>
          <w:szCs w:val="20"/>
          <w:color w:val="auto"/>
        </w:rPr>
      </w:pPr>
    </w:p>
    <w:p>
      <w:pPr>
        <w:ind w:left="1060" w:right="200" w:firstLine="1728"/>
        <w:spacing w:after="0" w:line="257" w:lineRule="auto"/>
        <w:rPr>
          <w:sz w:val="20"/>
          <w:szCs w:val="20"/>
          <w:color w:val="auto"/>
        </w:rPr>
      </w:pPr>
      <w:r>
        <w:rPr>
          <w:rFonts w:ascii="Times New Roman" w:cs="Times New Roman" w:eastAsia="Times New Roman" w:hAnsi="Times New Roman"/>
          <w:sz w:val="19"/>
          <w:szCs w:val="19"/>
          <w:color w:val="auto"/>
        </w:rPr>
        <w:t>(a)no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57" w:lineRule="exact"/>
        <w:rPr>
          <w:sz w:val="20"/>
          <w:szCs w:val="20"/>
          <w:color w:val="auto"/>
        </w:rPr>
      </w:pPr>
    </w:p>
    <w:p>
      <w:pPr>
        <w:ind w:left="1060" w:right="120" w:firstLine="1728"/>
        <w:spacing w:after="0" w:line="262" w:lineRule="auto"/>
        <w:rPr>
          <w:sz w:val="20"/>
          <w:szCs w:val="20"/>
          <w:color w:val="auto"/>
        </w:rPr>
      </w:pPr>
      <w:r>
        <w:rPr>
          <w:rFonts w:ascii="Times New Roman" w:cs="Times New Roman" w:eastAsia="Times New Roman" w:hAnsi="Times New Roman"/>
          <w:sz w:val="19"/>
          <w:szCs w:val="19"/>
          <w:color w:val="auto"/>
        </w:rPr>
        <w:t>(b)with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50" w:lineRule="exact"/>
        <w:rPr>
          <w:sz w:val="20"/>
          <w:szCs w:val="20"/>
          <w:color w:val="auto"/>
        </w:rPr>
      </w:pPr>
    </w:p>
    <w:p>
      <w:pPr>
        <w:ind w:left="1060" w:right="180" w:firstLine="1728"/>
        <w:spacing w:after="0" w:line="286" w:lineRule="auto"/>
        <w:rPr>
          <w:sz w:val="20"/>
          <w:szCs w:val="20"/>
          <w:color w:val="auto"/>
        </w:rPr>
      </w:pPr>
      <w:r>
        <w:rPr>
          <w:rFonts w:ascii="Times New Roman" w:cs="Times New Roman" w:eastAsia="Times New Roman" w:hAnsi="Times New Roman"/>
          <w:sz w:val="19"/>
          <w:szCs w:val="19"/>
          <w:color w:val="auto"/>
        </w:rPr>
        <w:t>(c)to which no Obligor has any obligation to maintain or preserve such entity’s financial condition or cause such entity to achieve certain levels of operating results.</w:t>
      </w:r>
    </w:p>
    <w:p>
      <w:pPr>
        <w:spacing w:after="0" w:line="127" w:lineRule="exact"/>
        <w:rPr>
          <w:sz w:val="20"/>
          <w:szCs w:val="20"/>
          <w:color w:val="auto"/>
        </w:rPr>
      </w:pPr>
    </w:p>
    <w:p>
      <w:pPr>
        <w:ind w:left="1060" w:right="140" w:firstLine="1728"/>
        <w:spacing w:after="0" w:line="259" w:lineRule="auto"/>
        <w:rPr>
          <w:sz w:val="20"/>
          <w:szCs w:val="20"/>
          <w:color w:val="auto"/>
        </w:rPr>
      </w:pPr>
      <w:r>
        <w:rPr>
          <w:rFonts w:ascii="Times New Roman" w:cs="Times New Roman" w:eastAsia="Times New Roman" w:hAnsi="Times New Roman"/>
          <w:sz w:val="19"/>
          <w:szCs w:val="19"/>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54" w:lineRule="exact"/>
        <w:rPr>
          <w:sz w:val="20"/>
          <w:szCs w:val="20"/>
          <w:color w:val="auto"/>
        </w:rPr>
      </w:pPr>
    </w:p>
    <w:p>
      <w:pPr>
        <w:ind w:left="1060" w:right="160" w:firstLine="172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Equity Interest</w:t>
      </w:r>
      <w:r>
        <w:rPr>
          <w:rFonts w:ascii="Times New Roman" w:cs="Times New Roman" w:eastAsia="Times New Roman" w:hAnsi="Times New Roman"/>
          <w:sz w:val="19"/>
          <w:szCs w:val="19"/>
          <w:color w:val="auto"/>
        </w:rPr>
        <w:t xml:space="preserve">” means any Equity Interest that is subject to a Lien in favor of creditors of the issuer of such Equity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57" w:lineRule="exact"/>
        <w:rPr>
          <w:sz w:val="20"/>
          <w:szCs w:val="20"/>
          <w:color w:val="auto"/>
        </w:rPr>
      </w:pPr>
    </w:p>
    <w:p>
      <w:pPr>
        <w:ind w:left="1060" w:right="14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Unsecured Indebtedness</w:t>
      </w:r>
      <w:r>
        <w:rPr>
          <w:rFonts w:ascii="Times New Roman" w:cs="Times New Roman" w:eastAsia="Times New Roman" w:hAnsi="Times New Roman"/>
          <w:sz w:val="19"/>
          <w:szCs w:val="19"/>
          <w:color w:val="auto"/>
        </w:rPr>
        <w:t xml:space="preserve"> ” means Indebtedness of an Obligor issued after the </w:t>
      </w:r>
      <w:r>
        <w:rPr>
          <w:rFonts w:ascii="Times New Roman" w:cs="Times New Roman" w:eastAsia="Times New Roman" w:hAnsi="Times New Roman"/>
          <w:sz w:val="19"/>
          <w:szCs w:val="19"/>
          <w:color w:val="FF0000"/>
          <w:strike w:val="1"/>
        </w:rPr>
        <w:t>Fourteenth</w:t>
      </w:r>
      <w:r>
        <w:rPr>
          <w:rFonts w:ascii="Times New Roman" w:cs="Times New Roman" w:eastAsia="Times New Roman" w:hAnsi="Times New Roman"/>
          <w:sz w:val="19"/>
          <w:szCs w:val="19"/>
          <w:u w:val="single" w:color="auto"/>
          <w:color w:val="0000FF"/>
        </w:rPr>
        <w:t>Fifteenth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Amendment Effective Date (which may be Guaranteed by Subsidiary Guarantors) that (a)</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19"/>
          <w:szCs w:val="19"/>
          <w:u w:val="single" w:color="auto"/>
          <w:color w:val="000000"/>
        </w:rPr>
        <w:t>Section 6.01(m)</w:t>
      </w:r>
      <w:r>
        <w:rPr>
          <w:rFonts w:ascii="Times New Roman" w:cs="Times New Roman" w:eastAsia="Times New Roman" w:hAnsi="Times New Roman"/>
          <w:sz w:val="19"/>
          <w:szCs w:val="19"/>
          <w:color w:val="000000"/>
        </w:rPr>
        <w:t xml:space="preserve"> and </w:t>
      </w:r>
      <w:r>
        <w:rPr>
          <w:rFonts w:ascii="Times New Roman" w:cs="Times New Roman" w:eastAsia="Times New Roman" w:hAnsi="Times New Roman"/>
          <w:sz w:val="19"/>
          <w:szCs w:val="19"/>
          <w:u w:val="single" w:color="auto"/>
          <w:color w:val="000000"/>
        </w:rPr>
        <w:t>Section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58" w:name="page159"/>
    <w:bookmarkEnd w:id="158"/>
    <w:p>
      <w:pPr>
        <w:spacing w:after="0" w:line="269" w:lineRule="exact"/>
        <w:rPr>
          <w:sz w:val="20"/>
          <w:szCs w:val="20"/>
          <w:color w:val="auto"/>
        </w:rPr>
      </w:pPr>
    </w:p>
    <w:p>
      <w:pPr>
        <w:ind w:left="1060" w:right="200"/>
        <w:spacing w:after="0" w:line="258" w:lineRule="auto"/>
        <w:rPr>
          <w:sz w:val="20"/>
          <w:szCs w:val="20"/>
          <w:color w:val="auto"/>
        </w:rPr>
      </w:pPr>
      <w:r>
        <w:rPr>
          <w:rFonts w:ascii="Times New Roman" w:cs="Times New Roman" w:eastAsia="Times New Roman" w:hAnsi="Times New Roman"/>
          <w:sz w:val="19"/>
          <w:szCs w:val="19"/>
          <w:u w:val="single" w:color="auto"/>
          <w:color w:val="auto"/>
        </w:rPr>
        <w:t>6.01(o</w:t>
      </w:r>
      <w:r>
        <w:rPr>
          <w:rFonts w:ascii="Times New Roman" w:cs="Times New Roman" w:eastAsia="Times New Roman" w:hAnsi="Times New Roman"/>
          <w:sz w:val="19"/>
          <w:szCs w:val="19"/>
          <w:color w:val="auto"/>
        </w:rPr>
        <w:t xml:space="preserve">)) prior to, and a final maturity date not earlier than, five years from the date such Indebtedness is issued (it being understood that (A) none of: (w) the conversion features </w:t>
      </w:r>
      <w:r>
        <w:rPr>
          <w:rFonts w:ascii="Times New Roman" w:cs="Times New Roman" w:eastAsia="Times New Roman" w:hAnsi="Times New Roman"/>
          <w:sz w:val="19"/>
          <w:szCs w:val="19"/>
          <w:u w:val="single" w:color="auto"/>
          <w:color w:val="0000FF"/>
        </w:rPr>
        <w:t>into Permitted Equity Interests</w:t>
      </w:r>
      <w:r>
        <w:rPr>
          <w:rFonts w:ascii="Times New Roman" w:cs="Times New Roman" w:eastAsia="Times New Roman" w:hAnsi="Times New Roman"/>
          <w:sz w:val="19"/>
          <w:szCs w:val="19"/>
          <w:color w:val="auto"/>
        </w:rPr>
        <w:t xml:space="preserve"> under convertible notes; (x) the triggering and/or settlement thereof or</w:t>
      </w:r>
    </w:p>
    <w:p>
      <w:pPr>
        <w:spacing w:after="0" w:line="2" w:lineRule="exact"/>
        <w:rPr>
          <w:sz w:val="20"/>
          <w:szCs w:val="20"/>
          <w:color w:val="auto"/>
        </w:rPr>
      </w:pPr>
    </w:p>
    <w:p>
      <w:pPr>
        <w:ind w:left="1060" w:right="120" w:hanging="10"/>
        <w:spacing w:after="0" w:line="251" w:lineRule="auto"/>
        <w:tabs>
          <w:tab w:leader="none" w:pos="1332"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Special Unsecured Indebtedness shall not include any Indebtedness permitted pursuant to </w:t>
      </w:r>
      <w:r>
        <w:rPr>
          <w:rFonts w:ascii="Times New Roman" w:cs="Times New Roman" w:eastAsia="Times New Roman" w:hAnsi="Times New Roman"/>
          <w:sz w:val="19"/>
          <w:szCs w:val="19"/>
          <w:u w:val="single" w:color="auto"/>
          <w:color w:val="auto"/>
        </w:rPr>
        <w:t>Section 6.01(l)</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Event of Default</w:t>
      </w:r>
      <w:r>
        <w:rPr>
          <w:rFonts w:ascii="Times New Roman" w:cs="Times New Roman" w:eastAsia="Times New Roman" w:hAnsi="Times New Roman"/>
          <w:sz w:val="19"/>
          <w:szCs w:val="19"/>
          <w:color w:val="auto"/>
        </w:rPr>
        <w:t xml:space="preserve">” means an Event of Default under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(j) and (k).</w:t>
      </w:r>
    </w:p>
    <w:p>
      <w:pPr>
        <w:spacing w:after="0" w:line="180" w:lineRule="exact"/>
        <w:rPr>
          <w:sz w:val="20"/>
          <w:szCs w:val="20"/>
          <w:color w:val="auto"/>
        </w:rPr>
      </w:pPr>
    </w:p>
    <w:p>
      <w:pPr>
        <w:ind w:left="1060" w:right="26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Standard Securitization Undertakings</w:t>
      </w:r>
      <w:r>
        <w:rPr>
          <w:rFonts w:ascii="Times New Roman" w:cs="Times New Roman" w:eastAsia="Times New Roman" w:hAnsi="Times New Roman"/>
          <w:sz w:val="19"/>
          <w:szCs w:val="19"/>
          <w:color w:val="auto"/>
        </w:rPr>
        <w:t xml:space="preserve"> ” means, collectively, (a) customary arms-length servicing obligations (together with any related performance guarantees),</w:t>
      </w:r>
    </w:p>
    <w:p>
      <w:pPr>
        <w:spacing w:after="0" w:line="1" w:lineRule="exact"/>
        <w:rPr>
          <w:sz w:val="20"/>
          <w:szCs w:val="20"/>
          <w:color w:val="auto"/>
        </w:rPr>
      </w:pPr>
    </w:p>
    <w:p>
      <w:pPr>
        <w:ind w:left="1060" w:right="380" w:hanging="10"/>
        <w:spacing w:after="0" w:line="250" w:lineRule="auto"/>
        <w:tabs>
          <w:tab w:leader="none" w:pos="1332"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w:t>
      </w:r>
    </w:p>
    <w:p>
      <w:pPr>
        <w:spacing w:after="0" w:line="1" w:lineRule="exact"/>
        <w:rPr>
          <w:rFonts w:ascii="Times New Roman" w:cs="Times New Roman" w:eastAsia="Times New Roman" w:hAnsi="Times New Roman"/>
          <w:sz w:val="19"/>
          <w:szCs w:val="19"/>
          <w:color w:val="auto"/>
        </w:rPr>
      </w:pPr>
    </w:p>
    <w:p>
      <w:pPr>
        <w:ind w:left="1060" w:right="260" w:hanging="10"/>
        <w:spacing w:after="0" w:line="262" w:lineRule="auto"/>
        <w:tabs>
          <w:tab w:leader="none" w:pos="132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representations, warranties, covenants and indemnities (together with any related performance guarantees) of a type that are reasonably customary in accounts receivable securitizations.</w:t>
      </w:r>
    </w:p>
    <w:p>
      <w:pPr>
        <w:spacing w:after="0" w:line="14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Sterling</w:t>
      </w:r>
      <w:r>
        <w:rPr>
          <w:rFonts w:ascii="Times New Roman" w:cs="Times New Roman" w:eastAsia="Times New Roman" w:hAnsi="Times New Roman"/>
          <w:sz w:val="19"/>
          <w:szCs w:val="19"/>
          <w:color w:val="auto"/>
        </w:rPr>
        <w:t>” means the lawful currency of the United Kingdom.</w:t>
      </w:r>
    </w:p>
    <w:p>
      <w:pPr>
        <w:spacing w:after="0" w:line="202" w:lineRule="exact"/>
        <w:rPr>
          <w:sz w:val="20"/>
          <w:szCs w:val="20"/>
          <w:color w:val="auto"/>
        </w:rPr>
      </w:pPr>
    </w:p>
    <w:p>
      <w:pPr>
        <w:ind w:left="1060" w:right="22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w:t>
      </w:r>
    </w:p>
    <w:p>
      <w:pPr>
        <w:spacing w:after="0" w:line="4" w:lineRule="exact"/>
        <w:rPr>
          <w:sz w:val="20"/>
          <w:szCs w:val="20"/>
          <w:color w:val="auto"/>
        </w:rPr>
      </w:pPr>
    </w:p>
    <w:p>
      <w:pPr>
        <w:ind w:left="1060" w:right="120" w:hanging="10"/>
        <w:spacing w:after="0" w:line="253" w:lineRule="auto"/>
        <w:tabs>
          <w:tab w:leader="none" w:pos="133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59" w:lineRule="exact"/>
        <w:rPr>
          <w:sz w:val="20"/>
          <w:szCs w:val="20"/>
          <w:color w:val="auto"/>
        </w:rPr>
      </w:pPr>
    </w:p>
    <w:p>
      <w:pPr>
        <w:ind w:left="1060" w:right="3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 Guarantor</w:t>
      </w:r>
      <w:r>
        <w:rPr>
          <w:rFonts w:ascii="Times New Roman" w:cs="Times New Roman" w:eastAsia="Times New Roman" w:hAnsi="Times New Roman"/>
          <w:sz w:val="19"/>
          <w:szCs w:val="19"/>
          <w:color w:val="auto"/>
        </w:rPr>
        <w:t>” means any Subsidiary that is a Guarantor under the Guarantee and Security Agreement. It is understood and agreed that no Financing Subsidiary,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59" w:name="page160"/>
    <w:bookmarkEnd w:id="159"/>
    <w:p>
      <w:pPr>
        <w:spacing w:after="0" w:line="269" w:lineRule="exact"/>
        <w:rPr>
          <w:sz w:val="20"/>
          <w:szCs w:val="20"/>
          <w:color w:val="auto"/>
        </w:rPr>
      </w:pPr>
    </w:p>
    <w:p>
      <w:pPr>
        <w:ind w:left="1060" w:right="700"/>
        <w:spacing w:after="0" w:line="286" w:lineRule="auto"/>
        <w:rPr>
          <w:sz w:val="20"/>
          <w:szCs w:val="20"/>
          <w:color w:val="auto"/>
        </w:rPr>
      </w:pPr>
      <w:r>
        <w:rPr>
          <w:rFonts w:ascii="Times New Roman" w:cs="Times New Roman" w:eastAsia="Times New Roman" w:hAnsi="Times New Roman"/>
          <w:sz w:val="19"/>
          <w:szCs w:val="19"/>
          <w:color w:val="auto"/>
        </w:rPr>
        <w:t>Immaterial Subsidiary, Foreign Subsidiary or a Subsidiary of a Foreign Subsidiary shall be a Subsidiary Guarantor.</w:t>
      </w:r>
    </w:p>
    <w:p>
      <w:pPr>
        <w:spacing w:after="0" w:line="1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Swedish Krona</w:t>
      </w:r>
      <w:r>
        <w:rPr>
          <w:rFonts w:ascii="Times New Roman" w:cs="Times New Roman" w:eastAsia="Times New Roman" w:hAnsi="Times New Roman"/>
          <w:sz w:val="19"/>
          <w:szCs w:val="19"/>
          <w:color w:val="auto"/>
        </w:rPr>
        <w:t>” means the lawful currency of Sweden.</w:t>
      </w:r>
    </w:p>
    <w:p>
      <w:pPr>
        <w:spacing w:after="0" w:line="202" w:lineRule="exact"/>
        <w:rPr>
          <w:sz w:val="20"/>
          <w:szCs w:val="20"/>
          <w:color w:val="auto"/>
        </w:rPr>
      </w:pPr>
    </w:p>
    <w:p>
      <w:pPr>
        <w:ind w:left="1060" w:right="16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Exposure</w:t>
      </w:r>
      <w:r>
        <w:rPr>
          <w:rFonts w:ascii="Times New Roman" w:cs="Times New Roman" w:eastAsia="Times New Roman" w:hAnsi="Times New Roman"/>
          <w:sz w:val="19"/>
          <w:szCs w:val="19"/>
          <w:color w:val="auto"/>
        </w:rPr>
        <w:t>” means, at any time, the aggregate principal amount of all Swingline Loans outstanding at such time. The Swingline Exposure of any Lender at any time shall be the sum of (a)(i) in the case of any Dollar Lender, its Applicable Dollar Percentage of the total Swingline Exposure at such time incurred under the Dollar Commitments and (ii) in the case of any Multicurrency Lender, its Applicable Multicurrency Percentage of the total Swingline Exposure at such time incurred under the Multicurrency Commitments (excluding, for purpose of this clause (a), in the case of any Lender that is a Swingline Lender, Swingline Loans made by it that are outstanding at such time to the extent that the other Lenders under such Lender’s Class of Commitments shall not have funded their participations in such Swingline Loans), adjusted, in each case, to give effect to any reallocation under Section 2.19 of the Swingline Exposure of Defaulting Lenders in effect at such time, plus (b) in the case of any Lender that is a Swingline Lender, the aggregate principal amount of all Swingline Loans made by such Lender outstanding at such time, less the amount of participations funded by the other Lenders under such Lender’s Class of Commitments in such Swingline Loans.</w:t>
      </w:r>
    </w:p>
    <w:p>
      <w:pPr>
        <w:spacing w:after="0" w:line="163" w:lineRule="exact"/>
        <w:rPr>
          <w:sz w:val="20"/>
          <w:szCs w:val="20"/>
          <w:color w:val="auto"/>
        </w:rPr>
      </w:pPr>
    </w:p>
    <w:p>
      <w:pPr>
        <w:ind w:left="1060" w:right="20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Lender</w:t>
      </w:r>
      <w:r>
        <w:rPr>
          <w:rFonts w:ascii="Times New Roman" w:cs="Times New Roman" w:eastAsia="Times New Roman" w:hAnsi="Times New Roman"/>
          <w:sz w:val="19"/>
          <w:szCs w:val="19"/>
          <w:color w:val="auto"/>
        </w:rPr>
        <w:t xml:space="preserve">” means any of Truist, JPMorgan Chase Bank, N.A., MUFG Bank, Ltd., Sumitomo Mitsui Banking Corporation or State Street Bank and Trust Company, in its capacity as lender of Swingline Loans hereunder, and its successors in such capacity as provided in </w:t>
      </w:r>
      <w:r>
        <w:rPr>
          <w:rFonts w:ascii="Times New Roman" w:cs="Times New Roman" w:eastAsia="Times New Roman" w:hAnsi="Times New Roman"/>
          <w:sz w:val="19"/>
          <w:szCs w:val="19"/>
          <w:u w:val="single" w:color="auto"/>
          <w:color w:val="auto"/>
        </w:rPr>
        <w:t>Section 2.04(d)</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Loan</w:t>
      </w:r>
      <w:r>
        <w:rPr>
          <w:rFonts w:ascii="Times New Roman" w:cs="Times New Roman" w:eastAsia="Times New Roman" w:hAnsi="Times New Roman"/>
          <w:sz w:val="19"/>
          <w:szCs w:val="19"/>
          <w:color w:val="auto"/>
        </w:rPr>
        <w:t xml:space="preserve">” means a Loan made pursuant to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Swiss Franc</w:t>
      </w:r>
      <w:r>
        <w:rPr>
          <w:rFonts w:ascii="Times New Roman" w:cs="Times New Roman" w:eastAsia="Times New Roman" w:hAnsi="Times New Roman"/>
          <w:sz w:val="19"/>
          <w:szCs w:val="19"/>
          <w:color w:val="auto"/>
        </w:rPr>
        <w:t>” means the lawful currency of Switzerland.</w:t>
      </w:r>
    </w:p>
    <w:p>
      <w:pPr>
        <w:spacing w:after="0" w:line="10" w:lineRule="exact"/>
        <w:rPr>
          <w:sz w:val="20"/>
          <w:szCs w:val="20"/>
          <w:color w:val="auto"/>
        </w:rPr>
      </w:pPr>
    </w:p>
    <w:p>
      <w:pPr>
        <w:ind w:left="1060" w:right="22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Syndicated</w:t>
      </w:r>
      <w:r>
        <w:rPr>
          <w:rFonts w:ascii="Times New Roman" w:cs="Times New Roman" w:eastAsia="Times New Roman" w:hAnsi="Times New Roman"/>
          <w:sz w:val="19"/>
          <w:szCs w:val="19"/>
          <w:color w:val="auto"/>
        </w:rPr>
        <w:t xml:space="preserve">”, when used in reference to any Loan or Borrowing, refers to whether such Loan is, or the Loans constituting such Borrowing are, made pursuant to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w:t>
      </w:r>
    </w:p>
    <w:p>
      <w:pPr>
        <w:spacing w:after="0" w:line="149" w:lineRule="exact"/>
        <w:rPr>
          <w:sz w:val="20"/>
          <w:szCs w:val="20"/>
          <w:color w:val="auto"/>
        </w:rPr>
      </w:pPr>
    </w:p>
    <w:p>
      <w:pPr>
        <w:ind w:left="1060" w:right="380" w:firstLine="1740"/>
        <w:spacing w:after="0" w:line="286" w:lineRule="auto"/>
        <w:rPr>
          <w:sz w:val="20"/>
          <w:szCs w:val="20"/>
          <w:color w:val="auto"/>
        </w:rPr>
      </w:pPr>
      <w:r>
        <w:rPr>
          <w:rFonts w:ascii="Times New Roman" w:cs="Times New Roman" w:eastAsia="Times New Roman" w:hAnsi="Times New Roman"/>
          <w:sz w:val="19"/>
          <w:szCs w:val="19"/>
          <w:u w:val="single" w:color="auto"/>
          <w:color w:val="0000FF"/>
        </w:rPr>
        <w:t>“T2” means the real time gross settlement system operated by the Eurosystem, or any successor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7F00"/>
        </w:rPr>
        <w:t>system as determined by the Administrative Agent to be a suitable replacement</w:t>
      </w:r>
      <w:r>
        <w:rPr>
          <w:rFonts w:ascii="Times New Roman" w:cs="Times New Roman" w:eastAsia="Times New Roman" w:hAnsi="Times New Roman"/>
          <w:sz w:val="19"/>
          <w:szCs w:val="19"/>
          <w:color w:val="0000FF"/>
        </w:rPr>
        <w:t>.</w:t>
      </w:r>
    </w:p>
    <w:p>
      <w:pPr>
        <w:spacing w:after="0" w:line="127" w:lineRule="exact"/>
        <w:rPr>
          <w:sz w:val="20"/>
          <w:szCs w:val="20"/>
          <w:color w:val="auto"/>
        </w:rPr>
      </w:pPr>
    </w:p>
    <w:p>
      <w:pPr>
        <w:ind w:left="1060" w:right="28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xml:space="preserve">” means any day on which the </w:t>
      </w:r>
      <w:r>
        <w:rPr>
          <w:rFonts w:ascii="Times New Roman" w:cs="Times New Roman" w:eastAsia="Times New Roman" w:hAnsi="Times New Roman"/>
          <w:sz w:val="19"/>
          <w:szCs w:val="19"/>
          <w:color w:val="FF0000"/>
          <w:strike w:val="1"/>
        </w:rPr>
        <w:t>Trans-European Automated Real- time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 xml:space="preserve">Gross Settlement Express Transfer payment system (or any successor settlement </w:t>
      </w:r>
      <w:r>
        <w:rPr>
          <w:rFonts w:ascii="Times New Roman" w:cs="Times New Roman" w:eastAsia="Times New Roman" w:hAnsi="Times New Roman"/>
          <w:sz w:val="19"/>
          <w:szCs w:val="19"/>
          <w:color w:val="007F00"/>
          <w:strike w:val="1"/>
        </w:rPr>
        <w:t>system as determined by the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Administrative Agent to be a suitable replacement</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0000FF"/>
          <w:strike w:val="1"/>
        </w:rPr>
        <w:t>T2</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000000"/>
          <w:strike w:val="1"/>
        </w:rPr>
        <w:t>is open for the settlement of payments in Euros.</w:t>
      </w:r>
    </w:p>
    <w:p>
      <w:pPr>
        <w:spacing w:after="0" w:line="144" w:lineRule="exact"/>
        <w:rPr>
          <w:sz w:val="20"/>
          <w:szCs w:val="20"/>
          <w:color w:val="auto"/>
        </w:rPr>
      </w:pPr>
    </w:p>
    <w:p>
      <w:pPr>
        <w:jc w:val="both"/>
        <w:ind w:left="1060" w:right="34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60" w:name="page161"/>
    <w:bookmarkEnd w:id="160"/>
    <w:p>
      <w:pPr>
        <w:spacing w:after="0" w:line="269" w:lineRule="exact"/>
        <w:rPr>
          <w:sz w:val="20"/>
          <w:szCs w:val="20"/>
          <w:color w:val="auto"/>
        </w:rPr>
      </w:pPr>
    </w:p>
    <w:p>
      <w:pPr>
        <w:ind w:left="1060" w:right="12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bearing interest at a rate determined by reference to the Adjusted Term Benchmark Rate.</w:t>
      </w:r>
    </w:p>
    <w:p>
      <w:pPr>
        <w:spacing w:after="0" w:line="144" w:lineRule="exact"/>
        <w:rPr>
          <w:sz w:val="20"/>
          <w:szCs w:val="20"/>
          <w:color w:val="auto"/>
        </w:rPr>
      </w:pPr>
    </w:p>
    <w:p>
      <w:pPr>
        <w:ind w:left="1060" w:right="22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 Banking Day</w:t>
      </w:r>
      <w:r>
        <w:rPr>
          <w:rFonts w:ascii="Times New Roman" w:cs="Times New Roman" w:eastAsia="Times New Roman" w:hAnsi="Times New Roman"/>
          <w:sz w:val="19"/>
          <w:szCs w:val="19"/>
          <w:color w:val="auto"/>
        </w:rPr>
        <w:t>” means for Term Benchmark Loans, Term Benchmark Borrowings, interest, fees, commissions or other amounts denominated in, or calculated with respect to:</w:t>
      </w:r>
    </w:p>
    <w:p>
      <w:pPr>
        <w:spacing w:after="0" w:line="1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(a)Dollars, a U.S. Government Securities Business Day;</w:t>
      </w:r>
    </w:p>
    <w:p>
      <w:pPr>
        <w:spacing w:after="0" w:line="20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(b)Euros, a TARGET Day;</w:t>
      </w:r>
    </w:p>
    <w:p>
      <w:pPr>
        <w:spacing w:after="0" w:line="202" w:lineRule="exact"/>
        <w:rPr>
          <w:sz w:val="20"/>
          <w:szCs w:val="20"/>
          <w:color w:val="auto"/>
        </w:rPr>
      </w:pPr>
    </w:p>
    <w:p>
      <w:pPr>
        <w:ind w:left="1060" w:right="100" w:firstLine="1728"/>
        <w:spacing w:after="0" w:line="286" w:lineRule="auto"/>
        <w:rPr>
          <w:sz w:val="20"/>
          <w:szCs w:val="20"/>
          <w:color w:val="auto"/>
        </w:rPr>
      </w:pPr>
      <w:r>
        <w:rPr>
          <w:rFonts w:ascii="Times New Roman" w:cs="Times New Roman" w:eastAsia="Times New Roman" w:hAnsi="Times New Roman"/>
          <w:sz w:val="19"/>
          <w:szCs w:val="19"/>
          <w:color w:val="auto"/>
        </w:rPr>
        <w:t>(c)Canadian Dollars, any day (other than a Saturday or Sunday) on which banks are open for business in Toronto, Canada;</w:t>
      </w:r>
    </w:p>
    <w:p>
      <w:pPr>
        <w:spacing w:after="0" w:line="127" w:lineRule="exact"/>
        <w:rPr>
          <w:sz w:val="20"/>
          <w:szCs w:val="20"/>
          <w:color w:val="auto"/>
        </w:rPr>
      </w:pPr>
    </w:p>
    <w:p>
      <w:pPr>
        <w:ind w:left="1060" w:right="440" w:firstLine="1728"/>
        <w:spacing w:after="0" w:line="286" w:lineRule="auto"/>
        <w:rPr>
          <w:sz w:val="20"/>
          <w:szCs w:val="20"/>
          <w:color w:val="auto"/>
        </w:rPr>
      </w:pPr>
      <w:r>
        <w:rPr>
          <w:rFonts w:ascii="Times New Roman" w:cs="Times New Roman" w:eastAsia="Times New Roman" w:hAnsi="Times New Roman"/>
          <w:sz w:val="19"/>
          <w:szCs w:val="19"/>
          <w:color w:val="auto"/>
        </w:rPr>
        <w:t>(d)Australian Dollars, any day (other than a Saturday or Sunday) on which banks are open for business in Melbourne, Australia;</w:t>
      </w:r>
    </w:p>
    <w:p>
      <w:pPr>
        <w:spacing w:after="0" w:line="127" w:lineRule="exact"/>
        <w:rPr>
          <w:sz w:val="20"/>
          <w:szCs w:val="20"/>
          <w:color w:val="auto"/>
        </w:rPr>
      </w:pPr>
    </w:p>
    <w:p>
      <w:pPr>
        <w:ind w:left="1060" w:right="220" w:firstLine="1728"/>
        <w:spacing w:after="0" w:line="286" w:lineRule="auto"/>
        <w:rPr>
          <w:sz w:val="20"/>
          <w:szCs w:val="20"/>
          <w:color w:val="auto"/>
        </w:rPr>
      </w:pPr>
      <w:r>
        <w:rPr>
          <w:rFonts w:ascii="Times New Roman" w:cs="Times New Roman" w:eastAsia="Times New Roman" w:hAnsi="Times New Roman"/>
          <w:sz w:val="19"/>
          <w:szCs w:val="19"/>
          <w:color w:val="auto"/>
        </w:rPr>
        <w:t>(e)New Zealand Dollars, any day (other than a Saturday or Sunday) on which banks are open for business in Auckland, New Zealand;</w:t>
      </w:r>
    </w:p>
    <w:p>
      <w:pPr>
        <w:spacing w:after="0" w:line="127" w:lineRule="exact"/>
        <w:rPr>
          <w:sz w:val="20"/>
          <w:szCs w:val="20"/>
          <w:color w:val="auto"/>
        </w:rPr>
      </w:pPr>
    </w:p>
    <w:p>
      <w:pPr>
        <w:ind w:left="1060" w:right="300" w:firstLine="1728"/>
        <w:spacing w:after="0" w:line="286" w:lineRule="auto"/>
        <w:rPr>
          <w:sz w:val="20"/>
          <w:szCs w:val="20"/>
          <w:color w:val="auto"/>
        </w:rPr>
      </w:pPr>
      <w:r>
        <w:rPr>
          <w:rFonts w:ascii="Times New Roman" w:cs="Times New Roman" w:eastAsia="Times New Roman" w:hAnsi="Times New Roman"/>
          <w:sz w:val="19"/>
          <w:szCs w:val="19"/>
          <w:color w:val="auto"/>
        </w:rPr>
        <w:t>(f)Swedish Krona, any day (other than a Saturday or Sunday) on which banks are open for business in Stockholm, Sweden; or</w:t>
      </w:r>
    </w:p>
    <w:p>
      <w:pPr>
        <w:spacing w:after="0" w:line="127" w:lineRule="exact"/>
        <w:rPr>
          <w:sz w:val="20"/>
          <w:szCs w:val="20"/>
          <w:color w:val="auto"/>
        </w:rPr>
      </w:pPr>
    </w:p>
    <w:p>
      <w:pPr>
        <w:ind w:left="1060" w:right="380" w:firstLine="1728"/>
        <w:spacing w:after="0" w:line="286" w:lineRule="auto"/>
        <w:rPr>
          <w:sz w:val="20"/>
          <w:szCs w:val="20"/>
          <w:color w:val="auto"/>
        </w:rPr>
      </w:pPr>
      <w:r>
        <w:rPr>
          <w:rFonts w:ascii="Times New Roman" w:cs="Times New Roman" w:eastAsia="Times New Roman" w:hAnsi="Times New Roman"/>
          <w:sz w:val="19"/>
          <w:szCs w:val="19"/>
          <w:color w:val="auto"/>
        </w:rPr>
        <w:t>(g)Japanese Yen, any day (other than a Saturday or Sunday) on which banks are open for business in Tokyo, Japan.</w:t>
      </w:r>
    </w:p>
    <w:p>
      <w:pPr>
        <w:spacing w:after="0" w:line="1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 Rate</w:t>
      </w:r>
      <w:r>
        <w:rPr>
          <w:rFonts w:ascii="Times New Roman" w:cs="Times New Roman" w:eastAsia="Times New Roman" w:hAnsi="Times New Roman"/>
          <w:sz w:val="19"/>
          <w:szCs w:val="19"/>
          <w:color w:val="auto"/>
        </w:rPr>
        <w:t>” means, for any Interest Period:</w:t>
      </w:r>
    </w:p>
    <w:p>
      <w:pPr>
        <w:spacing w:after="0" w:line="20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(a)in the case of Term Benchmark Borrowings denominated in Dollars, Term SOFR for</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such Interest Period;</w:t>
      </w:r>
    </w:p>
    <w:p>
      <w:pPr>
        <w:spacing w:after="0" w:line="180" w:lineRule="exact"/>
        <w:rPr>
          <w:sz w:val="20"/>
          <w:szCs w:val="20"/>
          <w:color w:val="auto"/>
        </w:rPr>
      </w:pPr>
    </w:p>
    <w:p>
      <w:pPr>
        <w:ind w:left="1060" w:right="40" w:firstLine="1728"/>
        <w:spacing w:after="0" w:line="256" w:lineRule="auto"/>
        <w:rPr>
          <w:sz w:val="20"/>
          <w:szCs w:val="20"/>
          <w:color w:val="auto"/>
        </w:rPr>
      </w:pPr>
      <w:r>
        <w:rPr>
          <w:rFonts w:ascii="Times New Roman" w:cs="Times New Roman" w:eastAsia="Times New Roman" w:hAnsi="Times New Roman"/>
          <w:sz w:val="19"/>
          <w:szCs w:val="19"/>
          <w:color w:val="auto"/>
        </w:rPr>
        <w:t>(b)in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(Brussels time) two (2) Term Benchmark Banking Days for Euros prior to the first day of such Interest Period (the “</w:t>
      </w:r>
      <w:r>
        <w:rPr>
          <w:rFonts w:ascii="Times New Roman" w:cs="Times New Roman" w:eastAsia="Times New Roman" w:hAnsi="Times New Roman"/>
          <w:sz w:val="19"/>
          <w:szCs w:val="19"/>
          <w:u w:val="single" w:color="auto"/>
          <w:color w:val="auto"/>
        </w:rPr>
        <w:t>EURIBOR Screen Rate</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1060" w:right="360" w:firstLine="1728"/>
        <w:spacing w:after="0" w:line="256" w:lineRule="auto"/>
        <w:rPr>
          <w:sz w:val="20"/>
          <w:szCs w:val="20"/>
          <w:color w:val="auto"/>
        </w:rPr>
      </w:pPr>
      <w:r>
        <w:rPr>
          <w:rFonts w:ascii="Times New Roman" w:cs="Times New Roman" w:eastAsia="Times New Roman" w:hAnsi="Times New Roman"/>
          <w:sz w:val="19"/>
          <w:szCs w:val="19"/>
          <w:color w:val="auto"/>
        </w:rPr>
        <w:t xml:space="preserve">(c)in the case of Term Benchmark Borrowings denominated in Canadian Dollars, </w:t>
      </w:r>
      <w:r>
        <w:rPr>
          <w:rFonts w:ascii="Times New Roman" w:cs="Times New Roman" w:eastAsia="Times New Roman" w:hAnsi="Times New Roman"/>
          <w:sz w:val="19"/>
          <w:szCs w:val="19"/>
          <w:color w:val="007F00"/>
          <w:strike w:val="1"/>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7F00"/>
          <w:strike w:val="1"/>
        </w:rPr>
        <w:t xml:space="preserve">rate per annum equal to </w:t>
      </w:r>
      <w:r>
        <w:rPr>
          <w:rFonts w:ascii="Times New Roman" w:cs="Times New Roman" w:eastAsia="Times New Roman" w:hAnsi="Times New Roman"/>
          <w:sz w:val="19"/>
          <w:szCs w:val="19"/>
          <w:color w:val="FF0000"/>
          <w:strike w:val="1"/>
        </w:rPr>
        <w:t>the average of the annual yield rates applicable to Canadian Dollar banker’s</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acceptances at or about 10:00 a.m. (Toronto, Ontario time) on the first day of</w:t>
      </w:r>
      <w:r>
        <w:rPr>
          <w:rFonts w:ascii="Times New Roman" w:cs="Times New Roman" w:eastAsia="Times New Roman" w:hAnsi="Times New Roman"/>
          <w:sz w:val="19"/>
          <w:szCs w:val="19"/>
          <w:u w:val="single" w:color="auto"/>
          <w:color w:val="0000FF"/>
          <w:strike w:val="1"/>
        </w:rPr>
        <w:t>Term CORRA for</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such Interest</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 xml:space="preserve">Period </w:t>
      </w:r>
      <w:r>
        <w:rPr>
          <w:rFonts w:ascii="Times New Roman" w:cs="Times New Roman" w:eastAsia="Times New Roman" w:hAnsi="Times New Roman"/>
          <w:sz w:val="19"/>
          <w:szCs w:val="19"/>
          <w:color w:val="FF0000"/>
          <w:strike w:val="1"/>
        </w:rPr>
        <w:t>(or if such day is not a Term Benchmark Banking Day,</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FF0000"/>
          <w:strike w:val="1"/>
        </w:rPr>
        <w:t>then on the immediately</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007F00"/>
          <w:strike w:val="1"/>
        </w:rPr>
        <w:t>preceding Term</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007F00"/>
          <w:strike w:val="1"/>
        </w:rPr>
        <w:t>Benchmark Banking Day</w:t>
      </w:r>
      <w:r>
        <w:rPr>
          <w:rFonts w:ascii="Times New Roman" w:cs="Times New Roman" w:eastAsia="Times New Roman" w:hAnsi="Times New Roman"/>
          <w:sz w:val="19"/>
          <w:szCs w:val="19"/>
          <w:color w:val="FF0000"/>
          <w:strike w:val="1"/>
        </w:rPr>
        <w:t>) as reported on the “CDOR Page” (or any display substituted therefor) of Reuters</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Monitor Money Rates Service (or such other page or commercially available source displaying Canadian interbank bid rates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-516255</wp:posOffset>
            </wp:positionV>
            <wp:extent cx="271335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2713355"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61" w:name="page162"/>
    <w:bookmarkEnd w:id="161"/>
    <w:p>
      <w:pPr>
        <w:spacing w:after="0" w:line="269" w:lineRule="exact"/>
        <w:rPr>
          <w:sz w:val="20"/>
          <w:szCs w:val="20"/>
          <w:color w:val="auto"/>
        </w:rPr>
      </w:pPr>
    </w:p>
    <w:p>
      <w:pPr>
        <w:ind w:left="1060" w:right="80"/>
        <w:spacing w:after="0" w:line="268" w:lineRule="auto"/>
        <w:rPr>
          <w:sz w:val="20"/>
          <w:szCs w:val="20"/>
          <w:color w:val="auto"/>
        </w:rPr>
      </w:pPr>
      <w:r>
        <w:rPr>
          <w:rFonts w:ascii="Times New Roman" w:cs="Times New Roman" w:eastAsia="Times New Roman" w:hAnsi="Times New Roman"/>
          <w:sz w:val="19"/>
          <w:szCs w:val="19"/>
          <w:color w:val="FF0000"/>
          <w:strike w:val="1"/>
        </w:rPr>
        <w:t>Canadian Dollar bankers’ acceptances as may be designated by the Administrative Agent from time to time in its reasonable discretion) for a term equivalent to such Interest Period (or if such Interest Period is not equal to a number of months, for a term equivalent to the number of months closest to such Interest Period);</w:t>
      </w:r>
      <w:r>
        <w:rPr>
          <w:rFonts w:ascii="Times New Roman" w:cs="Times New Roman" w:eastAsia="Times New Roman" w:hAnsi="Times New Roman"/>
          <w:sz w:val="19"/>
          <w:szCs w:val="19"/>
          <w:color w:val="0000FF"/>
          <w:strike w:val="1"/>
        </w:rPr>
        <w:t>;</w:t>
      </w:r>
    </w:p>
    <w:p>
      <w:pPr>
        <w:spacing w:after="0" w:line="144" w:lineRule="exact"/>
        <w:rPr>
          <w:sz w:val="20"/>
          <w:szCs w:val="20"/>
          <w:color w:val="auto"/>
        </w:rPr>
      </w:pPr>
    </w:p>
    <w:p>
      <w:pPr>
        <w:ind w:left="1060" w:right="180" w:firstLine="1728"/>
        <w:spacing w:after="0" w:line="255" w:lineRule="auto"/>
        <w:rPr>
          <w:sz w:val="20"/>
          <w:szCs w:val="20"/>
          <w:color w:val="auto"/>
        </w:rPr>
      </w:pPr>
      <w:r>
        <w:rPr>
          <w:rFonts w:ascii="Times New Roman" w:cs="Times New Roman" w:eastAsia="Times New Roman" w:hAnsi="Times New Roman"/>
          <w:sz w:val="19"/>
          <w:szCs w:val="19"/>
          <w:color w:val="auto"/>
        </w:rPr>
        <w:t>(d)in the case of Term Benchmark Borrowings denominated in Australian Dollars, the rate per annum equal to the Bank Bill Swap Reference Bid rate or a successor thereto approved by the Administrative Agent (“</w:t>
      </w:r>
      <w:r>
        <w:rPr>
          <w:rFonts w:ascii="Times New Roman" w:cs="Times New Roman" w:eastAsia="Times New Roman" w:hAnsi="Times New Roman"/>
          <w:sz w:val="19"/>
          <w:szCs w:val="19"/>
          <w:u w:val="single" w:color="auto"/>
          <w:color w:val="auto"/>
        </w:rPr>
        <w:t>BBSY</w:t>
      </w:r>
      <w:r>
        <w:rPr>
          <w:rFonts w:ascii="Times New Roman" w:cs="Times New Roman" w:eastAsia="Times New Roman" w:hAnsi="Times New Roman"/>
          <w:sz w:val="19"/>
          <w:szCs w:val="19"/>
          <w:color w:val="auto"/>
        </w:rPr>
        <w:t>”) as published by Reuters (or such other page or commercially available source providing BBSY (Bid) quotations as may be designated by the Administrative Agent from time to time) at or about 10:30 a.m. (Melbourne, Australia time) on the day that is two (2) Term Benchmark Banking Days for Australian Dollars prior to the first day of the Interest Period (or if such day is not an Term Benchmark Banking Day for Australian Dollars, then on the immediately preceding Term Benchmark Banking Day for Australian Dollars) with a term equivalent to such Interest Period;</w:t>
      </w:r>
    </w:p>
    <w:p>
      <w:pPr>
        <w:spacing w:after="0" w:line="160" w:lineRule="exact"/>
        <w:rPr>
          <w:sz w:val="20"/>
          <w:szCs w:val="20"/>
          <w:color w:val="auto"/>
        </w:rPr>
      </w:pPr>
    </w:p>
    <w:p>
      <w:pPr>
        <w:ind w:left="1060" w:right="120" w:firstLine="1728"/>
        <w:spacing w:after="0" w:line="255" w:lineRule="auto"/>
        <w:rPr>
          <w:sz w:val="20"/>
          <w:szCs w:val="20"/>
          <w:color w:val="auto"/>
        </w:rPr>
      </w:pPr>
      <w:r>
        <w:rPr>
          <w:rFonts w:ascii="Times New Roman" w:cs="Times New Roman" w:eastAsia="Times New Roman" w:hAnsi="Times New Roman"/>
          <w:sz w:val="19"/>
          <w:szCs w:val="19"/>
          <w:color w:val="auto"/>
        </w:rPr>
        <w:t>(e)in the case of Term Benchmark Borrowings denominated in New Zealand Dollars, the rate per annum equal to the Bank Bill Reference Bid Rate or a successor thereto approved by the Administrative Agent (“</w:t>
      </w:r>
      <w:r>
        <w:rPr>
          <w:rFonts w:ascii="Times New Roman" w:cs="Times New Roman" w:eastAsia="Times New Roman" w:hAnsi="Times New Roman"/>
          <w:sz w:val="19"/>
          <w:szCs w:val="19"/>
          <w:u w:val="single" w:color="auto"/>
          <w:color w:val="auto"/>
        </w:rPr>
        <w:t>BKBM</w:t>
      </w:r>
      <w:r>
        <w:rPr>
          <w:rFonts w:ascii="Times New Roman" w:cs="Times New Roman" w:eastAsia="Times New Roman" w:hAnsi="Times New Roman"/>
          <w:sz w:val="19"/>
          <w:szCs w:val="19"/>
          <w:color w:val="auto"/>
        </w:rPr>
        <w:t>”) as published by Reuters (or such other page or commercially available source providing BKBM (Bid) quotations as may be designated by the Administrative Agent from time to time) at or about 10:45 a.m. (Auckland, New Zealand time) on the day that is two (2) Term Benchmark Banking Days for New Zealand Dollars prior to the first day of the Interest Period (or if such day is not an Term Benchmark Banking Day for New Zealand Dollars, then on the immediately preceding Term Benchmark Banking Day for New Zealand Dollars) with a term equivalent to such Interest Period;</w:t>
      </w:r>
    </w:p>
    <w:p>
      <w:pPr>
        <w:spacing w:after="0" w:line="160" w:lineRule="exact"/>
        <w:rPr>
          <w:sz w:val="20"/>
          <w:szCs w:val="20"/>
          <w:color w:val="auto"/>
        </w:rPr>
      </w:pPr>
    </w:p>
    <w:p>
      <w:pPr>
        <w:ind w:left="1060" w:right="240" w:firstLine="1728"/>
        <w:spacing w:after="0" w:line="255" w:lineRule="auto"/>
        <w:rPr>
          <w:sz w:val="20"/>
          <w:szCs w:val="20"/>
          <w:color w:val="auto"/>
        </w:rPr>
      </w:pPr>
      <w:r>
        <w:rPr>
          <w:rFonts w:ascii="Times New Roman" w:cs="Times New Roman" w:eastAsia="Times New Roman" w:hAnsi="Times New Roman"/>
          <w:sz w:val="19"/>
          <w:szCs w:val="19"/>
          <w:color w:val="auto"/>
        </w:rPr>
        <w:t>(f)in the case of Term Benchmark Borrowings denominated in Swedish Krona, the rate per annum equal to the Stockholm Interbank Offered Rate or a successor thereto approved by the Administrative Agent (“</w:t>
      </w:r>
      <w:r>
        <w:rPr>
          <w:rFonts w:ascii="Times New Roman" w:cs="Times New Roman" w:eastAsia="Times New Roman" w:hAnsi="Times New Roman"/>
          <w:sz w:val="19"/>
          <w:szCs w:val="19"/>
          <w:u w:val="single" w:color="auto"/>
          <w:color w:val="auto"/>
        </w:rPr>
        <w:t>STIBOR</w:t>
      </w:r>
      <w:r>
        <w:rPr>
          <w:rFonts w:ascii="Times New Roman" w:cs="Times New Roman" w:eastAsia="Times New Roman" w:hAnsi="Times New Roman"/>
          <w:sz w:val="19"/>
          <w:szCs w:val="19"/>
          <w:color w:val="auto"/>
        </w:rPr>
        <w:t>”) as published by Reuters (or such other page or commercially available source providing STIBOR quotations as may be designated by the Administrative Agent from time to time) at or about 11:00 a.m. (Stockholm, Sweden time) on the day that is two (2) Term Benchmark Banking Days for Swedish Krona prior to the first day of the Interest Period (or if such day is not an Term Benchmark Banking Day for Swedish Krona, then on the immediately preceding Term Benchmark Banking Day for Swedish Krona) with a term equivalent to such Interest Period; and</w:t>
      </w:r>
    </w:p>
    <w:p>
      <w:pPr>
        <w:spacing w:after="0" w:line="160" w:lineRule="exact"/>
        <w:rPr>
          <w:sz w:val="20"/>
          <w:szCs w:val="20"/>
          <w:color w:val="auto"/>
        </w:rPr>
      </w:pPr>
    </w:p>
    <w:p>
      <w:pPr>
        <w:ind w:left="1060" w:right="180" w:firstLine="1728"/>
        <w:spacing w:after="0" w:line="254" w:lineRule="auto"/>
        <w:rPr>
          <w:sz w:val="20"/>
          <w:szCs w:val="20"/>
          <w:color w:val="auto"/>
        </w:rPr>
      </w:pPr>
      <w:r>
        <w:rPr>
          <w:rFonts w:ascii="Times New Roman" w:cs="Times New Roman" w:eastAsia="Times New Roman" w:hAnsi="Times New Roman"/>
          <w:sz w:val="19"/>
          <w:szCs w:val="19"/>
          <w:color w:val="auto"/>
        </w:rPr>
        <w:t>(g)in the case of Term Benchmark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w:t>
      </w:r>
    </w:p>
    <w:p>
      <w:pPr>
        <w:spacing w:after="0" w:line="3" w:lineRule="exact"/>
        <w:rPr>
          <w:sz w:val="20"/>
          <w:szCs w:val="20"/>
          <w:color w:val="auto"/>
        </w:rPr>
      </w:pPr>
    </w:p>
    <w:p>
      <w:pPr>
        <w:ind w:left="1060" w:right="580"/>
        <w:spacing w:after="0" w:line="262" w:lineRule="auto"/>
        <w:rPr>
          <w:sz w:val="20"/>
          <w:szCs w:val="20"/>
          <w:color w:val="auto"/>
        </w:rPr>
      </w:pPr>
      <w:r>
        <w:rPr>
          <w:rFonts w:ascii="Times New Roman" w:cs="Times New Roman" w:eastAsia="Times New Roman" w:hAnsi="Times New Roman"/>
          <w:sz w:val="19"/>
          <w:szCs w:val="19"/>
          <w:color w:val="auto"/>
        </w:rPr>
        <w:t>a.m. (Tokyo time) two (2) Term Benchmark Banking Days for Japanese Yen prior to the first day of such Interest Period;</w:t>
      </w:r>
    </w:p>
    <w:p>
      <w:pPr>
        <w:spacing w:after="0" w:line="149" w:lineRule="exact"/>
        <w:rPr>
          <w:sz w:val="20"/>
          <w:szCs w:val="20"/>
          <w:color w:val="auto"/>
        </w:rPr>
      </w:pPr>
    </w:p>
    <w:p>
      <w:pPr>
        <w:ind w:left="1060" w:right="260" w:firstLine="1716"/>
        <w:spacing w:after="0" w:line="28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in each case, if such rate for any Currency is less than zero, such rate shall be deemed to be zero for purposes of this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62" w:name="page163"/>
    <w:bookmarkEnd w:id="162"/>
    <w:p>
      <w:pPr>
        <w:spacing w:after="0" w:line="26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u w:val="single" w:color="auto"/>
          <w:color w:val="0000FF"/>
        </w:rPr>
        <w:t>“Term CORRA” means,</w:t>
      </w:r>
    </w:p>
    <w:p>
      <w:pPr>
        <w:spacing w:after="0" w:line="202" w:lineRule="exact"/>
        <w:rPr>
          <w:sz w:val="20"/>
          <w:szCs w:val="20"/>
          <w:color w:val="auto"/>
        </w:rPr>
      </w:pPr>
    </w:p>
    <w:p>
      <w:pPr>
        <w:ind w:left="1060" w:right="120" w:firstLine="1728"/>
        <w:spacing w:after="0" w:line="253" w:lineRule="auto"/>
        <w:rPr>
          <w:sz w:val="20"/>
          <w:szCs w:val="20"/>
          <w:color w:val="auto"/>
        </w:rPr>
      </w:pPr>
      <w:r>
        <w:rPr>
          <w:rFonts w:ascii="Times New Roman" w:cs="Times New Roman" w:eastAsia="Times New Roman" w:hAnsi="Times New Roman"/>
          <w:sz w:val="19"/>
          <w:szCs w:val="19"/>
          <w:u w:val="single" w:color="auto"/>
          <w:color w:val="0000FF"/>
        </w:rPr>
        <w:t>(a)for any calculation with respect to a Term Benchmark Loan denominated in Canadian Dollars for any Interest Period, the sum of (i) the applicable Term CORRA Credit Adjustment Spread for such Interest Period and (ii) the Term CORRA Reference Rate for a tenor comparable to the applicable Interest Period on the day (such day, the “Periodic Term CORRA Determination Day”) that is two (2) Term Benchmark Banking Days prior to the first day of such Interest Period, as such rate is published by the Term CORRA Administrator and is displayed on a screen or other information service, as identified or selected by the Administrative Agent;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clause (a)(ii)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Periodic Term CORRA Determination Day; and</w:t>
      </w:r>
    </w:p>
    <w:p>
      <w:pPr>
        <w:spacing w:after="0" w:line="1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u w:val="single" w:color="auto"/>
          <w:color w:val="0000FF"/>
        </w:rPr>
        <w:t>(b)for any calculation with respect to the Canadian Prime Rate for any day, the sum of</w:t>
      </w:r>
    </w:p>
    <w:p>
      <w:pPr>
        <w:spacing w:after="0" w:line="32" w:lineRule="exact"/>
        <w:rPr>
          <w:sz w:val="20"/>
          <w:szCs w:val="20"/>
          <w:color w:val="auto"/>
        </w:rPr>
      </w:pPr>
    </w:p>
    <w:p>
      <w:pPr>
        <w:ind w:left="1060" w:right="160" w:hanging="10"/>
        <w:spacing w:after="0" w:line="250" w:lineRule="auto"/>
        <w:tabs>
          <w:tab w:leader="none" w:pos="1289" w:val="left"/>
        </w:tabs>
        <w:numPr>
          <w:ilvl w:val="0"/>
          <w:numId w:val="44"/>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the Term CORRA Credit Adjustment Spread for Term Benchmark Loans for an Interest Period of one month and (ii) the Term CORRA Reference Rate for a tenor of one month on the day (such day, the “Canadian Prime Rate Term CORRA Determination Day”) that is two</w:t>
      </w:r>
    </w:p>
    <w:p>
      <w:pPr>
        <w:spacing w:after="0" w:line="1" w:lineRule="exact"/>
        <w:rPr>
          <w:rFonts w:ascii="Times New Roman" w:cs="Times New Roman" w:eastAsia="Times New Roman" w:hAnsi="Times New Roman"/>
          <w:sz w:val="19"/>
          <w:szCs w:val="19"/>
          <w:u w:val="single" w:color="auto"/>
          <w:color w:val="0000FF"/>
        </w:rPr>
      </w:pPr>
    </w:p>
    <w:p>
      <w:pPr>
        <w:ind w:left="1060" w:right="320"/>
        <w:spacing w:after="0" w:line="251" w:lineRule="auto"/>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 xml:space="preserve">(2) Term Benchmark Banking Days prior to such day, as such rate is published by the Term CORRA Administrator and is displayed on a screen or other information service, as identified or selected by the Administrative Agent; provided, however, that if as of 1:00 p.m. (Toronto time) on any Canadian Prime Rate Term CORRA Determination Day the Term CORRA Reference Rate for the applicable tenor has not been published by the Term CORRA Administrator and a Benchmark Replacement Date with respect to the Term CORRA Reference Rate has not occurred, then clause (a)(ii) of this definition will be the Term CORRA Reference Rate for such tenor as published by the Term CORRA Administrator on the first </w:t>
      </w:r>
      <w:r>
        <w:rPr>
          <w:rFonts w:ascii="Times New Roman" w:cs="Times New Roman" w:eastAsia="Times New Roman" w:hAnsi="Times New Roman"/>
          <w:sz w:val="19"/>
          <w:szCs w:val="19"/>
          <w:u w:val="single" w:color="auto"/>
          <w:color w:val="007F00"/>
        </w:rPr>
        <w:t>preceding Term</w:t>
      </w:r>
      <w:r>
        <w:rPr>
          <w:rFonts w:ascii="Times New Roman" w:cs="Times New Roman" w:eastAsia="Times New Roman" w:hAnsi="Times New Roman"/>
          <w:sz w:val="19"/>
          <w:szCs w:val="19"/>
          <w:u w:val="single" w:color="auto"/>
          <w:color w:val="0000FF"/>
        </w:rPr>
        <w:t xml:space="preserve"> </w:t>
      </w:r>
      <w:r>
        <w:rPr>
          <w:rFonts w:ascii="Times New Roman" w:cs="Times New Roman" w:eastAsia="Times New Roman" w:hAnsi="Times New Roman"/>
          <w:sz w:val="19"/>
          <w:szCs w:val="19"/>
          <w:u w:val="single" w:color="auto"/>
          <w:color w:val="007F00"/>
        </w:rPr>
        <w:t xml:space="preserve">Benchmark Banking Day </w:t>
      </w:r>
      <w:r>
        <w:rPr>
          <w:rFonts w:ascii="Times New Roman" w:cs="Times New Roman" w:eastAsia="Times New Roman" w:hAnsi="Times New Roman"/>
          <w:sz w:val="19"/>
          <w:szCs w:val="19"/>
          <w:u w:val="single" w:color="auto"/>
          <w:color w:val="0000FF"/>
        </w:rPr>
        <w:t>for which such Term CORRA Reference Rate for such tenor was published by the</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u w:val="single" w:color="auto"/>
          <w:color w:val="0000FF"/>
        </w:rPr>
        <w:t>Term CORRA Administrator so long as such first preceding Term Benchmark Banking Day is not more than three (3) Business Days prior to such Canadian Prime Rate Term CORRA Determination Day.</w:t>
      </w:r>
    </w:p>
    <w:p>
      <w:pPr>
        <w:spacing w:after="0" w:line="166" w:lineRule="exact"/>
        <w:rPr>
          <w:sz w:val="20"/>
          <w:szCs w:val="20"/>
          <w:color w:val="auto"/>
        </w:rPr>
      </w:pPr>
    </w:p>
    <w:p>
      <w:pPr>
        <w:ind w:left="1060" w:right="480" w:firstLine="1728"/>
        <w:spacing w:after="0" w:line="268" w:lineRule="auto"/>
        <w:rPr>
          <w:sz w:val="20"/>
          <w:szCs w:val="20"/>
          <w:color w:val="auto"/>
        </w:rPr>
      </w:pPr>
      <w:r>
        <w:rPr>
          <w:rFonts w:ascii="Times New Roman" w:cs="Times New Roman" w:eastAsia="Times New Roman" w:hAnsi="Times New Roman"/>
          <w:sz w:val="19"/>
          <w:szCs w:val="19"/>
          <w:u w:val="single" w:color="auto"/>
          <w:color w:val="0000FF"/>
        </w:rPr>
        <w:t>“Term CORRA Administrator” means Candeal Benchmark Administration Services Inc., TSX Inc., or any successor administrator of the Term CORRA Reference Rate selected by the Administrative Agent in its reasonable discretion.</w:t>
      </w:r>
    </w:p>
    <w:p>
      <w:pPr>
        <w:spacing w:after="0" w:line="144" w:lineRule="exact"/>
        <w:rPr>
          <w:sz w:val="20"/>
          <w:szCs w:val="20"/>
          <w:color w:val="auto"/>
        </w:rPr>
      </w:pPr>
    </w:p>
    <w:p>
      <w:pPr>
        <w:ind w:left="1060" w:right="320" w:firstLine="1728"/>
        <w:spacing w:after="0" w:line="268" w:lineRule="auto"/>
        <w:rPr>
          <w:sz w:val="20"/>
          <w:szCs w:val="20"/>
          <w:color w:val="auto"/>
        </w:rPr>
      </w:pPr>
      <w:r>
        <w:rPr>
          <w:rFonts w:ascii="Times New Roman" w:cs="Times New Roman" w:eastAsia="Times New Roman" w:hAnsi="Times New Roman"/>
          <w:sz w:val="19"/>
          <w:szCs w:val="19"/>
          <w:u w:val="single" w:color="auto"/>
          <w:color w:val="0000FF"/>
        </w:rPr>
        <w:t>“Term CORRA Credit Adjustment Spread” means, with respect to Term Benchmark Loans denominated in Canadian Dollars, (a) with an Interest Period of one month, 0.29547% and (b) with an Interest Period of three months, 0.32138%.</w:t>
      </w:r>
    </w:p>
    <w:p>
      <w:pPr>
        <w:spacing w:after="0" w:line="1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u w:val="single" w:color="auto"/>
          <w:color w:val="0000FF"/>
        </w:rPr>
        <w:t>“Term CORRA Reference Rate” means the forward-looking term rate based on</w:t>
      </w:r>
    </w:p>
    <w:p>
      <w:pPr>
        <w:spacing w:after="0" w:line="2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0000FF"/>
        </w:rPr>
        <w:t>CORRA.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63" w:name="page164"/>
    <w:bookmarkEnd w:id="163"/>
    <w:p>
      <w:pPr>
        <w:spacing w:after="0" w:line="26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means,</w:t>
      </w:r>
    </w:p>
    <w:p>
      <w:pPr>
        <w:spacing w:after="0" w:line="202" w:lineRule="exact"/>
        <w:rPr>
          <w:sz w:val="20"/>
          <w:szCs w:val="20"/>
          <w:color w:val="auto"/>
        </w:rPr>
      </w:pPr>
    </w:p>
    <w:p>
      <w:pPr>
        <w:ind w:left="1060" w:right="300" w:firstLine="1728"/>
        <w:spacing w:after="0" w:line="262" w:lineRule="auto"/>
        <w:rPr>
          <w:sz w:val="20"/>
          <w:szCs w:val="20"/>
          <w:color w:val="auto"/>
        </w:rPr>
      </w:pPr>
      <w:r>
        <w:rPr>
          <w:rFonts w:ascii="Times New Roman" w:cs="Times New Roman" w:eastAsia="Times New Roman" w:hAnsi="Times New Roman"/>
          <w:sz w:val="19"/>
          <w:szCs w:val="19"/>
          <w:color w:val="auto"/>
        </w:rPr>
        <w:t>(a)for any calculation with respect to a Term Benchmark Loan denominated in Dollars for any Interest Period, the sum of (i) the Term SOFR Credit Adjustment Spread and</w:t>
      </w:r>
    </w:p>
    <w:p>
      <w:pPr>
        <w:spacing w:after="0" w:line="1" w:lineRule="exact"/>
        <w:rPr>
          <w:sz w:val="20"/>
          <w:szCs w:val="20"/>
          <w:color w:val="auto"/>
        </w:rPr>
      </w:pPr>
    </w:p>
    <w:p>
      <w:pPr>
        <w:ind w:left="1060" w:right="140" w:hanging="10"/>
        <w:spacing w:after="0" w:line="251" w:lineRule="auto"/>
        <w:tabs>
          <w:tab w:leader="none" w:pos="1342"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w:t>
      </w:r>
      <w:r>
        <w:rPr>
          <w:rFonts w:ascii="Times New Roman" w:cs="Times New Roman" w:eastAsia="Times New Roman" w:hAnsi="Times New Roman"/>
          <w:sz w:val="19"/>
          <w:szCs w:val="19"/>
          <w:color w:val="FF0000"/>
          <w:strike w:val="1"/>
        </w:rPr>
        <w:t>Term SOFR</w:t>
      </w:r>
      <w:r>
        <w:rPr>
          <w:rFonts w:ascii="Times New Roman" w:cs="Times New Roman" w:eastAsia="Times New Roman" w:hAnsi="Times New Roman"/>
          <w:sz w:val="19"/>
          <w:szCs w:val="19"/>
          <w:u w:val="single" w:color="auto"/>
          <w:color w:val="0000FF"/>
        </w:rPr>
        <w:t>clause (a)(ii) of this definition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will be the Term SOFR Reference Rate for such tenor as published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65" w:lineRule="exact"/>
        <w:rPr>
          <w:sz w:val="20"/>
          <w:szCs w:val="20"/>
          <w:color w:val="auto"/>
        </w:rPr>
      </w:pPr>
    </w:p>
    <w:p>
      <w:pPr>
        <w:jc w:val="both"/>
        <w:ind w:left="1060" w:right="240" w:firstLine="1728"/>
        <w:spacing w:after="0" w:line="258" w:lineRule="auto"/>
        <w:rPr>
          <w:sz w:val="20"/>
          <w:szCs w:val="20"/>
          <w:color w:val="auto"/>
        </w:rPr>
      </w:pPr>
      <w:r>
        <w:rPr>
          <w:rFonts w:ascii="Times New Roman" w:cs="Times New Roman" w:eastAsia="Times New Roman" w:hAnsi="Times New Roman"/>
          <w:sz w:val="19"/>
          <w:szCs w:val="19"/>
          <w:color w:val="auto"/>
        </w:rPr>
        <w:t>(b)for any calculation with respect to an ABR Loan on any day, the sum of (i) the Term SOFR Credit Adjustment Spread and (ii) the Term SOFR Reference Rate for a tenor of one month on the day (such day, the “</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that is two (2)</w:t>
      </w:r>
    </w:p>
    <w:p>
      <w:pPr>
        <w:spacing w:after="0" w:line="2" w:lineRule="exact"/>
        <w:rPr>
          <w:sz w:val="20"/>
          <w:szCs w:val="20"/>
          <w:color w:val="auto"/>
        </w:rPr>
      </w:pPr>
    </w:p>
    <w:p>
      <w:pPr>
        <w:ind w:left="1060" w:right="100"/>
        <w:spacing w:after="0" w:line="251" w:lineRule="auto"/>
        <w:rPr>
          <w:sz w:val="20"/>
          <w:szCs w:val="20"/>
          <w:color w:val="auto"/>
        </w:rPr>
      </w:pPr>
      <w:r>
        <w:rPr>
          <w:rFonts w:ascii="Times New Roman" w:cs="Times New Roman" w:eastAsia="Times New Roman" w:hAnsi="Times New Roman"/>
          <w:sz w:val="19"/>
          <w:szCs w:val="19"/>
          <w:color w:val="auto"/>
        </w:rPr>
        <w:t xml:space="preserve">U.S. Government Securities Business Days prior to such day,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w:t>
      </w:r>
      <w:r>
        <w:rPr>
          <w:rFonts w:ascii="Times New Roman" w:cs="Times New Roman" w:eastAsia="Times New Roman" w:hAnsi="Times New Roman"/>
          <w:sz w:val="19"/>
          <w:szCs w:val="19"/>
          <w:color w:val="FF0000"/>
          <w:strike w:val="1"/>
        </w:rPr>
        <w:t>Term SOFR</w:t>
      </w:r>
      <w:r>
        <w:rPr>
          <w:rFonts w:ascii="Times New Roman" w:cs="Times New Roman" w:eastAsia="Times New Roman" w:hAnsi="Times New Roman"/>
          <w:sz w:val="19"/>
          <w:szCs w:val="19"/>
          <w:u w:val="single" w:color="auto"/>
          <w:color w:val="0000FF"/>
        </w:rPr>
        <w:t>clause (a)(ii) of this definition</w:t>
      </w:r>
      <w:r>
        <w:rPr>
          <w:rFonts w:ascii="Times New Roman" w:cs="Times New Roman" w:eastAsia="Times New Roman" w:hAnsi="Times New Roman"/>
          <w:sz w:val="19"/>
          <w:szCs w:val="19"/>
          <w:color w:val="auto"/>
        </w:rPr>
        <w:t xml:space="preserve">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66" w:lineRule="exact"/>
        <w:rPr>
          <w:sz w:val="20"/>
          <w:szCs w:val="20"/>
          <w:color w:val="auto"/>
        </w:rPr>
      </w:pPr>
    </w:p>
    <w:p>
      <w:pPr>
        <w:ind w:left="1060" w:right="16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Administrator</w:t>
      </w:r>
      <w:r>
        <w:rPr>
          <w:rFonts w:ascii="Times New Roman" w:cs="Times New Roman" w:eastAsia="Times New Roman" w:hAnsi="Times New Roman"/>
          <w:sz w:val="19"/>
          <w:szCs w:val="19"/>
          <w:color w:val="auto"/>
        </w:rPr>
        <w:t>” means the CME Group Benchmark Administration Limited (CBA) (or a successor administrator of the Term SOFR Reference Rate selected by the Administrative Agent in its reasonable discretion).</w:t>
      </w:r>
    </w:p>
    <w:p>
      <w:pPr>
        <w:spacing w:after="0" w:line="1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Credit Adjustment Spread</w:t>
      </w:r>
      <w:r>
        <w:rPr>
          <w:rFonts w:ascii="Times New Roman" w:cs="Times New Roman" w:eastAsia="Times New Roman" w:hAnsi="Times New Roman"/>
          <w:sz w:val="19"/>
          <w:szCs w:val="19"/>
          <w:color w:val="auto"/>
        </w:rPr>
        <w:t>” means 0.10%.</w:t>
      </w:r>
    </w:p>
    <w:p>
      <w:pPr>
        <w:spacing w:after="0" w:line="20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the forward-looking term rate based on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SOFR.</w:t>
      </w:r>
    </w:p>
    <w:p>
      <w:pPr>
        <w:spacing w:after="0" w:line="180" w:lineRule="exact"/>
        <w:rPr>
          <w:sz w:val="20"/>
          <w:szCs w:val="20"/>
          <w:color w:val="auto"/>
        </w:rPr>
      </w:pPr>
    </w:p>
    <w:p>
      <w:pPr>
        <w:ind w:left="1060" w:right="1000" w:firstLine="1416"/>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Termination Date</w:t>
      </w:r>
      <w:r>
        <w:rPr>
          <w:rFonts w:ascii="Times New Roman" w:cs="Times New Roman" w:eastAsia="Times New Roman" w:hAnsi="Times New Roman"/>
          <w:sz w:val="19"/>
          <w:szCs w:val="19"/>
          <w:color w:val="auto"/>
        </w:rPr>
        <w:t xml:space="preserve">” means the earliest to occur of (i) the Extended Final Maturity Date, (ii) the date of the termination of the Commitments in full pursuant to </w:t>
      </w:r>
      <w:r>
        <w:rPr>
          <w:rFonts w:ascii="Times New Roman" w:cs="Times New Roman" w:eastAsia="Times New Roman" w:hAnsi="Times New Roman"/>
          <w:sz w:val="19"/>
          <w:szCs w:val="19"/>
          <w:u w:val="single" w:color="auto"/>
          <w:color w:val="auto"/>
        </w:rPr>
        <w:t>Section 2.08(c)</w:t>
      </w:r>
      <w:r>
        <w:rPr>
          <w:rFonts w:ascii="Times New Roman" w:cs="Times New Roman" w:eastAsia="Times New Roman" w:hAnsi="Times New Roman"/>
          <w:sz w:val="19"/>
          <w:szCs w:val="19"/>
          <w:color w:val="auto"/>
        </w:rPr>
        <w:t xml:space="preserve">, or (v)the date on which the Commitments are terminated pursuant to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64" w:name="page165"/>
    <w:bookmarkEnd w:id="164"/>
    <w:p>
      <w:pPr>
        <w:spacing w:after="0" w:line="2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Testing Period</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5.12(b)(ii)(E)</w:t>
      </w:r>
    </w:p>
    <w:p>
      <w:pPr>
        <w:spacing w:after="0" w:line="32" w:lineRule="exact"/>
        <w:rPr>
          <w:sz w:val="20"/>
          <w:szCs w:val="20"/>
          <w:color w:val="auto"/>
        </w:rPr>
      </w:pPr>
    </w:p>
    <w:p>
      <w:pPr>
        <w:ind w:left="1280" w:hanging="230"/>
        <w:spacing w:after="0"/>
        <w:tabs>
          <w:tab w:leader="none" w:pos="1280" w:val="left"/>
        </w:tabs>
        <w:numPr>
          <w:ilvl w:val="0"/>
          <w:numId w:val="4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Testing Quarter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5.12(b)(ii)(B)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060" w:right="16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Assets</w:t>
      </w:r>
      <w:r>
        <w:rPr>
          <w:rFonts w:ascii="Times New Roman" w:cs="Times New Roman" w:eastAsia="Times New Roman" w:hAnsi="Times New Roman"/>
          <w:sz w:val="19"/>
          <w:szCs w:val="19"/>
          <w:color w:val="auto"/>
        </w:rPr>
        <w:t>” means, as of any date of determination, the value of the total assets of the Obligors, less all liabilities and indebtedness not represented by senior securities, in each case, as of such date of determination.</w:t>
      </w:r>
    </w:p>
    <w:p>
      <w:pPr>
        <w:spacing w:after="0" w:line="144" w:lineRule="exact"/>
        <w:rPr>
          <w:sz w:val="20"/>
          <w:szCs w:val="20"/>
          <w:color w:val="auto"/>
        </w:rPr>
      </w:pPr>
    </w:p>
    <w:p>
      <w:pPr>
        <w:ind w:left="1060" w:right="32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Assets Concentration Limitation</w:t>
      </w:r>
      <w:r>
        <w:rPr>
          <w:rFonts w:ascii="Times New Roman" w:cs="Times New Roman" w:eastAsia="Times New Roman" w:hAnsi="Times New Roman"/>
          <w:sz w:val="19"/>
          <w:szCs w:val="19"/>
          <w:color w:val="auto"/>
        </w:rPr>
        <w:t>” means, as of any date of determination, the amount by which the aggregate value of Equity Interests in Financing Subsidiaries held by the Obligors as of such date of determination exceeds 15% of the Total Assets as of such date of determination.</w:t>
      </w:r>
    </w:p>
    <w:p>
      <w:pPr>
        <w:spacing w:after="0" w:line="144" w:lineRule="exact"/>
        <w:rPr>
          <w:sz w:val="20"/>
          <w:szCs w:val="20"/>
          <w:color w:val="auto"/>
        </w:rPr>
      </w:pPr>
    </w:p>
    <w:p>
      <w:pPr>
        <w:ind w:left="1060" w:right="32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Secured Debt</w:t>
      </w:r>
      <w:r>
        <w:rPr>
          <w:rFonts w:ascii="Times New Roman" w:cs="Times New Roman" w:eastAsia="Times New Roman" w:hAnsi="Times New Roman"/>
          <w:sz w:val="19"/>
          <w:szCs w:val="19"/>
          <w:color w:val="auto"/>
        </w:rPr>
        <w:t>” means, as of any date of determination, the aggregate amount of senior securities representing secured indebtedness of the Obligors as of such date of determination.</w:t>
      </w:r>
    </w:p>
    <w:p>
      <w:pPr>
        <w:spacing w:after="0" w:line="127" w:lineRule="exact"/>
        <w:rPr>
          <w:sz w:val="20"/>
          <w:szCs w:val="20"/>
          <w:color w:val="auto"/>
        </w:rPr>
      </w:pPr>
    </w:p>
    <w:p>
      <w:pPr>
        <w:ind w:left="1060" w:right="28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the execution, delivery and performance by the Borrower of this Agreement and the other Loan Documents, the borrowing of Loans, the use of the proceeds thereof and the issuance of Letters of Credit hereunder.</w:t>
      </w:r>
    </w:p>
    <w:p>
      <w:pPr>
        <w:spacing w:after="0" w:line="1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Truist</w:t>
      </w:r>
      <w:r>
        <w:rPr>
          <w:rFonts w:ascii="Times New Roman" w:cs="Times New Roman" w:eastAsia="Times New Roman" w:hAnsi="Times New Roman"/>
          <w:sz w:val="19"/>
          <w:szCs w:val="19"/>
          <w:color w:val="auto"/>
        </w:rPr>
        <w:t>” means Truist Bank.</w:t>
      </w:r>
    </w:p>
    <w:p>
      <w:pPr>
        <w:spacing w:after="0" w:line="202" w:lineRule="exact"/>
        <w:rPr>
          <w:sz w:val="20"/>
          <w:szCs w:val="20"/>
          <w:color w:val="auto"/>
        </w:rPr>
      </w:pPr>
    </w:p>
    <w:p>
      <w:pPr>
        <w:jc w:val="both"/>
        <w:ind w:left="1060" w:right="16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Type</w:t>
      </w:r>
      <w:r>
        <w:rPr>
          <w:rFonts w:ascii="Times New Roman" w:cs="Times New Roman" w:eastAsia="Times New Roman" w:hAnsi="Times New Roman"/>
          <w:sz w:val="19"/>
          <w:szCs w:val="19"/>
          <w:color w:val="auto"/>
        </w:rPr>
        <w:t>”, when used in reference to any Loan or Borrowing, refers to whether the rate of interest on such Loan, or on the Loans constituting such Borrowing, is determined by reference to the Adjusted Term Benchmark Rate, the Daily Simple RFR or the Alternate Base Rate.</w:t>
      </w:r>
    </w:p>
    <w:p>
      <w:pPr>
        <w:spacing w:after="0" w:line="144" w:lineRule="exact"/>
        <w:rPr>
          <w:sz w:val="20"/>
          <w:szCs w:val="20"/>
          <w:color w:val="auto"/>
        </w:rPr>
      </w:pPr>
    </w:p>
    <w:p>
      <w:pPr>
        <w:ind w:left="1060" w:right="12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4" w:lineRule="exact"/>
        <w:rPr>
          <w:sz w:val="20"/>
          <w:szCs w:val="20"/>
          <w:color w:val="auto"/>
        </w:rPr>
      </w:pPr>
    </w:p>
    <w:p>
      <w:pPr>
        <w:ind w:left="1060" w:right="116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27" w:lineRule="exact"/>
        <w:rPr>
          <w:sz w:val="20"/>
          <w:szCs w:val="20"/>
          <w:color w:val="auto"/>
        </w:rPr>
      </w:pPr>
    </w:p>
    <w:p>
      <w:pPr>
        <w:ind w:left="1060" w:right="28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27" w:lineRule="exact"/>
        <w:rPr>
          <w:sz w:val="20"/>
          <w:szCs w:val="20"/>
          <w:color w:val="auto"/>
        </w:rPr>
      </w:pPr>
    </w:p>
    <w:p>
      <w:pPr>
        <w:ind w:left="1060" w:right="32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Unasserted Contingent Obligations</w:t>
      </w:r>
      <w:r>
        <w:rPr>
          <w:rFonts w:ascii="Times New Roman" w:cs="Times New Roman" w:eastAsia="Times New Roman" w:hAnsi="Times New Roman"/>
          <w:sz w:val="19"/>
          <w:szCs w:val="19"/>
          <w:color w:val="auto"/>
        </w:rPr>
        <w:t>” means all (i) unasserted contingent indemnification obligations not then due and payable and (ii) unasserted expense reimbursement obligations not then due and payable. For the avoidance of doubt, “Unasserted Contingent Obligations” shall not include any reimbursement obligations in respect of any Letter of Credit.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65" w:name="page166"/>
    <w:bookmarkEnd w:id="165"/>
    <w:p>
      <w:pPr>
        <w:spacing w:after="0" w:line="269" w:lineRule="exact"/>
        <w:rPr>
          <w:sz w:val="20"/>
          <w:szCs w:val="20"/>
          <w:color w:val="auto"/>
        </w:rPr>
      </w:pPr>
    </w:p>
    <w:p>
      <w:pPr>
        <w:ind w:left="1060" w:right="28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Undisclosed Administration</w:t>
      </w:r>
      <w:r>
        <w:rPr>
          <w:rFonts w:ascii="Times New Roman" w:cs="Times New Roman" w:eastAsia="Times New Roman" w:hAnsi="Times New Roman"/>
          <w:sz w:val="19"/>
          <w:szCs w:val="19"/>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50" w:lineRule="exact"/>
        <w:rPr>
          <w:sz w:val="20"/>
          <w:szCs w:val="20"/>
          <w:color w:val="auto"/>
        </w:rPr>
      </w:pPr>
    </w:p>
    <w:p>
      <w:pPr>
        <w:ind w:left="1060" w:right="38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Uniform Commercial Code</w:t>
      </w:r>
      <w:r>
        <w:rPr>
          <w:rFonts w:ascii="Times New Roman" w:cs="Times New Roman" w:eastAsia="Times New Roman" w:hAnsi="Times New Roman"/>
          <w:sz w:val="19"/>
          <w:szCs w:val="19"/>
          <w:color w:val="auto"/>
        </w:rPr>
        <w:t>” means the Uniform Commercial Code as in effect from time to time in the State of New York.</w:t>
      </w:r>
    </w:p>
    <w:p>
      <w:pPr>
        <w:spacing w:after="0" w:line="127" w:lineRule="exact"/>
        <w:rPr>
          <w:sz w:val="20"/>
          <w:szCs w:val="20"/>
          <w:color w:val="auto"/>
        </w:rPr>
      </w:pPr>
    </w:p>
    <w:p>
      <w:pPr>
        <w:ind w:left="1060" w:right="5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Unquoted Investments</w:t>
      </w:r>
      <w:r>
        <w:rPr>
          <w:rFonts w:ascii="Times New Roman" w:cs="Times New Roman" w:eastAsia="Times New Roman" w:hAnsi="Times New Roman"/>
          <w:sz w:val="19"/>
          <w:szCs w:val="19"/>
          <w:color w:val="auto"/>
        </w:rPr>
        <w:t xml:space="preserve">” means a Portfolio Investment with a value assigned by the Borrower pursuant to </w:t>
      </w:r>
      <w:r>
        <w:rPr>
          <w:rFonts w:ascii="Times New Roman" w:cs="Times New Roman" w:eastAsia="Times New Roman" w:hAnsi="Times New Roman"/>
          <w:sz w:val="19"/>
          <w:szCs w:val="19"/>
          <w:u w:val="single" w:color="auto"/>
          <w:color w:val="auto"/>
        </w:rPr>
        <w:t>Section 5.12(b)(ii)(B)</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060" w:right="120" w:firstLine="172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Unsecured Longer-Term Indebtedness</w:t>
      </w:r>
      <w:r>
        <w:rPr>
          <w:rFonts w:ascii="Times New Roman" w:cs="Times New Roman" w:eastAsia="Times New Roman" w:hAnsi="Times New Roman"/>
          <w:sz w:val="19"/>
          <w:szCs w:val="19"/>
          <w:color w:val="auto"/>
        </w:rPr>
        <w:t xml:space="preserve">” means any Indebtedness of an Obligor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19"/>
          <w:szCs w:val="19"/>
          <w:u w:val="single" w:color="auto"/>
          <w:color w:val="auto"/>
        </w:rPr>
        <w:t>Section 6.01(m)</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 01(o</w:t>
      </w:r>
      <w:r>
        <w:rPr>
          <w:rFonts w:ascii="Times New Roman" w:cs="Times New Roman" w:eastAsia="Times New Roman" w:hAnsi="Times New Roman"/>
          <w:sz w:val="19"/>
          <w:szCs w:val="19"/>
          <w:color w:val="auto"/>
        </w:rPr>
        <w:t>)) prior to, and a final maturity date not earlier than, six months after the Extended Final Maturity Date (it being understood that (A) none of:</w:t>
      </w:r>
    </w:p>
    <w:p>
      <w:pPr>
        <w:spacing w:after="0" w:line="6" w:lineRule="exact"/>
        <w:rPr>
          <w:sz w:val="20"/>
          <w:szCs w:val="20"/>
          <w:color w:val="auto"/>
        </w:rPr>
      </w:pPr>
    </w:p>
    <w:p>
      <w:pPr>
        <w:ind w:left="1060" w:right="120"/>
        <w:spacing w:after="0" w:line="252" w:lineRule="auto"/>
        <w:rPr>
          <w:sz w:val="20"/>
          <w:szCs w:val="20"/>
          <w:color w:val="auto"/>
        </w:rPr>
      </w:pPr>
      <w:r>
        <w:rPr>
          <w:rFonts w:ascii="Times New Roman" w:cs="Times New Roman" w:eastAsia="Times New Roman" w:hAnsi="Times New Roman"/>
          <w:sz w:val="19"/>
          <w:szCs w:val="19"/>
          <w:color w:val="auto"/>
        </w:rPr>
        <w:t xml:space="preserve">(w)the conversion features </w:t>
      </w:r>
      <w:r>
        <w:rPr>
          <w:rFonts w:ascii="Times New Roman" w:cs="Times New Roman" w:eastAsia="Times New Roman" w:hAnsi="Times New Roman"/>
          <w:sz w:val="19"/>
          <w:szCs w:val="19"/>
          <w:u w:val="single" w:color="auto"/>
          <w:color w:val="0000FF"/>
        </w:rPr>
        <w:t>into Permitted Equity Interests</w:t>
      </w:r>
      <w:r>
        <w:rPr>
          <w:rFonts w:ascii="Times New Roman" w:cs="Times New Roman" w:eastAsia="Times New Roman" w:hAnsi="Times New Roman"/>
          <w:sz w:val="19"/>
          <w:szCs w:val="19"/>
          <w:color w:val="auto"/>
        </w:rPr>
        <w:t xml:space="preserve">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61" w:lineRule="exact"/>
        <w:rPr>
          <w:sz w:val="20"/>
          <w:szCs w:val="20"/>
          <w:color w:val="auto"/>
        </w:rPr>
      </w:pPr>
    </w:p>
    <w:p>
      <w:pPr>
        <w:ind w:left="1060" w:right="18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Unsecured Shorter- Term Indebtedness</w:t>
      </w:r>
      <w:r>
        <w:rPr>
          <w:rFonts w:ascii="Times New Roman" w:cs="Times New Roman" w:eastAsia="Times New Roman" w:hAnsi="Times New Roman"/>
          <w:sz w:val="19"/>
          <w:szCs w:val="19"/>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Times New Roman" w:cs="Times New Roman" w:eastAsia="Times New Roman" w:hAnsi="Times New Roman"/>
          <w:sz w:val="19"/>
          <w:szCs w:val="19"/>
          <w:u w:val="single" w:color="auto"/>
          <w:color w:val="auto"/>
        </w:rPr>
        <w:t>Section 6.11(a)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Unsecured Shorter-Term Indebtedness shall not include any Indebtedness permitted pursuant to </w:t>
      </w:r>
      <w:r>
        <w:rPr>
          <w:rFonts w:ascii="Times New Roman" w:cs="Times New Roman" w:eastAsia="Times New Roman" w:hAnsi="Times New Roman"/>
          <w:sz w:val="19"/>
          <w:szCs w:val="19"/>
          <w:u w:val="single" w:color="auto"/>
          <w:color w:val="auto"/>
        </w:rPr>
        <w:t>Section 6.01(l)</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left="1060" w:right="34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w:t>
      </w:r>
      <w:r>
        <w:rPr>
          <w:rFonts w:ascii="Times New Roman" w:cs="Times New Roman" w:eastAsia="Times New Roman" w:hAnsi="Times New Roman"/>
          <w:sz w:val="19"/>
          <w:szCs w:val="19"/>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5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means any day except for (i) a Saturday,</w:t>
      </w:r>
    </w:p>
    <w:p>
      <w:pPr>
        <w:spacing w:after="0" w:line="32" w:lineRule="exact"/>
        <w:rPr>
          <w:sz w:val="20"/>
          <w:szCs w:val="20"/>
          <w:color w:val="auto"/>
        </w:rPr>
      </w:pPr>
    </w:p>
    <w:p>
      <w:pPr>
        <w:ind w:left="1060" w:right="180" w:hanging="10"/>
        <w:spacing w:after="0" w:line="256" w:lineRule="auto"/>
        <w:tabs>
          <w:tab w:leader="none" w:pos="134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5" w:lineRule="exact"/>
        <w:rPr>
          <w:sz w:val="20"/>
          <w:szCs w:val="20"/>
          <w:color w:val="auto"/>
        </w:rPr>
      </w:pPr>
    </w:p>
    <w:p>
      <w:pPr>
        <w:ind w:left="1060" w:right="320" w:firstLine="174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Person</w:t>
      </w:r>
      <w:r>
        <w:rPr>
          <w:rFonts w:ascii="Times New Roman" w:cs="Times New Roman" w:eastAsia="Times New Roman" w:hAnsi="Times New Roman"/>
          <w:sz w:val="19"/>
          <w:szCs w:val="19"/>
          <w:color w:val="auto"/>
        </w:rPr>
        <w:t>” means any Person that is a “United States Person” as defined in Section 7701(a)(30) of the Code.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66" w:name="page167"/>
    <w:bookmarkEnd w:id="166"/>
    <w:p>
      <w:pPr>
        <w:spacing w:after="0" w:line="26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Value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060" w:right="8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Withdrawal Liability</w:t>
      </w:r>
      <w:r>
        <w:rPr>
          <w:rFonts w:ascii="Times New Roman" w:cs="Times New Roman" w:eastAsia="Times New Roman" w:hAnsi="Times New Roman"/>
          <w:sz w:val="19"/>
          <w:szCs w:val="19"/>
          <w:color w:val="auto"/>
        </w:rPr>
        <w:t>” means liability to a Multiemployer Plan as a result of a complete or partial withdrawal from such Multiemployer Plan, as such terms are defined in Part I of Subtitle E of Title IV of ERISA.</w:t>
      </w:r>
    </w:p>
    <w:p>
      <w:pPr>
        <w:spacing w:after="0" w:line="144" w:lineRule="exact"/>
        <w:rPr>
          <w:sz w:val="20"/>
          <w:szCs w:val="20"/>
          <w:color w:val="auto"/>
        </w:rPr>
      </w:pPr>
    </w:p>
    <w:p>
      <w:pPr>
        <w:ind w:left="1060" w:right="160" w:firstLine="172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 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0" w:lineRule="exact"/>
        <w:rPr>
          <w:sz w:val="20"/>
          <w:szCs w:val="20"/>
          <w:color w:val="auto"/>
        </w:rPr>
      </w:pPr>
    </w:p>
    <w:p>
      <w:pPr>
        <w:ind w:left="1060" w:right="120" w:firstLine="864"/>
        <w:spacing w:after="0" w:line="256" w:lineRule="auto"/>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u w:val="single" w:color="auto"/>
          <w:color w:val="auto"/>
        </w:rPr>
        <w:t>Classification of Loans and Borrowings</w:t>
      </w:r>
      <w:r>
        <w:rPr>
          <w:rFonts w:ascii="Times New Roman" w:cs="Times New Roman" w:eastAsia="Times New Roman" w:hAnsi="Times New Roman"/>
          <w:sz w:val="19"/>
          <w:szCs w:val="19"/>
          <w:color w:val="auto"/>
        </w:rPr>
        <w:t>. For purposes of this Agreement, Loans may be classified and referred to by Class (e.g., a “Syndicated Dollar Loan” or “Syndicated Multicurrency Loan”), by Type (e.g., an “ABR Loan”) or by Class and Type (e.g., a “Syndicated Multicurrency Term Benchmark Loan”). Borrowings also may be classified and referred to by Class (e.g., a “Dollar Borrowing”, “Multicurrency Borrowing” or “Syndicated Borrowing”), by Type (e.g., an “ABR Borrowing”) or by Class and Type (e.g., a “Syndicated ABR Borrowing” or “Syndicated Multicurrency Term Benchmark Borrowing”). Loans and Borrowings may also be identified by Currency.</w:t>
      </w:r>
    </w:p>
    <w:p>
      <w:pPr>
        <w:spacing w:after="0" w:line="157" w:lineRule="exact"/>
        <w:rPr>
          <w:sz w:val="20"/>
          <w:szCs w:val="20"/>
          <w:color w:val="auto"/>
        </w:rPr>
      </w:pPr>
    </w:p>
    <w:p>
      <w:pPr>
        <w:ind w:left="1060" w:right="120" w:firstLine="864"/>
        <w:spacing w:after="0" w:line="252" w:lineRule="auto"/>
        <w:rPr>
          <w:sz w:val="20"/>
          <w:szCs w:val="20"/>
          <w:color w:val="auto"/>
        </w:rPr>
      </w:pPr>
      <w:r>
        <w:rPr>
          <w:rFonts w:ascii="Times New Roman" w:cs="Times New Roman" w:eastAsia="Times New Roman" w:hAnsi="Times New Roman"/>
          <w:sz w:val="19"/>
          <w:szCs w:val="19"/>
          <w:color w:val="auto"/>
        </w:rPr>
        <w:t xml:space="preserve">SECTION 1.03. </w:t>
      </w:r>
      <w:r>
        <w:rPr>
          <w:rFonts w:ascii="Times New Roman" w:cs="Times New Roman" w:eastAsia="Times New Roman" w:hAnsi="Times New Roman"/>
          <w:sz w:val="19"/>
          <w:szCs w:val="19"/>
          <w:u w:val="single" w:color="auto"/>
          <w:color w:val="auto"/>
        </w:rPr>
        <w:t>Terms Generally</w:t>
      </w:r>
      <w:r>
        <w:rPr>
          <w:rFonts w:ascii="Times New Roman" w:cs="Times New Roman" w:eastAsia="Times New Roman" w:hAnsi="Times New Roman"/>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67" w:name="page168"/>
    <w:bookmarkEnd w:id="167"/>
    <w:p>
      <w:pPr>
        <w:spacing w:after="0" w:line="269" w:lineRule="exact"/>
        <w:rPr>
          <w:sz w:val="20"/>
          <w:szCs w:val="20"/>
          <w:color w:val="auto"/>
        </w:rPr>
      </w:pPr>
    </w:p>
    <w:p>
      <w:pPr>
        <w:jc w:val="both"/>
        <w:ind w:left="1060" w:right="220"/>
        <w:spacing w:after="0" w:line="268" w:lineRule="auto"/>
        <w:rPr>
          <w:sz w:val="20"/>
          <w:szCs w:val="20"/>
          <w:color w:val="auto"/>
        </w:rPr>
      </w:pPr>
      <w:r>
        <w:rPr>
          <w:rFonts w:ascii="Times New Roman" w:cs="Times New Roman" w:eastAsia="Times New Roman" w:hAnsi="Times New Roman"/>
          <w:sz w:val="19"/>
          <w:szCs w:val="19"/>
          <w:color w:val="auto"/>
        </w:rPr>
        <w:t>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44" w:lineRule="exact"/>
        <w:rPr>
          <w:sz w:val="20"/>
          <w:szCs w:val="20"/>
          <w:color w:val="auto"/>
        </w:rPr>
      </w:pPr>
    </w:p>
    <w:p>
      <w:pPr>
        <w:ind w:left="1060" w:right="80" w:firstLine="864"/>
        <w:spacing w:after="0" w:line="252"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Accounting Terms; GAAP</w:t>
      </w:r>
      <w:r>
        <w:rPr>
          <w:rFonts w:ascii="Times New Roman" w:cs="Times New Roman" w:eastAsia="Times New Roman" w:hAnsi="Times New Roman"/>
          <w:sz w:val="19"/>
          <w:szCs w:val="19"/>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Times New Roman" w:cs="Times New Roman" w:eastAsia="Times New Roman" w:hAnsi="Times New Roman"/>
          <w:sz w:val="19"/>
          <w:szCs w:val="19"/>
          <w:u w:val="single" w:color="auto"/>
          <w:color w:val="auto"/>
        </w:rPr>
        <w:t>ASU</w:t>
      </w:r>
      <w:r>
        <w:rPr>
          <w:rFonts w:ascii="Times New Roman" w:cs="Times New Roman" w:eastAsia="Times New Roman" w:hAnsi="Times New Roman"/>
          <w:sz w:val="19"/>
          <w:szCs w:val="19"/>
          <w:color w:val="auto"/>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38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Currencies; Currency Equivalents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10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(a)Currencies Generally</w:t>
      </w:r>
      <w:r>
        <w:rPr>
          <w:rFonts w:ascii="Times New Roman" w:cs="Times New Roman" w:eastAsia="Times New Roman" w:hAnsi="Times New Roman"/>
          <w:sz w:val="19"/>
          <w:szCs w:val="19"/>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and the last sentence of </w:t>
      </w:r>
      <w:r>
        <w:rPr>
          <w:rFonts w:ascii="Times New Roman" w:cs="Times New Roman" w:eastAsia="Times New Roman" w:hAnsi="Times New Roman"/>
          <w:sz w:val="19"/>
          <w:szCs w:val="19"/>
          <w:u w:val="single" w:color="auto"/>
          <w:color w:val="auto"/>
        </w:rPr>
        <w:t>Section 2.17(a)</w:t>
      </w:r>
      <w:r>
        <w:rPr>
          <w:rFonts w:ascii="Times New Roman" w:cs="Times New Roman" w:eastAsia="Times New Roman" w:hAnsi="Times New Roman"/>
          <w:sz w:val="19"/>
          <w:szCs w:val="19"/>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68" w:name="page169"/>
    <w:bookmarkEnd w:id="168"/>
    <w:p>
      <w:pPr>
        <w:spacing w:after="0" w:line="269" w:lineRule="exact"/>
        <w:rPr>
          <w:sz w:val="20"/>
          <w:szCs w:val="20"/>
          <w:color w:val="auto"/>
        </w:rPr>
      </w:pPr>
    </w:p>
    <w:p>
      <w:pPr>
        <w:ind w:left="1060" w:right="120"/>
        <w:spacing w:after="0" w:line="252" w:lineRule="auto"/>
        <w:rPr>
          <w:sz w:val="20"/>
          <w:szCs w:val="20"/>
          <w:color w:val="auto"/>
        </w:rPr>
      </w:pPr>
      <w:r>
        <w:rPr>
          <w:rFonts w:ascii="Times New Roman" w:cs="Times New Roman" w:eastAsia="Times New Roman" w:hAnsi="Times New Roman"/>
          <w:sz w:val="19"/>
          <w:szCs w:val="19"/>
          <w:color w:val="auto"/>
        </w:rPr>
        <w:t xml:space="preserve">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Times New Roman" w:cs="Times New Roman" w:eastAsia="Times New Roman" w:hAnsi="Times New Roman"/>
          <w:sz w:val="19"/>
          <w:szCs w:val="19"/>
          <w:color w:val="FF0000"/>
          <w:strike w:val="1"/>
        </w:rPr>
        <w:t>Sections</w:t>
      </w:r>
      <w:r>
        <w:rPr>
          <w:rFonts w:ascii="Times New Roman" w:cs="Times New Roman" w:eastAsia="Times New Roman" w:hAnsi="Times New Roman"/>
          <w:sz w:val="19"/>
          <w:szCs w:val="19"/>
          <w:color w:val="0000FF"/>
        </w:rPr>
        <w:t>Section 6.01(i), 6.01(m), 6.01(n), 6.01(o), 6.02(e), 6.02(i),</w:t>
      </w:r>
      <w:r>
        <w:rPr>
          <w:rFonts w:ascii="Times New Roman" w:cs="Times New Roman" w:eastAsia="Times New Roman" w:hAnsi="Times New Roman"/>
          <w:sz w:val="19"/>
          <w:szCs w:val="19"/>
          <w:color w:val="auto"/>
        </w:rPr>
        <w:t xml:space="preserve"> 6.03(g)</w:t>
      </w:r>
      <w:r>
        <w:rPr>
          <w:rFonts w:ascii="Times New Roman" w:cs="Times New Roman" w:eastAsia="Times New Roman" w:hAnsi="Times New Roman"/>
          <w:sz w:val="19"/>
          <w:szCs w:val="19"/>
          <w:color w:val="0000FF"/>
        </w:rPr>
        <w:t>,</w:t>
      </w:r>
    </w:p>
    <w:p>
      <w:pPr>
        <w:spacing w:after="0" w:line="9" w:lineRule="exact"/>
        <w:rPr>
          <w:sz w:val="20"/>
          <w:szCs w:val="20"/>
          <w:color w:val="auto"/>
        </w:rPr>
      </w:pPr>
    </w:p>
    <w:p>
      <w:pPr>
        <w:ind w:left="1060" w:right="320"/>
        <w:spacing w:after="0" w:line="262" w:lineRule="auto"/>
        <w:rPr>
          <w:sz w:val="20"/>
          <w:szCs w:val="20"/>
          <w:color w:val="auto"/>
        </w:rPr>
      </w:pPr>
      <w:r>
        <w:rPr>
          <w:rFonts w:ascii="Times New Roman" w:cs="Times New Roman" w:eastAsia="Times New Roman" w:hAnsi="Times New Roman"/>
          <w:sz w:val="19"/>
          <w:szCs w:val="19"/>
          <w:color w:val="0000FF"/>
        </w:rPr>
        <w:t xml:space="preserve">6.04(e) </w:t>
      </w:r>
      <w:r>
        <w:rPr>
          <w:rFonts w:ascii="Times New Roman" w:cs="Times New Roman" w:eastAsia="Times New Roman" w:hAnsi="Times New Roman"/>
          <w:sz w:val="19"/>
          <w:szCs w:val="19"/>
          <w:color w:val="000000"/>
        </w:rPr>
        <w:t>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6.04(f)</w:t>
      </w:r>
      <w:r>
        <w:rPr>
          <w:rFonts w:ascii="Times New Roman" w:cs="Times New Roman" w:eastAsia="Times New Roman" w:hAnsi="Times New Roman"/>
          <w:sz w:val="19"/>
          <w:szCs w:val="19"/>
          <w:color w:val="000000"/>
        </w:rPr>
        <w:t>, in no event shall the Borrower or any Obligor be deemed to not be in compliance with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such basket solely as a result of a change in exchange rates.</w:t>
      </w:r>
    </w:p>
    <w:p>
      <w:pPr>
        <w:spacing w:after="0" w:line="149" w:lineRule="exact"/>
        <w:rPr>
          <w:sz w:val="20"/>
          <w:szCs w:val="20"/>
          <w:color w:val="auto"/>
        </w:rPr>
      </w:pPr>
    </w:p>
    <w:p>
      <w:pPr>
        <w:ind w:left="1060" w:right="8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(b)Special Provisions Relating to Euro</w:t>
      </w:r>
      <w:r>
        <w:rPr>
          <w:rFonts w:ascii="Times New Roman" w:cs="Times New Roman" w:eastAsia="Times New Roman" w:hAnsi="Times New Roman"/>
          <w:sz w:val="19"/>
          <w:szCs w:val="19"/>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Borrowing denominated in such currency that is outstanding immediately prior to such date, such replacement shall take effect at the end of the Interest Period therefor.</w:t>
      </w:r>
    </w:p>
    <w:p>
      <w:pPr>
        <w:spacing w:after="0" w:line="389" w:lineRule="exact"/>
        <w:rPr>
          <w:sz w:val="20"/>
          <w:szCs w:val="20"/>
          <w:color w:val="auto"/>
        </w:rPr>
      </w:pPr>
    </w:p>
    <w:p>
      <w:pPr>
        <w:ind w:left="1060" w:right="120" w:firstLine="864"/>
        <w:spacing w:after="0" w:line="255" w:lineRule="auto"/>
        <w:rPr>
          <w:sz w:val="20"/>
          <w:szCs w:val="20"/>
          <w:color w:val="auto"/>
        </w:rPr>
      </w:pPr>
      <w:r>
        <w:rPr>
          <w:rFonts w:ascii="Times New Roman" w:cs="Times New Roman" w:eastAsia="Times New Roman" w:hAnsi="Times New Roman"/>
          <w:sz w:val="19"/>
          <w:szCs w:val="19"/>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60" w:lineRule="exact"/>
        <w:rPr>
          <w:sz w:val="20"/>
          <w:szCs w:val="20"/>
          <w:color w:val="auto"/>
        </w:rPr>
      </w:pPr>
    </w:p>
    <w:p>
      <w:pPr>
        <w:ind w:left="1060" w:right="600" w:firstLine="864"/>
        <w:spacing w:after="0" w:line="286"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u w:val="single" w:color="auto"/>
          <w:color w:val="0000FF"/>
        </w:rPr>
        <w:t>Letter of Credit Amounts. Unless otherwise specified herein, the amount of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Letter of Credit at any time shall be the stated amount of such Letter of Credit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69" w:name="page170"/>
    <w:bookmarkEnd w:id="169"/>
    <w:p>
      <w:pPr>
        <w:spacing w:after="0" w:line="269" w:lineRule="exact"/>
        <w:rPr>
          <w:sz w:val="20"/>
          <w:szCs w:val="20"/>
          <w:color w:val="auto"/>
        </w:rPr>
      </w:pPr>
    </w:p>
    <w:p>
      <w:pPr>
        <w:ind w:left="1060" w:right="40"/>
        <w:spacing w:after="0" w:line="286" w:lineRule="auto"/>
        <w:rPr>
          <w:sz w:val="20"/>
          <w:szCs w:val="20"/>
          <w:color w:val="auto"/>
        </w:rPr>
      </w:pPr>
      <w:r>
        <w:rPr>
          <w:rFonts w:ascii="Times New Roman" w:cs="Times New Roman" w:eastAsia="Times New Roman" w:hAnsi="Times New Roman"/>
          <w:sz w:val="19"/>
          <w:szCs w:val="19"/>
          <w:u w:val="single" w:color="auto"/>
          <w:color w:val="0000FF"/>
        </w:rPr>
        <w:t>available to be drawn at such time. Notwithstanding anything herein to the contrary, no Letter of Credit shall, by its terms, provide for any automatic increase in the available amount thereof.</w:t>
      </w:r>
    </w:p>
    <w:p>
      <w:pPr>
        <w:spacing w:after="0" w:line="127" w:lineRule="exact"/>
        <w:rPr>
          <w:sz w:val="20"/>
          <w:szCs w:val="20"/>
          <w:color w:val="auto"/>
        </w:rPr>
      </w:pPr>
    </w:p>
    <w:p>
      <w:pPr>
        <w:ind w:left="1060" w:right="120" w:firstLine="864"/>
        <w:spacing w:after="0" w:line="252" w:lineRule="auto"/>
        <w:rPr>
          <w:sz w:val="20"/>
          <w:szCs w:val="20"/>
          <w:color w:val="auto"/>
        </w:rPr>
      </w:pPr>
      <w:r>
        <w:rPr>
          <w:rFonts w:ascii="Times New Roman" w:cs="Times New Roman" w:eastAsia="Times New Roman" w:hAnsi="Times New Roman"/>
          <w:sz w:val="19"/>
          <w:szCs w:val="19"/>
          <w:u w:val="single" w:color="auto"/>
          <w:color w:val="0000FF"/>
        </w:rPr>
        <w:t>SECTION 1.07.</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SECTION 1.06.</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Rates</w:t>
      </w:r>
      <w:r>
        <w:rPr>
          <w:rFonts w:ascii="Times New Roman" w:cs="Times New Roman" w:eastAsia="Times New Roman" w:hAnsi="Times New Roman"/>
          <w:sz w:val="19"/>
          <w:szCs w:val="19"/>
          <w:color w:val="000000"/>
        </w:rPr>
        <w:t>. The Administrative Agent does not warrant or accept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responsibility for, and shall not have any liability with respect to (a) the continuation of, administration of, submission of, calculation of or any other matter related to the Alternate Base Rate, the Daily Simple RFR, or the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Daily Simple RFR, the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the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the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by any such information source or service of any such rate (or component thereof).</w:t>
      </w:r>
    </w:p>
    <w:p>
      <w:pPr>
        <w:spacing w:after="0" w:line="1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ARTICLE</w:t>
      </w:r>
    </w:p>
    <w:p>
      <w:pPr>
        <w:spacing w:after="0" w:line="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 xml:space="preserve">II </w:t>
      </w:r>
      <w:r>
        <w:rPr>
          <w:rFonts w:ascii="Times New Roman" w:cs="Times New Roman" w:eastAsia="Times New Roman" w:hAnsi="Times New Roman"/>
          <w:sz w:val="19"/>
          <w:szCs w:val="19"/>
          <w:u w:val="single" w:color="auto"/>
          <w:color w:val="auto"/>
        </w:rPr>
        <w:t>THE</w:t>
      </w:r>
    </w:p>
    <w:p>
      <w:pPr>
        <w:spacing w:after="0" w:line="1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u w:val="single" w:color="auto"/>
          <w:color w:val="auto"/>
        </w:rPr>
        <w:t>CREDITS</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2.01. </w:t>
      </w:r>
      <w:r>
        <w:rPr>
          <w:rFonts w:ascii="Times New Roman" w:cs="Times New Roman" w:eastAsia="Times New Roman" w:hAnsi="Times New Roman"/>
          <w:sz w:val="19"/>
          <w:szCs w:val="19"/>
          <w:u w:val="single" w:color="auto"/>
          <w:color w:val="auto"/>
        </w:rPr>
        <w:t>The Commitments</w:t>
      </w:r>
      <w:r>
        <w:rPr>
          <w:rFonts w:ascii="Times New Roman" w:cs="Times New Roman" w:eastAsia="Times New Roman" w:hAnsi="Times New Roman"/>
          <w:sz w:val="19"/>
          <w:szCs w:val="19"/>
          <w:color w:val="auto"/>
        </w:rPr>
        <w:t>. Subject to the terms and conditions set forth herein:</w:t>
      </w:r>
    </w:p>
    <w:p>
      <w:pPr>
        <w:spacing w:after="0" w:line="180" w:lineRule="exact"/>
        <w:rPr>
          <w:sz w:val="20"/>
          <w:szCs w:val="20"/>
          <w:color w:val="auto"/>
        </w:rPr>
      </w:pPr>
    </w:p>
    <w:p>
      <w:pPr>
        <w:ind w:left="1060" w:right="140" w:firstLine="864"/>
        <w:spacing w:after="0" w:line="257" w:lineRule="auto"/>
        <w:rPr>
          <w:sz w:val="20"/>
          <w:szCs w:val="20"/>
          <w:color w:val="auto"/>
        </w:rPr>
      </w:pPr>
      <w:r>
        <w:rPr>
          <w:rFonts w:ascii="Times New Roman" w:cs="Times New Roman" w:eastAsia="Times New Roman" w:hAnsi="Times New Roman"/>
          <w:sz w:val="19"/>
          <w:szCs w:val="19"/>
          <w:color w:val="auto"/>
        </w:rPr>
        <w:t>(a)each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57" w:lineRule="exact"/>
        <w:rPr>
          <w:sz w:val="20"/>
          <w:szCs w:val="20"/>
          <w:color w:val="auto"/>
        </w:rPr>
      </w:pPr>
    </w:p>
    <w:p>
      <w:pPr>
        <w:ind w:left="1060" w:right="200" w:firstLine="864"/>
        <w:spacing w:after="0" w:line="259" w:lineRule="auto"/>
        <w:rPr>
          <w:sz w:val="20"/>
          <w:szCs w:val="20"/>
          <w:color w:val="auto"/>
        </w:rPr>
      </w:pPr>
      <w:r>
        <w:rPr>
          <w:rFonts w:ascii="Times New Roman" w:cs="Times New Roman" w:eastAsia="Times New Roman" w:hAnsi="Times New Roman"/>
          <w:sz w:val="19"/>
          <w:szCs w:val="19"/>
          <w:color w:val="auto"/>
        </w:rPr>
        <w:t>(b)each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70" w:name="page171"/>
    <w:bookmarkEnd w:id="170"/>
    <w:p>
      <w:pPr>
        <w:spacing w:after="0" w:line="200" w:lineRule="exact"/>
        <w:rPr>
          <w:sz w:val="20"/>
          <w:szCs w:val="20"/>
          <w:color w:val="auto"/>
        </w:rPr>
      </w:pPr>
    </w:p>
    <w:p>
      <w:pPr>
        <w:spacing w:after="0" w:line="213" w:lineRule="exact"/>
        <w:rPr>
          <w:sz w:val="20"/>
          <w:szCs w:val="20"/>
          <w:color w:val="auto"/>
        </w:rPr>
      </w:pPr>
    </w:p>
    <w:p>
      <w:pPr>
        <w:jc w:val="right"/>
        <w:ind w:right="1300"/>
        <w:spacing w:after="0"/>
        <w:rPr>
          <w:sz w:val="20"/>
          <w:szCs w:val="20"/>
          <w:color w:val="auto"/>
        </w:rPr>
      </w:pPr>
      <w:r>
        <w:rPr>
          <w:rFonts w:ascii="Times New Roman" w:cs="Times New Roman" w:eastAsia="Times New Roman" w:hAnsi="Times New Roman"/>
          <w:sz w:val="19"/>
          <w:szCs w:val="19"/>
          <w:color w:val="auto"/>
        </w:rPr>
        <w:t>Multicurrency Lenders with Multicurrency Commitments then in effect exceeding the aggregate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71" w:name="page172"/>
    <w:bookmarkEnd w:id="171"/>
    <w:p>
      <w:pPr>
        <w:spacing w:after="0" w:line="269" w:lineRule="exact"/>
        <w:rPr>
          <w:sz w:val="20"/>
          <w:szCs w:val="20"/>
          <w:color w:val="auto"/>
        </w:rPr>
      </w:pPr>
    </w:p>
    <w:p>
      <w:pPr>
        <w:ind w:left="1060" w:right="480"/>
        <w:spacing w:after="0" w:line="286" w:lineRule="auto"/>
        <w:rPr>
          <w:sz w:val="20"/>
          <w:szCs w:val="20"/>
          <w:color w:val="auto"/>
        </w:rPr>
      </w:pPr>
      <w:r>
        <w:rPr>
          <w:rFonts w:ascii="Times New Roman" w:cs="Times New Roman" w:eastAsia="Times New Roman" w:hAnsi="Times New Roman"/>
          <w:sz w:val="19"/>
          <w:szCs w:val="19"/>
          <w:color w:val="auto"/>
        </w:rPr>
        <w:t>Multicurrency Commitments at such time or (iii) the total Covered Debt Amount exceeding the Borrowing Base then in effect.</w:t>
      </w:r>
    </w:p>
    <w:p>
      <w:pPr>
        <w:spacing w:after="0" w:line="127" w:lineRule="exact"/>
        <w:rPr>
          <w:sz w:val="20"/>
          <w:szCs w:val="20"/>
          <w:color w:val="auto"/>
        </w:rPr>
      </w:pPr>
    </w:p>
    <w:p>
      <w:pPr>
        <w:ind w:left="1060" w:right="300" w:firstLine="1716"/>
        <w:spacing w:after="0" w:line="286" w:lineRule="auto"/>
        <w:rPr>
          <w:sz w:val="20"/>
          <w:szCs w:val="20"/>
          <w:color w:val="auto"/>
        </w:rPr>
      </w:pPr>
      <w:r>
        <w:rPr>
          <w:rFonts w:ascii="Times New Roman" w:cs="Times New Roman" w:eastAsia="Times New Roman" w:hAnsi="Times New Roman"/>
          <w:sz w:val="19"/>
          <w:szCs w:val="19"/>
          <w:color w:val="auto"/>
        </w:rPr>
        <w:t>Within the foregoing limits and subject to the terms and conditions set forth herein, the Borrower may borrow, prepay and reborrow Syndicated Loans.</w:t>
      </w:r>
    </w:p>
    <w:p>
      <w:pPr>
        <w:spacing w:after="0" w:line="1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2.02. </w:t>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20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(a)Obligations of Lenders</w:t>
      </w:r>
      <w:r>
        <w:rPr>
          <w:rFonts w:ascii="Times New Roman" w:cs="Times New Roman" w:eastAsia="Times New Roman" w:hAnsi="Times New Roman"/>
          <w:sz w:val="19"/>
          <w:szCs w:val="19"/>
          <w:color w:val="auto"/>
        </w:rPr>
        <w:t xml:space="preserve">. Each Syndicated Loan shall be made as part of a Borrowing consisting of Loans of the same Class of Commitments (other than with respect to any Syndicated Loan requested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Commitments of the Lenders are several and no Lender shall be responsible for any other Lender’s failure to make Loans as required.</w:t>
      </w:r>
    </w:p>
    <w:p>
      <w:pPr>
        <w:spacing w:after="0" w:line="157" w:lineRule="exact"/>
        <w:rPr>
          <w:sz w:val="20"/>
          <w:szCs w:val="20"/>
          <w:color w:val="auto"/>
        </w:rPr>
      </w:pPr>
    </w:p>
    <w:p>
      <w:pPr>
        <w:ind w:left="1060" w:right="10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(b)Type of Loans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each Syndicated Borrowing of a Class shall be constituted entirely of ABR Loans, Term Benchmark Loans or RFR Loans of such Class denominated in a single Currency as the Borrower may request in accordance herewith. Each ABR Loan shall be denominated in Dollars. Each Term Benchmark Loan shall be denominated in Dollars or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the Borrower to repay such Loan in accordance with the terms of this Agreement.</w:t>
      </w:r>
    </w:p>
    <w:p>
      <w:pPr>
        <w:spacing w:after="0" w:line="160" w:lineRule="exact"/>
        <w:rPr>
          <w:sz w:val="20"/>
          <w:szCs w:val="20"/>
          <w:color w:val="auto"/>
        </w:rPr>
      </w:pPr>
    </w:p>
    <w:p>
      <w:pPr>
        <w:jc w:val="both"/>
        <w:ind w:left="1060" w:right="600" w:firstLine="864"/>
        <w:spacing w:after="0" w:line="258" w:lineRule="auto"/>
        <w:rPr>
          <w:sz w:val="20"/>
          <w:szCs w:val="20"/>
          <w:color w:val="auto"/>
        </w:rPr>
      </w:pPr>
      <w:r>
        <w:rPr>
          <w:rFonts w:ascii="Times New Roman" w:cs="Times New Roman" w:eastAsia="Times New Roman" w:hAnsi="Times New Roman"/>
          <w:sz w:val="19"/>
          <w:szCs w:val="19"/>
          <w:u w:val="single" w:color="auto"/>
          <w:color w:val="auto"/>
        </w:rPr>
        <w:t>(c)Minimum Amounts</w:t>
      </w:r>
      <w:r>
        <w:rPr>
          <w:rFonts w:ascii="Times New Roman" w:cs="Times New Roman" w:eastAsia="Times New Roman" w:hAnsi="Times New Roman"/>
          <w:sz w:val="19"/>
          <w:szCs w:val="19"/>
          <w:color w:val="auto"/>
        </w:rPr>
        <w:t>. Each Term Benchmark Borrowing and RFR Borrowing shall be in an aggregate amount of $1,000,000 or a larger multiple of $1,000,000, and each ABR Borrowing (whether a Syndicated Loan or a Swingline Loan) shall be in an aggregate amount of</w:t>
      </w:r>
    </w:p>
    <w:p>
      <w:pPr>
        <w:spacing w:after="0" w:line="2" w:lineRule="exact"/>
        <w:rPr>
          <w:sz w:val="20"/>
          <w:szCs w:val="20"/>
          <w:color w:val="auto"/>
        </w:rPr>
      </w:pPr>
    </w:p>
    <w:p>
      <w:pPr>
        <w:ind w:left="1060" w:right="220"/>
        <w:spacing w:after="0" w:line="253" w:lineRule="auto"/>
        <w:rPr>
          <w:sz w:val="20"/>
          <w:szCs w:val="20"/>
          <w:color w:val="auto"/>
        </w:rPr>
      </w:pPr>
      <w:r>
        <w:rPr>
          <w:rFonts w:ascii="Times New Roman" w:cs="Times New Roman" w:eastAsia="Times New Roman" w:hAnsi="Times New Roman"/>
          <w:sz w:val="19"/>
          <w:szCs w:val="19"/>
          <w:color w:val="auto"/>
        </w:rPr>
        <w:t xml:space="preserve">$1,000,000 or a larger multiple of $100,000 (or, in each case, such smaller amounts as may be agreed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Times New Roman" w:cs="Times New Roman" w:eastAsia="Times New Roman" w:hAnsi="Times New Roman"/>
          <w:sz w:val="19"/>
          <w:szCs w:val="19"/>
          <w:u w:val="single" w:color="auto"/>
          <w:color w:val="auto"/>
        </w:rPr>
        <w:t>Section 2.05(f)</w:t>
      </w:r>
      <w:r>
        <w:rPr>
          <w:rFonts w:ascii="Times New Roman" w:cs="Times New Roman" w:eastAsia="Times New Roman" w:hAnsi="Times New Roman"/>
          <w:sz w:val="19"/>
          <w:szCs w:val="19"/>
          <w:color w:val="auto"/>
        </w:rPr>
        <w:t>. Borrowings of more than one Class, Currency and Type may be outstanding at the same time.</w:t>
      </w:r>
    </w:p>
    <w:p>
      <w:pPr>
        <w:spacing w:after="0" w:line="159" w:lineRule="exact"/>
        <w:rPr>
          <w:sz w:val="20"/>
          <w:szCs w:val="20"/>
          <w:color w:val="auto"/>
        </w:rPr>
      </w:pPr>
    </w:p>
    <w:p>
      <w:pPr>
        <w:ind w:left="1060" w:right="160" w:firstLine="864"/>
        <w:spacing w:after="0" w:line="262" w:lineRule="auto"/>
        <w:rPr>
          <w:sz w:val="20"/>
          <w:szCs w:val="20"/>
          <w:color w:val="auto"/>
        </w:rPr>
      </w:pPr>
      <w:r>
        <w:rPr>
          <w:rFonts w:ascii="Times New Roman" w:cs="Times New Roman" w:eastAsia="Times New Roman" w:hAnsi="Times New Roman"/>
          <w:sz w:val="19"/>
          <w:szCs w:val="19"/>
          <w:u w:val="single" w:color="auto"/>
          <w:color w:val="auto"/>
        </w:rPr>
        <w:t>(d)Limitations on Interest Periods</w:t>
      </w:r>
      <w:r>
        <w:rPr>
          <w:rFonts w:ascii="Times New Roman" w:cs="Times New Roman" w:eastAsia="Times New Roman" w:hAnsi="Times New Roman"/>
          <w:sz w:val="19"/>
          <w:szCs w:val="19"/>
          <w:color w:val="auto"/>
        </w:rPr>
        <w:t>. Notwithstanding any other provision of this Agreement, the Borrower shall not be entitled to request (or to elect to convert to or continue as a Term Benchmark Borrowing or RFR Borrowing) any Borrowing if the Interest Period requested therefor would end after the Final Maturity Date with respect to such Borrowing.</w:t>
      </w:r>
    </w:p>
    <w:p>
      <w:pPr>
        <w:spacing w:after="0" w:line="150" w:lineRule="exact"/>
        <w:rPr>
          <w:sz w:val="20"/>
          <w:szCs w:val="20"/>
          <w:color w:val="auto"/>
        </w:rPr>
      </w:pPr>
    </w:p>
    <w:p>
      <w:pPr>
        <w:ind w:left="1060" w:right="12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(e)Treatment of Classes</w:t>
      </w:r>
      <w:r>
        <w:rPr>
          <w:rFonts w:ascii="Times New Roman" w:cs="Times New Roman" w:eastAsia="Times New Roman" w:hAnsi="Times New Roman"/>
          <w:sz w:val="19"/>
          <w:szCs w:val="19"/>
          <w:color w:val="auto"/>
        </w:rPr>
        <w:t>.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72" w:name="page173"/>
    <w:bookmarkEnd w:id="172"/>
    <w:p>
      <w:pPr>
        <w:spacing w:after="0" w:line="269" w:lineRule="exact"/>
        <w:rPr>
          <w:sz w:val="20"/>
          <w:szCs w:val="20"/>
          <w:color w:val="auto"/>
        </w:rPr>
      </w:pPr>
    </w:p>
    <w:p>
      <w:pPr>
        <w:ind w:left="1060" w:right="260"/>
        <w:spacing w:after="0" w:line="257" w:lineRule="auto"/>
        <w:rPr>
          <w:sz w:val="20"/>
          <w:szCs w:val="20"/>
          <w:color w:val="auto"/>
        </w:rPr>
      </w:pPr>
      <w:r>
        <w:rPr>
          <w:rFonts w:ascii="Times New Roman" w:cs="Times New Roman" w:eastAsia="Times New Roman" w:hAnsi="Times New Roman"/>
          <w:sz w:val="19"/>
          <w:szCs w:val="19"/>
          <w:color w:val="auto"/>
        </w:rPr>
        <w:t xml:space="preserve">upon the percentage of the aggregate Commitments represented by the Dollar Commitments and the Multicurrency Commitments, respectively;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ratable share of such Syndicated Loan, Swingline Loan or Letter of Credit that would be applied to the Multicurrency Commitments pursuant to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exceeds the unused Multicurrency Commitments, such excess shall be allocated to the Dollar Commitments (rather than the Multicurrency Commitments) up to an amount not to exceed the unused Dollar Commitments.</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2.03. </w:t>
      </w:r>
      <w:r>
        <w:rPr>
          <w:rFonts w:ascii="Times New Roman" w:cs="Times New Roman" w:eastAsia="Times New Roman" w:hAnsi="Times New Roman"/>
          <w:sz w:val="19"/>
          <w:szCs w:val="19"/>
          <w:u w:val="single" w:color="auto"/>
          <w:color w:val="auto"/>
        </w:rPr>
        <w:t>Requests for Syndicated Borrowings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jc w:val="both"/>
        <w:ind w:left="1060" w:right="640" w:firstLine="864"/>
        <w:spacing w:after="0" w:line="258" w:lineRule="auto"/>
        <w:rPr>
          <w:sz w:val="20"/>
          <w:szCs w:val="20"/>
          <w:color w:val="auto"/>
        </w:rPr>
      </w:pPr>
      <w:r>
        <w:rPr>
          <w:rFonts w:ascii="Times New Roman" w:cs="Times New Roman" w:eastAsia="Times New Roman" w:hAnsi="Times New Roman"/>
          <w:sz w:val="19"/>
          <w:szCs w:val="19"/>
          <w:u w:val="single" w:color="auto"/>
          <w:color w:val="auto"/>
        </w:rPr>
        <w:t>(a)Notice by the Borrower</w:t>
      </w:r>
      <w:r>
        <w:rPr>
          <w:rFonts w:ascii="Times New Roman" w:cs="Times New Roman" w:eastAsia="Times New Roman" w:hAnsi="Times New Roman"/>
          <w:sz w:val="19"/>
          <w:szCs w:val="19"/>
          <w:color w:val="auto"/>
        </w:rPr>
        <w:t>. To request a Syndicated Borrowing, the Borrower shall notify the Administrative Agent of such request by telephone or electronic communication (i) in the case of a Term Benchmark Borrowing denominated in Dollars, not later than 11:00 a.m., New York City time, three (3)</w:t>
      </w:r>
    </w:p>
    <w:p>
      <w:pPr>
        <w:spacing w:after="0" w:line="2" w:lineRule="exact"/>
        <w:rPr>
          <w:sz w:val="20"/>
          <w:szCs w:val="20"/>
          <w:color w:val="auto"/>
        </w:rPr>
      </w:pPr>
    </w:p>
    <w:p>
      <w:pPr>
        <w:ind w:left="1060" w:right="220"/>
        <w:spacing w:after="0" w:line="252" w:lineRule="auto"/>
        <w:rPr>
          <w:sz w:val="20"/>
          <w:szCs w:val="20"/>
          <w:color w:val="auto"/>
        </w:rPr>
      </w:pPr>
      <w:r>
        <w:rPr>
          <w:rFonts w:ascii="Times New Roman" w:cs="Times New Roman" w:eastAsia="Times New Roman" w:hAnsi="Times New Roman"/>
          <w:sz w:val="19"/>
          <w:szCs w:val="19"/>
          <w:color w:val="auto"/>
        </w:rPr>
        <w:t>Business Days before the date of the proposed Borrowing, (ii) in the case of a Term Benchmark Borrowing denominated in a Foreign Currency, not later than 11:00 a.m., New York City time, four (4) Business Days before the date of the proposed Borrowing, (iii) in the case of an RFR Borrowing, not later than 11:00 a.m., New York City time, four (4)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electronic communication or telecopy to the Administrative Agent of a written Borrowing Request in a form reasonably approved by the Administrative Agent and signed by the Borrower.</w:t>
      </w:r>
    </w:p>
    <w:p>
      <w:pPr>
        <w:spacing w:after="0" w:line="159" w:lineRule="exact"/>
        <w:rPr>
          <w:sz w:val="20"/>
          <w:szCs w:val="20"/>
          <w:color w:val="auto"/>
        </w:rPr>
      </w:pPr>
    </w:p>
    <w:p>
      <w:pPr>
        <w:ind w:left="1060" w:right="360" w:firstLine="864"/>
        <w:spacing w:after="0" w:line="286" w:lineRule="auto"/>
        <w:rPr>
          <w:sz w:val="20"/>
          <w:szCs w:val="20"/>
          <w:color w:val="auto"/>
        </w:rPr>
      </w:pPr>
      <w:r>
        <w:rPr>
          <w:rFonts w:ascii="Times New Roman" w:cs="Times New Roman" w:eastAsia="Times New Roman" w:hAnsi="Times New Roman"/>
          <w:sz w:val="19"/>
          <w:szCs w:val="19"/>
          <w:u w:val="single" w:color="auto"/>
          <w:color w:val="auto"/>
        </w:rPr>
        <w:t>(b)Content of Borrowing Requests</w:t>
      </w:r>
      <w:r>
        <w:rPr>
          <w:rFonts w:ascii="Times New Roman" w:cs="Times New Roman" w:eastAsia="Times New Roman" w:hAnsi="Times New Roman"/>
          <w:sz w:val="19"/>
          <w:szCs w:val="19"/>
          <w:color w:val="auto"/>
        </w:rPr>
        <w:t xml:space="preserve"> . Each telephonic and written Borrowing Request shall specify the following information in compliance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760" w:right="960" w:firstLine="936"/>
        <w:spacing w:after="0" w:line="286" w:lineRule="auto"/>
        <w:rPr>
          <w:sz w:val="20"/>
          <w:szCs w:val="20"/>
          <w:color w:val="auto"/>
        </w:rPr>
      </w:pPr>
      <w:r>
        <w:rPr>
          <w:rFonts w:ascii="Times New Roman" w:cs="Times New Roman" w:eastAsia="Times New Roman" w:hAnsi="Times New Roman"/>
          <w:sz w:val="19"/>
          <w:szCs w:val="19"/>
          <w:color w:val="auto"/>
        </w:rPr>
        <w:t>(i)whether such Borrowing is to be made under the Dollar Commitments or the Multicurrency Commitments;</w:t>
      </w:r>
    </w:p>
    <w:p>
      <w:pPr>
        <w:spacing w:after="0" w:line="127" w:lineRule="exact"/>
        <w:rPr>
          <w:sz w:val="20"/>
          <w:szCs w:val="20"/>
          <w:color w:val="auto"/>
        </w:rPr>
      </w:pPr>
    </w:p>
    <w:p>
      <w:pPr>
        <w:ind w:left="2460" w:right="2080"/>
        <w:spacing w:after="0" w:line="461" w:lineRule="auto"/>
        <w:rPr>
          <w:sz w:val="20"/>
          <w:szCs w:val="20"/>
          <w:color w:val="auto"/>
        </w:rPr>
      </w:pPr>
      <w:r>
        <w:rPr>
          <w:rFonts w:ascii="Times New Roman" w:cs="Times New Roman" w:eastAsia="Times New Roman" w:hAnsi="Times New Roman"/>
          <w:sz w:val="19"/>
          <w:szCs w:val="19"/>
          <w:color w:val="auto"/>
        </w:rPr>
        <w:t>(ii)the aggregate amount and Currency of the requested Borrowing; (iii)the date of such Borrowing, which shall be a Business Day;</w:t>
      </w:r>
    </w:p>
    <w:p>
      <w:pPr>
        <w:spacing w:after="0" w:line="1" w:lineRule="exact"/>
        <w:rPr>
          <w:sz w:val="20"/>
          <w:szCs w:val="20"/>
          <w:color w:val="auto"/>
        </w:rPr>
      </w:pPr>
    </w:p>
    <w:p>
      <w:pPr>
        <w:ind w:left="1760" w:right="880" w:firstLine="936"/>
        <w:spacing w:after="0" w:line="286" w:lineRule="auto"/>
        <w:rPr>
          <w:sz w:val="20"/>
          <w:szCs w:val="20"/>
          <w:color w:val="auto"/>
        </w:rPr>
      </w:pPr>
      <w:r>
        <w:rPr>
          <w:rFonts w:ascii="Times New Roman" w:cs="Times New Roman" w:eastAsia="Times New Roman" w:hAnsi="Times New Roman"/>
          <w:sz w:val="19"/>
          <w:szCs w:val="19"/>
          <w:color w:val="auto"/>
        </w:rPr>
        <w:t>(iv)in the case of a Syndicated Borrowing denominated in Dollars, whether such Borrowing is to be an ABR Borrowing or a Term Benchmark Borrowing;</w:t>
      </w:r>
    </w:p>
    <w:p>
      <w:pPr>
        <w:spacing w:after="0" w:line="127" w:lineRule="exact"/>
        <w:rPr>
          <w:sz w:val="20"/>
          <w:szCs w:val="20"/>
          <w:color w:val="auto"/>
        </w:rPr>
      </w:pPr>
    </w:p>
    <w:p>
      <w:pPr>
        <w:ind w:left="1760" w:right="180" w:firstLine="948"/>
        <w:spacing w:after="0" w:line="286" w:lineRule="auto"/>
        <w:rPr>
          <w:sz w:val="20"/>
          <w:szCs w:val="20"/>
          <w:color w:val="auto"/>
        </w:rPr>
      </w:pPr>
      <w:r>
        <w:rPr>
          <w:rFonts w:ascii="Times New Roman" w:cs="Times New Roman" w:eastAsia="Times New Roman" w:hAnsi="Times New Roman"/>
          <w:sz w:val="19"/>
          <w:szCs w:val="19"/>
          <w:color w:val="auto"/>
        </w:rPr>
        <w:t>(v)in the case of a Borrowing denominated in an Agreed Foreign Currency, whether such Borrowing is to be a Term Benchmark Borrowing or an RFR Borrowing;</w:t>
      </w:r>
    </w:p>
    <w:p>
      <w:pPr>
        <w:spacing w:after="0" w:line="127" w:lineRule="exact"/>
        <w:rPr>
          <w:sz w:val="20"/>
          <w:szCs w:val="20"/>
          <w:color w:val="auto"/>
        </w:rPr>
      </w:pPr>
    </w:p>
    <w:p>
      <w:pPr>
        <w:ind w:left="1760" w:right="340" w:firstLine="936"/>
        <w:spacing w:after="0" w:line="268" w:lineRule="auto"/>
        <w:rPr>
          <w:sz w:val="20"/>
          <w:szCs w:val="20"/>
          <w:color w:val="auto"/>
        </w:rPr>
      </w:pPr>
      <w:r>
        <w:rPr>
          <w:rFonts w:ascii="Times New Roman" w:cs="Times New Roman" w:eastAsia="Times New Roman" w:hAnsi="Times New Roman"/>
          <w:sz w:val="19"/>
          <w:szCs w:val="19"/>
          <w:color w:val="auto"/>
        </w:rPr>
        <w:t xml:space="preserve">(vi)in the case of a Term Benchmark Borrowing or RFR Borrowing, the Interest Period therefor, which shall be a period contemplated by the definition of the term “Interest Period” and permitted under </w:t>
      </w:r>
      <w:r>
        <w:rPr>
          <w:rFonts w:ascii="Times New Roman" w:cs="Times New Roman" w:eastAsia="Times New Roman" w:hAnsi="Times New Roman"/>
          <w:sz w:val="19"/>
          <w:szCs w:val="19"/>
          <w:u w:val="single" w:color="auto"/>
          <w:color w:val="auto"/>
        </w:rPr>
        <w:t>Section 2.02(d)</w:t>
      </w:r>
      <w:r>
        <w:rPr>
          <w:rFonts w:ascii="Times New Roman" w:cs="Times New Roman" w:eastAsia="Times New Roman" w:hAnsi="Times New Roman"/>
          <w:sz w:val="19"/>
          <w:szCs w:val="19"/>
          <w:color w:val="auto"/>
        </w:rPr>
        <w:t>; and</w:t>
      </w:r>
    </w:p>
    <w:p>
      <w:pPr>
        <w:spacing w:after="0" w:line="1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(vii)the location and number of the Borrower’s account to which funds are to be</w:t>
      </w:r>
    </w:p>
    <w:p>
      <w:pPr>
        <w:spacing w:after="0" w:line="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disbursed.</w:t>
      </w:r>
    </w:p>
    <w:p>
      <w:pPr>
        <w:spacing w:after="0" w:line="180" w:lineRule="exact"/>
        <w:rPr>
          <w:sz w:val="20"/>
          <w:szCs w:val="20"/>
          <w:color w:val="auto"/>
        </w:rPr>
      </w:pPr>
    </w:p>
    <w:p>
      <w:pPr>
        <w:ind w:left="1060" w:right="320" w:firstLine="864"/>
        <w:spacing w:after="0" w:line="286" w:lineRule="auto"/>
        <w:rPr>
          <w:sz w:val="20"/>
          <w:szCs w:val="20"/>
          <w:color w:val="auto"/>
        </w:rPr>
      </w:pPr>
      <w:r>
        <w:rPr>
          <w:rFonts w:ascii="Times New Roman" w:cs="Times New Roman" w:eastAsia="Times New Roman" w:hAnsi="Times New Roman"/>
          <w:sz w:val="19"/>
          <w:szCs w:val="19"/>
          <w:u w:val="single" w:color="auto"/>
          <w:color w:val="auto"/>
        </w:rPr>
        <w:t>(c)Notice by the Administrative Agent to the Lenders</w:t>
      </w:r>
      <w:r>
        <w:rPr>
          <w:rFonts w:ascii="Times New Roman" w:cs="Times New Roman" w:eastAsia="Times New Roman" w:hAnsi="Times New Roman"/>
          <w:sz w:val="19"/>
          <w:szCs w:val="19"/>
          <w:color w:val="auto"/>
        </w:rPr>
        <w:t>. Promptly following receipt of a Borrowing Request in accordance with this Section, the Administrative Agent shall advise each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73" w:name="page174"/>
    <w:bookmarkEnd w:id="173"/>
    <w:p>
      <w:pPr>
        <w:spacing w:after="0" w:line="269" w:lineRule="exact"/>
        <w:rPr>
          <w:sz w:val="20"/>
          <w:szCs w:val="20"/>
          <w:color w:val="auto"/>
        </w:rPr>
      </w:pPr>
    </w:p>
    <w:p>
      <w:pPr>
        <w:ind w:left="1060" w:right="460"/>
        <w:spacing w:after="0" w:line="286" w:lineRule="auto"/>
        <w:rPr>
          <w:sz w:val="20"/>
          <w:szCs w:val="20"/>
          <w:color w:val="auto"/>
        </w:rPr>
      </w:pPr>
      <w:r>
        <w:rPr>
          <w:rFonts w:ascii="Times New Roman" w:cs="Times New Roman" w:eastAsia="Times New Roman" w:hAnsi="Times New Roman"/>
          <w:sz w:val="19"/>
          <w:szCs w:val="19"/>
          <w:color w:val="auto"/>
        </w:rPr>
        <w:t>applicable Lender of the details thereof and of the amounts of such Lender’s Loan to be made as part of the requested Borrowing.</w:t>
      </w:r>
    </w:p>
    <w:p>
      <w:pPr>
        <w:spacing w:after="0" w:line="127" w:lineRule="exact"/>
        <w:rPr>
          <w:sz w:val="20"/>
          <w:szCs w:val="20"/>
          <w:color w:val="auto"/>
        </w:rPr>
      </w:pPr>
    </w:p>
    <w:p>
      <w:pPr>
        <w:ind w:left="1060" w:right="20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(d)Failure to Elect</w:t>
      </w:r>
      <w:r>
        <w:rPr>
          <w:rFonts w:ascii="Times New Roman" w:cs="Times New Roman" w:eastAsia="Times New Roman" w:hAnsi="Times New Roman"/>
          <w:sz w:val="19"/>
          <w:szCs w:val="19"/>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Term Benchmark Borrowing having an Interest Period of one month and, if an Agreed Foreign Currency has been specified, the requested Syndicated Borrowing shall be a Term Benchmark Borrowing or RFR Borrowing, as applicable, denominated in such Agreed Foreign Currency and having an Interest Period of one month. If a Term Benchmark Borrowing or RFR Borrowing is requested but no Interest Period is specified, (i) if the Currency specified for such Borrowing is Dollars (or if no Currency has been specified), the requested Borrowing shall be a Term Benchmark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2.04. </w:t>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14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(a)Agreement to Make Swingline Loans</w:t>
      </w:r>
      <w:r>
        <w:rPr>
          <w:rFonts w:ascii="Times New Roman" w:cs="Times New Roman" w:eastAsia="Times New Roman" w:hAnsi="Times New Roman"/>
          <w:sz w:val="19"/>
          <w:szCs w:val="19"/>
          <w:color w:val="auto"/>
        </w:rPr>
        <w:t xml:space="preserve">.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$150,000,000 or the aggregate principal amount of outstanding Swingline Loans of any Swingline Lender exceeding the amount set forth opposite the name of such Swingline Lender on </w:t>
      </w:r>
      <w:r>
        <w:rPr>
          <w:rFonts w:ascii="Times New Roman" w:cs="Times New Roman" w:eastAsia="Times New Roman" w:hAnsi="Times New Roman"/>
          <w:sz w:val="19"/>
          <w:szCs w:val="19"/>
          <w:u w:val="single" w:color="auto"/>
          <w:color w:val="auto"/>
        </w:rPr>
        <w:t>Schedule 2.04</w:t>
      </w:r>
      <w:r>
        <w:rPr>
          <w:rFonts w:ascii="Times New Roman" w:cs="Times New Roman" w:eastAsia="Times New Roman" w:hAnsi="Times New Roman"/>
          <w:sz w:val="19"/>
          <w:szCs w:val="19"/>
          <w:color w:val="auto"/>
        </w:rPr>
        <w:t xml:space="preserve">, (ii)(A) in the case of any Swingline Lender with a Dollar Commitment, the sum of such Swingline Lender’s outstanding Dollar Loans, its LC Exposure, its outstanding Swingline Loans and (without duplication) its other Swingline Exposure exceeding its Dollar Commitment and (B) in the case of any Swingline Lender with a Multicurrency Commitment, the sum of such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397" w:lineRule="exact"/>
        <w:rPr>
          <w:sz w:val="20"/>
          <w:szCs w:val="20"/>
          <w:color w:val="auto"/>
        </w:rPr>
      </w:pPr>
    </w:p>
    <w:p>
      <w:pPr>
        <w:ind w:left="1060" w:right="20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(b)Notice of Swingline Loans by the Borrower</w:t>
      </w:r>
      <w:r>
        <w:rPr>
          <w:rFonts w:ascii="Times New Roman" w:cs="Times New Roman" w:eastAsia="Times New Roman" w:hAnsi="Times New Roman"/>
          <w:sz w:val="19"/>
          <w:szCs w:val="19"/>
          <w:color w:val="auto"/>
        </w:rPr>
        <w:t>. To request a Swingline Loan, the Borrower shall notify the Administrative Agent of such request by telephone (confirmed by telecopy or electronic communication) not later than 1:00 p.m., New York City time, on the day of such proposed Swingline Loan. Each such notice shall be irrevocable and shall specify the Swingline Lender from which such Swingline Loan shall be made, the requested date (which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74" w:name="page175"/>
    <w:bookmarkEnd w:id="174"/>
    <w:p>
      <w:pPr>
        <w:spacing w:after="0" w:line="269" w:lineRule="exact"/>
        <w:rPr>
          <w:sz w:val="20"/>
          <w:szCs w:val="20"/>
          <w:color w:val="auto"/>
        </w:rPr>
      </w:pPr>
    </w:p>
    <w:p>
      <w:pPr>
        <w:ind w:left="1060" w:right="200"/>
        <w:spacing w:after="0" w:line="255" w:lineRule="auto"/>
        <w:rPr>
          <w:sz w:val="20"/>
          <w:szCs w:val="20"/>
          <w:color w:val="auto"/>
        </w:rPr>
      </w:pPr>
      <w:r>
        <w:rPr>
          <w:rFonts w:ascii="Times New Roman" w:cs="Times New Roman" w:eastAsia="Times New Roman" w:hAnsi="Times New Roman"/>
          <w:sz w:val="19"/>
          <w:szCs w:val="19"/>
          <w:color w:val="auto"/>
        </w:rPr>
        <w:t xml:space="preserve">shall be a Business Day) and the amount of the requested Swingline Loan. The Administrative Agent will promptly advise the applicable Swingline Lender of any such notice received from the Borrower. Each Swingline Lender shall make each applicable Swingline Loan by wire transfer of immediately available funds to the account of the Administrative Agent most recently designated by it for such purpose by notice to the Lenders by 4:00 p.m., New York City time, on the requested date of such Swingline Loan. The Administrative Agent will make such Swingline Loans available to the Borrower by promptly crediting the amounts so received, in like funds, to an account of the Borrower designated by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Swingline Loans made to finance the reimbursement of an LC Disbursement as provided in </w:t>
      </w:r>
      <w:r>
        <w:rPr>
          <w:rFonts w:ascii="Times New Roman" w:cs="Times New Roman" w:eastAsia="Times New Roman" w:hAnsi="Times New Roman"/>
          <w:sz w:val="19"/>
          <w:szCs w:val="19"/>
          <w:u w:val="single" w:color="auto"/>
          <w:color w:val="auto"/>
        </w:rPr>
        <w:t>Section 2.05(f)</w:t>
      </w:r>
      <w:r>
        <w:rPr>
          <w:rFonts w:ascii="Times New Roman" w:cs="Times New Roman" w:eastAsia="Times New Roman" w:hAnsi="Times New Roman"/>
          <w:sz w:val="19"/>
          <w:szCs w:val="19"/>
          <w:color w:val="auto"/>
        </w:rPr>
        <w:t xml:space="preserve"> shall be remitted by the Administrative Agent to the applicable Issuing Bank.</w:t>
      </w:r>
    </w:p>
    <w:p>
      <w:pPr>
        <w:spacing w:after="0" w:line="155" w:lineRule="exact"/>
        <w:rPr>
          <w:sz w:val="20"/>
          <w:szCs w:val="20"/>
          <w:color w:val="auto"/>
        </w:rPr>
      </w:pPr>
    </w:p>
    <w:p>
      <w:pPr>
        <w:ind w:left="1060" w:right="18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(c)Participations by Lenders in Swingline Loans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any Swingline Lender may by written notice given to the Administrative Agent not later than 10:00 a.m., New York City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as the case may be, of such Swingline Loan or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required to purchase a participation in a Swingline Loan pursuant to this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if</w:t>
      </w:r>
    </w:p>
    <w:p>
      <w:pPr>
        <w:spacing w:after="0" w:line="6" w:lineRule="exact"/>
        <w:rPr>
          <w:sz w:val="20"/>
          <w:szCs w:val="20"/>
          <w:color w:val="auto"/>
        </w:rPr>
      </w:pPr>
    </w:p>
    <w:p>
      <w:pPr>
        <w:ind w:left="1060" w:right="340" w:hanging="10"/>
        <w:spacing w:after="0" w:line="252" w:lineRule="auto"/>
        <w:tabs>
          <w:tab w:leader="none" w:pos="1332"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161" w:lineRule="exact"/>
        <w:rPr>
          <w:sz w:val="20"/>
          <w:szCs w:val="20"/>
          <w:color w:val="auto"/>
        </w:rPr>
      </w:pPr>
    </w:p>
    <w:p>
      <w:pPr>
        <w:ind w:left="1060" w:right="160" w:firstLine="1728"/>
        <w:spacing w:after="0" w:line="253" w:lineRule="auto"/>
        <w:rPr>
          <w:sz w:val="20"/>
          <w:szCs w:val="20"/>
          <w:color w:val="auto"/>
        </w:rPr>
      </w:pPr>
      <w:r>
        <w:rPr>
          <w:rFonts w:ascii="Times New Roman" w:cs="Times New Roman" w:eastAsia="Times New Roman" w:hAnsi="Times New Roman"/>
          <w:sz w:val="19"/>
          <w:szCs w:val="19"/>
          <w:color w:val="auto"/>
        </w:rPr>
        <w:t xml:space="preserve">Subject to the foregoing and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each Lender acknowledges and agrees that its obligation to acquire participations in Swingline Loans pursuant to this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with respect to Loans made by such Lender (and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shall 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75" w:name="page176"/>
    <w:bookmarkEnd w:id="175"/>
    <w:p>
      <w:pPr>
        <w:spacing w:after="0" w:line="269" w:lineRule="exact"/>
        <w:rPr>
          <w:sz w:val="20"/>
          <w:szCs w:val="20"/>
          <w:color w:val="auto"/>
        </w:rPr>
      </w:pPr>
    </w:p>
    <w:p>
      <w:pPr>
        <w:ind w:left="1060" w:right="100"/>
        <w:spacing w:after="0" w:line="257" w:lineRule="auto"/>
        <w:rPr>
          <w:sz w:val="20"/>
          <w:szCs w:val="20"/>
          <w:color w:val="auto"/>
        </w:rPr>
      </w:pPr>
      <w:r>
        <w:rPr>
          <w:rFonts w:ascii="Times New Roman" w:cs="Times New Roman" w:eastAsia="Times New Roman" w:hAnsi="Times New Roman"/>
          <w:sz w:val="19"/>
          <w:szCs w:val="19"/>
          <w:color w:val="auto"/>
        </w:rPr>
        <w:t>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57" w:lineRule="exact"/>
        <w:rPr>
          <w:sz w:val="20"/>
          <w:szCs w:val="20"/>
          <w:color w:val="auto"/>
        </w:rPr>
      </w:pPr>
    </w:p>
    <w:p>
      <w:pPr>
        <w:ind w:left="1060" w:right="8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(d)Resignation and Replacement of Swingline Lender</w:t>
      </w:r>
      <w:r>
        <w:rPr>
          <w:rFonts w:ascii="Times New Roman" w:cs="Times New Roman" w:eastAsia="Times New Roman" w:hAnsi="Times New Roman"/>
          <w:sz w:val="19"/>
          <w:szCs w:val="19"/>
          <w:color w:val="auto"/>
        </w:rPr>
        <w:t>. Any Swingline Lender may resign and be replaced at any time by written agreement among the Borrower, the Administrative Agent, the replaced Swingline Lender and a successor Swingline Lender. The Administrative Agent shall notify the Lenders of any such replacement of any Swingline Lender. In addition if any Swingline Lender, in its capacity as a Lender, assigns all of its Loans and Commitments in connection with the terms of this Agreement, such Swingline Lender shall be deemed to have automatically resigned as a Swingline Lender hereunder. The Administrative Agent shall notify the Lenders of any such replacement of any Swingline Lender. At the time any such replacement or resignation shall become effective, the Borrower shall pay all unpaid fees accrued for the account of the replaced or resigning Swingline Lender pursuant Section 2.11. From and after the effective date of any such replacement, (i) the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or resignation of the Swingline Lender hereunder, the replaced or resigning Swingline Lender shall have no obligation to make additional Swingline Loans.</w:t>
      </w:r>
    </w:p>
    <w:p>
      <w:pPr>
        <w:spacing w:after="0" w:line="169" w:lineRule="exact"/>
        <w:rPr>
          <w:sz w:val="20"/>
          <w:szCs w:val="20"/>
          <w:color w:val="auto"/>
        </w:rPr>
      </w:pPr>
    </w:p>
    <w:p>
      <w:pPr>
        <w:ind w:left="1060" w:right="10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(e)Designation of Additional Swingline Lenders</w:t>
      </w:r>
      <w:r>
        <w:rPr>
          <w:rFonts w:ascii="Times New Roman" w:cs="Times New Roman" w:eastAsia="Times New Roman" w:hAnsi="Times New Roman"/>
          <w:sz w:val="19"/>
          <w:szCs w:val="19"/>
          <w:color w:val="auto"/>
        </w:rPr>
        <w:t>. The Borrower may, at any time and from time to time, with the consent of the Administrative Agent (which consent shall not be unreasonably withheld), designate as additional Swingline Lenders one (1) or more Lenders that agree to serve in such capacity as provided below. The acceptance by a Lender of an appointment as a Swingline Lender hereunder shall be evidenced by an agreement, which shall be in form and substance reasonably satisfactory to the Administrative Agent, executed by the Borrower, the Administrative Agent and such designated Lender and, from and after the effective date of such agreement, (i) such Lender shall have all the rights and obligations of a Swingline Lender under this Agreement and the other Loan Documents and (ii) references herein or therein to the term “Swingline Lender” shall be deemed to include such Lender in its capacity as a maker of Swingline Loans hereunder.</w:t>
      </w:r>
    </w:p>
    <w:p>
      <w:pPr>
        <w:spacing w:after="0" w:line="39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2.05. </w:t>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34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(a)General</w:t>
      </w:r>
      <w:r>
        <w:rPr>
          <w:rFonts w:ascii="Times New Roman" w:cs="Times New Roman" w:eastAsia="Times New Roman" w:hAnsi="Times New Roman"/>
          <w:sz w:val="19"/>
          <w:szCs w:val="19"/>
          <w:color w:val="auto"/>
        </w:rPr>
        <w:t xml:space="preserve">. Subject to the terms and conditions set forth herein, in addition to the Loans provided for in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76" w:name="page177"/>
    <w:bookmarkEnd w:id="176"/>
    <w:p>
      <w:pPr>
        <w:spacing w:after="0" w:line="269" w:lineRule="exact"/>
        <w:rPr>
          <w:sz w:val="20"/>
          <w:szCs w:val="20"/>
          <w:color w:val="auto"/>
        </w:rPr>
      </w:pPr>
    </w:p>
    <w:p>
      <w:pPr>
        <w:ind w:left="1060" w:right="80"/>
        <w:spacing w:after="0" w:line="255" w:lineRule="auto"/>
        <w:rPr>
          <w:sz w:val="20"/>
          <w:szCs w:val="20"/>
          <w:color w:val="auto"/>
        </w:rPr>
      </w:pPr>
      <w:r>
        <w:rPr>
          <w:rFonts w:ascii="Times New Roman" w:cs="Times New Roman" w:eastAsia="Times New Roman" w:hAnsi="Times New Roman"/>
          <w:sz w:val="19"/>
          <w:szCs w:val="19"/>
          <w:color w:val="auto"/>
        </w:rPr>
        <w:t xml:space="preserve">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Times New Roman" w:cs="Times New Roman" w:eastAsia="Times New Roman" w:hAnsi="Times New Roman"/>
          <w:sz w:val="19"/>
          <w:szCs w:val="19"/>
          <w:u w:val="single" w:color="auto"/>
          <w:color w:val="auto"/>
        </w:rPr>
        <w:t>Section 2. 05</w:t>
      </w:r>
      <w:r>
        <w:rPr>
          <w:rFonts w:ascii="Times New Roman" w:cs="Times New Roman" w:eastAsia="Times New Roman" w:hAnsi="Times New Roman"/>
          <w:sz w:val="19"/>
          <w:szCs w:val="19"/>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60" w:lineRule="exact"/>
        <w:rPr>
          <w:sz w:val="20"/>
          <w:szCs w:val="20"/>
          <w:color w:val="auto"/>
        </w:rPr>
      </w:pPr>
    </w:p>
    <w:p>
      <w:pPr>
        <w:ind w:left="1060" w:right="8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(b)Notice of Issuance, Amendment, Renewal or Extension</w:t>
      </w:r>
      <w:r>
        <w:rPr>
          <w:rFonts w:ascii="Times New Roman" w:cs="Times New Roman" w:eastAsia="Times New Roman" w:hAnsi="Times New Roman"/>
          <w:sz w:val="19"/>
          <w:szCs w:val="19"/>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71" w:lineRule="exact"/>
        <w:rPr>
          <w:sz w:val="20"/>
          <w:szCs w:val="20"/>
          <w:color w:val="auto"/>
        </w:rPr>
      </w:pPr>
    </w:p>
    <w:p>
      <w:pPr>
        <w:ind w:left="1060" w:right="8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(c)Limitations on Amounts</w:t>
      </w:r>
      <w:r>
        <w:rPr>
          <w:rFonts w:ascii="Times New Roman" w:cs="Times New Roman" w:eastAsia="Times New Roman" w:hAnsi="Times New Roman"/>
          <w:sz w:val="19"/>
          <w:szCs w:val="19"/>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 xml:space="preserve"> of this Section) shall not exceed the amount set forth opposite the name of such Issuing Bank on </w:t>
      </w:r>
      <w:r>
        <w:rPr>
          <w:rFonts w:ascii="Times New Roman" w:cs="Times New Roman" w:eastAsia="Times New Roman" w:hAnsi="Times New Roman"/>
          <w:sz w:val="19"/>
          <w:szCs w:val="19"/>
          <w:u w:val="single" w:color="auto"/>
          <w:color w:val="auto"/>
        </w:rPr>
        <w:t>Schedule 2.05</w:t>
      </w:r>
      <w:r>
        <w:rPr>
          <w:rFonts w:ascii="Times New Roman" w:cs="Times New Roman" w:eastAsia="Times New Roman" w:hAnsi="Times New Roman"/>
          <w:sz w:val="19"/>
          <w:szCs w:val="19"/>
          <w:color w:val="auto"/>
        </w:rPr>
        <w:t xml:space="preserve"> (or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and (iv)(A) with respect to each Issuing Bank that is a Swingline Lender with a Dollar Commitment, the sum of such Swingline Lender’s outstanding Dollar Loans, its LC Exposure, its outstanding Swingline Loans and (without duplication) its other Swingline Exposure shall not exceed its Dollar Commitment then in effect and (B) with respect to each Issuing Bank that is a Swingline Lender with a Multicurrency Commitment, the sum of such Swingline Lender’s outstanding Multicurrency Loans, its LC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77" w:name="page178"/>
    <w:bookmarkEnd w:id="177"/>
    <w:p>
      <w:pPr>
        <w:spacing w:after="0" w:line="200" w:lineRule="exact"/>
        <w:rPr>
          <w:sz w:val="20"/>
          <w:szCs w:val="20"/>
          <w:color w:val="auto"/>
        </w:rPr>
      </w:pPr>
    </w:p>
    <w:p>
      <w:pPr>
        <w:spacing w:after="0" w:line="213" w:lineRule="exact"/>
        <w:rPr>
          <w:sz w:val="20"/>
          <w:szCs w:val="20"/>
          <w:color w:val="auto"/>
        </w:rPr>
      </w:pPr>
    </w:p>
    <w:p>
      <w:pPr>
        <w:jc w:val="right"/>
        <w:ind w:right="4380"/>
        <w:spacing w:after="0"/>
        <w:rPr>
          <w:sz w:val="20"/>
          <w:szCs w:val="20"/>
          <w:color w:val="auto"/>
        </w:rPr>
      </w:pPr>
      <w:r>
        <w:rPr>
          <w:rFonts w:ascii="Times New Roman" w:cs="Times New Roman" w:eastAsia="Times New Roman" w:hAnsi="Times New Roman"/>
          <w:sz w:val="19"/>
          <w:szCs w:val="19"/>
          <w:color w:val="auto"/>
        </w:rPr>
        <w:t>Exposure, its outstanding Swingline Loans and (without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78" w:name="page179"/>
    <w:bookmarkEnd w:id="178"/>
    <w:p>
      <w:pPr>
        <w:spacing w:after="0" w:line="269" w:lineRule="exact"/>
        <w:rPr>
          <w:sz w:val="20"/>
          <w:szCs w:val="20"/>
          <w:color w:val="auto"/>
        </w:rPr>
      </w:pPr>
    </w:p>
    <w:p>
      <w:pPr>
        <w:ind w:left="1060" w:right="340"/>
        <w:spacing w:after="0" w:line="286" w:lineRule="auto"/>
        <w:rPr>
          <w:sz w:val="20"/>
          <w:szCs w:val="20"/>
          <w:color w:val="auto"/>
        </w:rPr>
      </w:pPr>
      <w:r>
        <w:rPr>
          <w:rFonts w:ascii="Times New Roman" w:cs="Times New Roman" w:eastAsia="Times New Roman" w:hAnsi="Times New Roman"/>
          <w:sz w:val="19"/>
          <w:szCs w:val="19"/>
          <w:color w:val="auto"/>
        </w:rPr>
        <w:t>duplication) its other Swingline Exposure shall not exceed its Multicurrency Commitment then in effect; and (v) the total Covered Debt Amount shall not exceed the Borrowing Base then in effect.</w:t>
      </w:r>
    </w:p>
    <w:p>
      <w:pPr>
        <w:spacing w:after="0" w:line="127" w:lineRule="exact"/>
        <w:rPr>
          <w:sz w:val="20"/>
          <w:szCs w:val="20"/>
          <w:color w:val="auto"/>
        </w:rPr>
      </w:pPr>
    </w:p>
    <w:p>
      <w:pPr>
        <w:ind w:left="1060" w:right="8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(d)Expiration Date</w:t>
      </w:r>
      <w:r>
        <w:rPr>
          <w:rFonts w:ascii="Times New Roman" w:cs="Times New Roman" w:eastAsia="Times New Roman" w:hAnsi="Times New Roman"/>
          <w:sz w:val="19"/>
          <w:szCs w:val="19"/>
          <w:color w:val="auto"/>
        </w:rPr>
        <w:t xml:space="preserve">. Each Letter of Credit shall expire at or prior to the close of business on the date twelve months after the date of the issuance of such Letter of Credit (or, in the case of any renewal or extension thereof, twelve months after the then- current expiration date of such Letter of Credit, so long as such renewal or extension occurs within three months of such then -current expiration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Letter of Credit with a one-year term may provide for the renewal thereof for additional one- year periods. No Letter of Credit may be renewed following the earlier to occur of the Extended Commitment Termination Date and the Termination Date, except to the extent that the relevant Letter of Credit is Cash Collateralized no later than five</w:t>
      </w:r>
    </w:p>
    <w:p>
      <w:pPr>
        <w:spacing w:after="0" w:line="6" w:lineRule="exact"/>
        <w:rPr>
          <w:sz w:val="20"/>
          <w:szCs w:val="20"/>
          <w:color w:val="auto"/>
        </w:rPr>
      </w:pPr>
    </w:p>
    <w:p>
      <w:pPr>
        <w:ind w:left="1060" w:right="180" w:hanging="10"/>
        <w:spacing w:after="0" w:line="256" w:lineRule="auto"/>
        <w:tabs>
          <w:tab w:leader="none" w:pos="1332"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prior to the Extended Commitment Termination Date or Termination Date, as applicable, or supported by another letter of credit, in each case pursuant to arrangements reasonably satisfactory to the applicable Issuing Bank and the Administrative Agent.</w:t>
      </w:r>
    </w:p>
    <w:p>
      <w:pPr>
        <w:spacing w:after="0" w:line="155" w:lineRule="exact"/>
        <w:rPr>
          <w:sz w:val="20"/>
          <w:szCs w:val="20"/>
          <w:color w:val="auto"/>
        </w:rPr>
      </w:pPr>
    </w:p>
    <w:p>
      <w:pPr>
        <w:ind w:left="1060" w:right="14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(e)Participations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required to purchase a participation in a Letter of Credit pursuant to this </w:t>
      </w:r>
      <w:r>
        <w:rPr>
          <w:rFonts w:ascii="Times New Roman" w:cs="Times New Roman" w:eastAsia="Times New Roman" w:hAnsi="Times New Roman"/>
          <w:sz w:val="19"/>
          <w:szCs w:val="19"/>
          <w:u w:val="single" w:color="auto"/>
          <w:color w:val="auto"/>
        </w:rPr>
        <w:t>Section 2.05(e)</w:t>
      </w:r>
      <w:r>
        <w:rPr>
          <w:rFonts w:ascii="Times New Roman" w:cs="Times New Roman" w:eastAsia="Times New Roman" w:hAnsi="Times New Roman"/>
          <w:sz w:val="19"/>
          <w:szCs w:val="19"/>
          <w:color w:val="auto"/>
        </w:rPr>
        <w:t xml:space="preserve"> if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would not be satisfied in respect of a Borrowing at the time such Letter of Credit was issued and</w:t>
      </w:r>
    </w:p>
    <w:p>
      <w:pPr>
        <w:spacing w:after="0" w:line="5" w:lineRule="exact"/>
        <w:rPr>
          <w:sz w:val="20"/>
          <w:szCs w:val="20"/>
          <w:color w:val="auto"/>
        </w:rPr>
      </w:pPr>
    </w:p>
    <w:p>
      <w:pPr>
        <w:ind w:left="1060" w:right="200" w:hanging="10"/>
        <w:spacing w:after="0" w:line="252" w:lineRule="auto"/>
        <w:tabs>
          <w:tab w:leader="none" w:pos="1332"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or any Lender shall have so notified such Issuing Bank in writing at least two (2)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(2)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161" w:lineRule="exact"/>
        <w:rPr>
          <w:sz w:val="20"/>
          <w:szCs w:val="20"/>
          <w:color w:val="auto"/>
        </w:rPr>
      </w:pPr>
    </w:p>
    <w:p>
      <w:pPr>
        <w:ind w:left="1060" w:right="160" w:firstLine="1728"/>
        <w:spacing w:after="0" w:line="256" w:lineRule="auto"/>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79" w:name="page180"/>
    <w:bookmarkEnd w:id="179"/>
    <w:p>
      <w:pPr>
        <w:spacing w:after="0" w:line="269" w:lineRule="exact"/>
        <w:rPr>
          <w:sz w:val="20"/>
          <w:szCs w:val="20"/>
          <w:color w:val="auto"/>
        </w:rPr>
      </w:pPr>
    </w:p>
    <w:p>
      <w:pPr>
        <w:ind w:left="1060" w:right="120"/>
        <w:spacing w:after="0" w:line="254" w:lineRule="auto"/>
        <w:rPr>
          <w:sz w:val="20"/>
          <w:szCs w:val="20"/>
          <w:color w:val="auto"/>
        </w:rPr>
      </w:pPr>
      <w:r>
        <w:rPr>
          <w:rFonts w:ascii="Times New Roman" w:cs="Times New Roman" w:eastAsia="Times New Roman" w:hAnsi="Times New Roman"/>
          <w:sz w:val="19"/>
          <w:szCs w:val="19"/>
          <w:color w:val="auto"/>
        </w:rPr>
        <w:t xml:space="preserve">payment is required to be refunded to the Borrower for any reason. Such payment shall be made without any offset, abatement, withholding or reduction whatsoever. Each such payment shall be made in the same manner as provided in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with respect to Loans made by such Lender (and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shall apply, </w:t>
      </w:r>
      <w:r>
        <w:rPr>
          <w:rFonts w:ascii="Times New Roman" w:cs="Times New Roman" w:eastAsia="Times New Roman" w:hAnsi="Times New Roman"/>
          <w:sz w:val="19"/>
          <w:szCs w:val="19"/>
          <w:u w:val="single" w:color="auto"/>
          <w:color w:val="auto"/>
        </w:rPr>
        <w:t>mutatis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mutandis</w:t>
      </w:r>
      <w:r>
        <w:rPr>
          <w:rFonts w:ascii="Times New Roman" w:cs="Times New Roman" w:eastAsia="Times New Roman" w:hAnsi="Times New Roman"/>
          <w:sz w:val="19"/>
          <w:szCs w:val="19"/>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157" w:lineRule="exact"/>
        <w:rPr>
          <w:sz w:val="20"/>
          <w:szCs w:val="20"/>
          <w:color w:val="auto"/>
        </w:rPr>
      </w:pPr>
    </w:p>
    <w:p>
      <w:pPr>
        <w:ind w:left="1060" w:right="22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(f)Reimbursement</w:t>
      </w:r>
      <w:r>
        <w:rPr>
          <w:rFonts w:ascii="Times New Roman" w:cs="Times New Roman" w:eastAsia="Times New Roman" w:hAnsi="Times New Roman"/>
          <w:sz w:val="19"/>
          <w:szCs w:val="19"/>
          <w:color w:val="auto"/>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LC Disbursement is not less than $1,000,000 (or such smaller amount as may be agreed to by the Administrative Agent) and is denominated in Dollars, the Borrower may, subject to the conditions to borrowing set forth herein, request in accordance with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2.04</w:t>
      </w:r>
      <w:r>
        <w:rPr>
          <w:rFonts w:ascii="Times New Roman" w:cs="Times New Roman" w:eastAsia="Times New Roman" w:hAnsi="Times New Roman"/>
          <w:sz w:val="19"/>
          <w:szCs w:val="19"/>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65" w:lineRule="exact"/>
        <w:rPr>
          <w:sz w:val="20"/>
          <w:szCs w:val="20"/>
          <w:color w:val="auto"/>
        </w:rPr>
      </w:pPr>
    </w:p>
    <w:p>
      <w:pPr>
        <w:ind w:left="1060" w:right="380" w:firstLine="1728"/>
        <w:spacing w:after="0" w:line="262" w:lineRule="auto"/>
        <w:rPr>
          <w:sz w:val="20"/>
          <w:szCs w:val="20"/>
          <w:color w:val="auto"/>
        </w:rPr>
      </w:pPr>
      <w:r>
        <w:rPr>
          <w:rFonts w:ascii="Times New Roman" w:cs="Times New Roman" w:eastAsia="Times New Roman" w:hAnsi="Times New Roman"/>
          <w:sz w:val="19"/>
          <w:szCs w:val="19"/>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50" w:lineRule="exact"/>
        <w:rPr>
          <w:sz w:val="20"/>
          <w:szCs w:val="20"/>
          <w:color w:val="auto"/>
        </w:rPr>
      </w:pPr>
    </w:p>
    <w:p>
      <w:pPr>
        <w:ind w:left="1060" w:right="10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(g)Obligations Absolute</w:t>
      </w:r>
      <w:r>
        <w:rPr>
          <w:rFonts w:ascii="Times New Roman" w:cs="Times New Roman" w:eastAsia="Times New Roman" w:hAnsi="Times New Roman"/>
          <w:sz w:val="19"/>
          <w:szCs w:val="19"/>
          <w:color w:val="auto"/>
        </w:rPr>
        <w:t xml:space="preserve">. The Borrower’s obligation to reimburse LC Disbursements as provided in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80" w:name="page181"/>
    <w:bookmarkEnd w:id="180"/>
    <w:p>
      <w:pPr>
        <w:spacing w:after="0" w:line="269" w:lineRule="exact"/>
        <w:rPr>
          <w:sz w:val="20"/>
          <w:szCs w:val="20"/>
          <w:color w:val="auto"/>
        </w:rPr>
      </w:pPr>
    </w:p>
    <w:p>
      <w:pPr>
        <w:ind w:left="1060" w:right="80" w:firstLine="1728"/>
        <w:spacing w:after="0" w:line="253" w:lineRule="auto"/>
        <w:rPr>
          <w:sz w:val="20"/>
          <w:szCs w:val="20"/>
          <w:color w:val="auto"/>
        </w:rPr>
      </w:pPr>
      <w:r>
        <w:rPr>
          <w:rFonts w:ascii="Times New Roman" w:cs="Times New Roman" w:eastAsia="Times New Roman" w:hAnsi="Times New Roman"/>
          <w:sz w:val="19"/>
          <w:szCs w:val="19"/>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fraud, gross negligence or willful misconduct </w:t>
      </w:r>
      <w:r>
        <w:rPr>
          <w:rFonts w:ascii="Times New Roman" w:cs="Times New Roman" w:eastAsia="Times New Roman" w:hAnsi="Times New Roman"/>
          <w:sz w:val="19"/>
          <w:szCs w:val="19"/>
          <w:u w:val="single" w:color="auto"/>
          <w:color w:val="0000FF"/>
        </w:rPr>
        <w:t>as finally determined by a court of competent jurisdiction</w:t>
      </w:r>
      <w:r>
        <w:rPr>
          <w:rFonts w:ascii="Times New Roman" w:cs="Times New Roman" w:eastAsia="Times New Roman" w:hAnsi="Times New Roman"/>
          <w:sz w:val="19"/>
          <w:szCs w:val="19"/>
          <w:color w:val="auto"/>
        </w:rPr>
        <w:t xml:space="preserve"> when determining whether drafts and other documents presented under a Letter of Credit comply with the terms thereof. The parties hereto expressly agree that:</w:t>
      </w:r>
    </w:p>
    <w:p>
      <w:pPr>
        <w:spacing w:after="0" w:line="161" w:lineRule="exact"/>
        <w:rPr>
          <w:sz w:val="20"/>
          <w:szCs w:val="20"/>
          <w:color w:val="auto"/>
        </w:rPr>
      </w:pPr>
    </w:p>
    <w:p>
      <w:pPr>
        <w:ind w:left="1760" w:right="280" w:firstLine="936"/>
        <w:spacing w:after="0" w:line="259" w:lineRule="auto"/>
        <w:rPr>
          <w:sz w:val="20"/>
          <w:szCs w:val="20"/>
          <w:color w:val="auto"/>
        </w:rPr>
      </w:pPr>
      <w:r>
        <w:rPr>
          <w:rFonts w:ascii="Times New Roman" w:cs="Times New Roman" w:eastAsia="Times New Roman" w:hAnsi="Times New Roman"/>
          <w:sz w:val="19"/>
          <w:szCs w:val="19"/>
          <w:color w:val="auto"/>
        </w:rPr>
        <w:t>(i)the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54" w:lineRule="exact"/>
        <w:rPr>
          <w:sz w:val="20"/>
          <w:szCs w:val="20"/>
          <w:color w:val="auto"/>
        </w:rPr>
      </w:pPr>
    </w:p>
    <w:p>
      <w:pPr>
        <w:jc w:val="both"/>
        <w:ind w:left="1760" w:right="120" w:firstLine="936"/>
        <w:spacing w:after="0" w:line="268" w:lineRule="auto"/>
        <w:rPr>
          <w:sz w:val="20"/>
          <w:szCs w:val="20"/>
          <w:color w:val="auto"/>
        </w:rPr>
      </w:pPr>
      <w:r>
        <w:rPr>
          <w:rFonts w:ascii="Times New Roman" w:cs="Times New Roman" w:eastAsia="Times New Roman" w:hAnsi="Times New Roman"/>
          <w:sz w:val="19"/>
          <w:szCs w:val="19"/>
          <w:color w:val="auto"/>
        </w:rPr>
        <w:t>(ii)the Issuing Banks shall have the right, in their sole discretion, to decline to accept such documents and to make such payment if such documents are not in strict compliance with the terms of such Letter of Credit; and</w:t>
      </w:r>
    </w:p>
    <w:p>
      <w:pPr>
        <w:spacing w:after="0" w:line="144" w:lineRule="exact"/>
        <w:rPr>
          <w:sz w:val="20"/>
          <w:szCs w:val="20"/>
          <w:color w:val="auto"/>
        </w:rPr>
      </w:pPr>
    </w:p>
    <w:p>
      <w:pPr>
        <w:ind w:left="1760" w:right="140" w:firstLine="936"/>
        <w:spacing w:after="0" w:line="262" w:lineRule="auto"/>
        <w:rPr>
          <w:sz w:val="20"/>
          <w:szCs w:val="20"/>
          <w:color w:val="auto"/>
        </w:rPr>
      </w:pPr>
      <w:r>
        <w:rPr>
          <w:rFonts w:ascii="Times New Roman" w:cs="Times New Roman" w:eastAsia="Times New Roman" w:hAnsi="Times New Roman"/>
          <w:sz w:val="19"/>
          <w:szCs w:val="19"/>
          <w:color w:val="auto"/>
        </w:rPr>
        <w:t>(iii)this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50" w:lineRule="exact"/>
        <w:rPr>
          <w:sz w:val="20"/>
          <w:szCs w:val="20"/>
          <w:color w:val="auto"/>
        </w:rPr>
      </w:pPr>
    </w:p>
    <w:p>
      <w:pPr>
        <w:ind w:left="1060" w:right="8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(h)Disbursement Procedures</w:t>
      </w:r>
      <w:r>
        <w:rPr>
          <w:rFonts w:ascii="Times New Roman" w:cs="Times New Roman" w:eastAsia="Times New Roman" w:hAnsi="Times New Roman"/>
          <w:sz w:val="19"/>
          <w:szCs w:val="19"/>
          <w:color w:val="auto"/>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or electronic communication) of such demand for payment and whether such Issuing Bank has made or will make an LC Disbursement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392" w:lineRule="exact"/>
        <w:rPr>
          <w:sz w:val="20"/>
          <w:szCs w:val="20"/>
          <w:color w:val="auto"/>
        </w:rPr>
      </w:pPr>
    </w:p>
    <w:p>
      <w:pPr>
        <w:ind w:left="1060" w:right="180" w:firstLine="864"/>
        <w:spacing w:after="0" w:line="257" w:lineRule="auto"/>
        <w:rPr>
          <w:sz w:val="20"/>
          <w:szCs w:val="20"/>
          <w:color w:val="auto"/>
        </w:rPr>
      </w:pPr>
      <w:r>
        <w:rPr>
          <w:rFonts w:ascii="Times New Roman" w:cs="Times New Roman" w:eastAsia="Times New Roman" w:hAnsi="Times New Roman"/>
          <w:sz w:val="19"/>
          <w:szCs w:val="19"/>
          <w:u w:val="single" w:color="auto"/>
          <w:color w:val="auto"/>
        </w:rPr>
        <w:t>(i)Interim Interest</w:t>
      </w:r>
      <w:r>
        <w:rPr>
          <w:rFonts w:ascii="Times New Roman" w:cs="Times New Roman" w:eastAsia="Times New Roman" w:hAnsi="Times New Roman"/>
          <w:sz w:val="19"/>
          <w:szCs w:val="19"/>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fails to reimburse such LC Disbursement within two (2)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81" w:name="page182"/>
    <w:bookmarkEnd w:id="181"/>
    <w:p>
      <w:pPr>
        <w:spacing w:after="0" w:line="269" w:lineRule="exact"/>
        <w:rPr>
          <w:sz w:val="20"/>
          <w:szCs w:val="20"/>
          <w:color w:val="auto"/>
        </w:rPr>
      </w:pPr>
    </w:p>
    <w:p>
      <w:pPr>
        <w:ind w:left="1060" w:right="100"/>
        <w:spacing w:after="0" w:line="259" w:lineRule="auto"/>
        <w:rPr>
          <w:sz w:val="20"/>
          <w:szCs w:val="20"/>
          <w:color w:val="auto"/>
        </w:rPr>
      </w:pPr>
      <w:r>
        <w:rPr>
          <w:rFonts w:ascii="Times New Roman" w:cs="Times New Roman" w:eastAsia="Times New Roman" w:hAnsi="Times New Roman"/>
          <w:sz w:val="19"/>
          <w:szCs w:val="19"/>
          <w:color w:val="auto"/>
        </w:rPr>
        <w:t xml:space="preserve">Business Days following the date when due pursuant to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this Section, then the provisions of </w:t>
      </w:r>
      <w:r>
        <w:rPr>
          <w:rFonts w:ascii="Times New Roman" w:cs="Times New Roman" w:eastAsia="Times New Roman" w:hAnsi="Times New Roman"/>
          <w:sz w:val="19"/>
          <w:szCs w:val="19"/>
          <w:u w:val="single" w:color="auto"/>
          <w:color w:val="auto"/>
        </w:rPr>
        <w:t>Section 2.12(d)</w:t>
      </w:r>
      <w:r>
        <w:rPr>
          <w:rFonts w:ascii="Times New Roman" w:cs="Times New Roman" w:eastAsia="Times New Roman" w:hAnsi="Times New Roman"/>
          <w:sz w:val="19"/>
          <w:szCs w:val="19"/>
          <w:color w:val="auto"/>
        </w:rPr>
        <w:t xml:space="preserve"> shall apply. Interest accrued pursuant to this paragraph shall be for account of the applicable Issuing Bank, except that interest accrued on and after the date of payment by any Lender pursuant to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this Section to reimburse such Issuing Bank shall be for account of such Lender to the extent of such payment.</w:t>
      </w:r>
    </w:p>
    <w:p>
      <w:pPr>
        <w:spacing w:after="0" w:line="154" w:lineRule="exact"/>
        <w:rPr>
          <w:sz w:val="20"/>
          <w:szCs w:val="20"/>
          <w:color w:val="auto"/>
        </w:rPr>
      </w:pPr>
    </w:p>
    <w:p>
      <w:pPr>
        <w:ind w:left="1060" w:right="10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(j)Resignation and/or Replacement of an Issuing Bank</w:t>
      </w:r>
      <w:r>
        <w:rPr>
          <w:rFonts w:ascii="Times New Roman" w:cs="Times New Roman" w:eastAsia="Times New Roman" w:hAnsi="Times New Roman"/>
          <w:sz w:val="19"/>
          <w:szCs w:val="19"/>
          <w:color w:val="auto"/>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Borrower shall be required if a Specified Event of Default has occurred and is continuing), resign as an Issuing Bank hereunder upon not less than three (3) Business Days prior written notice to the Administrative Agent and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63" w:lineRule="exact"/>
        <w:rPr>
          <w:sz w:val="20"/>
          <w:szCs w:val="20"/>
          <w:color w:val="auto"/>
        </w:rPr>
      </w:pPr>
    </w:p>
    <w:p>
      <w:pPr>
        <w:ind w:left="1060" w:right="10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(k)Cash Collateralization</w:t>
      </w:r>
      <w:r>
        <w:rPr>
          <w:rFonts w:ascii="Times New Roman" w:cs="Times New Roman" w:eastAsia="Times New Roman" w:hAnsi="Times New Roman"/>
          <w:sz w:val="19"/>
          <w:szCs w:val="19"/>
          <w:color w:val="auto"/>
        </w:rPr>
        <w:t xml:space="preserve">. If the Borrower shall be required to provide Cash Collateral for LC Exposure pursuant to </w:t>
      </w:r>
      <w:r>
        <w:rPr>
          <w:rFonts w:ascii="Times New Roman" w:cs="Times New Roman" w:eastAsia="Times New Roman" w:hAnsi="Times New Roman"/>
          <w:sz w:val="19"/>
          <w:szCs w:val="19"/>
          <w:u w:val="single" w:color="auto"/>
          <w:color w:val="auto"/>
        </w:rPr>
        <w:t>Section 2.05(d)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or the last paragraph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the Borrower shall immediately deposit into a segregated collateral account or accounts (herein, collectively, the “</w:t>
      </w:r>
      <w:r>
        <w:rPr>
          <w:rFonts w:ascii="Times New Roman" w:cs="Times New Roman" w:eastAsia="Times New Roman" w:hAnsi="Times New Roman"/>
          <w:sz w:val="19"/>
          <w:szCs w:val="19"/>
          <w:u w:val="single" w:color="auto"/>
          <w:color w:val="auto"/>
        </w:rPr>
        <w:t>Letter of Credit Collateral Account</w:t>
      </w:r>
      <w:r>
        <w:rPr>
          <w:rFonts w:ascii="Times New Roman" w:cs="Times New Roman" w:eastAsia="Times New Roman" w:hAnsi="Times New Roman"/>
          <w:sz w:val="19"/>
          <w:szCs w:val="19"/>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or the last paragraph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82" w:name="page183"/>
    <w:bookmarkEnd w:id="182"/>
    <w:p>
      <w:pPr>
        <w:spacing w:after="0" w:line="269" w:lineRule="exact"/>
        <w:rPr>
          <w:sz w:val="20"/>
          <w:szCs w:val="20"/>
          <w:color w:val="auto"/>
        </w:rPr>
      </w:pPr>
    </w:p>
    <w:p>
      <w:pPr>
        <w:ind w:left="1060" w:right="10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(l)Additional Issuing Banks</w:t>
      </w:r>
      <w:r>
        <w:rPr>
          <w:rFonts w:ascii="Times New Roman" w:cs="Times New Roman" w:eastAsia="Times New Roman" w:hAnsi="Times New Roman"/>
          <w:sz w:val="19"/>
          <w:szCs w:val="19"/>
          <w:color w:val="auto"/>
        </w:rPr>
        <w:t xml:space="preserve">. From time to time, the Borrower may, by notice to the Administrative Agent, designate additional Extending Lenders as Issuing Banks, each of which agrees (in its sole discretion) to act in such capacity and is reasonably satisfactory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such notice shall include an updated Schedule 2.05;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83" w:name="page184"/>
    <w:bookmarkEnd w:id="183"/>
    <w:p>
      <w:pPr>
        <w:spacing w:after="0" w:line="200" w:lineRule="exact"/>
        <w:rPr>
          <w:sz w:val="20"/>
          <w:szCs w:val="20"/>
          <w:color w:val="auto"/>
        </w:rPr>
      </w:pPr>
    </w:p>
    <w:p>
      <w:pPr>
        <w:spacing w:after="0" w:line="2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2.06. </w:t>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14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(a)Funding by Lenders</w:t>
      </w:r>
      <w:r>
        <w:rPr>
          <w:rFonts w:ascii="Times New Roman" w:cs="Times New Roman" w:eastAsia="Times New Roman" w:hAnsi="Times New Roman"/>
          <w:sz w:val="19"/>
          <w:szCs w:val="19"/>
          <w:color w:val="auto"/>
        </w:rPr>
        <w:t xml:space="preserve">. Each Lender shall make each Loan to be made by it hereunder on the proposed date thereof by wire transfer of immediately available funds by (i) in the case of any Loan (other than a Syndicated ABR Borrowing), 11:00 a.m. New York City time, and (ii) in the case of any Loan that is a Syndicated ABR Borrowing, 1:00 p.m. New York City time, in each case, to the account of the Administrative Agent most recently designated by it for such purpose by notice to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Swingline Loans shall be made as provided in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Syndicated ABR Borrowings made to finance the reimbursement of an LC Disbursement as provided in </w:t>
      </w:r>
      <w:r>
        <w:rPr>
          <w:rFonts w:ascii="Times New Roman" w:cs="Times New Roman" w:eastAsia="Times New Roman" w:hAnsi="Times New Roman"/>
          <w:sz w:val="19"/>
          <w:szCs w:val="19"/>
          <w:u w:val="single" w:color="auto"/>
          <w:color w:val="auto"/>
        </w:rPr>
        <w:t>Section 2.05(f)</w:t>
      </w:r>
      <w:r>
        <w:rPr>
          <w:rFonts w:ascii="Times New Roman" w:cs="Times New Roman" w:eastAsia="Times New Roman" w:hAnsi="Times New Roman"/>
          <w:sz w:val="19"/>
          <w:szCs w:val="19"/>
          <w:color w:val="auto"/>
        </w:rPr>
        <w:t xml:space="preserve"> shall be remitted by the Administrative Agent to the applicable Issuing Bank.</w:t>
      </w:r>
    </w:p>
    <w:p>
      <w:pPr>
        <w:spacing w:after="0" w:line="160" w:lineRule="exact"/>
        <w:rPr>
          <w:sz w:val="20"/>
          <w:szCs w:val="20"/>
          <w:color w:val="auto"/>
        </w:rPr>
      </w:pPr>
    </w:p>
    <w:p>
      <w:pPr>
        <w:ind w:left="1060" w:right="12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(b)Presumption by the Administrative Agent</w:t>
      </w:r>
      <w:r>
        <w:rPr>
          <w:rFonts w:ascii="Times New Roman" w:cs="Times New Roman" w:eastAsia="Times New Roman" w:hAnsi="Times New Roman"/>
          <w:sz w:val="19"/>
          <w:szCs w:val="19"/>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w:t>
      </w:r>
    </w:p>
    <w:p>
      <w:pPr>
        <w:spacing w:after="0" w:line="2" w:lineRule="exact"/>
        <w:rPr>
          <w:sz w:val="20"/>
          <w:szCs w:val="20"/>
          <w:color w:val="auto"/>
        </w:rPr>
      </w:pPr>
    </w:p>
    <w:p>
      <w:pPr>
        <w:ind w:left="1280" w:hanging="230"/>
        <w:spacing w:after="0"/>
        <w:tabs>
          <w:tab w:leader="none" w:pos="128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such Lender, the Federal Funds Effective Rate or</w:t>
      </w:r>
    </w:p>
    <w:p>
      <w:pPr>
        <w:spacing w:after="0" w:line="9" w:lineRule="exact"/>
        <w:rPr>
          <w:rFonts w:ascii="Times New Roman" w:cs="Times New Roman" w:eastAsia="Times New Roman" w:hAnsi="Times New Roman"/>
          <w:sz w:val="19"/>
          <w:szCs w:val="19"/>
          <w:color w:val="auto"/>
        </w:rPr>
      </w:pPr>
    </w:p>
    <w:p>
      <w:pPr>
        <w:ind w:left="1060" w:right="220" w:hanging="10"/>
        <w:spacing w:after="0" w:line="253" w:lineRule="auto"/>
        <w:tabs>
          <w:tab w:leader="none" w:pos="1342"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5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2.07. </w:t>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jc w:val="both"/>
        <w:ind w:left="1060" w:right="440" w:firstLine="852"/>
        <w:spacing w:after="0" w:line="268" w:lineRule="auto"/>
        <w:rPr>
          <w:sz w:val="20"/>
          <w:szCs w:val="20"/>
          <w:color w:val="auto"/>
        </w:rPr>
      </w:pPr>
      <w:r>
        <w:rPr>
          <w:rFonts w:ascii="Times New Roman" w:cs="Times New Roman" w:eastAsia="Times New Roman" w:hAnsi="Times New Roman"/>
          <w:sz w:val="19"/>
          <w:szCs w:val="19"/>
          <w:u w:val="single" w:color="auto"/>
          <w:color w:val="auto"/>
        </w:rPr>
        <w:t>(a)Elections by the Borrower for Syndicated Borrowings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2.03(d)</w:t>
      </w:r>
      <w:r>
        <w:rPr>
          <w:rFonts w:ascii="Times New Roman" w:cs="Times New Roman" w:eastAsia="Times New Roman" w:hAnsi="Times New Roman"/>
          <w:sz w:val="19"/>
          <w:szCs w:val="19"/>
          <w:color w:val="auto"/>
        </w:rPr>
        <w:t>, the Loans constituting each Syndicated Borrowing initially shall be of the Type specified in the applicable Borrowing Request and, in the case of a Term Benchmark Borrowing or RFR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84" w:name="page185"/>
    <w:bookmarkEnd w:id="184"/>
    <w:p>
      <w:pPr>
        <w:spacing w:after="0" w:line="269" w:lineRule="exact"/>
        <w:rPr>
          <w:sz w:val="20"/>
          <w:szCs w:val="20"/>
          <w:color w:val="auto"/>
        </w:rPr>
      </w:pPr>
    </w:p>
    <w:p>
      <w:pPr>
        <w:ind w:left="1060" w:right="40"/>
        <w:spacing w:after="0" w:line="253" w:lineRule="auto"/>
        <w:rPr>
          <w:sz w:val="20"/>
          <w:szCs w:val="20"/>
          <w:color w:val="auto"/>
        </w:rPr>
      </w:pPr>
      <w:r>
        <w:rPr>
          <w:rFonts w:ascii="Times New Roman" w:cs="Times New Roman" w:eastAsia="Times New Roman" w:hAnsi="Times New Roman"/>
          <w:sz w:val="19"/>
          <w:szCs w:val="19"/>
          <w:color w:val="auto"/>
        </w:rPr>
        <w:t xml:space="preserve">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prior to the Extended Commitment Termination Date, no Term Benchmark Borrowing denominated in a Foreign Currency or RFR Borrowing may be continued if, after giving effect thereto, the aggregate Revolving Multicurrency Credit Exposures would exceed the aggregate Multicurrency Commitments, and (iv) a Term Benchmark Borrowing denominated in a Foreign Currency or RFR Borrowing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Loans, which may not be converted or continued.</w:t>
      </w:r>
    </w:p>
    <w:p>
      <w:pPr>
        <w:spacing w:after="0" w:line="158" w:lineRule="exact"/>
        <w:rPr>
          <w:sz w:val="20"/>
          <w:szCs w:val="20"/>
          <w:color w:val="auto"/>
        </w:rPr>
      </w:pPr>
    </w:p>
    <w:p>
      <w:pPr>
        <w:ind w:left="1060" w:right="28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(b)Notice of Elections</w:t>
      </w:r>
      <w:r>
        <w:rPr>
          <w:rFonts w:ascii="Times New Roman" w:cs="Times New Roman" w:eastAsia="Times New Roman" w:hAnsi="Times New Roman"/>
          <w:sz w:val="19"/>
          <w:szCs w:val="19"/>
          <w:color w:val="auto"/>
        </w:rPr>
        <w:t xml:space="preserve">. To make an election pursuant to this Section, the Borrower shall notify the Administrative Agent of such election by telephone, delivery of a signed interest election request or email by the time that a Borrowing Request would be required under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or electronic communication to the Administrative Agent of a written Interest Election Request in a form approved by the Administrative Agent and signed by the Borrower.</w:t>
      </w:r>
    </w:p>
    <w:p>
      <w:pPr>
        <w:spacing w:after="0" w:line="160" w:lineRule="exact"/>
        <w:rPr>
          <w:sz w:val="20"/>
          <w:szCs w:val="20"/>
          <w:color w:val="auto"/>
        </w:rPr>
      </w:pPr>
    </w:p>
    <w:p>
      <w:pPr>
        <w:ind w:left="1060" w:right="520" w:firstLine="864"/>
        <w:spacing w:after="0" w:line="286" w:lineRule="auto"/>
        <w:rPr>
          <w:sz w:val="20"/>
          <w:szCs w:val="20"/>
          <w:color w:val="auto"/>
        </w:rPr>
      </w:pPr>
      <w:r>
        <w:rPr>
          <w:rFonts w:ascii="Times New Roman" w:cs="Times New Roman" w:eastAsia="Times New Roman" w:hAnsi="Times New Roman"/>
          <w:sz w:val="19"/>
          <w:szCs w:val="19"/>
          <w:u w:val="single" w:color="auto"/>
          <w:color w:val="auto"/>
        </w:rPr>
        <w:t>(c)Content of Interest Election Requests</w:t>
      </w:r>
      <w:r>
        <w:rPr>
          <w:rFonts w:ascii="Times New Roman" w:cs="Times New Roman" w:eastAsia="Times New Roman" w:hAnsi="Times New Roman"/>
          <w:sz w:val="19"/>
          <w:szCs w:val="19"/>
          <w:color w:val="auto"/>
        </w:rPr>
        <w:t xml:space="preserve">. Each telephonic and written Interest Election Request shall specify the following information in compliance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jc w:val="both"/>
        <w:ind w:left="1760" w:right="300" w:firstLine="936"/>
        <w:spacing w:after="0" w:line="256" w:lineRule="auto"/>
        <w:rPr>
          <w:sz w:val="20"/>
          <w:szCs w:val="20"/>
          <w:color w:val="auto"/>
        </w:rPr>
      </w:pPr>
      <w:r>
        <w:rPr>
          <w:rFonts w:ascii="Times New Roman" w:cs="Times New Roman" w:eastAsia="Times New Roman" w:hAnsi="Times New Roman"/>
          <w:sz w:val="19"/>
          <w:szCs w:val="19"/>
          <w:color w:val="auto"/>
        </w:rPr>
        <w:t xml:space="preserve">(i)the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9"/>
          <w:szCs w:val="19"/>
          <w:u w:val="single" w:color="auto"/>
          <w:color w:val="auto"/>
        </w:rPr>
        <w:t>clauses (iii)</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ind w:left="2080" w:hanging="321"/>
        <w:spacing w:after="0"/>
        <w:tabs>
          <w:tab w:leader="none" w:pos="2080" w:val="left"/>
        </w:tabs>
        <w:numPr>
          <w:ilvl w:val="0"/>
          <w:numId w:val="5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of this paragraph shall be specified for each resulting Borrowing);</w:t>
      </w:r>
    </w:p>
    <w:p>
      <w:pPr>
        <w:spacing w:after="0" w:line="180" w:lineRule="exact"/>
        <w:rPr>
          <w:sz w:val="20"/>
          <w:szCs w:val="20"/>
          <w:color w:val="auto"/>
        </w:rPr>
      </w:pPr>
    </w:p>
    <w:p>
      <w:pPr>
        <w:ind w:left="1760" w:right="540" w:firstLine="948"/>
        <w:spacing w:after="0" w:line="286" w:lineRule="auto"/>
        <w:rPr>
          <w:sz w:val="20"/>
          <w:szCs w:val="20"/>
          <w:color w:val="auto"/>
        </w:rPr>
      </w:pPr>
      <w:r>
        <w:rPr>
          <w:rFonts w:ascii="Times New Roman" w:cs="Times New Roman" w:eastAsia="Times New Roman" w:hAnsi="Times New Roman"/>
          <w:sz w:val="19"/>
          <w:szCs w:val="19"/>
          <w:color w:val="auto"/>
        </w:rPr>
        <w:t>(ii)the effective date of the election made pursuant to such Interest Election Request, which shall be a Business Day;</w:t>
      </w:r>
    </w:p>
    <w:p>
      <w:pPr>
        <w:spacing w:after="0" w:line="127" w:lineRule="exact"/>
        <w:rPr>
          <w:sz w:val="20"/>
          <w:szCs w:val="20"/>
          <w:color w:val="auto"/>
        </w:rPr>
      </w:pPr>
    </w:p>
    <w:p>
      <w:pPr>
        <w:ind w:left="1760" w:right="240" w:firstLine="936"/>
        <w:spacing w:after="0" w:line="286" w:lineRule="auto"/>
        <w:rPr>
          <w:sz w:val="20"/>
          <w:szCs w:val="20"/>
          <w:color w:val="auto"/>
        </w:rPr>
      </w:pPr>
      <w:r>
        <w:rPr>
          <w:rFonts w:ascii="Times New Roman" w:cs="Times New Roman" w:eastAsia="Times New Roman" w:hAnsi="Times New Roman"/>
          <w:sz w:val="19"/>
          <w:szCs w:val="19"/>
          <w:color w:val="auto"/>
        </w:rPr>
        <w:t>(iii)whether, in the case of a Borrowing denominated in Dollars, the resulting Borrowing is to be an ABR Borrowing or a Term Benchmark Borrowing; and</w:t>
      </w:r>
    </w:p>
    <w:p>
      <w:pPr>
        <w:spacing w:after="0" w:line="127" w:lineRule="exact"/>
        <w:rPr>
          <w:sz w:val="20"/>
          <w:szCs w:val="20"/>
          <w:color w:val="auto"/>
        </w:rPr>
      </w:pPr>
    </w:p>
    <w:p>
      <w:pPr>
        <w:ind w:left="1760" w:right="360" w:firstLine="936"/>
        <w:spacing w:after="0" w:line="286" w:lineRule="auto"/>
        <w:rPr>
          <w:sz w:val="20"/>
          <w:szCs w:val="20"/>
          <w:color w:val="auto"/>
        </w:rPr>
      </w:pPr>
      <w:r>
        <w:rPr>
          <w:rFonts w:ascii="Times New Roman" w:cs="Times New Roman" w:eastAsia="Times New Roman" w:hAnsi="Times New Roman"/>
          <w:sz w:val="19"/>
          <w:szCs w:val="19"/>
          <w:color w:val="auto"/>
        </w:rPr>
        <w:t>(iv)if the resulting Borrowing is a Term Benchmark Borrowing or RFR Borrowing, the Interest Period therefor after giving effect to such election, which shall be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85" w:name="page186"/>
    <w:bookmarkEnd w:id="185"/>
    <w:p>
      <w:pPr>
        <w:spacing w:after="0" w:line="269" w:lineRule="exact"/>
        <w:rPr>
          <w:sz w:val="20"/>
          <w:szCs w:val="20"/>
          <w:color w:val="auto"/>
        </w:rPr>
      </w:pPr>
    </w:p>
    <w:p>
      <w:pPr>
        <w:ind w:left="1760" w:right="500"/>
        <w:spacing w:after="0" w:line="286" w:lineRule="auto"/>
        <w:rPr>
          <w:sz w:val="20"/>
          <w:szCs w:val="20"/>
          <w:color w:val="auto"/>
        </w:rPr>
      </w:pPr>
      <w:r>
        <w:rPr>
          <w:rFonts w:ascii="Times New Roman" w:cs="Times New Roman" w:eastAsia="Times New Roman" w:hAnsi="Times New Roman"/>
          <w:sz w:val="19"/>
          <w:szCs w:val="19"/>
          <w:color w:val="auto"/>
        </w:rPr>
        <w:t xml:space="preserve">a period contemplated by the definition of the term “Interest Period” and permitted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2.02(d)</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jc w:val="both"/>
        <w:ind w:left="1060" w:right="40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(d)Notice by the Administrative Agent to the Lenders</w:t>
      </w:r>
      <w:r>
        <w:rPr>
          <w:rFonts w:ascii="Times New Roman" w:cs="Times New Roman" w:eastAsia="Times New Roman" w:hAnsi="Times New Roman"/>
          <w:sz w:val="19"/>
          <w:szCs w:val="19"/>
          <w:color w:val="auto"/>
        </w:rPr>
        <w:t>. Promptly following receipt of an Interest Election Request, the Administrative Agent shall advise each applicable Lender of the details thereof and of such Lender’s portion of each resulting Borrowing.</w:t>
      </w:r>
    </w:p>
    <w:p>
      <w:pPr>
        <w:spacing w:after="0" w:line="144" w:lineRule="exact"/>
        <w:rPr>
          <w:sz w:val="20"/>
          <w:szCs w:val="20"/>
          <w:color w:val="auto"/>
        </w:rPr>
      </w:pPr>
    </w:p>
    <w:p>
      <w:pPr>
        <w:ind w:left="1060" w:right="16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(e)Failure to Elect; Events of Default</w:t>
      </w:r>
      <w:r>
        <w:rPr>
          <w:rFonts w:ascii="Times New Roman" w:cs="Times New Roman" w:eastAsia="Times New Roman" w:hAnsi="Times New Roman"/>
          <w:sz w:val="19"/>
          <w:szCs w:val="19"/>
          <w:color w:val="auto"/>
        </w:rPr>
        <w:t>. If the Borrower fails to deliver a timely and complete Interest Election Request with respect to a Term Benchmark Borrowing or RFR Borrowing prior to the end of the Interest Period therefor, then, unless such Borrowing is repaid as provided herein, (i) if such Borrowing is denominated in Dollars, at the end of such Interest Period such Borrowing shall be converted to a Syndicated Term Benchmark Borrowing consistent with the existing Loan of the same Class having an Interest Period of one month, and</w:t>
      </w:r>
    </w:p>
    <w:p>
      <w:pPr>
        <w:spacing w:after="0" w:line="3" w:lineRule="exact"/>
        <w:rPr>
          <w:sz w:val="20"/>
          <w:szCs w:val="20"/>
          <w:color w:val="auto"/>
        </w:rPr>
      </w:pPr>
    </w:p>
    <w:p>
      <w:pPr>
        <w:ind w:left="1060" w:right="140" w:hanging="10"/>
        <w:spacing w:after="0" w:line="252" w:lineRule="auto"/>
        <w:tabs>
          <w:tab w:leader="none" w:pos="1342"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Borrowing is denominated in a Foreign Currency, the Borrower shall be deemed to have selected an Interest Period of one month’s duration. Notwithstanding any contrary provision hereof (other than the last paragraph of Article VII),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spacing w:after="0" w:line="16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2.08. </w:t>
      </w:r>
      <w:r>
        <w:rPr>
          <w:rFonts w:ascii="Times New Roman" w:cs="Times New Roman" w:eastAsia="Times New Roman" w:hAnsi="Times New Roman"/>
          <w:sz w:val="19"/>
          <w:szCs w:val="19"/>
          <w:u w:val="single" w:color="auto"/>
          <w:color w:val="auto"/>
        </w:rPr>
        <w:t>Termination, Reduction or Increase of the Commitments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18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(a)Scheduled Termination</w:t>
      </w:r>
      <w:r>
        <w:rPr>
          <w:rFonts w:ascii="Times New Roman" w:cs="Times New Roman" w:eastAsia="Times New Roman" w:hAnsi="Times New Roman"/>
          <w:sz w:val="19"/>
          <w:szCs w:val="19"/>
          <w:color w:val="auto"/>
        </w:rPr>
        <w:t>. Unless previously terminated, the Commitments of each Extending Lender with respect to such Extending Lender’s Extended Loans shall terminate on the Extended Commitment Termination Date and the Commitments of each Non -Extending Lender with respect to such Non-Extending Lender’s Non-Extended Loans shall terminate on the Non-Extended Commitment Termination Date for such Non-Extending Lender.</w:t>
      </w:r>
    </w:p>
    <w:p>
      <w:pPr>
        <w:spacing w:after="0" w:line="154" w:lineRule="exact"/>
        <w:rPr>
          <w:sz w:val="20"/>
          <w:szCs w:val="20"/>
          <w:color w:val="auto"/>
        </w:rPr>
      </w:pPr>
    </w:p>
    <w:p>
      <w:pPr>
        <w:ind w:left="1060" w:right="12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(b)Voluntary Termination or Reduction</w:t>
      </w:r>
      <w:r>
        <w:rPr>
          <w:rFonts w:ascii="Times New Roman" w:cs="Times New Roman" w:eastAsia="Times New Roman" w:hAnsi="Times New Roman"/>
          <w:sz w:val="19"/>
          <w:szCs w:val="19"/>
          <w:color w:val="auto"/>
        </w:rPr>
        <w:t xml:space="preserve">. The Borrower may at any time without premium or penalty terminate, or from time to time reduce, the Commitments of either Class of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reduction of the Commitments of a Class shall be in an amount that is $10,000,000 (or, if less, the entire amount of the Commitments of such Class) or a larger multiple of $1,000,000 in excess thereof (or, if less, the entire amount of the Commitments of such Class) and (ii) the Borrower shall not terminate or reduce the Commitments of either Class of Commitment if, after giving effect to any concurrent prepayment of the Syndicated Loans of such Class in accordance with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the total Revolving Credit Exposures of such Class would exceed the total Commitments of such Class. Any such reduction of the Commitments below the principal amount of the Swingline Loans permitted under </w:t>
      </w:r>
      <w:r>
        <w:rPr>
          <w:rFonts w:ascii="Times New Roman" w:cs="Times New Roman" w:eastAsia="Times New Roman" w:hAnsi="Times New Roman"/>
          <w:sz w:val="19"/>
          <w:szCs w:val="19"/>
          <w:u w:val="single" w:color="auto"/>
          <w:color w:val="auto"/>
        </w:rPr>
        <w:t>Section 2.04(a)(i)</w:t>
      </w:r>
      <w:r>
        <w:rPr>
          <w:rFonts w:ascii="Times New Roman" w:cs="Times New Roman" w:eastAsia="Times New Roman" w:hAnsi="Times New Roman"/>
          <w:sz w:val="19"/>
          <w:szCs w:val="19"/>
          <w:color w:val="auto"/>
        </w:rPr>
        <w:t xml:space="preserve"> and the Letters of Credit permitted under </w:t>
      </w:r>
      <w:r>
        <w:rPr>
          <w:rFonts w:ascii="Times New Roman" w:cs="Times New Roman" w:eastAsia="Times New Roman" w:hAnsi="Times New Roman"/>
          <w:sz w:val="19"/>
          <w:szCs w:val="19"/>
          <w:u w:val="single" w:color="auto"/>
          <w:color w:val="auto"/>
        </w:rPr>
        <w:t>Section 2.05(c)(i)</w:t>
      </w:r>
      <w:r>
        <w:rPr>
          <w:rFonts w:ascii="Times New Roman" w:cs="Times New Roman" w:eastAsia="Times New Roman" w:hAnsi="Times New Roman"/>
          <w:sz w:val="19"/>
          <w:szCs w:val="19"/>
          <w:color w:val="auto"/>
        </w:rPr>
        <w:t xml:space="preserve"> shall result in a dollar-for-dollar reduction of such amounts as applicable.</w:t>
      </w:r>
    </w:p>
    <w:p>
      <w:pPr>
        <w:spacing w:after="0" w:line="160" w:lineRule="exact"/>
        <w:rPr>
          <w:sz w:val="20"/>
          <w:szCs w:val="20"/>
          <w:color w:val="auto"/>
        </w:rPr>
      </w:pPr>
    </w:p>
    <w:p>
      <w:pPr>
        <w:ind w:left="1060" w:right="440" w:firstLine="864"/>
        <w:spacing w:after="0" w:line="262" w:lineRule="auto"/>
        <w:rPr>
          <w:sz w:val="20"/>
          <w:szCs w:val="20"/>
          <w:color w:val="auto"/>
        </w:rPr>
      </w:pPr>
      <w:r>
        <w:rPr>
          <w:rFonts w:ascii="Times New Roman" w:cs="Times New Roman" w:eastAsia="Times New Roman" w:hAnsi="Times New Roman"/>
          <w:sz w:val="19"/>
          <w:szCs w:val="19"/>
          <w:u w:val="single" w:color="auto"/>
          <w:color w:val="auto"/>
        </w:rPr>
        <w:t>(c)Notice of Voluntary Termination or Reduction</w:t>
      </w:r>
      <w:r>
        <w:rPr>
          <w:rFonts w:ascii="Times New Roman" w:cs="Times New Roman" w:eastAsia="Times New Roman" w:hAnsi="Times New Roman"/>
          <w:sz w:val="19"/>
          <w:szCs w:val="19"/>
          <w:color w:val="auto"/>
        </w:rPr>
        <w:t xml:space="preserve">. The Borrower shall notify the Administrative Agent of any election to terminate or reduce the Commitments under </w:t>
      </w:r>
      <w:r>
        <w:rPr>
          <w:rFonts w:ascii="Times New Roman" w:cs="Times New Roman" w:eastAsia="Times New Roman" w:hAnsi="Times New Roman"/>
          <w:sz w:val="19"/>
          <w:szCs w:val="19"/>
          <w:u w:val="single" w:color="auto"/>
          <w:color w:val="auto"/>
        </w:rPr>
        <w:t>paragraph</w:t>
      </w:r>
    </w:p>
    <w:p>
      <w:pPr>
        <w:spacing w:after="0" w:line="1" w:lineRule="exact"/>
        <w:rPr>
          <w:sz w:val="20"/>
          <w:szCs w:val="20"/>
          <w:color w:val="auto"/>
        </w:rPr>
      </w:pPr>
    </w:p>
    <w:p>
      <w:pPr>
        <w:ind w:left="1320" w:hanging="270"/>
        <w:spacing w:after="0"/>
        <w:tabs>
          <w:tab w:leader="none" w:pos="1320" w:val="left"/>
        </w:tabs>
        <w:numPr>
          <w:ilvl w:val="0"/>
          <w:numId w:val="5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of this Section at least three (3) Business Days prior to the effective date of such termination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86" w:name="page187"/>
    <w:bookmarkEnd w:id="186"/>
    <w:p>
      <w:pPr>
        <w:spacing w:after="0" w:line="269" w:lineRule="exact"/>
        <w:rPr>
          <w:sz w:val="20"/>
          <w:szCs w:val="20"/>
          <w:color w:val="auto"/>
        </w:rPr>
      </w:pPr>
    </w:p>
    <w:p>
      <w:pPr>
        <w:ind w:left="1060" w:right="160"/>
        <w:spacing w:after="0" w:line="257" w:lineRule="auto"/>
        <w:rPr>
          <w:sz w:val="20"/>
          <w:szCs w:val="20"/>
          <w:color w:val="auto"/>
        </w:rPr>
      </w:pPr>
      <w:r>
        <w:rPr>
          <w:rFonts w:ascii="Times New Roman" w:cs="Times New Roman" w:eastAsia="Times New Roman" w:hAnsi="Times New Roman"/>
          <w:sz w:val="19"/>
          <w:szCs w:val="19"/>
          <w:color w:val="auto"/>
        </w:rPr>
        <w:t xml:space="preserve">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notice of termination of the Commitments of a Class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w:t>
      </w:r>
    </w:p>
    <w:p>
      <w:pPr>
        <w:spacing w:after="0" w:line="157" w:lineRule="exact"/>
        <w:rPr>
          <w:sz w:val="20"/>
          <w:szCs w:val="20"/>
          <w:color w:val="auto"/>
        </w:rPr>
      </w:pPr>
    </w:p>
    <w:p>
      <w:pPr>
        <w:ind w:left="1060" w:right="120" w:firstLine="864"/>
        <w:spacing w:after="0" w:line="262" w:lineRule="auto"/>
        <w:rPr>
          <w:sz w:val="20"/>
          <w:szCs w:val="20"/>
          <w:color w:val="auto"/>
        </w:rPr>
      </w:pPr>
      <w:r>
        <w:rPr>
          <w:rFonts w:ascii="Times New Roman" w:cs="Times New Roman" w:eastAsia="Times New Roman" w:hAnsi="Times New Roman"/>
          <w:sz w:val="19"/>
          <w:szCs w:val="19"/>
          <w:u w:val="single" w:color="auto"/>
          <w:color w:val="auto"/>
        </w:rPr>
        <w:t>(d)Effect of Termination or Reduction</w:t>
      </w:r>
      <w:r>
        <w:rPr>
          <w:rFonts w:ascii="Times New Roman" w:cs="Times New Roman" w:eastAsia="Times New Roman" w:hAnsi="Times New Roman"/>
          <w:sz w:val="19"/>
          <w:szCs w:val="19"/>
          <w:color w:val="auto"/>
        </w:rPr>
        <w:t xml:space="preserve">. Any termination or reduction of the Commitments of a Class of Commitments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permanent. Each reduction of the Commitments of a Class of Commitments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made ratably among the Lenders of such Class in accordance with their respective Commitments.</w:t>
      </w:r>
    </w:p>
    <w:p>
      <w:pPr>
        <w:spacing w:after="0" w:line="15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u w:val="single" w:color="auto"/>
          <w:color w:val="auto"/>
        </w:rPr>
        <w:t>(e)Increase of the Commitments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760" w:right="160" w:firstLine="936"/>
        <w:spacing w:after="0" w:line="262" w:lineRule="auto"/>
        <w:rPr>
          <w:sz w:val="20"/>
          <w:szCs w:val="20"/>
          <w:color w:val="auto"/>
        </w:rPr>
      </w:pPr>
      <w:r>
        <w:rPr>
          <w:rFonts w:ascii="Times New Roman" w:cs="Times New Roman" w:eastAsia="Times New Roman" w:hAnsi="Times New Roman"/>
          <w:sz w:val="19"/>
          <w:szCs w:val="19"/>
          <w:u w:val="single" w:color="auto"/>
          <w:color w:val="auto"/>
        </w:rPr>
        <w:t>(i)Requests for Increase by Borrower</w:t>
      </w:r>
      <w:r>
        <w:rPr>
          <w:rFonts w:ascii="Times New Roman" w:cs="Times New Roman" w:eastAsia="Times New Roman" w:hAnsi="Times New Roman"/>
          <w:sz w:val="19"/>
          <w:szCs w:val="19"/>
          <w:color w:val="auto"/>
        </w:rPr>
        <w:t>. The Borrower may, at any time, request that the Commitments hereunder of a Class of Commitments be increased (each such proposed increase being</w:t>
      </w:r>
    </w:p>
    <w:p>
      <w:pPr>
        <w:spacing w:after="0" w:line="1" w:lineRule="exact"/>
        <w:rPr>
          <w:sz w:val="20"/>
          <w:szCs w:val="20"/>
          <w:color w:val="auto"/>
        </w:rPr>
      </w:pPr>
    </w:p>
    <w:p>
      <w:pPr>
        <w:ind w:left="1760" w:right="260" w:hanging="1"/>
        <w:spacing w:after="0" w:line="252" w:lineRule="auto"/>
        <w:tabs>
          <w:tab w:leader="none" w:pos="1893"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Increase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 Class of Non-Extended Loans be increased hereunder), upon notice to the Administrative Agent (who shall promptly notify the Lenders), which notice shall specify each existing Lender (each an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and/or each additional lender (each an “</w:t>
      </w:r>
      <w:r>
        <w:rPr>
          <w:rFonts w:ascii="Times New Roman" w:cs="Times New Roman" w:eastAsia="Times New Roman" w:hAnsi="Times New Roman"/>
          <w:sz w:val="19"/>
          <w:szCs w:val="19"/>
          <w:u w:val="single" w:color="auto"/>
          <w:color w:val="auto"/>
        </w:rPr>
        <w:t>Assuming Lender</w:t>
      </w:r>
      <w:r>
        <w:rPr>
          <w:rFonts w:ascii="Times New Roman" w:cs="Times New Roman" w:eastAsia="Times New Roman" w:hAnsi="Times New Roman"/>
          <w:sz w:val="19"/>
          <w:szCs w:val="19"/>
          <w:color w:val="auto"/>
        </w:rPr>
        <w:t xml:space="preserve">”) that shall have agreed to an additional Commitment and the date on which such increase is </w:t>
      </w:r>
      <w:r>
        <w:rPr>
          <w:rFonts w:ascii="Times New Roman" w:cs="Times New Roman" w:eastAsia="Times New Roman" w:hAnsi="Times New Roman"/>
          <w:sz w:val="19"/>
          <w:szCs w:val="19"/>
          <w:u w:val="single" w:color="auto"/>
          <w:color w:val="0000FF"/>
        </w:rPr>
        <w:t>expected</w:t>
      </w:r>
      <w:r>
        <w:rPr>
          <w:rFonts w:ascii="Times New Roman" w:cs="Times New Roman" w:eastAsia="Times New Roman" w:hAnsi="Times New Roman"/>
          <w:sz w:val="19"/>
          <w:szCs w:val="19"/>
          <w:color w:val="auto"/>
        </w:rPr>
        <w:t xml:space="preserve"> to be effective (the </w:t>
      </w:r>
      <w:r>
        <w:rPr>
          <w:rFonts w:ascii="Times New Roman" w:cs="Times New Roman" w:eastAsia="Times New Roman" w:hAnsi="Times New Roman"/>
          <w:sz w:val="19"/>
          <w:szCs w:val="19"/>
          <w:u w:val="single" w:color="auto"/>
          <w:color w:val="0000FF"/>
        </w:rPr>
        <w:t>date of actual effectiveness,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Commitment Increase Date</w:t>
      </w:r>
      <w:r>
        <w:rPr>
          <w:rFonts w:ascii="Times New Roman" w:cs="Times New Roman" w:eastAsia="Times New Roman" w:hAnsi="Times New Roman"/>
          <w:sz w:val="19"/>
          <w:szCs w:val="19"/>
          <w:color w:val="auto"/>
        </w:rPr>
        <w:t xml:space="preserve">”), which shall be a Business Day at least three (3) Business Days (or such shorter period as the Administrative Agent may reasonably agree) after delivery of such notice and at least 30 days prior to the Extended Commitment Termination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59" w:lineRule="exact"/>
        <w:rPr>
          <w:sz w:val="20"/>
          <w:szCs w:val="20"/>
          <w:color w:val="auto"/>
        </w:rPr>
      </w:pPr>
    </w:p>
    <w:p>
      <w:pPr>
        <w:ind w:left="2460" w:right="140" w:firstLine="1032"/>
        <w:spacing w:after="0" w:line="262" w:lineRule="auto"/>
        <w:rPr>
          <w:sz w:val="20"/>
          <w:szCs w:val="20"/>
          <w:color w:val="auto"/>
        </w:rPr>
      </w:pPr>
      <w:r>
        <w:rPr>
          <w:rFonts w:ascii="Times New Roman" w:cs="Times New Roman" w:eastAsia="Times New Roman" w:hAnsi="Times New Roman"/>
          <w:sz w:val="19"/>
          <w:szCs w:val="19"/>
          <w:color w:val="auto"/>
        </w:rPr>
        <w:t>(A)the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5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color w:val="auto"/>
        </w:rPr>
        <w:t>(B)immediately after giving effect to such Commitment Increase (including, if</w:t>
      </w:r>
    </w:p>
    <w:p>
      <w:pPr>
        <w:spacing w:after="0" w:line="3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applicable, the substantially concurrent reduction of the Commitments of a Non-Extending</w:t>
      </w:r>
    </w:p>
    <w:p>
      <w:pPr>
        <w:spacing w:after="0" w:line="1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 xml:space="preserve">Lender in accordance with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the total Commitments of all of the Lenders</w:t>
      </w:r>
    </w:p>
    <w:p>
      <w:pPr>
        <w:spacing w:after="0" w:line="1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hereunder shall not exceed</w:t>
      </w:r>
    </w:p>
    <w:p>
      <w:pPr>
        <w:spacing w:after="0" w:line="1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$2,000,000,000;</w:t>
      </w:r>
    </w:p>
    <w:p>
      <w:pPr>
        <w:spacing w:after="0" w:line="180" w:lineRule="exact"/>
        <w:rPr>
          <w:sz w:val="20"/>
          <w:szCs w:val="20"/>
          <w:color w:val="auto"/>
        </w:rPr>
      </w:pPr>
    </w:p>
    <w:p>
      <w:pPr>
        <w:ind w:left="2460" w:right="320" w:firstLine="1032"/>
        <w:spacing w:after="0" w:line="268" w:lineRule="auto"/>
        <w:rPr>
          <w:sz w:val="20"/>
          <w:szCs w:val="20"/>
          <w:color w:val="auto"/>
        </w:rPr>
      </w:pPr>
      <w:r>
        <w:rPr>
          <w:rFonts w:ascii="Times New Roman" w:cs="Times New Roman" w:eastAsia="Times New Roman" w:hAnsi="Times New Roman"/>
          <w:sz w:val="19"/>
          <w:szCs w:val="19"/>
          <w:color w:val="auto"/>
        </w:rPr>
        <w:t xml:space="preserve">(C)each Assuming Lender shall be consented to by the Administrative Agent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each Issuing Bank</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and each Swingline Lender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(such consent not to be unreasonably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withheld or delayed);</w:t>
      </w:r>
    </w:p>
    <w:p>
      <w:pPr>
        <w:spacing w:after="0" w:line="144" w:lineRule="exact"/>
        <w:rPr>
          <w:sz w:val="20"/>
          <w:szCs w:val="20"/>
          <w:color w:val="auto"/>
        </w:rPr>
      </w:pPr>
    </w:p>
    <w:p>
      <w:pPr>
        <w:ind w:left="2460" w:right="500" w:firstLine="1032"/>
        <w:spacing w:after="0" w:line="286" w:lineRule="auto"/>
        <w:rPr>
          <w:sz w:val="20"/>
          <w:szCs w:val="20"/>
          <w:color w:val="auto"/>
        </w:rPr>
      </w:pPr>
      <w:r>
        <w:rPr>
          <w:rFonts w:ascii="Times New Roman" w:cs="Times New Roman" w:eastAsia="Times New Roman" w:hAnsi="Times New Roman"/>
          <w:sz w:val="19"/>
          <w:szCs w:val="19"/>
          <w:color w:val="auto"/>
        </w:rPr>
        <w:t>(D)no Default shall have occurred and be continuing on such Commitment Increase Date or shall result from the proposed Commitment Increase; and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87" w:name="page188"/>
    <w:bookmarkEnd w:id="187"/>
    <w:p>
      <w:pPr>
        <w:spacing w:after="0" w:line="269" w:lineRule="exact"/>
        <w:rPr>
          <w:sz w:val="20"/>
          <w:szCs w:val="20"/>
          <w:color w:val="auto"/>
        </w:rPr>
      </w:pPr>
    </w:p>
    <w:p>
      <w:pPr>
        <w:ind w:left="2460" w:right="120" w:firstLine="1032"/>
        <w:spacing w:after="0" w:line="257" w:lineRule="auto"/>
        <w:rPr>
          <w:sz w:val="20"/>
          <w:szCs w:val="20"/>
          <w:color w:val="auto"/>
        </w:rPr>
      </w:pPr>
      <w:r>
        <w:rPr>
          <w:rFonts w:ascii="Times New Roman" w:cs="Times New Roman" w:eastAsia="Times New Roman" w:hAnsi="Times New Roman"/>
          <w:sz w:val="19"/>
          <w:szCs w:val="19"/>
          <w:color w:val="auto"/>
        </w:rPr>
        <w:t>(E)the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57" w:lineRule="exact"/>
        <w:rPr>
          <w:sz w:val="20"/>
          <w:szCs w:val="20"/>
          <w:color w:val="auto"/>
        </w:rPr>
      </w:pPr>
    </w:p>
    <w:p>
      <w:pPr>
        <w:ind w:left="1760" w:right="300" w:firstLine="936"/>
        <w:spacing w:after="0" w:line="262" w:lineRule="auto"/>
        <w:rPr>
          <w:sz w:val="20"/>
          <w:szCs w:val="20"/>
          <w:color w:val="auto"/>
        </w:rPr>
      </w:pPr>
      <w:r>
        <w:rPr>
          <w:rFonts w:ascii="Times New Roman" w:cs="Times New Roman" w:eastAsia="Times New Roman" w:hAnsi="Times New Roman"/>
          <w:sz w:val="19"/>
          <w:szCs w:val="19"/>
          <w:u w:val="single" w:color="auto"/>
          <w:color w:val="auto"/>
        </w:rPr>
        <w:t>(ii)Effectiveness of Commitment Increase by Borrower</w:t>
      </w:r>
      <w:r>
        <w:rPr>
          <w:rFonts w:ascii="Times New Roman" w:cs="Times New Roman" w:eastAsia="Times New Roman" w:hAnsi="Times New Roman"/>
          <w:sz w:val="19"/>
          <w:szCs w:val="19"/>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50" w:lineRule="exact"/>
        <w:rPr>
          <w:sz w:val="20"/>
          <w:szCs w:val="20"/>
          <w:color w:val="auto"/>
        </w:rPr>
      </w:pPr>
    </w:p>
    <w:p>
      <w:pPr>
        <w:ind w:left="2460" w:right="160" w:firstLine="1032"/>
        <w:spacing w:after="0" w:line="259" w:lineRule="auto"/>
        <w:rPr>
          <w:sz w:val="20"/>
          <w:szCs w:val="20"/>
          <w:color w:val="auto"/>
        </w:rPr>
      </w:pPr>
      <w:r>
        <w:rPr>
          <w:rFonts w:ascii="Times New Roman" w:cs="Times New Roman" w:eastAsia="Times New Roman" w:hAnsi="Times New Roman"/>
          <w:sz w:val="19"/>
          <w:szCs w:val="19"/>
          <w:color w:val="auto"/>
        </w:rPr>
        <w:t xml:space="preserve">(x)the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Times New Roman" w:cs="Times New Roman" w:eastAsia="Times New Roman" w:hAnsi="Times New Roman"/>
          <w:sz w:val="19"/>
          <w:szCs w:val="19"/>
          <w:u w:val="single" w:color="auto"/>
          <w:color w:val="auto"/>
        </w:rPr>
        <w:t>paragraph (i)</w:t>
      </w:r>
      <w:r>
        <w:rPr>
          <w:rFonts w:ascii="Times New Roman" w:cs="Times New Roman" w:eastAsia="Times New Roman" w:hAnsi="Times New Roman"/>
          <w:sz w:val="19"/>
          <w:szCs w:val="19"/>
          <w:color w:val="auto"/>
        </w:rPr>
        <w:t xml:space="preserve"> has been satisfied; and</w:t>
      </w:r>
    </w:p>
    <w:p>
      <w:pPr>
        <w:spacing w:after="0" w:line="154" w:lineRule="exact"/>
        <w:rPr>
          <w:sz w:val="20"/>
          <w:szCs w:val="20"/>
          <w:color w:val="auto"/>
        </w:rPr>
      </w:pPr>
    </w:p>
    <w:p>
      <w:pPr>
        <w:ind w:left="2460" w:right="100" w:firstLine="1032"/>
        <w:spacing w:after="0" w:line="255" w:lineRule="auto"/>
        <w:rPr>
          <w:sz w:val="20"/>
          <w:szCs w:val="20"/>
          <w:color w:val="auto"/>
        </w:rPr>
      </w:pPr>
      <w:r>
        <w:rPr>
          <w:rFonts w:ascii="Times New Roman" w:cs="Times New Roman" w:eastAsia="Times New Roman" w:hAnsi="Times New Roman"/>
          <w:sz w:val="19"/>
          <w:szCs w:val="19"/>
          <w:color w:val="auto"/>
        </w:rPr>
        <w:t xml:space="preserve">(y)each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w:t>
      </w:r>
      <w:r>
        <w:rPr>
          <w:rFonts w:ascii="Times New Roman" w:cs="Times New Roman" w:eastAsia="Times New Roman" w:hAnsi="Times New Roman"/>
          <w:sz w:val="19"/>
          <w:szCs w:val="19"/>
          <w:u w:val="single" w:color="auto"/>
          <w:color w:val="0000FF"/>
        </w:rPr>
        <w:t>(each, a “Commitment Increase Supplement”)</w:t>
      </w:r>
      <w:r>
        <w:rPr>
          <w:rFonts w:ascii="Times New Roman" w:cs="Times New Roman" w:eastAsia="Times New Roman" w:hAnsi="Times New Roman"/>
          <w:sz w:val="19"/>
          <w:szCs w:val="19"/>
          <w:color w:val="auto"/>
        </w:rPr>
        <w: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55" w:lineRule="exact"/>
        <w:rPr>
          <w:sz w:val="20"/>
          <w:szCs w:val="20"/>
          <w:color w:val="auto"/>
        </w:rPr>
      </w:pPr>
    </w:p>
    <w:p>
      <w:pPr>
        <w:ind w:left="1760" w:right="180"/>
        <w:spacing w:after="0" w:line="268" w:lineRule="auto"/>
        <w:rPr>
          <w:sz w:val="20"/>
          <w:szCs w:val="20"/>
          <w:color w:val="auto"/>
        </w:rPr>
      </w:pPr>
      <w:r>
        <w:rPr>
          <w:rFonts w:ascii="Times New Roman" w:cs="Times New Roman" w:eastAsia="Times New Roman" w:hAnsi="Times New Roman"/>
          <w:sz w:val="19"/>
          <w:szCs w:val="19"/>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44" w:lineRule="exact"/>
        <w:rPr>
          <w:sz w:val="20"/>
          <w:szCs w:val="20"/>
          <w:color w:val="auto"/>
        </w:rPr>
      </w:pPr>
    </w:p>
    <w:p>
      <w:pPr>
        <w:ind w:left="1760" w:right="100" w:firstLine="936"/>
        <w:spacing w:after="0" w:line="259" w:lineRule="auto"/>
        <w:rPr>
          <w:sz w:val="20"/>
          <w:szCs w:val="20"/>
          <w:color w:val="auto"/>
        </w:rPr>
      </w:pPr>
      <w:r>
        <w:rPr>
          <w:rFonts w:ascii="Times New Roman" w:cs="Times New Roman" w:eastAsia="Times New Roman" w:hAnsi="Times New Roman"/>
          <w:sz w:val="19"/>
          <w:szCs w:val="19"/>
          <w:u w:val="single" w:color="auto"/>
          <w:color w:val="auto"/>
        </w:rPr>
        <w:t>(iii)Recordation into Register</w:t>
      </w:r>
      <w:r>
        <w:rPr>
          <w:rFonts w:ascii="Times New Roman" w:cs="Times New Roman" w:eastAsia="Times New Roman" w:hAnsi="Times New Roman"/>
          <w:sz w:val="19"/>
          <w:szCs w:val="19"/>
          <w:color w:val="auto"/>
        </w:rPr>
        <w:t xml:space="preserve">. Upon its receipt of </w:t>
      </w:r>
      <w:r>
        <w:rPr>
          <w:rFonts w:ascii="Times New Roman" w:cs="Times New Roman" w:eastAsia="Times New Roman" w:hAnsi="Times New Roman"/>
          <w:sz w:val="19"/>
          <w:szCs w:val="19"/>
          <w:color w:val="FF0000"/>
          <w:strike w:val="1"/>
        </w:rPr>
        <w:t>an agreement referred to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FF0000"/>
          <w:strike w:val="1"/>
        </w:rPr>
        <w:t>clause (ii)(y)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above</w:t>
      </w:r>
      <w:r>
        <w:rPr>
          <w:rFonts w:ascii="Times New Roman" w:cs="Times New Roman" w:eastAsia="Times New Roman" w:hAnsi="Times New Roman"/>
          <w:sz w:val="19"/>
          <w:szCs w:val="19"/>
          <w:u w:val="single" w:color="auto"/>
          <w:color w:val="0000FF"/>
        </w:rPr>
        <w:t>a Commitment Increase Supplement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executed by an Assuming Lender or any Increasing Lender,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together with the certificate referred to in </w:t>
      </w:r>
      <w:r>
        <w:rPr>
          <w:rFonts w:ascii="Times New Roman" w:cs="Times New Roman" w:eastAsia="Times New Roman" w:hAnsi="Times New Roman"/>
          <w:sz w:val="19"/>
          <w:szCs w:val="19"/>
          <w:u w:val="single" w:color="auto"/>
          <w:color w:val="000000"/>
        </w:rPr>
        <w:t>clause (ii)(x)</w:t>
      </w:r>
      <w:r>
        <w:rPr>
          <w:rFonts w:ascii="Times New Roman" w:cs="Times New Roman" w:eastAsia="Times New Roman" w:hAnsi="Times New Roman"/>
          <w:sz w:val="19"/>
          <w:szCs w:val="19"/>
          <w:color w:val="000000"/>
        </w:rPr>
        <w:t xml:space="preserve"> above, the Administrative Agent shall, if such agreement has been completed, (x) accept such agreement, (y) record the information contained therein in the Register and (z) give prompt notice thereof to the Borrower.</w:t>
      </w:r>
    </w:p>
    <w:p>
      <w:pPr>
        <w:spacing w:after="0" w:line="154" w:lineRule="exact"/>
        <w:rPr>
          <w:sz w:val="20"/>
          <w:szCs w:val="20"/>
          <w:color w:val="auto"/>
        </w:rPr>
      </w:pPr>
    </w:p>
    <w:p>
      <w:pPr>
        <w:ind w:left="1760" w:right="340" w:firstLine="936"/>
        <w:spacing w:after="0" w:line="262" w:lineRule="auto"/>
        <w:rPr>
          <w:sz w:val="20"/>
          <w:szCs w:val="20"/>
          <w:color w:val="auto"/>
        </w:rPr>
      </w:pPr>
      <w:r>
        <w:rPr>
          <w:rFonts w:ascii="Times New Roman" w:cs="Times New Roman" w:eastAsia="Times New Roman" w:hAnsi="Times New Roman"/>
          <w:sz w:val="19"/>
          <w:szCs w:val="19"/>
          <w:u w:val="single" w:color="auto"/>
          <w:color w:val="auto"/>
        </w:rPr>
        <w:t>(iv)Adjustments of Borrowings upon Effectiveness of Increase</w:t>
      </w:r>
      <w:r>
        <w:rPr>
          <w:rFonts w:ascii="Times New Roman" w:cs="Times New Roman" w:eastAsia="Times New Roman" w:hAnsi="Times New Roman"/>
          <w:sz w:val="19"/>
          <w:szCs w:val="19"/>
          <w:color w:val="auto"/>
        </w:rPr>
        <w:t>. On the Commitment Increase Date, the Borrower shall (A) prepay the outstanding Loans (if any) of the affected Class of Commitments in full, (B) simultaneously borrow new Loans of such Class hereunder in an amount equal to such prepayment (which may also include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88" w:name="page189"/>
    <w:bookmarkEnd w:id="188"/>
    <w:p>
      <w:pPr>
        <w:spacing w:after="0" w:line="269" w:lineRule="exact"/>
        <w:rPr>
          <w:sz w:val="20"/>
          <w:szCs w:val="20"/>
          <w:color w:val="auto"/>
        </w:rPr>
      </w:pPr>
    </w:p>
    <w:p>
      <w:pPr>
        <w:ind w:left="1760" w:right="100"/>
        <w:spacing w:after="0" w:line="253" w:lineRule="auto"/>
        <w:rPr>
          <w:sz w:val="20"/>
          <w:szCs w:val="20"/>
          <w:color w:val="auto"/>
        </w:rPr>
      </w:pPr>
      <w:r>
        <w:rPr>
          <w:rFonts w:ascii="Times New Roman" w:cs="Times New Roman" w:eastAsia="Times New Roman" w:hAnsi="Times New Roman"/>
          <w:sz w:val="19"/>
          <w:szCs w:val="19"/>
          <w:color w:val="auto"/>
        </w:rPr>
        <w:t xml:space="preserve">the amount of any fees, expenses or amounts due by the Borrower on or prior to the Commitment Increase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w:t>
      </w:r>
      <w:r>
        <w:rPr>
          <w:rFonts w:ascii="Times New Roman" w:cs="Times New Roman" w:eastAsia="Times New Roman" w:hAnsi="Times New Roman"/>
          <w:sz w:val="19"/>
          <w:szCs w:val="19"/>
          <w:u w:val="single" w:color="auto"/>
          <w:color w:val="auto"/>
        </w:rPr>
        <w:t>subclauses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as a result of any such prepayment. Concurrently therewith, the Lenders of such Class shall be deemed to have adjusted their participation interests in any outstanding Swingline Loans and Letters of Credit of such Class so that such interests are held ratably in accordance with their commitments of such Class as so increased.</w:t>
      </w:r>
    </w:p>
    <w:p>
      <w:pPr>
        <w:spacing w:after="0" w:line="163" w:lineRule="exact"/>
        <w:rPr>
          <w:sz w:val="20"/>
          <w:szCs w:val="20"/>
          <w:color w:val="auto"/>
        </w:rPr>
      </w:pPr>
    </w:p>
    <w:p>
      <w:pPr>
        <w:ind w:left="1060" w:right="360" w:firstLine="864"/>
        <w:spacing w:after="0" w:line="286" w:lineRule="auto"/>
        <w:rPr>
          <w:sz w:val="20"/>
          <w:szCs w:val="20"/>
          <w:color w:val="auto"/>
        </w:rPr>
      </w:pPr>
      <w:r>
        <w:rPr>
          <w:rFonts w:ascii="Times New Roman" w:cs="Times New Roman" w:eastAsia="Times New Roman" w:hAnsi="Times New Roman"/>
          <w:sz w:val="19"/>
          <w:szCs w:val="19"/>
          <w:u w:val="single" w:color="auto"/>
          <w:color w:val="auto"/>
        </w:rPr>
        <w:t>(f)Reduction of Non-Extending Lenders’ Commitment</w:t>
      </w:r>
      <w:r>
        <w:rPr>
          <w:rFonts w:ascii="Times New Roman" w:cs="Times New Roman" w:eastAsia="Times New Roman" w:hAnsi="Times New Roman"/>
          <w:sz w:val="19"/>
          <w:szCs w:val="19"/>
          <w:color w:val="auto"/>
        </w:rPr>
        <w:t xml:space="preserve">. Notwithstanding anything to the contrary herein (including </w:t>
      </w: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760" w:right="120" w:firstLine="936"/>
        <w:spacing w:after="0" w:line="257" w:lineRule="auto"/>
        <w:rPr>
          <w:sz w:val="20"/>
          <w:szCs w:val="20"/>
          <w:color w:val="auto"/>
        </w:rPr>
      </w:pPr>
      <w:r>
        <w:rPr>
          <w:rFonts w:ascii="Times New Roman" w:cs="Times New Roman" w:eastAsia="Times New Roman" w:hAnsi="Times New Roman"/>
          <w:sz w:val="19"/>
          <w:szCs w:val="19"/>
          <w:color w:val="auto"/>
        </w:rPr>
        <w:t xml:space="preserve">(i)The Borrower may at any time terminate, or from time to time reduce, the Commitment of any Non-Extending Lender without reducing the Commitments of any other Lender of the same Class of Commitments as such Non-Extending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reduction of the Commitment of a Non-Extending Lender hereunder shall be in an amount that is $10,000,000 or a larger multiple of $5,000,000 in excess thereof (or, in each case, the entire Commitment of such Non-Extending Lender).</w:t>
      </w:r>
    </w:p>
    <w:p>
      <w:pPr>
        <w:spacing w:after="0" w:line="157" w:lineRule="exact"/>
        <w:rPr>
          <w:sz w:val="20"/>
          <w:szCs w:val="20"/>
          <w:color w:val="auto"/>
        </w:rPr>
      </w:pPr>
    </w:p>
    <w:p>
      <w:pPr>
        <w:ind w:left="1760" w:right="140" w:firstLine="936"/>
        <w:spacing w:after="0" w:line="257" w:lineRule="auto"/>
        <w:rPr>
          <w:sz w:val="20"/>
          <w:szCs w:val="20"/>
          <w:color w:val="auto"/>
        </w:rPr>
      </w:pPr>
      <w:r>
        <w:rPr>
          <w:rFonts w:ascii="Times New Roman" w:cs="Times New Roman" w:eastAsia="Times New Roman" w:hAnsi="Times New Roman"/>
          <w:sz w:val="19"/>
          <w:szCs w:val="19"/>
          <w:color w:val="auto"/>
        </w:rPr>
        <w:t xml:space="preserve">(ii)The Borrower shall notify the Administrative Agent of any election to terminate or reduce the Commitment of any Non-Extending Lender under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at least three (3)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be irrevocable.</w:t>
      </w:r>
    </w:p>
    <w:p>
      <w:pPr>
        <w:spacing w:after="0" w:line="157" w:lineRule="exact"/>
        <w:rPr>
          <w:sz w:val="20"/>
          <w:szCs w:val="20"/>
          <w:color w:val="auto"/>
        </w:rPr>
      </w:pPr>
    </w:p>
    <w:p>
      <w:pPr>
        <w:ind w:left="1760" w:right="600" w:firstLine="936"/>
        <w:spacing w:after="0" w:line="268" w:lineRule="auto"/>
        <w:rPr>
          <w:sz w:val="20"/>
          <w:szCs w:val="20"/>
          <w:color w:val="auto"/>
        </w:rPr>
      </w:pPr>
      <w:r>
        <w:rPr>
          <w:rFonts w:ascii="Times New Roman" w:cs="Times New Roman" w:eastAsia="Times New Roman" w:hAnsi="Times New Roman"/>
          <w:sz w:val="19"/>
          <w:szCs w:val="19"/>
          <w:color w:val="auto"/>
        </w:rPr>
        <w:t xml:space="preserve">(iii)Any termination or reduction of the Commitment of any Non -Extending Lender pursuant to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be permanent and shall be made concurrently with all required reallocation prepayments and cash collateralizations required under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2.09. </w:t>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u w:val="single" w:color="auto"/>
          <w:color w:val="auto"/>
        </w:rPr>
        <w:t>(a)Repayment</w:t>
      </w:r>
      <w:r>
        <w:rPr>
          <w:rFonts w:ascii="Times New Roman" w:cs="Times New Roman" w:eastAsia="Times New Roman" w:hAnsi="Times New Roman"/>
          <w:sz w:val="19"/>
          <w:szCs w:val="19"/>
          <w:color w:val="auto"/>
        </w:rPr>
        <w:t>. The Borrower hereby unconditionally promises to pay the Loans of each Class of</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Final Maturity Date or Commitments, as applicable, as follows:</w:t>
      </w:r>
    </w:p>
    <w:p>
      <w:pPr>
        <w:spacing w:after="0" w:line="180" w:lineRule="exact"/>
        <w:rPr>
          <w:sz w:val="20"/>
          <w:szCs w:val="20"/>
          <w:color w:val="auto"/>
        </w:rPr>
      </w:pPr>
    </w:p>
    <w:p>
      <w:pPr>
        <w:jc w:val="both"/>
        <w:ind w:left="1760" w:right="200" w:firstLine="948"/>
        <w:spacing w:after="0" w:line="268" w:lineRule="auto"/>
        <w:rPr>
          <w:sz w:val="20"/>
          <w:szCs w:val="20"/>
          <w:color w:val="auto"/>
        </w:rPr>
      </w:pPr>
      <w:r>
        <w:rPr>
          <w:rFonts w:ascii="Times New Roman" w:cs="Times New Roman" w:eastAsia="Times New Roman" w:hAnsi="Times New Roman"/>
          <w:sz w:val="19"/>
          <w:szCs w:val="19"/>
          <w:color w:val="auto"/>
        </w:rPr>
        <w:t>(i)to the Administrative Agent for account of the Lenders of such Class of Final Maturity Date the outstanding principal amount of the Syndicated Loans of the Lenders of such Class of Final Maturity Date on the applicable Final Maturity Date; 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89" w:name="page190"/>
    <w:bookmarkEnd w:id="189"/>
    <w:p>
      <w:pPr>
        <w:spacing w:after="0" w:line="269" w:lineRule="exact"/>
        <w:rPr>
          <w:sz w:val="20"/>
          <w:szCs w:val="20"/>
          <w:color w:val="auto"/>
        </w:rPr>
      </w:pPr>
    </w:p>
    <w:p>
      <w:pPr>
        <w:ind w:left="1760" w:right="380" w:firstLine="936"/>
        <w:spacing w:after="0" w:line="256" w:lineRule="auto"/>
        <w:rPr>
          <w:sz w:val="20"/>
          <w:szCs w:val="20"/>
          <w:color w:val="auto"/>
        </w:rPr>
      </w:pPr>
      <w:r>
        <w:rPr>
          <w:rFonts w:ascii="Times New Roman" w:cs="Times New Roman" w:eastAsia="Times New Roman" w:hAnsi="Times New Roman"/>
          <w:sz w:val="19"/>
          <w:szCs w:val="19"/>
          <w:color w:val="auto"/>
        </w:rPr>
        <w:t xml:space="preserve">(ii)to the applicable Swingline Lender the then unpaid principal amount of each Swingline Loan of each Class of Commitment denominated in Dollars made by such Swingline Lender, on the earlier of the Extended Commitment Termination Date and the first date after such Swingline Loan is made that is the 15th or last day of a calendar month and is at least ten (10) Business Days after such Swingline Loan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each date that a Syndicated Borrowing of such Class of Commitment is made, the Borrower shall repay all Swingline Loans of such Class of Commitment then outstanding.</w:t>
      </w:r>
    </w:p>
    <w:p>
      <w:pPr>
        <w:spacing w:after="0" w:line="157" w:lineRule="exact"/>
        <w:rPr>
          <w:sz w:val="20"/>
          <w:szCs w:val="20"/>
          <w:color w:val="auto"/>
        </w:rPr>
      </w:pPr>
    </w:p>
    <w:p>
      <w:pPr>
        <w:ind w:left="1060" w:right="160" w:firstLine="1728"/>
        <w:spacing w:after="0" w:line="257" w:lineRule="auto"/>
        <w:rPr>
          <w:sz w:val="20"/>
          <w:szCs w:val="20"/>
          <w:color w:val="auto"/>
        </w:rPr>
      </w:pPr>
      <w:r>
        <w:rPr>
          <w:rFonts w:ascii="Times New Roman" w:cs="Times New Roman" w:eastAsia="Times New Roman" w:hAnsi="Times New Roman"/>
          <w:sz w:val="19"/>
          <w:szCs w:val="19"/>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57" w:lineRule="exact"/>
        <w:rPr>
          <w:sz w:val="20"/>
          <w:szCs w:val="20"/>
          <w:color w:val="auto"/>
        </w:rPr>
      </w:pPr>
    </w:p>
    <w:p>
      <w:pPr>
        <w:ind w:left="1060" w:right="14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(b)Manner of Payment</w:t>
      </w:r>
      <w:r>
        <w:rPr>
          <w:rFonts w:ascii="Times New Roman" w:cs="Times New Roman" w:eastAsia="Times New Roman" w:hAnsi="Times New Roman"/>
          <w:sz w:val="19"/>
          <w:szCs w:val="19"/>
          <w:color w:val="auto"/>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or electronic communication) of such selection not later than the time set forth in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prior to the scheduled date of such repayment;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spacing w:after="0" w:line="161" w:lineRule="exact"/>
        <w:rPr>
          <w:sz w:val="20"/>
          <w:szCs w:val="20"/>
          <w:color w:val="auto"/>
        </w:rPr>
      </w:pPr>
    </w:p>
    <w:p>
      <w:pPr>
        <w:ind w:left="1060" w:right="200" w:firstLine="864"/>
        <w:spacing w:after="0" w:line="262" w:lineRule="auto"/>
        <w:rPr>
          <w:sz w:val="20"/>
          <w:szCs w:val="20"/>
          <w:color w:val="auto"/>
        </w:rPr>
      </w:pPr>
      <w:r>
        <w:rPr>
          <w:rFonts w:ascii="Times New Roman" w:cs="Times New Roman" w:eastAsia="Times New Roman" w:hAnsi="Times New Roman"/>
          <w:sz w:val="19"/>
          <w:szCs w:val="19"/>
          <w:u w:val="single" w:color="auto"/>
          <w:color w:val="auto"/>
        </w:rPr>
        <w:t>(c)Maintenance of Records by Lenders</w:t>
      </w:r>
      <w:r>
        <w:rPr>
          <w:rFonts w:ascii="Times New Roman" w:cs="Times New Roman" w:eastAsia="Times New Roman" w:hAnsi="Times New Roman"/>
          <w:sz w:val="19"/>
          <w:szCs w:val="19"/>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50" w:lineRule="exact"/>
        <w:rPr>
          <w:sz w:val="20"/>
          <w:szCs w:val="20"/>
          <w:color w:val="auto"/>
        </w:rPr>
      </w:pPr>
    </w:p>
    <w:p>
      <w:pPr>
        <w:ind w:left="1060" w:right="20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(d)Maintenance of Records by the Administrative Agent</w:t>
      </w:r>
      <w:r>
        <w:rPr>
          <w:rFonts w:ascii="Times New Roman" w:cs="Times New Roman" w:eastAsia="Times New Roman" w:hAnsi="Times New Roman"/>
          <w:sz w:val="19"/>
          <w:szCs w:val="19"/>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w:t>
      </w:r>
    </w:p>
    <w:p>
      <w:pPr>
        <w:spacing w:after="0" w:line="2" w:lineRule="exact"/>
        <w:rPr>
          <w:sz w:val="20"/>
          <w:szCs w:val="20"/>
          <w:color w:val="auto"/>
        </w:rPr>
      </w:pPr>
    </w:p>
    <w:p>
      <w:pPr>
        <w:ind w:left="1060" w:right="340" w:hanging="10"/>
        <w:spacing w:after="0" w:line="262" w:lineRule="auto"/>
        <w:tabs>
          <w:tab w:leader="none" w:pos="139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and Currency of any sum received by the Administrative Agent hereunder for account of the Lenders and each Lender’s share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90" w:name="page191"/>
    <w:bookmarkEnd w:id="190"/>
    <w:p>
      <w:pPr>
        <w:spacing w:after="0" w:line="269" w:lineRule="exact"/>
        <w:rPr>
          <w:sz w:val="20"/>
          <w:szCs w:val="20"/>
          <w:color w:val="auto"/>
        </w:rPr>
      </w:pPr>
    </w:p>
    <w:p>
      <w:pPr>
        <w:ind w:left="1060" w:right="14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(e)Effect of Entries</w:t>
      </w:r>
      <w:r>
        <w:rPr>
          <w:rFonts w:ascii="Times New Roman" w:cs="Times New Roman" w:eastAsia="Times New Roman" w:hAnsi="Times New Roman"/>
          <w:sz w:val="19"/>
          <w:szCs w:val="19"/>
          <w:color w:val="auto"/>
        </w:rPr>
        <w:t xml:space="preserve">. The entries made in the records maintained pursuant to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this Section shall be </w:t>
      </w:r>
      <w:r>
        <w:rPr>
          <w:rFonts w:ascii="Times New Roman" w:cs="Times New Roman" w:eastAsia="Times New Roman" w:hAnsi="Times New Roman"/>
          <w:sz w:val="19"/>
          <w:szCs w:val="19"/>
          <w:u w:val="single" w:color="auto"/>
          <w:color w:val="auto"/>
        </w:rPr>
        <w:t>prima facie</w:t>
      </w:r>
      <w:r>
        <w:rPr>
          <w:rFonts w:ascii="Times New Roman" w:cs="Times New Roman" w:eastAsia="Times New Roman" w:hAnsi="Times New Roman"/>
          <w:sz w:val="19"/>
          <w:szCs w:val="19"/>
          <w:color w:val="auto"/>
        </w:rPr>
        <w:t xml:space="preserve"> evidence, absent obvious error, of the existence and amounts of the obligations recorded therein;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54" w:lineRule="exact"/>
        <w:rPr>
          <w:sz w:val="20"/>
          <w:szCs w:val="20"/>
          <w:color w:val="auto"/>
        </w:rPr>
      </w:pPr>
    </w:p>
    <w:p>
      <w:pPr>
        <w:ind w:left="1060" w:right="10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(f)Promissory Notes</w:t>
      </w:r>
      <w:r>
        <w:rPr>
          <w:rFonts w:ascii="Times New Roman" w:cs="Times New Roman" w:eastAsia="Times New Roman" w:hAnsi="Times New Roman"/>
          <w:sz w:val="19"/>
          <w:szCs w:val="19"/>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reasonably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be represented by one or more promissory notes in such form payable to the payee named therein (or, if such promissory note is a registered note, to such payee and its registered assigns).</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2.10. </w:t>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100" w:firstLine="864"/>
        <w:spacing w:after="0" w:line="257" w:lineRule="auto"/>
        <w:rPr>
          <w:sz w:val="20"/>
          <w:szCs w:val="20"/>
          <w:color w:val="auto"/>
        </w:rPr>
      </w:pPr>
      <w:r>
        <w:rPr>
          <w:rFonts w:ascii="Times New Roman" w:cs="Times New Roman" w:eastAsia="Times New Roman" w:hAnsi="Times New Roman"/>
          <w:sz w:val="19"/>
          <w:szCs w:val="19"/>
          <w:u w:val="single" w:color="auto"/>
          <w:color w:val="auto"/>
        </w:rPr>
        <w:t>(a)Optional Prepayments</w:t>
      </w:r>
      <w:r>
        <w:rPr>
          <w:rFonts w:ascii="Times New Roman" w:cs="Times New Roman" w:eastAsia="Times New Roman" w:hAnsi="Times New Roman"/>
          <w:sz w:val="19"/>
          <w:szCs w:val="19"/>
          <w:color w:val="auto"/>
        </w:rPr>
        <w:t xml:space="preserve">. The Borrower shall have the right at any time and from time to time to prepay any Borrowing in whole or in part, without premium or penalty except for payments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subject to the requirements of this Section. Any prepayment of a Borrowing made in accordance with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shall be applied ratably among the Lenders of a Class of Commitment unless such prepayment is made in connection with the reduction of Commitments in accordance with </w:t>
      </w:r>
      <w:r>
        <w:rPr>
          <w:rFonts w:ascii="Times New Roman" w:cs="Times New Roman" w:eastAsia="Times New Roman" w:hAnsi="Times New Roman"/>
          <w:sz w:val="19"/>
          <w:szCs w:val="19"/>
          <w:u w:val="single" w:color="auto"/>
          <w:color w:val="auto"/>
        </w:rPr>
        <w:t>Section 2.08(b)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in which case such prepayment shall be applied in accordance with </w:t>
      </w: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as applicable.</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u w:val="single" w:color="auto"/>
          <w:color w:val="auto"/>
        </w:rPr>
        <w:t>(b)Mandatory Prepayments due to Changes in Exchange Rates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760" w:right="100" w:firstLine="936"/>
        <w:spacing w:after="0" w:line="254" w:lineRule="auto"/>
        <w:rPr>
          <w:sz w:val="20"/>
          <w:szCs w:val="20"/>
          <w:color w:val="auto"/>
        </w:rPr>
      </w:pPr>
      <w:r>
        <w:rPr>
          <w:rFonts w:ascii="Times New Roman" w:cs="Times New Roman" w:eastAsia="Times New Roman" w:hAnsi="Times New Roman"/>
          <w:sz w:val="19"/>
          <w:szCs w:val="19"/>
          <w:u w:val="single" w:color="auto"/>
          <w:color w:val="auto"/>
        </w:rPr>
        <w:t>(i)Determination of Amount Outstanding</w:t>
      </w:r>
      <w:r>
        <w:rPr>
          <w:rFonts w:ascii="Times New Roman" w:cs="Times New Roman" w:eastAsia="Times New Roman" w:hAnsi="Times New Roman"/>
          <w:sz w:val="19"/>
          <w:szCs w:val="19"/>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57" w:lineRule="exact"/>
        <w:rPr>
          <w:sz w:val="20"/>
          <w:szCs w:val="20"/>
          <w:color w:val="auto"/>
        </w:rPr>
      </w:pPr>
    </w:p>
    <w:p>
      <w:pPr>
        <w:ind w:left="1760" w:right="120" w:firstLine="936"/>
        <w:spacing w:after="0" w:line="257" w:lineRule="auto"/>
        <w:rPr>
          <w:sz w:val="20"/>
          <w:szCs w:val="20"/>
          <w:color w:val="auto"/>
        </w:rPr>
      </w:pPr>
      <w:r>
        <w:rPr>
          <w:rFonts w:ascii="Times New Roman" w:cs="Times New Roman" w:eastAsia="Times New Roman" w:hAnsi="Times New Roman"/>
          <w:sz w:val="19"/>
          <w:szCs w:val="19"/>
          <w:u w:val="single" w:color="auto"/>
          <w:color w:val="auto"/>
        </w:rPr>
        <w:t>(ii)Prepayment</w:t>
      </w:r>
      <w:r>
        <w:rPr>
          <w:rFonts w:ascii="Times New Roman" w:cs="Times New Roman" w:eastAsia="Times New Roman" w:hAnsi="Times New Roman"/>
          <w:sz w:val="19"/>
          <w:szCs w:val="19"/>
          <w:color w:val="auto"/>
        </w:rPr>
        <w:t xml:space="preserve">. If on the date of such determination the aggregate Revolving Multicurrency Credit Exposure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Loans of the Swingline Lenders with 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91" w:name="page192"/>
    <w:bookmarkEnd w:id="191"/>
    <w:p>
      <w:pPr>
        <w:spacing w:after="0" w:line="269" w:lineRule="exact"/>
        <w:rPr>
          <w:sz w:val="20"/>
          <w:szCs w:val="20"/>
          <w:color w:val="auto"/>
        </w:rPr>
      </w:pPr>
    </w:p>
    <w:p>
      <w:pPr>
        <w:ind w:left="1760" w:right="660"/>
        <w:spacing w:after="0" w:line="262" w:lineRule="auto"/>
        <w:rPr>
          <w:sz w:val="20"/>
          <w:szCs w:val="20"/>
          <w:color w:val="auto"/>
        </w:rPr>
      </w:pPr>
      <w:r>
        <w:rPr>
          <w:rFonts w:ascii="Times New Roman" w:cs="Times New Roman" w:eastAsia="Times New Roman" w:hAnsi="Times New Roman"/>
          <w:sz w:val="19"/>
          <w:szCs w:val="19"/>
          <w:color w:val="auto"/>
        </w:rPr>
        <w:t xml:space="preserve">Multicurrency Commitment (and/or provide Cash Collateral for Multicurrency LC Exposure as specified in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50" w:lineRule="exact"/>
        <w:rPr>
          <w:sz w:val="20"/>
          <w:szCs w:val="20"/>
          <w:color w:val="auto"/>
        </w:rPr>
      </w:pPr>
    </w:p>
    <w:p>
      <w:pPr>
        <w:ind w:left="1060" w:right="280"/>
        <w:spacing w:after="0" w:line="259" w:lineRule="auto"/>
        <w:rPr>
          <w:sz w:val="20"/>
          <w:szCs w:val="20"/>
          <w:color w:val="auto"/>
        </w:rPr>
      </w:pPr>
      <w:r>
        <w:rPr>
          <w:rFonts w:ascii="Times New Roman" w:cs="Times New Roman" w:eastAsia="Times New Roman" w:hAnsi="Times New Roman"/>
          <w:sz w:val="19"/>
          <w:szCs w:val="19"/>
          <w:color w:val="auto"/>
        </w:rPr>
        <w:t>For purposes hereof “</w:t>
      </w:r>
      <w:r>
        <w:rPr>
          <w:rFonts w:ascii="Times New Roman" w:cs="Times New Roman" w:eastAsia="Times New Roman" w:hAnsi="Times New Roman"/>
          <w:sz w:val="19"/>
          <w:szCs w:val="19"/>
          <w:u w:val="single" w:color="auto"/>
          <w:color w:val="auto"/>
        </w:rPr>
        <w:t>Currency Valuation Notice</w:t>
      </w:r>
      <w:r>
        <w:rPr>
          <w:rFonts w:ascii="Times New Roman" w:cs="Times New Roman" w:eastAsia="Times New Roman" w:hAnsi="Times New Roman"/>
          <w:sz w:val="19"/>
          <w:szCs w:val="19"/>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54" w:lineRule="exact"/>
        <w:rPr>
          <w:sz w:val="20"/>
          <w:szCs w:val="20"/>
          <w:color w:val="auto"/>
        </w:rPr>
      </w:pPr>
    </w:p>
    <w:p>
      <w:pPr>
        <w:ind w:left="1060" w:right="280" w:firstLine="1728"/>
        <w:spacing w:after="0" w:line="268" w:lineRule="auto"/>
        <w:rPr>
          <w:sz w:val="20"/>
          <w:szCs w:val="20"/>
          <w:color w:val="auto"/>
        </w:rPr>
      </w:pPr>
      <w:r>
        <w:rPr>
          <w:rFonts w:ascii="Times New Roman" w:cs="Times New Roman" w:eastAsia="Times New Roman" w:hAnsi="Times New Roman"/>
          <w:sz w:val="19"/>
          <w:szCs w:val="19"/>
          <w:color w:val="auto"/>
        </w:rPr>
        <w:t xml:space="preserve">Any prepayment pursuant to this paragraph shall be applied,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Swingline Multicurrency Loans outstanding,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Syndicated Multicurrency Loans outstanding and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as cover for Multicurrency LC Exposure.</w:t>
      </w:r>
    </w:p>
    <w:p>
      <w:pPr>
        <w:spacing w:after="0" w:line="144" w:lineRule="exact"/>
        <w:rPr>
          <w:sz w:val="20"/>
          <w:szCs w:val="20"/>
          <w:color w:val="auto"/>
        </w:rPr>
      </w:pPr>
    </w:p>
    <w:p>
      <w:pPr>
        <w:ind w:left="1060" w:right="8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(c)Mandatory Prepayments due to Borrowing Base Deficiency</w:t>
      </w:r>
      <w:r>
        <w:rPr>
          <w:rFonts w:ascii="Times New Roman" w:cs="Times New Roman" w:eastAsia="Times New Roman" w:hAnsi="Times New Roman"/>
          <w:sz w:val="19"/>
          <w:szCs w:val="19"/>
          <w:color w:val="auto"/>
        </w:rPr>
        <w:t xml:space="preserve">. In the event that at any time any Borrowing Base Deficiency shall exist, the Borrower shall, within five (5) Business Days after delivery of the applicable Borrowing Base Certificate, prepay the Loans (or provide Cash Collateral for Letters of Credit as contemplated by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xml:space="preserve">) or reduce Other Covered Indebtedness or any other Indebtedness that is included in the Covered Debt Amount at such time in such amounts as shall be necessary so that such Borrowing Base Deficiency is cured;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amount of such prepayment of Loans (and Cash Collateral for Letters of Credit) shall be at least equal to the Revolving Percentage times the aggregate prepayment of the Covered Debt Amount, and (ii) if, within five (5) Business Days after delivery of a Borrowing Base Certificate demonstrating such Borrowing Base Deficiency, the Borrower shall present the Administrative Agent with a reasonably feasible plan </w:t>
      </w:r>
      <w:r>
        <w:rPr>
          <w:rFonts w:ascii="Times New Roman" w:cs="Times New Roman" w:eastAsia="Times New Roman" w:hAnsi="Times New Roman"/>
          <w:sz w:val="19"/>
          <w:szCs w:val="19"/>
          <w:color w:val="FF0000"/>
          <w:strike w:val="1"/>
        </w:rPr>
        <w:t>acceptable to the Required Lenders in their sole discretion</w:t>
      </w:r>
      <w:r>
        <w:rPr>
          <w:rFonts w:ascii="Times New Roman" w:cs="Times New Roman" w:eastAsia="Times New Roman" w:hAnsi="Times New Roman"/>
          <w:sz w:val="19"/>
          <w:szCs w:val="19"/>
          <w:color w:val="auto"/>
        </w:rPr>
        <w:t xml:space="preserve"> to enable such Borrowing Base Deficiency to be cured within 30 Business Days (which 30-Business Day period shall include the five (5)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 (or any extended period consented to by the Administrative Agent in its sole discretion).</w:t>
      </w:r>
    </w:p>
    <w:p>
      <w:pPr>
        <w:spacing w:after="0" w:line="171" w:lineRule="exact"/>
        <w:rPr>
          <w:sz w:val="20"/>
          <w:szCs w:val="20"/>
          <w:color w:val="auto"/>
        </w:rPr>
      </w:pPr>
    </w:p>
    <w:p>
      <w:pPr>
        <w:jc w:val="both"/>
        <w:ind w:left="1060" w:right="46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(d)Mandatory Prepayments During Amortization Period</w:t>
      </w:r>
      <w:r>
        <w:rPr>
          <w:rFonts w:ascii="Times New Roman" w:cs="Times New Roman" w:eastAsia="Times New Roman" w:hAnsi="Times New Roman"/>
          <w:sz w:val="19"/>
          <w:szCs w:val="19"/>
          <w:color w:val="auto"/>
        </w:rPr>
        <w:t>. During the period commencing on the date immediately following the Commitment Termination Date with respect to any Loans of any Lender or Lenders and ending on the Final Maturity Date with respect to the Loans of such Lender or Lenders:</w:t>
      </w:r>
    </w:p>
    <w:p>
      <w:pPr>
        <w:spacing w:after="0" w:line="144" w:lineRule="exact"/>
        <w:rPr>
          <w:sz w:val="20"/>
          <w:szCs w:val="20"/>
          <w:color w:val="auto"/>
        </w:rPr>
      </w:pPr>
    </w:p>
    <w:p>
      <w:pPr>
        <w:ind w:left="1760" w:right="160" w:firstLine="936"/>
        <w:spacing w:after="0" w:line="259" w:lineRule="auto"/>
        <w:rPr>
          <w:sz w:val="20"/>
          <w:szCs w:val="20"/>
          <w:color w:val="auto"/>
        </w:rPr>
      </w:pPr>
      <w:r>
        <w:rPr>
          <w:rFonts w:ascii="Times New Roman" w:cs="Times New Roman" w:eastAsia="Times New Roman" w:hAnsi="Times New Roman"/>
          <w:sz w:val="19"/>
          <w:szCs w:val="19"/>
          <w:u w:val="single" w:color="auto"/>
          <w:color w:val="auto"/>
        </w:rPr>
        <w:t>(i)Asset Disposition</w:t>
      </w:r>
      <w:r>
        <w:rPr>
          <w:rFonts w:ascii="Times New Roman" w:cs="Times New Roman" w:eastAsia="Times New Roman" w:hAnsi="Times New Roman"/>
          <w:sz w:val="19"/>
          <w:szCs w:val="19"/>
          <w:color w:val="auto"/>
        </w:rPr>
        <w:t>.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92" w:name="page193"/>
    <w:bookmarkEnd w:id="192"/>
    <w:p>
      <w:pPr>
        <w:spacing w:after="0" w:line="269" w:lineRule="exact"/>
        <w:rPr>
          <w:sz w:val="20"/>
          <w:szCs w:val="20"/>
          <w:color w:val="auto"/>
        </w:rPr>
      </w:pPr>
    </w:p>
    <w:p>
      <w:pPr>
        <w:ind w:left="1760" w:right="760"/>
        <w:spacing w:after="0" w:line="286" w:lineRule="auto"/>
        <w:rPr>
          <w:sz w:val="20"/>
          <w:szCs w:val="20"/>
          <w:color w:val="auto"/>
        </w:rPr>
      </w:pPr>
      <w:r>
        <w:rPr>
          <w:rFonts w:ascii="Times New Roman" w:cs="Times New Roman" w:eastAsia="Times New Roman" w:hAnsi="Times New Roman"/>
          <w:sz w:val="19"/>
          <w:szCs w:val="19"/>
          <w:color w:val="auto"/>
        </w:rPr>
        <w:t xml:space="preserve">Net Cash Proceeds no later than the fifth Business Day following the receipt of such Net Cash Proceeds (such prepayments to be applied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760" w:right="220" w:firstLine="948"/>
        <w:spacing w:after="0" w:line="257" w:lineRule="auto"/>
        <w:rPr>
          <w:sz w:val="20"/>
          <w:szCs w:val="20"/>
          <w:color w:val="auto"/>
        </w:rPr>
      </w:pPr>
      <w:r>
        <w:rPr>
          <w:rFonts w:ascii="Times New Roman" w:cs="Times New Roman" w:eastAsia="Times New Roman" w:hAnsi="Times New Roman"/>
          <w:sz w:val="19"/>
          <w:szCs w:val="19"/>
          <w:u w:val="single" w:color="auto"/>
          <w:color w:val="auto"/>
        </w:rPr>
        <w:t>(ii)Equity Issuance</w:t>
      </w:r>
      <w:r>
        <w:rPr>
          <w:rFonts w:ascii="Times New Roman" w:cs="Times New Roman" w:eastAsia="Times New Roman" w:hAnsi="Times New Roman"/>
          <w:sz w:val="19"/>
          <w:szCs w:val="19"/>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1760" w:right="360" w:firstLine="936"/>
        <w:spacing w:after="0" w:line="257" w:lineRule="auto"/>
        <w:rPr>
          <w:sz w:val="20"/>
          <w:szCs w:val="20"/>
          <w:color w:val="auto"/>
        </w:rPr>
      </w:pPr>
      <w:r>
        <w:rPr>
          <w:rFonts w:ascii="Times New Roman" w:cs="Times New Roman" w:eastAsia="Times New Roman" w:hAnsi="Times New Roman"/>
          <w:sz w:val="19"/>
          <w:szCs w:val="19"/>
          <w:u w:val="single" w:color="auto"/>
          <w:color w:val="auto"/>
        </w:rPr>
        <w:t>(iii)Indebtedness</w:t>
      </w:r>
      <w:r>
        <w:rPr>
          <w:rFonts w:ascii="Times New Roman" w:cs="Times New Roman" w:eastAsia="Times New Roman" w:hAnsi="Times New Roman"/>
          <w:sz w:val="19"/>
          <w:szCs w:val="19"/>
          <w:color w:val="auto"/>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1760" w:right="80" w:firstLine="936"/>
        <w:spacing w:after="0" w:line="255" w:lineRule="auto"/>
        <w:rPr>
          <w:sz w:val="20"/>
          <w:szCs w:val="20"/>
          <w:color w:val="auto"/>
        </w:rPr>
      </w:pPr>
      <w:r>
        <w:rPr>
          <w:rFonts w:ascii="Times New Roman" w:cs="Times New Roman" w:eastAsia="Times New Roman" w:hAnsi="Times New Roman"/>
          <w:sz w:val="19"/>
          <w:szCs w:val="19"/>
          <w:u w:val="single" w:color="auto"/>
          <w:color w:val="auto"/>
        </w:rPr>
        <w:t>(iv)Extraordinary Receipt</w:t>
      </w:r>
      <w:r>
        <w:rPr>
          <w:rFonts w:ascii="Times New Roman" w:cs="Times New Roman" w:eastAsia="Times New Roman" w:hAnsi="Times New Roman"/>
          <w:sz w:val="19"/>
          <w:szCs w:val="19"/>
          <w:color w:val="auto"/>
        </w:rPr>
        <w:t xml:space="preserve"> .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ind w:left="1760" w:right="240" w:firstLine="948"/>
        <w:spacing w:after="0" w:line="259" w:lineRule="auto"/>
        <w:rPr>
          <w:sz w:val="20"/>
          <w:szCs w:val="20"/>
          <w:color w:val="auto"/>
        </w:rPr>
      </w:pPr>
      <w:r>
        <w:rPr>
          <w:rFonts w:ascii="Times New Roman" w:cs="Times New Roman" w:eastAsia="Times New Roman" w:hAnsi="Times New Roman"/>
          <w:sz w:val="19"/>
          <w:szCs w:val="19"/>
          <w:u w:val="single" w:color="auto"/>
          <w:color w:val="auto"/>
        </w:rPr>
        <w:t>(v)Return of Capital</w:t>
      </w:r>
      <w:r>
        <w:rPr>
          <w:rFonts w:ascii="Times New Roman" w:cs="Times New Roman" w:eastAsia="Times New Roman" w:hAnsi="Times New Roman"/>
          <w:sz w:val="19"/>
          <w:szCs w:val="19"/>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no later than the fifth Business Day following the receipt of such Return of Capital (such prepayments to be applied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left="1060" w:right="60" w:firstLine="852"/>
        <w:spacing w:after="0" w:line="254" w:lineRule="auto"/>
        <w:rPr>
          <w:sz w:val="20"/>
          <w:szCs w:val="20"/>
          <w:color w:val="auto"/>
        </w:rPr>
      </w:pPr>
      <w:r>
        <w:rPr>
          <w:rFonts w:ascii="Times New Roman" w:cs="Times New Roman" w:eastAsia="Times New Roman" w:hAnsi="Times New Roman"/>
          <w:sz w:val="19"/>
          <w:szCs w:val="19"/>
          <w:color w:val="auto"/>
        </w:rPr>
        <w:t xml:space="preserve">Notwithstanding the foregoing, (I) Net Cash Proceeds and Return of Capital required to be applied to the prepayment of the Loans pursuant to this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shall (A) (I) 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 accordance with the Guarantee and Security Agreement and (B) exclude the amount necessary for the Borrower to make all required distributions (which shall be no less than the amount estimated in good faith by Borrower under </w:t>
      </w:r>
      <w:r>
        <w:rPr>
          <w:rFonts w:ascii="Times New Roman" w:cs="Times New Roman" w:eastAsia="Times New Roman" w:hAnsi="Times New Roman"/>
          <w:sz w:val="19"/>
          <w:szCs w:val="19"/>
          <w:u w:val="single" w:color="auto"/>
          <w:color w:val="auto"/>
        </w:rPr>
        <w:t>Section 6.05(b)</w:t>
      </w:r>
      <w:r>
        <w:rPr>
          <w:rFonts w:ascii="Times New Roman" w:cs="Times New Roman" w:eastAsia="Times New Roman" w:hAnsi="Times New Roman"/>
          <w:sz w:val="19"/>
          <w:szCs w:val="19"/>
          <w:color w:val="auto"/>
        </w:rPr>
        <w:t xml:space="preserve"> herein) to maintain the status of a RIC under the Code and a “business development company” under the Investment Company Act for so long as the Borrower retains such status and to avoid payment by the Borrower of federal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93" w:name="page194"/>
    <w:bookmarkEnd w:id="193"/>
    <w:p>
      <w:pPr>
        <w:spacing w:after="0" w:line="269" w:lineRule="exact"/>
        <w:rPr>
          <w:sz w:val="20"/>
          <w:szCs w:val="20"/>
          <w:color w:val="auto"/>
        </w:rPr>
      </w:pPr>
    </w:p>
    <w:p>
      <w:pPr>
        <w:ind w:left="1060" w:right="120"/>
        <w:spacing w:after="0" w:line="254" w:lineRule="auto"/>
        <w:rPr>
          <w:sz w:val="20"/>
          <w:szCs w:val="20"/>
          <w:color w:val="auto"/>
        </w:rPr>
      </w:pPr>
      <w:r>
        <w:rPr>
          <w:rFonts w:ascii="Times New Roman" w:cs="Times New Roman" w:eastAsia="Times New Roman" w:hAnsi="Times New Roman"/>
          <w:sz w:val="19"/>
          <w:szCs w:val="19"/>
          <w:color w:val="auto"/>
        </w:rPr>
        <w:t xml:space="preserve">excise Taxes imposed by Section 4982 of the Code for so long as the Borrower retains the status of a RIC under the Code and (II) if the Loans to be prepaid pursuant to this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are Term Benchmark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Administrative Agent may direct the application of such deposits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 xml:space="preserve"> at any time and if the Administrative Agent does so, no amounts will be payable by the Borrower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w:t>
      </w:r>
    </w:p>
    <w:p>
      <w:pPr>
        <w:spacing w:after="0" w:line="392" w:lineRule="exact"/>
        <w:rPr>
          <w:sz w:val="20"/>
          <w:szCs w:val="20"/>
          <w:color w:val="auto"/>
        </w:rPr>
      </w:pPr>
    </w:p>
    <w:p>
      <w:pPr>
        <w:ind w:left="1060" w:right="120" w:firstLine="864"/>
        <w:spacing w:after="0" w:line="258" w:lineRule="auto"/>
        <w:rPr>
          <w:sz w:val="20"/>
          <w:szCs w:val="20"/>
          <w:color w:val="auto"/>
        </w:rPr>
      </w:pPr>
      <w:r>
        <w:rPr>
          <w:rFonts w:ascii="Times New Roman" w:cs="Times New Roman" w:eastAsia="Times New Roman" w:hAnsi="Times New Roman"/>
          <w:sz w:val="19"/>
          <w:szCs w:val="19"/>
          <w:u w:val="single" w:color="auto"/>
          <w:color w:val="auto"/>
        </w:rPr>
        <w:t>(e)Notices, Etc</w:t>
      </w:r>
      <w:r>
        <w:rPr>
          <w:rFonts w:ascii="Times New Roman" w:cs="Times New Roman" w:eastAsia="Times New Roman" w:hAnsi="Times New Roman"/>
          <w:sz w:val="19"/>
          <w:szCs w:val="19"/>
          <w:color w:val="auto"/>
        </w:rPr>
        <w:t>. The Borrower shall notify the Administrative Agent (and, in the case of prepayment of a Swingline Loan made by a Swingline Lender, such Swingline Lender) by telephone (confirmed by telecopy or electronic communication) of any prepayment hereunder</w:t>
      </w:r>
    </w:p>
    <w:p>
      <w:pPr>
        <w:spacing w:after="0" w:line="2" w:lineRule="exact"/>
        <w:rPr>
          <w:sz w:val="20"/>
          <w:szCs w:val="20"/>
          <w:color w:val="auto"/>
        </w:rPr>
      </w:pPr>
    </w:p>
    <w:p>
      <w:pPr>
        <w:ind w:left="1060" w:right="120" w:hanging="10"/>
        <w:spacing w:after="0" w:line="250" w:lineRule="auto"/>
        <w:tabs>
          <w:tab w:leader="none" w:pos="128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prepayment of a Term Benchmark Borrowing denominated in Dollars (other than in the case of a prepayment pursuant to Section 2.10(d)), not later than 11:00 a.m., New York City time, three (3) Business Days before the date of prepayment (or such shorter period as may be agreed to by the Administrative Agent),</w:t>
      </w:r>
    </w:p>
    <w:p>
      <w:pPr>
        <w:spacing w:after="0" w:line="1" w:lineRule="exact"/>
        <w:rPr>
          <w:rFonts w:ascii="Times New Roman" w:cs="Times New Roman" w:eastAsia="Times New Roman" w:hAnsi="Times New Roman"/>
          <w:sz w:val="19"/>
          <w:szCs w:val="19"/>
          <w:color w:val="auto"/>
        </w:rPr>
      </w:pPr>
    </w:p>
    <w:p>
      <w:pPr>
        <w:ind w:left="1060" w:right="80" w:hanging="10"/>
        <w:spacing w:after="0" w:line="251" w:lineRule="auto"/>
        <w:tabs>
          <w:tab w:leader="none" w:pos="1342"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prepayment of a Term Benchmark Borrowing denominated in a Foreign Currency (other than in the case of a prepayment pursuant to Section 2.10(d)), not later than 11:00 a.m., London time, four (4) Business Days before the date of prepayment, (iii) in the case of prepayment of a RFR Borrowing (other than in the case of a prepayment pursuant to Section 2.10(d)), not later than 11:00 a.m., London time, four (4) Business Days before the date of prepayment, (iv) in the case of prepayment of a Syndicated ABR Borrowing (other than in the case of a prepayment pursuant to Section 2.10(d)), not later than 11:00 a.m., New York City time on the date of prepayment, (v) in the case of prepayment of a Swingline Loan, not later than 11:00 a.m., New York City time, on the date of prepayment, and (vi) in the case of any prepayment pursuant to Section 2.10(d), not later than 1:00 p.m., New York City time, on the date of prepayment or, in each case of the notice periods described in this clause (e), such lesser period as the Administrative Agent may reasonably agree. Each such notice shall be irrevocable and shall specify the prepayment date, the principal amount of each Borrowing or portion thereof to be prepaid and, in the case of a mandatory prepayment, a reasonably detailed calculation of the amount of such prepayment; provided that, if (i) a notice of prepayment is given in connection with a conditional notice of reduction or termination of the Commitments of a Class as contemplated by Section 2.08, then such notice of prepayment may be revoked if such notice of reduction or termination is revoked in accordance with Section 2.08 and (ii) any notice given in connection with Section 2.10(d)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or in the case of a Swingline Loan, as provided in Section 2.04, except as necessary to apply fully the required amount of a mandatory prepayment. Each prepayment of a Syndicated Borrowing of a Class of Commitments or Final Maturity Date shall be applied ratably to the Loans held by the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94" w:name="page195"/>
    <w:bookmarkEnd w:id="194"/>
    <w:p>
      <w:pPr>
        <w:spacing w:after="0" w:line="221"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9"/>
          <w:szCs w:val="19"/>
          <w:color w:val="auto"/>
        </w:rPr>
        <w:t>Lenders of such Class included in the prepaid Borrowing. Prepayments shall be accompanied by accrued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95" w:name="page196"/>
    <w:bookmarkEnd w:id="195"/>
    <w:p>
      <w:pPr>
        <w:spacing w:after="0" w:line="269" w:lineRule="exact"/>
        <w:rPr>
          <w:sz w:val="20"/>
          <w:szCs w:val="20"/>
          <w:color w:val="auto"/>
        </w:rPr>
      </w:pPr>
    </w:p>
    <w:p>
      <w:pPr>
        <w:ind w:left="1060" w:right="220"/>
        <w:spacing w:after="0" w:line="262" w:lineRule="auto"/>
        <w:rPr>
          <w:sz w:val="20"/>
          <w:szCs w:val="20"/>
          <w:color w:val="auto"/>
        </w:rPr>
      </w:pPr>
      <w:r>
        <w:rPr>
          <w:rFonts w:ascii="Times New Roman" w:cs="Times New Roman" w:eastAsia="Times New Roman" w:hAnsi="Times New Roman"/>
          <w:sz w:val="19"/>
          <w:szCs w:val="19"/>
          <w:color w:val="auto"/>
        </w:rPr>
        <w:t>interest to the extent required by Section 2.12 and shall be made in the manner specified in Section 2.09(b) unless such prepayment is made in connection with the reduction of Commitments in accordance with Section 2.08(b) or (f) in which case such prepayment shall be applied in accordance with Section 2.08(d) or (f), as applicable.</w:t>
      </w:r>
    </w:p>
    <w:p>
      <w:pPr>
        <w:spacing w:after="0" w:line="15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2.11.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14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(a)Commitment Fee</w:t>
      </w:r>
      <w:r>
        <w:rPr>
          <w:rFonts w:ascii="Times New Roman" w:cs="Times New Roman" w:eastAsia="Times New Roman" w:hAnsi="Times New Roman"/>
          <w:sz w:val="19"/>
          <w:szCs w:val="19"/>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w:t>
      </w:r>
    </w:p>
    <w:p>
      <w:pPr>
        <w:spacing w:after="0" w:line="7" w:lineRule="exact"/>
        <w:rPr>
          <w:sz w:val="20"/>
          <w:szCs w:val="20"/>
          <w:color w:val="auto"/>
        </w:rPr>
      </w:pPr>
    </w:p>
    <w:p>
      <w:pPr>
        <w:ind w:left="1060" w:right="100" w:hanging="10"/>
        <w:spacing w:after="0" w:line="256" w:lineRule="auto"/>
        <w:tabs>
          <w:tab w:leader="none" w:pos="134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55" w:lineRule="exact"/>
        <w:rPr>
          <w:sz w:val="20"/>
          <w:szCs w:val="20"/>
          <w:color w:val="auto"/>
        </w:rPr>
      </w:pPr>
    </w:p>
    <w:p>
      <w:pPr>
        <w:ind w:left="1060" w:right="14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(b)Letter of Credit Fees</w:t>
      </w:r>
      <w:r>
        <w:rPr>
          <w:rFonts w:ascii="Times New Roman" w:cs="Times New Roman" w:eastAsia="Times New Roman" w:hAnsi="Times New Roman"/>
          <w:sz w:val="19"/>
          <w:szCs w:val="19"/>
          <w:color w:val="auto"/>
        </w:rPr>
        <w:t xml:space="preserve">. The Borrower agrees to pay (i) to the Administrative Agent for account of each Lender a participation fee with respect to its participations in Letters of Credit of each Class of Commitments, which shall accrue at a rate per annum equal to, in the case of any Extending Lender, the Extended Applicable Margin and, in the case of any Non-Extending Lender, the Non-Extended Applicable Margin, in each case, applicable to interest on Term Benchmark Loans (or, if such Letter of Credit is denominated in Sterling or Swiss Francs, RFR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96" w:name="page197"/>
    <w:bookmarkEnd w:id="196"/>
    <w:p>
      <w:pPr>
        <w:spacing w:after="0" w:line="269" w:lineRule="exact"/>
        <w:rPr>
          <w:sz w:val="20"/>
          <w:szCs w:val="20"/>
          <w:color w:val="auto"/>
        </w:rPr>
      </w:pPr>
    </w:p>
    <w:p>
      <w:pPr>
        <w:ind w:left="1060" w:right="260"/>
        <w:spacing w:after="0" w:line="254" w:lineRule="auto"/>
        <w:rPr>
          <w:sz w:val="20"/>
          <w:szCs w:val="20"/>
          <w:color w:val="auto"/>
        </w:rPr>
      </w:pPr>
      <w:r>
        <w:rPr>
          <w:rFonts w:ascii="Times New Roman" w:cs="Times New Roman" w:eastAsia="Times New Roman" w:hAnsi="Times New Roman"/>
          <w:sz w:val="19"/>
          <w:szCs w:val="19"/>
          <w:color w:val="auto"/>
        </w:rPr>
        <w:t>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(2)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57" w:lineRule="exact"/>
        <w:rPr>
          <w:sz w:val="20"/>
          <w:szCs w:val="20"/>
          <w:color w:val="auto"/>
        </w:rPr>
      </w:pPr>
    </w:p>
    <w:p>
      <w:pPr>
        <w:ind w:left="1060" w:right="18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(c)Administrative Agent Fees</w:t>
      </w:r>
      <w:r>
        <w:rPr>
          <w:rFonts w:ascii="Times New Roman" w:cs="Times New Roman" w:eastAsia="Times New Roman" w:hAnsi="Times New Roman"/>
          <w:sz w:val="19"/>
          <w:szCs w:val="19"/>
          <w:color w:val="auto"/>
        </w:rPr>
        <w:t>. The Borrower agrees to pay to the Administrative Agent, for its own account, fees payable in the amounts and at the times separately agreed upon between the Borrower and the Administrative Agent.</w:t>
      </w:r>
    </w:p>
    <w:p>
      <w:pPr>
        <w:spacing w:after="0" w:line="144" w:lineRule="exact"/>
        <w:rPr>
          <w:sz w:val="20"/>
          <w:szCs w:val="20"/>
          <w:color w:val="auto"/>
        </w:rPr>
      </w:pPr>
    </w:p>
    <w:p>
      <w:pPr>
        <w:ind w:left="1060" w:right="200" w:firstLine="864"/>
        <w:spacing w:after="0" w:line="257" w:lineRule="auto"/>
        <w:rPr>
          <w:sz w:val="20"/>
          <w:szCs w:val="20"/>
          <w:color w:val="auto"/>
        </w:rPr>
      </w:pPr>
      <w:r>
        <w:rPr>
          <w:rFonts w:ascii="Times New Roman" w:cs="Times New Roman" w:eastAsia="Times New Roman" w:hAnsi="Times New Roman"/>
          <w:sz w:val="19"/>
          <w:szCs w:val="19"/>
          <w:u w:val="single" w:color="auto"/>
          <w:color w:val="auto"/>
        </w:rPr>
        <w:t>(d)Payment of Fees</w:t>
      </w:r>
      <w:r>
        <w:rPr>
          <w:rFonts w:ascii="Times New Roman" w:cs="Times New Roman" w:eastAsia="Times New Roman" w:hAnsi="Times New Roman"/>
          <w:sz w:val="19"/>
          <w:szCs w:val="19"/>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16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(a)ABR Loans</w:t>
      </w:r>
      <w:r>
        <w:rPr>
          <w:rFonts w:ascii="Times New Roman" w:cs="Times New Roman" w:eastAsia="Times New Roman" w:hAnsi="Times New Roman"/>
          <w:sz w:val="19"/>
          <w:szCs w:val="19"/>
          <w:color w:val="auto"/>
        </w:rPr>
        <w:t xml:space="preserve">. The Loans constituting each ABR Borrowing (including each Swingline Loan) that are made by the Extending Lenders shall bear interest at a rate per annum equal to the Alternate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Extended Applicable Margin. The Loans constituting each ABR Borrowing (including each Swingline Loan) that are made by the Non-Extending Lenders shall bear interest at a rate per annum equal to the Alternate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Non-Extended Applicable Margin.</w:t>
      </w:r>
    </w:p>
    <w:p>
      <w:pPr>
        <w:spacing w:after="0" w:line="154" w:lineRule="exact"/>
        <w:rPr>
          <w:sz w:val="20"/>
          <w:szCs w:val="20"/>
          <w:color w:val="auto"/>
        </w:rPr>
      </w:pPr>
    </w:p>
    <w:p>
      <w:pPr>
        <w:ind w:left="1060" w:right="80" w:firstLine="864"/>
        <w:spacing w:after="0" w:line="257" w:lineRule="auto"/>
        <w:rPr>
          <w:sz w:val="20"/>
          <w:szCs w:val="20"/>
          <w:color w:val="auto"/>
        </w:rPr>
      </w:pPr>
      <w:r>
        <w:rPr>
          <w:rFonts w:ascii="Times New Roman" w:cs="Times New Roman" w:eastAsia="Times New Roman" w:hAnsi="Times New Roman"/>
          <w:sz w:val="19"/>
          <w:szCs w:val="19"/>
          <w:u w:val="single" w:color="auto"/>
          <w:color w:val="auto"/>
        </w:rPr>
        <w:t>(b)Term Benchmark Loans</w:t>
      </w:r>
      <w:r>
        <w:rPr>
          <w:rFonts w:ascii="Times New Roman" w:cs="Times New Roman" w:eastAsia="Times New Roman" w:hAnsi="Times New Roman"/>
          <w:sz w:val="19"/>
          <w:szCs w:val="19"/>
          <w:color w:val="auto"/>
        </w:rPr>
        <w:t xml:space="preserve">. The Loans constituting each Term Benchmark Borrowing that are made by the Extending Lenders shall bear interest at a rate per annum equal to the Adjusted Term Benchmark Rate for the related Interest Period for such Borrowing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Extended Applicable Margin. The Loans constituting each Term Benchmark Borrowing that are made by the Non-Extending Lenders shall bear interest at a rate per annum equal to the Term Benchmark Rate for the related Interest Period for such Borrowing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Non-Extended Applicable Margin.</w:t>
      </w:r>
    </w:p>
    <w:p>
      <w:pPr>
        <w:spacing w:after="0" w:line="157" w:lineRule="exact"/>
        <w:rPr>
          <w:sz w:val="20"/>
          <w:szCs w:val="20"/>
          <w:color w:val="auto"/>
        </w:rPr>
      </w:pPr>
    </w:p>
    <w:p>
      <w:pPr>
        <w:ind w:left="1060" w:right="42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(c)RFR Loans</w:t>
      </w:r>
      <w:r>
        <w:rPr>
          <w:rFonts w:ascii="Times New Roman" w:cs="Times New Roman" w:eastAsia="Times New Roman" w:hAnsi="Times New Roman"/>
          <w:sz w:val="19"/>
          <w:szCs w:val="19"/>
          <w:color w:val="auto"/>
        </w:rPr>
        <w:t xml:space="preserve">. The Loans constituting each RFR Borrowing that are made by the Extending Lenders shall bear interest at a rate per annum equal to the RFR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Extended Applicable Margin. The Loans constituting each RFR Borrowing that are made by the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97" w:name="page198"/>
    <w:bookmarkEnd w:id="197"/>
    <w:p>
      <w:pPr>
        <w:spacing w:after="0" w:line="269" w:lineRule="exact"/>
        <w:rPr>
          <w:sz w:val="20"/>
          <w:szCs w:val="20"/>
          <w:color w:val="auto"/>
        </w:rPr>
      </w:pPr>
    </w:p>
    <w:p>
      <w:pPr>
        <w:ind w:left="1060" w:right="400"/>
        <w:spacing w:after="0" w:line="286" w:lineRule="auto"/>
        <w:rPr>
          <w:sz w:val="20"/>
          <w:szCs w:val="20"/>
          <w:color w:val="auto"/>
        </w:rPr>
      </w:pPr>
      <w:r>
        <w:rPr>
          <w:rFonts w:ascii="Times New Roman" w:cs="Times New Roman" w:eastAsia="Times New Roman" w:hAnsi="Times New Roman"/>
          <w:sz w:val="19"/>
          <w:szCs w:val="19"/>
          <w:color w:val="auto"/>
        </w:rPr>
        <w:t xml:space="preserve">Non-Extending Lenders shall bear interest at a rate per annum equal to the Daily Simple RFR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Non-Extended Applicable Margin.</w:t>
      </w:r>
    </w:p>
    <w:p>
      <w:pPr>
        <w:spacing w:after="0" w:line="127" w:lineRule="exact"/>
        <w:rPr>
          <w:sz w:val="20"/>
          <w:szCs w:val="20"/>
          <w:color w:val="auto"/>
        </w:rPr>
      </w:pPr>
    </w:p>
    <w:p>
      <w:pPr>
        <w:ind w:left="1060" w:right="8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(d)Default Interest</w:t>
      </w:r>
      <w:r>
        <w:rPr>
          <w:rFonts w:ascii="Times New Roman" w:cs="Times New Roman" w:eastAsia="Times New Roman" w:hAnsi="Times New Roman"/>
          <w:sz w:val="19"/>
          <w:szCs w:val="19"/>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rate otherwise applicable to such Loan as provided above, (ii) in the case of any Letter of Credit, 2%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fee otherwise applicable to such Letter of Credit as provided in </w:t>
      </w:r>
      <w:r>
        <w:rPr>
          <w:rFonts w:ascii="Times New Roman" w:cs="Times New Roman" w:eastAsia="Times New Roman" w:hAnsi="Times New Roman"/>
          <w:sz w:val="19"/>
          <w:szCs w:val="19"/>
          <w:u w:val="single" w:color="auto"/>
          <w:color w:val="auto"/>
        </w:rPr>
        <w:t>Section 2. 11(b)(i)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in the case of any fee or other amount, 2%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rate applicable to ABR Loans as provided in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of this Section.</w:t>
      </w:r>
    </w:p>
    <w:p>
      <w:pPr>
        <w:spacing w:after="0" w:line="157" w:lineRule="exact"/>
        <w:rPr>
          <w:sz w:val="20"/>
          <w:szCs w:val="20"/>
          <w:color w:val="auto"/>
        </w:rPr>
      </w:pPr>
    </w:p>
    <w:p>
      <w:pPr>
        <w:ind w:left="1060" w:right="14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(e)Payment of Interest</w:t>
      </w:r>
      <w:r>
        <w:rPr>
          <w:rFonts w:ascii="Times New Roman" w:cs="Times New Roman" w:eastAsia="Times New Roman" w:hAnsi="Times New Roman"/>
          <w:sz w:val="19"/>
          <w:szCs w:val="19"/>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interest accrued pursuant to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shall be payable on demand,</w:t>
      </w:r>
    </w:p>
    <w:p>
      <w:pPr>
        <w:spacing w:after="0" w:line="2" w:lineRule="exact"/>
        <w:rPr>
          <w:sz w:val="20"/>
          <w:szCs w:val="20"/>
          <w:color w:val="auto"/>
        </w:rPr>
      </w:pPr>
    </w:p>
    <w:p>
      <w:pPr>
        <w:jc w:val="both"/>
        <w:ind w:left="1060" w:right="320" w:hanging="10"/>
        <w:spacing w:after="0" w:line="253" w:lineRule="auto"/>
        <w:tabs>
          <w:tab w:leader="none" w:pos="1342"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spacing w:after="0" w:line="159" w:lineRule="exact"/>
        <w:rPr>
          <w:sz w:val="20"/>
          <w:szCs w:val="20"/>
          <w:color w:val="auto"/>
        </w:rPr>
      </w:pPr>
    </w:p>
    <w:p>
      <w:pPr>
        <w:ind w:left="1060" w:right="18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(f)Computation</w:t>
      </w:r>
      <w:r>
        <w:rPr>
          <w:rFonts w:ascii="Times New Roman" w:cs="Times New Roman" w:eastAsia="Times New Roman" w:hAnsi="Times New Roman"/>
          <w:sz w:val="19"/>
          <w:szCs w:val="19"/>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 the first day but excluding the last day). The applicable Alternate Base Rate, Daily Simple RFR or Adjusted Term Benchmark Rate shall be determined by the Administrative Agent and such determination shall be conclusive absent manifest error.</w:t>
      </w:r>
    </w:p>
    <w:p>
      <w:pPr>
        <w:spacing w:after="0" w:line="157" w:lineRule="exact"/>
        <w:rPr>
          <w:sz w:val="20"/>
          <w:szCs w:val="20"/>
          <w:color w:val="auto"/>
        </w:rPr>
      </w:pPr>
    </w:p>
    <w:p>
      <w:pPr>
        <w:ind w:left="1060" w:right="16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(g)Conforming Changes</w:t>
      </w:r>
      <w:r>
        <w:rPr>
          <w:rFonts w:ascii="Times New Roman" w:cs="Times New Roman" w:eastAsia="Times New Roman" w:hAnsi="Times New Roman"/>
          <w:sz w:val="19"/>
          <w:szCs w:val="19"/>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57" w:lineRule="exact"/>
        <w:rPr>
          <w:sz w:val="20"/>
          <w:szCs w:val="20"/>
          <w:color w:val="auto"/>
        </w:rPr>
      </w:pPr>
    </w:p>
    <w:p>
      <w:pPr>
        <w:ind w:left="1060" w:right="80" w:firstLine="864"/>
        <w:spacing w:after="0" w:line="268" w:lineRule="auto"/>
        <w:rPr>
          <w:sz w:val="20"/>
          <w:szCs w:val="20"/>
          <w:color w:val="auto"/>
        </w:rPr>
      </w:pPr>
      <w:r>
        <w:rPr>
          <w:rFonts w:ascii="Times New Roman" w:cs="Times New Roman" w:eastAsia="Times New Roman" w:hAnsi="Times New Roman"/>
          <w:sz w:val="19"/>
          <w:szCs w:val="19"/>
          <w:color w:val="auto"/>
        </w:rPr>
        <w:t xml:space="preserve">SECTION 2.13. </w:t>
      </w:r>
      <w:r>
        <w:rPr>
          <w:rFonts w:ascii="Times New Roman" w:cs="Times New Roman" w:eastAsia="Times New Roman" w:hAnsi="Times New Roman"/>
          <w:sz w:val="19"/>
          <w:szCs w:val="19"/>
          <w:u w:val="single" w:color="auto"/>
          <w:color w:val="auto"/>
        </w:rPr>
        <w:t>Inability to Determine Interest Rates</w:t>
      </w:r>
      <w:r>
        <w:rPr>
          <w:rFonts w:ascii="Times New Roman" w:cs="Times New Roman" w:eastAsia="Times New Roman" w:hAnsi="Times New Roman"/>
          <w:sz w:val="19"/>
          <w:szCs w:val="19"/>
          <w:color w:val="auto"/>
        </w:rPr>
        <w:t xml:space="preserve"> . Subject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auto"/>
        </w:rPr>
        <w:t>, if, prior to the commencement of any Interest Period for any Term Benchmark Borrowing of a Class or at any time for an RFR Borrowing (the Currency of such Borrowing herein called the “</w:t>
      </w:r>
      <w:r>
        <w:rPr>
          <w:rFonts w:ascii="Times New Roman" w:cs="Times New Roman" w:eastAsia="Times New Roman" w:hAnsi="Times New Roman"/>
          <w:sz w:val="19"/>
          <w:szCs w:val="19"/>
          <w:u w:val="single" w:color="auto"/>
          <w:color w:val="auto"/>
        </w:rPr>
        <w:t>Affected Currency</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98" w:name="page199"/>
    <w:bookmarkEnd w:id="198"/>
    <w:p>
      <w:pPr>
        <w:spacing w:after="0" w:line="269" w:lineRule="exact"/>
        <w:rPr>
          <w:sz w:val="20"/>
          <w:szCs w:val="20"/>
          <w:color w:val="auto"/>
        </w:rPr>
      </w:pPr>
    </w:p>
    <w:p>
      <w:pPr>
        <w:ind w:left="1060" w:right="220" w:firstLine="864"/>
        <w:spacing w:after="0" w:line="257" w:lineRule="auto"/>
        <w:rPr>
          <w:sz w:val="20"/>
          <w:szCs w:val="20"/>
          <w:color w:val="auto"/>
        </w:rPr>
      </w:pPr>
      <w:r>
        <w:rPr>
          <w:rFonts w:ascii="Times New Roman" w:cs="Times New Roman" w:eastAsia="Times New Roman" w:hAnsi="Times New Roman"/>
          <w:sz w:val="19"/>
          <w:szCs w:val="19"/>
          <w:color w:val="auto"/>
        </w:rPr>
        <w:t>(a)(A) in the case of a Term Benchmark Borrowing, the Administrative Agent shall have determined (which determination shall be conclusive absent manifest error) the Adjusted Term Benchmark Rate for the Affected Currency cannot be determined pursuant to the definition thereof or (B) in the case of an RFR Borrowing, the Administrative Agent shall have determined (which determination shall be conclusive absent manifest error) that the Daily Simple RFR for the Affected Currency cannot be determined pursuant to the definition thereof; or</w:t>
      </w:r>
    </w:p>
    <w:p>
      <w:pPr>
        <w:spacing w:after="0" w:line="157" w:lineRule="exact"/>
        <w:rPr>
          <w:sz w:val="20"/>
          <w:szCs w:val="20"/>
          <w:color w:val="auto"/>
        </w:rPr>
      </w:pPr>
    </w:p>
    <w:p>
      <w:pPr>
        <w:ind w:left="1060" w:right="180" w:firstLine="864"/>
        <w:spacing w:after="0" w:line="256" w:lineRule="auto"/>
        <w:rPr>
          <w:sz w:val="20"/>
          <w:szCs w:val="20"/>
          <w:color w:val="auto"/>
        </w:rPr>
      </w:pPr>
      <w:r>
        <w:rPr>
          <w:rFonts w:ascii="Times New Roman" w:cs="Times New Roman" w:eastAsia="Times New Roman" w:hAnsi="Times New Roman"/>
          <w:sz w:val="19"/>
          <w:szCs w:val="19"/>
          <w:color w:val="auto"/>
        </w:rPr>
        <w:t>(b)(A) in the case of a Term Benchmark Borrowing, the Administrative Agent shall have received notice from the Required Lenders of such Class of Commitments that the Adjusted Term Benchmark Rate for the Affected Currency for such Interest Period will not adequately and fairly reflect the cost to such Lenders of making or maintaining their respective Loans included in such Borrowing for such Interest Period or (B) in the case of an RFR Borrowing, the Administrative Agent shall have received notice from the Required Multicurrency Lenders that the Daily Simple RFR for the Affected Currency will not adequately and fairly reflect the cost to such Lenders of making or maintaining the Loans included in such RFR Borrowing;</w:t>
      </w:r>
    </w:p>
    <w:p>
      <w:pPr>
        <w:spacing w:after="0" w:line="157" w:lineRule="exact"/>
        <w:rPr>
          <w:sz w:val="20"/>
          <w:szCs w:val="20"/>
          <w:color w:val="auto"/>
        </w:rPr>
      </w:pPr>
    </w:p>
    <w:p>
      <w:pPr>
        <w:ind w:left="1060" w:right="200"/>
        <w:spacing w:after="0" w:line="251" w:lineRule="auto"/>
        <w:rPr>
          <w:sz w:val="20"/>
          <w:szCs w:val="20"/>
          <w:color w:val="auto"/>
        </w:rPr>
      </w:pPr>
      <w:r>
        <w:rPr>
          <w:rFonts w:ascii="Times New Roman" w:cs="Times New Roman" w:eastAsia="Times New Roman" w:hAnsi="Times New Roman"/>
          <w:sz w:val="19"/>
          <w:szCs w:val="19"/>
          <w:color w:val="auto"/>
        </w:rPr>
        <w:t xml:space="preserve">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Term Benchmark Borrowing or RFR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auto"/>
        </w:rPr>
        <w:t xml:space="preserve"> (iii) if the Affected Currency is a Foreign Currency </w:t>
      </w:r>
      <w:r>
        <w:rPr>
          <w:rFonts w:ascii="Times New Roman" w:cs="Times New Roman" w:eastAsia="Times New Roman" w:hAnsi="Times New Roman"/>
          <w:sz w:val="19"/>
          <w:szCs w:val="19"/>
          <w:u w:val="single" w:color="auto"/>
          <w:color w:val="0000FF"/>
        </w:rPr>
        <w:t>other than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Canadian Dollars</w:t>
      </w:r>
      <w:r>
        <w:rPr>
          <w:rFonts w:ascii="Times New Roman" w:cs="Times New Roman" w:eastAsia="Times New Roman" w:hAnsi="Times New Roman"/>
          <w:sz w:val="19"/>
          <w:szCs w:val="19"/>
          <w:color w:val="000000"/>
        </w:rPr>
        <w:t>, (A) any Borrowing Request that requests a Term Benchmark Borrowing or RFR Borrowing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denominated in the Affected Currency </w:t>
      </w:r>
      <w:r>
        <w:rPr>
          <w:rFonts w:ascii="Times New Roman" w:cs="Times New Roman" w:eastAsia="Times New Roman" w:hAnsi="Times New Roman"/>
          <w:sz w:val="19"/>
          <w:szCs w:val="19"/>
          <w:u w:val="single" w:color="auto"/>
          <w:color w:val="0000FF"/>
        </w:rPr>
        <w:t>shall be made as a Term Benchmark Borrowing with a Term</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Request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shall be ineffective, and (B) any outstanding Term Benchmark Borrowing or RFR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Borrowing in the Affected Currency, at the Borrower’s election shall either (1</w:t>
      </w:r>
      <w:r>
        <w:rPr>
          <w:rFonts w:ascii="Times New Roman" w:cs="Times New Roman" w:eastAsia="Times New Roman" w:hAnsi="Times New Roman"/>
          <w:sz w:val="19"/>
          <w:szCs w:val="19"/>
          <w:u w:val="single" w:color="auto"/>
          <w:color w:val="0000FF"/>
        </w:rPr>
        <w:t>) be converted to a Term</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w:t>
      </w:r>
      <w:r>
        <w:rPr>
          <w:rFonts w:ascii="Times New Roman" w:cs="Times New Roman" w:eastAsia="Times New Roman" w:hAnsi="Times New Roman"/>
          <w:sz w:val="19"/>
          <w:szCs w:val="19"/>
          <w:color w:val="000000"/>
        </w:rPr>
        <w:t>) be converted into a Syndicated ABR Borrowing denominated in Dollars (in an amount equal to the Dollar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Equivalent of such Affected Currency) immediately in the case of an RFR Borrowing or, in the case of a Term Benchmark Borrowing, at the end of the applicable Interest Period, or (</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3</w:t>
      </w:r>
      <w:r>
        <w:rPr>
          <w:rFonts w:ascii="Times New Roman" w:cs="Times New Roman" w:eastAsia="Times New Roman" w:hAnsi="Times New Roman"/>
          <w:sz w:val="19"/>
          <w:szCs w:val="19"/>
          <w:color w:val="000000"/>
        </w:rPr>
        <w:t>) be prepaid in full immediately in the case of an RFR Borrowing or, in the case of a Term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199" w:name="page200"/>
    <w:bookmarkEnd w:id="199"/>
    <w:p>
      <w:pPr>
        <w:spacing w:after="0" w:line="200" w:lineRule="exact"/>
        <w:rPr>
          <w:sz w:val="20"/>
          <w:szCs w:val="20"/>
          <w:color w:val="auto"/>
        </w:rPr>
      </w:pPr>
    </w:p>
    <w:p>
      <w:pPr>
        <w:spacing w:after="0" w:line="213" w:lineRule="exact"/>
        <w:rPr>
          <w:sz w:val="20"/>
          <w:szCs w:val="20"/>
          <w:color w:val="auto"/>
        </w:rPr>
      </w:pPr>
    </w:p>
    <w:p>
      <w:pPr>
        <w:jc w:val="right"/>
        <w:ind w:right="2440"/>
        <w:spacing w:after="0"/>
        <w:rPr>
          <w:sz w:val="20"/>
          <w:szCs w:val="20"/>
          <w:color w:val="auto"/>
        </w:rPr>
      </w:pPr>
      <w:r>
        <w:rPr>
          <w:rFonts w:ascii="Times New Roman" w:cs="Times New Roman" w:eastAsia="Times New Roman" w:hAnsi="Times New Roman"/>
          <w:sz w:val="19"/>
          <w:szCs w:val="19"/>
          <w:color w:val="auto"/>
        </w:rPr>
        <w:t xml:space="preserve">Benchmark Borrowing, at the end of the applicable Interest </w:t>
      </w:r>
      <w:r>
        <w:rPr>
          <w:rFonts w:ascii="Times New Roman" w:cs="Times New Roman" w:eastAsia="Times New Roman" w:hAnsi="Times New Roman"/>
          <w:sz w:val="19"/>
          <w:szCs w:val="19"/>
          <w:u w:val="single" w:color="auto"/>
          <w:color w:val="0000FF"/>
        </w:rPr>
        <w:t>Period, and (iv) if the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00" w:name="page201"/>
    <w:bookmarkEnd w:id="200"/>
    <w:p>
      <w:pPr>
        <w:spacing w:after="0" w:line="269" w:lineRule="exact"/>
        <w:rPr>
          <w:sz w:val="20"/>
          <w:szCs w:val="20"/>
          <w:color w:val="auto"/>
        </w:rPr>
      </w:pPr>
    </w:p>
    <w:p>
      <w:pPr>
        <w:ind w:left="1060" w:right="100"/>
        <w:spacing w:after="0" w:line="252" w:lineRule="auto"/>
        <w:rPr>
          <w:sz w:val="20"/>
          <w:szCs w:val="20"/>
          <w:color w:val="auto"/>
        </w:rPr>
      </w:pPr>
      <w:r>
        <w:rPr>
          <w:rFonts w:ascii="Times New Roman" w:cs="Times New Roman" w:eastAsia="Times New Roman" w:hAnsi="Times New Roman"/>
          <w:sz w:val="19"/>
          <w:szCs w:val="19"/>
          <w:u w:val="single" w:color="auto"/>
          <w:color w:val="0000FF"/>
        </w:rPr>
        <w:t>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 Syndicated ABR Borrowing denominated in Dollars (in an amount equal to the Dollar Equivalent of such Affected Currency) at the end of the applicable Interest Period, or (3) be prepaid in full at the end of the applicable Interest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Period;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that if no election is made by the Borrower by the date that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is three (3) Business Days after receipt by the Borrower of such notice or, in the case of a Term Benchmark Borrowing, the last day of the current Interest Period for the applicable Term Benchmark Loan, if earlier, the Borrower shall be deemed to have elected clause (</w:t>
      </w:r>
      <w:r>
        <w:rPr>
          <w:rFonts w:ascii="Times New Roman" w:cs="Times New Roman" w:eastAsia="Times New Roman" w:hAnsi="Times New Roman"/>
          <w:sz w:val="19"/>
          <w:szCs w:val="19"/>
          <w:color w:val="0000FF"/>
        </w:rPr>
        <w:t>iii)(B)(1) or (iv)(B)(</w:t>
      </w:r>
      <w:r>
        <w:rPr>
          <w:rFonts w:ascii="Times New Roman" w:cs="Times New Roman" w:eastAsia="Times New Roman" w:hAnsi="Times New Roman"/>
          <w:sz w:val="19"/>
          <w:szCs w:val="19"/>
          <w:color w:val="000000"/>
        </w:rPr>
        <w:t>1) above</w:t>
      </w:r>
      <w:r>
        <w:rPr>
          <w:rFonts w:ascii="Times New Roman" w:cs="Times New Roman" w:eastAsia="Times New Roman" w:hAnsi="Times New Roman"/>
          <w:sz w:val="19"/>
          <w:szCs w:val="19"/>
          <w:u w:val="single" w:color="auto"/>
          <w:color w:val="0000FF"/>
        </w:rPr>
        <w:t>, as applicable</w:t>
      </w:r>
      <w:r>
        <w:rPr>
          <w:rFonts w:ascii="Times New Roman" w:cs="Times New Roman" w:eastAsia="Times New Roman" w:hAnsi="Times New Roman"/>
          <w:sz w:val="19"/>
          <w:szCs w:val="19"/>
          <w:color w:val="000000"/>
        </w:rPr>
        <w:t>.</w:t>
      </w:r>
    </w:p>
    <w:p>
      <w:pPr>
        <w:spacing w:after="0" w:line="16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2.14. </w:t>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u w:val="single" w:color="auto"/>
          <w:color w:val="auto"/>
        </w:rPr>
        <w:t>(a)Increased Costs Generally</w:t>
      </w:r>
      <w:r>
        <w:rPr>
          <w:rFonts w:ascii="Times New Roman" w:cs="Times New Roman" w:eastAsia="Times New Roman" w:hAnsi="Times New Roman"/>
          <w:sz w:val="19"/>
          <w:szCs w:val="19"/>
          <w:color w:val="auto"/>
        </w:rPr>
        <w:t>. If any Change in Law shall:</w:t>
      </w:r>
    </w:p>
    <w:p>
      <w:pPr>
        <w:spacing w:after="0" w:line="202" w:lineRule="exact"/>
        <w:rPr>
          <w:sz w:val="20"/>
          <w:szCs w:val="20"/>
          <w:color w:val="auto"/>
        </w:rPr>
      </w:pPr>
    </w:p>
    <w:p>
      <w:pPr>
        <w:ind w:left="1760" w:right="280" w:firstLine="936"/>
        <w:spacing w:after="0" w:line="257" w:lineRule="auto"/>
        <w:rPr>
          <w:sz w:val="20"/>
          <w:szCs w:val="20"/>
          <w:color w:val="auto"/>
        </w:rPr>
      </w:pPr>
      <w:r>
        <w:rPr>
          <w:rFonts w:ascii="Times New Roman" w:cs="Times New Roman" w:eastAsia="Times New Roman" w:hAnsi="Times New Roman"/>
          <w:sz w:val="19"/>
          <w:szCs w:val="19"/>
          <w:color w:val="auto"/>
        </w:rPr>
        <w:t>(i)impose,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account of, or credit extended by, any Lender or any Issuing Bank; or</w:t>
      </w:r>
    </w:p>
    <w:p>
      <w:pPr>
        <w:spacing w:after="0" w:line="157" w:lineRule="exact"/>
        <w:rPr>
          <w:sz w:val="20"/>
          <w:szCs w:val="20"/>
          <w:color w:val="auto"/>
        </w:rPr>
      </w:pPr>
    </w:p>
    <w:p>
      <w:pPr>
        <w:jc w:val="both"/>
        <w:ind w:left="1760" w:right="180" w:firstLine="936"/>
        <w:spacing w:after="0" w:line="268" w:lineRule="auto"/>
        <w:rPr>
          <w:sz w:val="20"/>
          <w:szCs w:val="20"/>
          <w:color w:val="auto"/>
        </w:rPr>
      </w:pPr>
      <w:r>
        <w:rPr>
          <w:rFonts w:ascii="Times New Roman" w:cs="Times New Roman" w:eastAsia="Times New Roman" w:hAnsi="Times New Roman"/>
          <w:sz w:val="19"/>
          <w:szCs w:val="19"/>
          <w:color w:val="auto"/>
        </w:rPr>
        <w:t>(ii)impose on any Lender or any Issuing Bank any other condition, cost or expense (other than Taxes) affecting this Agreement or Term Benchmark Loans or RFR Loans made by such Lender or any Letter of Credit or participation in any such Loan or Letter of Credit;</w:t>
      </w:r>
    </w:p>
    <w:p>
      <w:pPr>
        <w:spacing w:after="0" w:line="144" w:lineRule="exact"/>
        <w:rPr>
          <w:sz w:val="20"/>
          <w:szCs w:val="20"/>
          <w:color w:val="auto"/>
        </w:rPr>
      </w:pPr>
    </w:p>
    <w:p>
      <w:pPr>
        <w:ind w:left="1060" w:right="120"/>
        <w:spacing w:after="0" w:line="255"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Lenders of making, converting to, continuing or maintaining any Term Benchmark Loan or RFR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upon the request of such Lender or such Issuing Bank the Borrower will pay to such Lender or such Issuing Bank, as the case may be, in Dollars, such additional amount or amounts as will compensate such Lender or such Issuing Bank, as the case may be, for such additional costs incurred or reduction suffered; provided that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01" w:name="page202"/>
    <w:bookmarkEnd w:id="201"/>
    <w:p>
      <w:pPr>
        <w:spacing w:after="0" w:line="269" w:lineRule="exact"/>
        <w:rPr>
          <w:sz w:val="20"/>
          <w:szCs w:val="20"/>
          <w:color w:val="auto"/>
        </w:rPr>
      </w:pPr>
    </w:p>
    <w:p>
      <w:pPr>
        <w:ind w:left="1060" w:right="240"/>
        <w:spacing w:after="0" w:line="268" w:lineRule="auto"/>
        <w:rPr>
          <w:sz w:val="20"/>
          <w:szCs w:val="20"/>
          <w:color w:val="auto"/>
        </w:rPr>
      </w:pPr>
      <w:r>
        <w:rPr>
          <w:rFonts w:ascii="Times New Roman" w:cs="Times New Roman" w:eastAsia="Times New Roman" w:hAnsi="Times New Roman"/>
          <w:sz w:val="19"/>
          <w:szCs w:val="19"/>
          <w:color w:val="auto"/>
        </w:rPr>
        <w:t>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pacing w:after="0" w:line="144" w:lineRule="exact"/>
        <w:rPr>
          <w:sz w:val="20"/>
          <w:szCs w:val="20"/>
          <w:color w:val="auto"/>
        </w:rPr>
      </w:pPr>
    </w:p>
    <w:p>
      <w:pPr>
        <w:ind w:left="1060" w:right="6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(b)Capital and Liquidity Requirements</w:t>
      </w:r>
      <w:r>
        <w:rPr>
          <w:rFonts w:ascii="Times New Roman" w:cs="Times New Roman" w:eastAsia="Times New Roman" w:hAnsi="Times New Roman"/>
          <w:sz w:val="19"/>
          <w:szCs w:val="19"/>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upon the request of such Lender or such Issuing Bank, the Borrower will pay to such Lender or such Issuing Bank, as the case may be, in Dollars, such additional amount or amounts as will compensate such Lender or such Issuing Bank or such Lender’s or such Issuing Bank’s holding company for any such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pacing w:after="0" w:line="171" w:lineRule="exact"/>
        <w:rPr>
          <w:sz w:val="20"/>
          <w:szCs w:val="20"/>
          <w:color w:val="auto"/>
        </w:rPr>
      </w:pPr>
    </w:p>
    <w:p>
      <w:pPr>
        <w:ind w:left="1060" w:right="10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(c)Certificates from Lenders</w:t>
      </w:r>
      <w:r>
        <w:rPr>
          <w:rFonts w:ascii="Times New Roman" w:cs="Times New Roman" w:eastAsia="Times New Roman" w:hAnsi="Times New Roman"/>
          <w:sz w:val="19"/>
          <w:szCs w:val="19"/>
          <w:color w:val="auto"/>
        </w:rPr>
        <w:t xml:space="preserve">. A certificate of a Lender or an Issuing Bank (x) setting forth in reasonable detail the basis for and the calculation of the amount or amounts, in Dollars, necessary to compensate such Lender or such Issuing Bank or its holding company, as the case may be, as specified in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(y) setting forth in reasonable detail the manner of determination of such amount or amounts and (z) certifying that such Lender of such Issuing Bank or its holding company, as the case may be, is generally claiming similar compensation from its other similar customers in similar circumstances, shall be promptly delivered to the Borrower and shall be conclusive absent manifest error. The Borrower shall pay such Lender or such Issuing Bank, as the case may be, the amount shown as due on any such certificate within ten (10) Business Days after receipt thereof.</w:t>
      </w:r>
    </w:p>
    <w:p>
      <w:pPr>
        <w:spacing w:after="0" w:line="155" w:lineRule="exact"/>
        <w:rPr>
          <w:sz w:val="20"/>
          <w:szCs w:val="20"/>
          <w:color w:val="auto"/>
        </w:rPr>
      </w:pPr>
    </w:p>
    <w:p>
      <w:pPr>
        <w:ind w:left="1060" w:right="6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(d)Delay in Requests</w:t>
      </w:r>
      <w:r>
        <w:rPr>
          <w:rFonts w:ascii="Times New Roman" w:cs="Times New Roman" w:eastAsia="Times New Roman" w:hAnsi="Times New Roman"/>
          <w:sz w:val="19"/>
          <w:szCs w:val="19"/>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the Change in Law giving rise to such increased costs or reductions is retroactive, then the six-month period referred to above shall be extended to include the period of retroactive effect thereof.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02" w:name="page203"/>
    <w:bookmarkEnd w:id="202"/>
    <w:p>
      <w:pPr>
        <w:spacing w:after="0" w:line="269" w:lineRule="exact"/>
        <w:rPr>
          <w:sz w:val="20"/>
          <w:szCs w:val="20"/>
          <w:color w:val="auto"/>
        </w:rPr>
      </w:pPr>
    </w:p>
    <w:p>
      <w:pPr>
        <w:ind w:left="1060" w:right="320" w:firstLine="864"/>
        <w:spacing w:after="0" w:line="253" w:lineRule="auto"/>
        <w:rPr>
          <w:sz w:val="20"/>
          <w:szCs w:val="20"/>
          <w:color w:val="auto"/>
        </w:rPr>
      </w:pPr>
      <w:r>
        <w:rPr>
          <w:rFonts w:ascii="Times New Roman" w:cs="Times New Roman" w:eastAsia="Times New Roman" w:hAnsi="Times New Roman"/>
          <w:sz w:val="19"/>
          <w:szCs w:val="19"/>
          <w:color w:val="auto"/>
        </w:rPr>
        <w:t xml:space="preserve">SECTION 2.15. </w:t>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 xml:space="preserve">. In the event of (a) the payment of any principal of any Term Benchmark Loan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and is revoked in accordance herewith), or</w:t>
      </w:r>
    </w:p>
    <w:p>
      <w:pPr>
        <w:spacing w:after="0" w:line="6" w:lineRule="exact"/>
        <w:rPr>
          <w:sz w:val="20"/>
          <w:szCs w:val="20"/>
          <w:color w:val="auto"/>
        </w:rPr>
      </w:pPr>
    </w:p>
    <w:p>
      <w:pPr>
        <w:ind w:left="1060" w:right="140" w:hanging="10"/>
        <w:spacing w:after="0" w:line="252" w:lineRule="auto"/>
        <w:tabs>
          <w:tab w:leader="none" w:pos="133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assignment as a result of a request by the Borrower pursuant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of any Term Benchmark Loan other than on the last day of an Interest Period therefor, then, in any such event, the Borrower shall compensate each affected Lender for such Lender’s loss, cost and reasonable expense attributable to such event (excluding loss of anticipated profits). In the case of a Term Benchmark Loan, the loss to any Lender attributable to any such event shall be deemed to include an amount determined by such Lender to be equal to the excess, if any, of:</w:t>
      </w:r>
    </w:p>
    <w:p>
      <w:pPr>
        <w:spacing w:after="0" w:line="162" w:lineRule="exact"/>
        <w:rPr>
          <w:sz w:val="20"/>
          <w:szCs w:val="20"/>
          <w:color w:val="auto"/>
        </w:rPr>
      </w:pPr>
    </w:p>
    <w:p>
      <w:pPr>
        <w:ind w:left="1760" w:right="120" w:firstLine="936"/>
        <w:spacing w:after="0" w:line="257" w:lineRule="auto"/>
        <w:rPr>
          <w:sz w:val="20"/>
          <w:szCs w:val="20"/>
          <w:color w:val="auto"/>
        </w:rPr>
      </w:pPr>
      <w:r>
        <w:rPr>
          <w:rFonts w:ascii="Times New Roman" w:cs="Times New Roman" w:eastAsia="Times New Roman" w:hAnsi="Times New Roman"/>
          <w:sz w:val="19"/>
          <w:szCs w:val="19"/>
          <w:color w:val="auto"/>
        </w:rPr>
        <w:t xml:space="preserve">(i)the amount of interest that such Lender would pay for a deposit equal to the principal amount of such Loan denominated in the Currency of such Loan for the period from the date of such payment, conversion, failure or assignment to the last day of the then-current Interest Period for such Loan (or, in the case of a failure to borrow, convert or continue, the duration of the Interest Period that would have resulted from such borrowing, conversion or continuation) if the interest rate payable on such deposit were equal to the Term Benchmark Rate for such Currency for such Interest Period, </w:t>
      </w:r>
      <w:r>
        <w:rPr>
          <w:rFonts w:ascii="Times New Roman" w:cs="Times New Roman" w:eastAsia="Times New Roman" w:hAnsi="Times New Roman"/>
          <w:sz w:val="19"/>
          <w:szCs w:val="19"/>
          <w:u w:val="single" w:color="auto"/>
          <w:color w:val="auto"/>
        </w:rPr>
        <w:t>over</w:t>
      </w:r>
    </w:p>
    <w:p>
      <w:pPr>
        <w:spacing w:after="0" w:line="157" w:lineRule="exact"/>
        <w:rPr>
          <w:sz w:val="20"/>
          <w:szCs w:val="20"/>
          <w:color w:val="auto"/>
        </w:rPr>
      </w:pPr>
    </w:p>
    <w:p>
      <w:pPr>
        <w:ind w:left="1760" w:right="220" w:firstLine="948"/>
        <w:spacing w:after="0" w:line="259" w:lineRule="auto"/>
        <w:rPr>
          <w:sz w:val="20"/>
          <w:szCs w:val="20"/>
          <w:color w:val="auto"/>
        </w:rPr>
      </w:pPr>
      <w:r>
        <w:rPr>
          <w:rFonts w:ascii="Times New Roman" w:cs="Times New Roman" w:eastAsia="Times New Roman" w:hAnsi="Times New Roman"/>
          <w:sz w:val="19"/>
          <w:szCs w:val="19"/>
          <w:color w:val="auto"/>
        </w:rPr>
        <w:t>(ii)the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54" w:lineRule="exact"/>
        <w:rPr>
          <w:sz w:val="20"/>
          <w:szCs w:val="20"/>
          <w:color w:val="auto"/>
        </w:rPr>
      </w:pPr>
    </w:p>
    <w:p>
      <w:pPr>
        <w:ind w:left="1060" w:right="140"/>
        <w:spacing w:after="0" w:line="256" w:lineRule="auto"/>
        <w:rPr>
          <w:sz w:val="20"/>
          <w:szCs w:val="20"/>
          <w:color w:val="auto"/>
        </w:rPr>
      </w:pPr>
      <w:r>
        <w:rPr>
          <w:rFonts w:ascii="Times New Roman" w:cs="Times New Roman" w:eastAsia="Times New Roman" w:hAnsi="Times New Roman"/>
          <w:sz w:val="19"/>
          <w:szCs w:val="19"/>
          <w:color w:val="auto"/>
        </w:rPr>
        <w:t>Payment under this Section shall be made upon written request of a Lender delivered to the Borrower not later than five (5) Business Days following the payment, conversion, or failure to borrow, convert, continue or prepay that gives rise to a claim under this Section accompanied by a written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ten (10) Business Days after receipt thereof.</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2.16.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220" w:firstLine="864"/>
        <w:spacing w:after="0" w:line="256" w:lineRule="auto"/>
        <w:rPr>
          <w:sz w:val="20"/>
          <w:szCs w:val="20"/>
          <w:color w:val="auto"/>
        </w:rPr>
      </w:pP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u w:val="single" w:color="auto"/>
          <w:color w:val="000000"/>
        </w:rPr>
        <w:t>Payments Free of Taxes</w:t>
      </w:r>
      <w:r>
        <w:rPr>
          <w:rFonts w:ascii="Times New Roman" w:cs="Times New Roman" w:eastAsia="Times New Roman" w:hAnsi="Times New Roman"/>
          <w:sz w:val="19"/>
          <w:szCs w:val="19"/>
          <w:color w:val="000000"/>
        </w:rPr>
        <w:t>. Any and all payments by or on account of any obligation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Borrower hereunder or under any other Loan Document shall be made free and clear of and without deduction for any Taxes, except as required by applicable law;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03" w:name="page204"/>
    <w:bookmarkEnd w:id="203"/>
    <w:p>
      <w:pPr>
        <w:spacing w:after="0" w:line="269" w:lineRule="exact"/>
        <w:rPr>
          <w:sz w:val="20"/>
          <w:szCs w:val="20"/>
          <w:color w:val="auto"/>
        </w:rPr>
      </w:pPr>
    </w:p>
    <w:p>
      <w:pPr>
        <w:ind w:left="1060" w:right="380"/>
        <w:spacing w:after="0" w:line="268" w:lineRule="auto"/>
        <w:rPr>
          <w:sz w:val="20"/>
          <w:szCs w:val="20"/>
          <w:color w:val="auto"/>
        </w:rPr>
      </w:pPr>
      <w:r>
        <w:rPr>
          <w:rFonts w:ascii="Times New Roman" w:cs="Times New Roman" w:eastAsia="Times New Roman" w:hAnsi="Times New Roman"/>
          <w:sz w:val="19"/>
          <w:szCs w:val="19"/>
          <w:color w:val="auto"/>
        </w:rPr>
        <w:t>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44" w:lineRule="exact"/>
        <w:rPr>
          <w:sz w:val="20"/>
          <w:szCs w:val="20"/>
          <w:color w:val="auto"/>
        </w:rPr>
      </w:pPr>
    </w:p>
    <w:p>
      <w:pPr>
        <w:ind w:left="1060" w:right="120" w:firstLine="864"/>
        <w:spacing w:after="0" w:line="286" w:lineRule="auto"/>
        <w:rPr>
          <w:sz w:val="20"/>
          <w:szCs w:val="20"/>
          <w:color w:val="auto"/>
        </w:rPr>
      </w:pPr>
      <w:r>
        <w:rPr>
          <w:rFonts w:ascii="Times New Roman" w:cs="Times New Roman" w:eastAsia="Times New Roman" w:hAnsi="Times New Roman"/>
          <w:sz w:val="19"/>
          <w:szCs w:val="19"/>
          <w:u w:val="single" w:color="auto"/>
          <w:color w:val="0000FF"/>
        </w:rPr>
        <w:t>(b)</w:t>
      </w:r>
      <w:r>
        <w:rPr>
          <w:rFonts w:ascii="Times New Roman" w:cs="Times New Roman" w:eastAsia="Times New Roman" w:hAnsi="Times New Roman"/>
          <w:sz w:val="19"/>
          <w:szCs w:val="19"/>
          <w:u w:val="single" w:color="auto"/>
          <w:color w:val="000000"/>
        </w:rPr>
        <w:t>Payment of Other Taxes by the Borrower</w:t>
      </w:r>
      <w:r>
        <w:rPr>
          <w:rFonts w:ascii="Times New Roman" w:cs="Times New Roman" w:eastAsia="Times New Roman" w:hAnsi="Times New Roman"/>
          <w:sz w:val="19"/>
          <w:szCs w:val="19"/>
          <w:color w:val="000000"/>
        </w:rPr>
        <w:t>. In addition, the Borrower shall pay any Other Taxes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relevant Governmental Authority in accordance with applicable law.</w:t>
      </w:r>
    </w:p>
    <w:p>
      <w:pPr>
        <w:spacing w:after="0" w:line="127" w:lineRule="exact"/>
        <w:rPr>
          <w:sz w:val="20"/>
          <w:szCs w:val="20"/>
          <w:color w:val="auto"/>
        </w:rPr>
      </w:pPr>
    </w:p>
    <w:p>
      <w:pPr>
        <w:ind w:left="1060" w:right="80" w:firstLine="864"/>
        <w:spacing w:after="0" w:line="254" w:lineRule="auto"/>
        <w:rPr>
          <w:sz w:val="20"/>
          <w:szCs w:val="20"/>
          <w:color w:val="auto"/>
        </w:rPr>
      </w:pPr>
      <w:r>
        <w:rPr>
          <w:rFonts w:ascii="Times New Roman" w:cs="Times New Roman" w:eastAsia="Times New Roman" w:hAnsi="Times New Roman"/>
          <w:sz w:val="19"/>
          <w:szCs w:val="19"/>
          <w:u w:val="single" w:color="auto"/>
          <w:color w:val="0000FF"/>
        </w:rPr>
        <w:t>(c)</w:t>
      </w:r>
      <w:r>
        <w:rPr>
          <w:rFonts w:ascii="Times New Roman" w:cs="Times New Roman" w:eastAsia="Times New Roman" w:hAnsi="Times New Roman"/>
          <w:sz w:val="19"/>
          <w:szCs w:val="19"/>
          <w:u w:val="single" w:color="auto"/>
          <w:color w:val="000000"/>
        </w:rPr>
        <w:t>Indemnification by the Borrower</w:t>
      </w:r>
      <w:r>
        <w:rPr>
          <w:rFonts w:ascii="Times New Roman" w:cs="Times New Roman" w:eastAsia="Times New Roman" w:hAnsi="Times New Roman"/>
          <w:sz w:val="19"/>
          <w:szCs w:val="19"/>
          <w:color w:val="000000"/>
        </w:rPr>
        <w:t>. The Borrower shall indemnify the Administrative Agent, each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Lender and each Issuing Bank for and, within ten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57" w:lineRule="exact"/>
        <w:rPr>
          <w:sz w:val="20"/>
          <w:szCs w:val="20"/>
          <w:color w:val="auto"/>
        </w:rPr>
      </w:pPr>
    </w:p>
    <w:p>
      <w:pPr>
        <w:ind w:left="1060" w:right="100" w:firstLine="864"/>
        <w:spacing w:after="0" w:line="256" w:lineRule="auto"/>
        <w:rPr>
          <w:sz w:val="20"/>
          <w:szCs w:val="20"/>
          <w:color w:val="auto"/>
        </w:rPr>
      </w:pPr>
      <w:r>
        <w:rPr>
          <w:rFonts w:ascii="Times New Roman" w:cs="Times New Roman" w:eastAsia="Times New Roman" w:hAnsi="Times New Roman"/>
          <w:sz w:val="19"/>
          <w:szCs w:val="19"/>
          <w:u w:val="single" w:color="auto"/>
          <w:color w:val="0000FF"/>
        </w:rPr>
        <w:t>(d)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Indemnification by the Lenders</w:t>
      </w:r>
      <w:r>
        <w:rPr>
          <w:rFonts w:ascii="Times New Roman" w:cs="Times New Roman" w:eastAsia="Times New Roman" w:hAnsi="Times New Roman"/>
          <w:sz w:val="19"/>
          <w:szCs w:val="19"/>
          <w:color w:val="000000"/>
        </w:rPr>
        <w:t>. Each Lender shall severally indemnify the Administrative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Agent, within ten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w:t>
      </w:r>
    </w:p>
    <w:p>
      <w:pPr>
        <w:spacing w:after="0" w:line="2" w:lineRule="exact"/>
        <w:rPr>
          <w:sz w:val="20"/>
          <w:szCs w:val="20"/>
          <w:color w:val="auto"/>
        </w:rPr>
      </w:pPr>
    </w:p>
    <w:p>
      <w:pPr>
        <w:ind w:left="1060" w:right="160" w:hanging="10"/>
        <w:spacing w:after="0" w:line="251" w:lineRule="auto"/>
        <w:tabs>
          <w:tab w:leader="none" w:pos="134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Taxes attributable to such Lender’s failure to comply with the provisions of </w:t>
      </w:r>
      <w:r>
        <w:rPr>
          <w:rFonts w:ascii="Times New Roman" w:cs="Times New Roman" w:eastAsia="Times New Roman" w:hAnsi="Times New Roman"/>
          <w:sz w:val="19"/>
          <w:szCs w:val="19"/>
          <w:u w:val="single" w:color="auto"/>
          <w:color w:val="auto"/>
        </w:rPr>
        <w:t>Section 9.04(f)</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060" w:right="160" w:firstLine="864"/>
        <w:spacing w:after="0" w:line="259" w:lineRule="auto"/>
        <w:rPr>
          <w:sz w:val="20"/>
          <w:szCs w:val="20"/>
          <w:color w:val="auto"/>
        </w:rPr>
      </w:pPr>
      <w:r>
        <w:rPr>
          <w:rFonts w:ascii="Times New Roman" w:cs="Times New Roman" w:eastAsia="Times New Roman" w:hAnsi="Times New Roman"/>
          <w:sz w:val="19"/>
          <w:szCs w:val="19"/>
          <w:u w:val="single" w:color="auto"/>
          <w:color w:val="0000FF"/>
        </w:rPr>
        <w:t>(e)</w:t>
      </w:r>
      <w:r>
        <w:rPr>
          <w:rFonts w:ascii="Times New Roman" w:cs="Times New Roman" w:eastAsia="Times New Roman" w:hAnsi="Times New Roman"/>
          <w:sz w:val="19"/>
          <w:szCs w:val="19"/>
          <w:u w:val="single" w:color="auto"/>
          <w:color w:val="000000"/>
        </w:rPr>
        <w:t>Evidence of Payments</w:t>
      </w:r>
      <w:r>
        <w:rPr>
          <w:rFonts w:ascii="Times New Roman" w:cs="Times New Roman" w:eastAsia="Times New Roman" w:hAnsi="Times New Roman"/>
          <w:sz w:val="19"/>
          <w:szCs w:val="19"/>
          <w:color w:val="000000"/>
        </w:rPr>
        <w:t>. As soon as practicable after any payment of Indemnified Taxes or Other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4" w:lineRule="exact"/>
        <w:rPr>
          <w:sz w:val="20"/>
          <w:szCs w:val="20"/>
          <w:color w:val="auto"/>
        </w:rPr>
      </w:pPr>
    </w:p>
    <w:p>
      <w:pPr>
        <w:ind w:left="1060" w:right="80" w:firstLine="864"/>
        <w:spacing w:after="0" w:line="262" w:lineRule="auto"/>
        <w:rPr>
          <w:sz w:val="20"/>
          <w:szCs w:val="20"/>
          <w:color w:val="auto"/>
        </w:rPr>
      </w:pPr>
      <w:r>
        <w:rPr>
          <w:rFonts w:ascii="Times New Roman" w:cs="Times New Roman" w:eastAsia="Times New Roman" w:hAnsi="Times New Roman"/>
          <w:sz w:val="19"/>
          <w:szCs w:val="19"/>
          <w:u w:val="single" w:color="auto"/>
          <w:color w:val="0000FF"/>
        </w:rPr>
        <w:t>(f)</w:t>
      </w:r>
      <w:r>
        <w:rPr>
          <w:rFonts w:ascii="Times New Roman" w:cs="Times New Roman" w:eastAsia="Times New Roman" w:hAnsi="Times New Roman"/>
          <w:sz w:val="19"/>
          <w:szCs w:val="19"/>
          <w:u w:val="single" w:color="auto"/>
          <w:color w:val="000000"/>
        </w:rPr>
        <w:t>Tax Documentation</w:t>
      </w:r>
      <w:r>
        <w:rPr>
          <w:rFonts w:ascii="Times New Roman" w:cs="Times New Roman" w:eastAsia="Times New Roman" w:hAnsi="Times New Roman"/>
          <w:sz w:val="19"/>
          <w:szCs w:val="19"/>
          <w:color w:val="000000"/>
        </w:rPr>
        <w:t>. (i) Any Foreign Lender that is entitled to an exemption from or reduction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withholding tax under the law of the jurisdiction in which the Borrower is located, or any treaty to which such jurisdiction is a party, with respect to payments under this Agreement shall deliver to the Borrower (with a copy to the Administrative Agent), at the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04" w:name="page205"/>
    <w:bookmarkEnd w:id="204"/>
    <w:p>
      <w:pPr>
        <w:spacing w:after="0" w:line="269" w:lineRule="exact"/>
        <w:rPr>
          <w:sz w:val="20"/>
          <w:szCs w:val="20"/>
          <w:color w:val="auto"/>
        </w:rPr>
      </w:pPr>
    </w:p>
    <w:p>
      <w:pPr>
        <w:ind w:left="1060" w:right="120"/>
        <w:spacing w:after="0" w:line="254" w:lineRule="auto"/>
        <w:rPr>
          <w:sz w:val="20"/>
          <w:szCs w:val="20"/>
          <w:color w:val="auto"/>
        </w:rPr>
      </w:pPr>
      <w:r>
        <w:rPr>
          <w:rFonts w:ascii="Times New Roman" w:cs="Times New Roman" w:eastAsia="Times New Roman" w:hAnsi="Times New Roman"/>
          <w:sz w:val="19"/>
          <w:szCs w:val="19"/>
          <w:color w:val="auto"/>
        </w:rPr>
        <w:t xml:space="preserve">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 2.16(f)(ii)</w:t>
      </w:r>
      <w:r>
        <w:rPr>
          <w:rFonts w:ascii="Times New Roman" w:cs="Times New Roman" w:eastAsia="Times New Roman" w:hAnsi="Times New Roman"/>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(ii)Without limiting the generality of the foregoing:</w:t>
      </w:r>
    </w:p>
    <w:p>
      <w:pPr>
        <w:spacing w:after="0" w:line="202" w:lineRule="exact"/>
        <w:rPr>
          <w:sz w:val="20"/>
          <w:szCs w:val="20"/>
          <w:color w:val="auto"/>
        </w:rPr>
      </w:pPr>
    </w:p>
    <w:p>
      <w:pPr>
        <w:ind w:left="2460" w:right="180" w:firstLine="1032"/>
        <w:spacing w:after="0" w:line="256" w:lineRule="auto"/>
        <w:rPr>
          <w:sz w:val="20"/>
          <w:szCs w:val="20"/>
          <w:color w:val="auto"/>
        </w:rPr>
      </w:pPr>
      <w:r>
        <w:rPr>
          <w:rFonts w:ascii="Times New Roman" w:cs="Times New Roman" w:eastAsia="Times New Roman" w:hAnsi="Times New Roman"/>
          <w:sz w:val="19"/>
          <w:szCs w:val="19"/>
          <w:color w:val="auto"/>
        </w:rPr>
        <w:t>(A)any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57" w:lineRule="exact"/>
        <w:rPr>
          <w:sz w:val="20"/>
          <w:szCs w:val="20"/>
          <w:color w:val="auto"/>
        </w:rPr>
      </w:pPr>
    </w:p>
    <w:p>
      <w:pPr>
        <w:ind w:left="2460" w:right="100" w:firstLine="1032"/>
        <w:spacing w:after="0" w:line="257" w:lineRule="auto"/>
        <w:rPr>
          <w:sz w:val="20"/>
          <w:szCs w:val="20"/>
          <w:color w:val="auto"/>
        </w:rPr>
      </w:pPr>
      <w:r>
        <w:rPr>
          <w:rFonts w:ascii="Times New Roman" w:cs="Times New Roman" w:eastAsia="Times New Roman" w:hAnsi="Times New Roman"/>
          <w:sz w:val="19"/>
          <w:szCs w:val="19"/>
          <w:color w:val="auto"/>
        </w:rPr>
        <w:t>(B)each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57" w:lineRule="exact"/>
        <w:rPr>
          <w:sz w:val="20"/>
          <w:szCs w:val="20"/>
          <w:color w:val="auto"/>
        </w:rPr>
      </w:pPr>
    </w:p>
    <w:p>
      <w:pPr>
        <w:ind w:left="3160" w:right="200" w:firstLine="1140"/>
        <w:spacing w:after="0" w:line="268" w:lineRule="auto"/>
        <w:rPr>
          <w:sz w:val="20"/>
          <w:szCs w:val="20"/>
          <w:color w:val="auto"/>
        </w:rPr>
      </w:pPr>
      <w:r>
        <w:rPr>
          <w:rFonts w:ascii="Times New Roman" w:cs="Times New Roman" w:eastAsia="Times New Roman" w:hAnsi="Times New Roman"/>
          <w:sz w:val="19"/>
          <w:szCs w:val="19"/>
          <w:color w:val="auto"/>
        </w:rPr>
        <w:t>(w)duly completed and executed copies of Internal Revenue Service Form W -8BEN or W- 8BEN-E or any successor form claiming eligibility for benefits of an income tax treaty to which the United States is a party,</w:t>
      </w:r>
    </w:p>
    <w:p>
      <w:pPr>
        <w:spacing w:after="0" w:line="144" w:lineRule="exact"/>
        <w:rPr>
          <w:sz w:val="20"/>
          <w:szCs w:val="20"/>
          <w:color w:val="auto"/>
        </w:rPr>
      </w:pPr>
    </w:p>
    <w:p>
      <w:pPr>
        <w:ind w:left="3160" w:right="120" w:firstLine="1152"/>
        <w:spacing w:after="0" w:line="262" w:lineRule="auto"/>
        <w:rPr>
          <w:sz w:val="20"/>
          <w:szCs w:val="20"/>
          <w:color w:val="auto"/>
        </w:rPr>
      </w:pPr>
      <w:r>
        <w:rPr>
          <w:rFonts w:ascii="Times New Roman" w:cs="Times New Roman" w:eastAsia="Times New Roman" w:hAnsi="Times New Roman"/>
          <w:sz w:val="19"/>
          <w:szCs w:val="19"/>
          <w:color w:val="auto"/>
        </w:rPr>
        <w:t>(x)duly completed copies of Internal Revenue Service Form W-8ECI or any successor form certifying that the income receivable pursuant to this Agreement is effectively connected with the conduct of a trade or business in the United States,</w:t>
      </w:r>
    </w:p>
    <w:p>
      <w:pPr>
        <w:spacing w:after="0" w:line="150" w:lineRule="exact"/>
        <w:rPr>
          <w:sz w:val="20"/>
          <w:szCs w:val="20"/>
          <w:color w:val="auto"/>
        </w:rPr>
      </w:pPr>
    </w:p>
    <w:p>
      <w:pPr>
        <w:ind w:left="3160" w:right="120" w:firstLine="1152"/>
        <w:spacing w:after="0" w:line="257" w:lineRule="auto"/>
        <w:rPr>
          <w:sz w:val="20"/>
          <w:szCs w:val="20"/>
          <w:color w:val="auto"/>
        </w:rPr>
      </w:pPr>
      <w:r>
        <w:rPr>
          <w:rFonts w:ascii="Times New Roman" w:cs="Times New Roman" w:eastAsia="Times New Roman" w:hAnsi="Times New Roman"/>
          <w:sz w:val="19"/>
          <w:szCs w:val="19"/>
          <w:color w:val="auto"/>
        </w:rPr>
        <w:t>(y)in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05" w:name="page206"/>
    <w:bookmarkEnd w:id="205"/>
    <w:p>
      <w:pPr>
        <w:spacing w:after="0" w:line="269" w:lineRule="exact"/>
        <w:rPr>
          <w:sz w:val="20"/>
          <w:szCs w:val="20"/>
          <w:color w:val="auto"/>
        </w:rPr>
      </w:pPr>
    </w:p>
    <w:p>
      <w:pPr>
        <w:jc w:val="both"/>
        <w:ind w:left="3160" w:right="380"/>
        <w:spacing w:after="0" w:line="268" w:lineRule="auto"/>
        <w:rPr>
          <w:sz w:val="20"/>
          <w:szCs w:val="20"/>
          <w:color w:val="auto"/>
        </w:rPr>
      </w:pPr>
      <w:r>
        <w:rPr>
          <w:rFonts w:ascii="Times New Roman" w:cs="Times New Roman" w:eastAsia="Times New Roman" w:hAnsi="Times New Roman"/>
          <w:sz w:val="19"/>
          <w:szCs w:val="19"/>
          <w:color w:val="auto"/>
        </w:rPr>
        <w:t>Section 881(c)(3)(C) of the Code and (2) duly completed and executed copies of Internal Revenue Service Form W -8BEN or W -8BEN- E (or any successor form) certifying that the Foreign Lender is not a U.S. Person, or</w:t>
      </w:r>
    </w:p>
    <w:p>
      <w:pPr>
        <w:spacing w:after="0" w:line="144" w:lineRule="exact"/>
        <w:rPr>
          <w:sz w:val="20"/>
          <w:szCs w:val="20"/>
          <w:color w:val="auto"/>
        </w:rPr>
      </w:pPr>
    </w:p>
    <w:p>
      <w:pPr>
        <w:ind w:left="3160" w:right="100" w:firstLine="1152"/>
        <w:spacing w:after="0" w:line="259" w:lineRule="auto"/>
        <w:rPr>
          <w:sz w:val="20"/>
          <w:szCs w:val="20"/>
          <w:color w:val="auto"/>
        </w:rPr>
      </w:pPr>
      <w:r>
        <w:rPr>
          <w:rFonts w:ascii="Times New Roman" w:cs="Times New Roman" w:eastAsia="Times New Roman" w:hAnsi="Times New Roman"/>
          <w:sz w:val="19"/>
          <w:szCs w:val="19"/>
          <w:color w:val="auto"/>
        </w:rPr>
        <w:t>(z)any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54" w:lineRule="exact"/>
        <w:rPr>
          <w:sz w:val="20"/>
          <w:szCs w:val="20"/>
          <w:color w:val="auto"/>
        </w:rPr>
      </w:pPr>
    </w:p>
    <w:p>
      <w:pPr>
        <w:ind w:left="1760" w:right="160" w:firstLine="936"/>
        <w:spacing w:after="0" w:line="257" w:lineRule="auto"/>
        <w:rPr>
          <w:sz w:val="20"/>
          <w:szCs w:val="20"/>
          <w:color w:val="auto"/>
        </w:rPr>
      </w:pPr>
      <w:r>
        <w:rPr>
          <w:rFonts w:ascii="Times New Roman" w:cs="Times New Roman" w:eastAsia="Times New Roman" w:hAnsi="Times New Roman"/>
          <w:sz w:val="19"/>
          <w:szCs w:val="19"/>
          <w:color w:val="auto"/>
        </w:rPr>
        <w:t xml:space="preserve">(iii)In addition, each Lender shall deliver such forms promptly upon the obsolescence, expiration or invalidity of any form previously delivered by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57" w:lineRule="exact"/>
        <w:rPr>
          <w:sz w:val="20"/>
          <w:szCs w:val="20"/>
          <w:color w:val="auto"/>
        </w:rPr>
      </w:pPr>
    </w:p>
    <w:p>
      <w:pPr>
        <w:ind w:left="1060" w:right="100" w:firstLine="864"/>
        <w:spacing w:after="0" w:line="254" w:lineRule="auto"/>
        <w:rPr>
          <w:sz w:val="20"/>
          <w:szCs w:val="20"/>
          <w:color w:val="auto"/>
        </w:rPr>
      </w:pPr>
      <w:r>
        <w:rPr>
          <w:rFonts w:ascii="Times New Roman" w:cs="Times New Roman" w:eastAsia="Times New Roman" w:hAnsi="Times New Roman"/>
          <w:sz w:val="19"/>
          <w:szCs w:val="19"/>
          <w:u w:val="single" w:color="auto"/>
          <w:color w:val="0000FF"/>
        </w:rPr>
        <w:t>(g)</w:t>
      </w:r>
      <w:r>
        <w:rPr>
          <w:rFonts w:ascii="Times New Roman" w:cs="Times New Roman" w:eastAsia="Times New Roman" w:hAnsi="Times New Roman"/>
          <w:sz w:val="19"/>
          <w:szCs w:val="19"/>
          <w:u w:val="single" w:color="auto"/>
          <w:color w:val="000000"/>
        </w:rPr>
        <w:t>Documentation Required by FATCA</w:t>
      </w:r>
      <w:r>
        <w:rPr>
          <w:rFonts w:ascii="Times New Roman" w:cs="Times New Roman" w:eastAsia="Times New Roman" w:hAnsi="Times New Roman"/>
          <w:sz w:val="19"/>
          <w:szCs w:val="19"/>
          <w:color w:val="000000"/>
        </w:rPr>
        <w:t>. If a payment made to a Lender under this Agreement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w:t>
      </w:r>
    </w:p>
    <w:p>
      <w:pPr>
        <w:spacing w:after="0" w:line="3" w:lineRule="exact"/>
        <w:rPr>
          <w:sz w:val="20"/>
          <w:szCs w:val="20"/>
          <w:color w:val="auto"/>
        </w:rPr>
      </w:pPr>
    </w:p>
    <w:p>
      <w:pPr>
        <w:ind w:left="1060" w:right="140"/>
        <w:spacing w:after="0" w:line="253" w:lineRule="auto"/>
        <w:rPr>
          <w:sz w:val="20"/>
          <w:szCs w:val="20"/>
          <w:color w:val="auto"/>
        </w:rPr>
      </w:pPr>
      <w:r>
        <w:rPr>
          <w:rFonts w:ascii="Times New Roman" w:cs="Times New Roman" w:eastAsia="Times New Roman" w:hAnsi="Times New Roman"/>
          <w:sz w:val="19"/>
          <w:szCs w:val="19"/>
          <w:color w:val="auto"/>
        </w:rPr>
        <w:t xml:space="preserve">(3)(C)(i)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Section 2.16(g)</w:t>
      </w:r>
      <w:r>
        <w:rPr>
          <w:rFonts w:ascii="Times New Roman" w:cs="Times New Roman" w:eastAsia="Times New Roman" w:hAnsi="Times New Roman"/>
          <w:sz w:val="19"/>
          <w:szCs w:val="19"/>
          <w:color w:val="auto"/>
        </w:rPr>
        <w:t>, “FATCA” shall include any amendments made to FATCA after the date of this Agreement.</w:t>
      </w:r>
    </w:p>
    <w:p>
      <w:pPr>
        <w:spacing w:after="0" w:line="159" w:lineRule="exact"/>
        <w:rPr>
          <w:sz w:val="20"/>
          <w:szCs w:val="20"/>
          <w:color w:val="auto"/>
        </w:rPr>
      </w:pPr>
    </w:p>
    <w:p>
      <w:pPr>
        <w:ind w:left="1060" w:right="100" w:firstLine="864"/>
        <w:spacing w:after="0" w:line="253" w:lineRule="auto"/>
        <w:rPr>
          <w:sz w:val="20"/>
          <w:szCs w:val="20"/>
          <w:color w:val="auto"/>
        </w:rPr>
      </w:pPr>
      <w:r>
        <w:rPr>
          <w:rFonts w:ascii="Times New Roman" w:cs="Times New Roman" w:eastAsia="Times New Roman" w:hAnsi="Times New Roman"/>
          <w:sz w:val="19"/>
          <w:szCs w:val="19"/>
          <w:u w:val="single" w:color="auto"/>
          <w:color w:val="0000FF"/>
        </w:rPr>
        <w:t>(h)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Treatment of Certain Refunds</w:t>
      </w:r>
      <w:r>
        <w:rPr>
          <w:rFonts w:ascii="Times New Roman" w:cs="Times New Roman" w:eastAsia="Times New Roman" w:hAnsi="Times New Roman"/>
          <w:sz w:val="19"/>
          <w:szCs w:val="19"/>
          <w:color w:val="000000"/>
        </w:rPr>
        <w:t>. If the Administrative Agent, any Lender or an Issuing Bank</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000000"/>
        </w:rPr>
        <w:t>clause (h)</w:t>
      </w:r>
      <w:r>
        <w:rPr>
          <w:rFonts w:ascii="Times New Roman" w:cs="Times New Roman" w:eastAsia="Times New Roman" w:hAnsi="Times New Roman"/>
          <w:sz w:val="19"/>
          <w:szCs w:val="19"/>
          <w:color w:val="000000"/>
        </w:rPr>
        <w:t>, in no event will the Administrative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06" w:name="page207"/>
    <w:bookmarkEnd w:id="206"/>
    <w:p>
      <w:pPr>
        <w:spacing w:after="0" w:line="269" w:lineRule="exact"/>
        <w:rPr>
          <w:sz w:val="20"/>
          <w:szCs w:val="20"/>
          <w:color w:val="auto"/>
        </w:rPr>
      </w:pPr>
    </w:p>
    <w:p>
      <w:pPr>
        <w:ind w:left="1060" w:right="140"/>
        <w:spacing w:after="0" w:line="257" w:lineRule="auto"/>
        <w:rPr>
          <w:sz w:val="20"/>
          <w:szCs w:val="20"/>
          <w:color w:val="auto"/>
        </w:rPr>
      </w:pPr>
      <w:r>
        <w:rPr>
          <w:rFonts w:ascii="Times New Roman" w:cs="Times New Roman" w:eastAsia="Times New Roman" w:hAnsi="Times New Roman"/>
          <w:sz w:val="19"/>
          <w:szCs w:val="19"/>
          <w:color w:val="auto"/>
        </w:rPr>
        <w:t xml:space="preserve">Agent, any Lender or an Issuing Bank be required to pay any amount to Borrower pursuant to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the payment of which would place such Person in a less favorable net after -Tax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57" w:lineRule="exact"/>
        <w:rPr>
          <w:sz w:val="20"/>
          <w:szCs w:val="20"/>
          <w:color w:val="auto"/>
        </w:rPr>
      </w:pPr>
    </w:p>
    <w:p>
      <w:pPr>
        <w:ind w:left="1060" w:right="400" w:firstLine="864"/>
        <w:spacing w:after="0" w:line="262" w:lineRule="auto"/>
        <w:rPr>
          <w:sz w:val="20"/>
          <w:szCs w:val="20"/>
          <w:color w:val="auto"/>
        </w:rPr>
      </w:pPr>
      <w:r>
        <w:rPr>
          <w:rFonts w:ascii="Times New Roman" w:cs="Times New Roman" w:eastAsia="Times New Roman" w:hAnsi="Times New Roman"/>
          <w:sz w:val="19"/>
          <w:szCs w:val="19"/>
          <w:u w:val="single" w:color="auto"/>
          <w:color w:val="0000FF"/>
        </w:rPr>
        <w:t>(i)Each party’s obligations under this Section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spacing w:after="0" w:line="15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 xml:space="preserve">SECTION 2.17. </w:t>
      </w:r>
      <w:r>
        <w:rPr>
          <w:rFonts w:ascii="Times New Roman" w:cs="Times New Roman" w:eastAsia="Times New Roman" w:hAnsi="Times New Roman"/>
          <w:sz w:val="19"/>
          <w:szCs w:val="19"/>
          <w:u w:val="single" w:color="auto"/>
          <w:color w:val="auto"/>
        </w:rPr>
        <w:t>Payments Generally; Pro Rata Treatment: Sharing of Set-offs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300" w:firstLine="864"/>
        <w:spacing w:after="0" w:line="262" w:lineRule="auto"/>
        <w:rPr>
          <w:sz w:val="20"/>
          <w:szCs w:val="20"/>
          <w:color w:val="auto"/>
        </w:rPr>
      </w:pPr>
      <w:r>
        <w:rPr>
          <w:rFonts w:ascii="Times New Roman" w:cs="Times New Roman" w:eastAsia="Times New Roman" w:hAnsi="Times New Roman"/>
          <w:sz w:val="19"/>
          <w:szCs w:val="19"/>
          <w:u w:val="single" w:color="auto"/>
          <w:color w:val="auto"/>
        </w:rPr>
        <w:t>(a)Payments by the Borrower</w:t>
      </w:r>
      <w:r>
        <w:rPr>
          <w:rFonts w:ascii="Times New Roman" w:cs="Times New Roman" w:eastAsia="Times New Roman" w:hAnsi="Times New Roman"/>
          <w:sz w:val="19"/>
          <w:szCs w:val="19"/>
          <w:color w:val="auto"/>
        </w:rPr>
        <w:t xml:space="preserve">. The Borrower shall make each payment required to be made by it hereunder (whether of principal, interest, fees or reimbursement of LC Disbursements, or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1060" w:right="120"/>
        <w:spacing w:after="0" w:line="251" w:lineRule="auto"/>
        <w:rPr>
          <w:sz w:val="20"/>
          <w:szCs w:val="20"/>
          <w:color w:val="auto"/>
        </w:rPr>
      </w:pP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or otherwise) or under any other Loan Document (except to the extent otherwise provided therein)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65" w:lineRule="exact"/>
        <w:rPr>
          <w:sz w:val="20"/>
          <w:szCs w:val="20"/>
          <w:color w:val="auto"/>
        </w:rPr>
      </w:pPr>
    </w:p>
    <w:p>
      <w:pPr>
        <w:ind w:left="1060" w:right="200" w:firstLine="1728"/>
        <w:spacing w:after="0" w:line="253" w:lineRule="auto"/>
        <w:rPr>
          <w:sz w:val="20"/>
          <w:szCs w:val="20"/>
          <w:color w:val="auto"/>
        </w:rPr>
      </w:pPr>
      <w:r>
        <w:rPr>
          <w:rFonts w:ascii="Times New Roman" w:cs="Times New Roman" w:eastAsia="Times New Roman" w:hAnsi="Times New Roman"/>
          <w:sz w:val="19"/>
          <w:szCs w:val="19"/>
          <w:color w:val="auto"/>
        </w:rPr>
        <w:t xml:space="preserve">All amounts owing under this Agreement (including commitment fees, payments required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and payments required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relating to any Loan denominated in Dollars, but not including principal of and interest on any Loan denominated in any Foreign Currency or payments relating to any such Loan required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07" w:name="page208"/>
    <w:bookmarkEnd w:id="207"/>
    <w:p>
      <w:pPr>
        <w:spacing w:after="0" w:line="269" w:lineRule="exact"/>
        <w:rPr>
          <w:sz w:val="20"/>
          <w:szCs w:val="20"/>
          <w:color w:val="auto"/>
        </w:rPr>
      </w:pPr>
    </w:p>
    <w:p>
      <w:pPr>
        <w:ind w:left="1060" w:right="100"/>
        <w:spacing w:after="0" w:line="268" w:lineRule="auto"/>
        <w:rPr>
          <w:sz w:val="20"/>
          <w:szCs w:val="20"/>
          <w:color w:val="auto"/>
        </w:rPr>
      </w:pPr>
      <w:r>
        <w:rPr>
          <w:rFonts w:ascii="Times New Roman" w:cs="Times New Roman" w:eastAsia="Times New Roman" w:hAnsi="Times New Roman"/>
          <w:sz w:val="19"/>
          <w:szCs w:val="19"/>
          <w:color w:val="auto"/>
        </w:rPr>
        <w:t>other than the last day of the Interest Period therefor, on the last day of such Interest Period) in an amount equal to the Dollar Equivalent thereof on the date of such redenomination and such interest shall be payable on demand.</w:t>
      </w:r>
    </w:p>
    <w:p>
      <w:pPr>
        <w:spacing w:after="0" w:line="144" w:lineRule="exact"/>
        <w:rPr>
          <w:sz w:val="20"/>
          <w:szCs w:val="20"/>
          <w:color w:val="auto"/>
        </w:rPr>
      </w:pPr>
    </w:p>
    <w:p>
      <w:pPr>
        <w:ind w:left="1060" w:right="80" w:firstLine="1728"/>
        <w:spacing w:after="0" w:line="255" w:lineRule="auto"/>
        <w:rPr>
          <w:sz w:val="20"/>
          <w:szCs w:val="20"/>
          <w:color w:val="auto"/>
        </w:rPr>
      </w:pPr>
      <w:r>
        <w:rPr>
          <w:rFonts w:ascii="Times New Roman" w:cs="Times New Roman" w:eastAsia="Times New Roman" w:hAnsi="Times New Roman"/>
          <w:sz w:val="19"/>
          <w:szCs w:val="19"/>
          <w:color w:val="auto"/>
        </w:rPr>
        <w:t xml:space="preserve">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 </w:t>
      </w:r>
      <w:r>
        <w:rPr>
          <w:rFonts w:ascii="Times New Roman" w:cs="Times New Roman" w:eastAsia="Times New Roman" w:hAnsi="Times New Roman"/>
          <w:sz w:val="19"/>
          <w:szCs w:val="19"/>
          <w:u w:val="single" w:color="auto"/>
          <w:color w:val="auto"/>
        </w:rPr>
        <w:t>Original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Currency</w:t>
      </w:r>
      <w:r>
        <w:rPr>
          <w:rFonts w:ascii="Times New Roman" w:cs="Times New Roman" w:eastAsia="Times New Roman" w:hAnsi="Times New Roman"/>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60" w:lineRule="exact"/>
        <w:rPr>
          <w:sz w:val="20"/>
          <w:szCs w:val="20"/>
          <w:color w:val="auto"/>
        </w:rPr>
      </w:pPr>
    </w:p>
    <w:p>
      <w:pPr>
        <w:ind w:left="1060" w:right="16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(b)Application of Insufficient Payments</w:t>
      </w:r>
      <w:r>
        <w:rPr>
          <w:rFonts w:ascii="Times New Roman" w:cs="Times New Roman" w:eastAsia="Times New Roman" w:hAnsi="Times New Roman"/>
          <w:sz w:val="19"/>
          <w:szCs w:val="19"/>
          <w:color w:val="auto"/>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60" w:lineRule="exact"/>
        <w:rPr>
          <w:sz w:val="20"/>
          <w:szCs w:val="20"/>
          <w:color w:val="auto"/>
        </w:rPr>
      </w:pPr>
    </w:p>
    <w:p>
      <w:pPr>
        <w:ind w:left="1060" w:right="10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(c)Pro Rata Treatment</w:t>
      </w:r>
      <w:r>
        <w:rPr>
          <w:rFonts w:ascii="Times New Roman" w:cs="Times New Roman" w:eastAsia="Times New Roman" w:hAnsi="Times New Roman"/>
          <w:sz w:val="19"/>
          <w:szCs w:val="19"/>
          <w:color w:val="auto"/>
        </w:rPr>
        <w:t xml:space="preserve">. Except to the extent otherwise provided herein: (i) other than with respect any Syndicated Borrowing requested pursuant to </w:t>
      </w:r>
      <w:r>
        <w:rPr>
          <w:rFonts w:ascii="Times New Roman" w:cs="Times New Roman" w:eastAsia="Times New Roman" w:hAnsi="Times New Roman"/>
          <w:sz w:val="19"/>
          <w:szCs w:val="19"/>
          <w:u w:val="single" w:color="auto"/>
          <w:color w:val="auto"/>
        </w:rPr>
        <w:t>Section 2. 20</w:t>
      </w:r>
      <w:r>
        <w:rPr>
          <w:rFonts w:ascii="Times New Roman" w:cs="Times New Roman" w:eastAsia="Times New Roman" w:hAnsi="Times New Roman"/>
          <w:sz w:val="19"/>
          <w:szCs w:val="19"/>
          <w:color w:val="auto"/>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shall be made for account of the Lenders of the applicable Class, and each termination or reduction of the amount of the Commitments of a Class of Commitments or Final Maturity Date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2.08</w:t>
      </w:r>
      <w:r>
        <w:rPr>
          <w:rFonts w:ascii="Times New Roman" w:cs="Times New Roman" w:eastAsia="Times New Roman" w:hAnsi="Times New Roman"/>
          <w:sz w:val="19"/>
          <w:szCs w:val="19"/>
          <w:color w:val="auto"/>
        </w:rPr>
        <w:t xml:space="preserve"> shall be applied to the respective Commitments of the Lenders of such Class of Commitments or Final Maturity Date, pro rata according to the amounts of their respective Commitments of such Class 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08" w:name="page209"/>
    <w:bookmarkEnd w:id="208"/>
    <w:p>
      <w:pPr>
        <w:spacing w:after="0" w:line="269" w:lineRule="exact"/>
        <w:rPr>
          <w:sz w:val="20"/>
          <w:szCs w:val="20"/>
          <w:color w:val="auto"/>
        </w:rPr>
      </w:pPr>
    </w:p>
    <w:p>
      <w:pPr>
        <w:ind w:left="1060" w:right="8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(d)Sharing of Payments by Lenders</w:t>
      </w:r>
      <w:r>
        <w:rPr>
          <w:rFonts w:ascii="Times New Roman" w:cs="Times New Roman" w:eastAsia="Times New Roman" w:hAnsi="Times New Roman"/>
          <w:sz w:val="19"/>
          <w:szCs w:val="19"/>
          <w:color w:val="auto"/>
        </w:rPr>
        <w:t xml:space="preserve"> .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3" w:lineRule="exact"/>
        <w:rPr>
          <w:sz w:val="20"/>
          <w:szCs w:val="20"/>
          <w:color w:val="auto"/>
        </w:rPr>
      </w:pPr>
    </w:p>
    <w:p>
      <w:pPr>
        <w:ind w:left="1060" w:right="12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(e)Presumptions of Payment</w:t>
      </w:r>
      <w:r>
        <w:rPr>
          <w:rFonts w:ascii="Times New Roman" w:cs="Times New Roman" w:eastAsia="Times New Roman" w:hAnsi="Times New Roman"/>
          <w:sz w:val="19"/>
          <w:szCs w:val="19"/>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60" w:lineRule="exact"/>
        <w:rPr>
          <w:sz w:val="20"/>
          <w:szCs w:val="20"/>
          <w:color w:val="auto"/>
        </w:rPr>
      </w:pPr>
    </w:p>
    <w:p>
      <w:pPr>
        <w:ind w:left="1060" w:right="14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(f)Certain Deductions by the Administrative Agent</w:t>
      </w:r>
      <w:r>
        <w:rPr>
          <w:rFonts w:ascii="Times New Roman" w:cs="Times New Roman" w:eastAsia="Times New Roman" w:hAnsi="Times New Roman"/>
          <w:sz w:val="19"/>
          <w:szCs w:val="19"/>
          <w:color w:val="auto"/>
        </w:rPr>
        <w:t xml:space="preserve">. If any Lender shall fail to make any payment required to be made by it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2.06(a)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2.17(e)</w:t>
      </w:r>
      <w:r>
        <w:rPr>
          <w:rFonts w:ascii="Times New Roman" w:cs="Times New Roman" w:eastAsia="Times New Roman" w:hAnsi="Times New Roman"/>
          <w:sz w:val="19"/>
          <w:szCs w:val="19"/>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946785</wp:posOffset>
            </wp:positionV>
            <wp:extent cx="6732905"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09" w:name="page210"/>
    <w:bookmarkEnd w:id="209"/>
    <w:p>
      <w:pPr>
        <w:spacing w:after="0" w:line="200" w:lineRule="exact"/>
        <w:rPr>
          <w:sz w:val="20"/>
          <w:szCs w:val="20"/>
          <w:color w:val="auto"/>
        </w:rPr>
      </w:pPr>
    </w:p>
    <w:p>
      <w:pPr>
        <w:spacing w:after="0" w:line="213"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9"/>
          <w:szCs w:val="19"/>
          <w:color w:val="auto"/>
        </w:rPr>
        <w:t xml:space="preserve">SECTION 2.18. </w:t>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946785</wp:posOffset>
            </wp:positionV>
            <wp:extent cx="6732905"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10" w:name="page211"/>
    <w:bookmarkEnd w:id="210"/>
    <w:p>
      <w:pPr>
        <w:spacing w:after="0" w:line="269" w:lineRule="exact"/>
        <w:rPr>
          <w:sz w:val="20"/>
          <w:szCs w:val="20"/>
          <w:color w:val="auto"/>
        </w:rPr>
      </w:pPr>
    </w:p>
    <w:p>
      <w:pPr>
        <w:ind w:left="1060" w:right="12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(a)Designation of a Different Lending Office</w:t>
      </w:r>
      <w:r>
        <w:rPr>
          <w:rFonts w:ascii="Times New Roman" w:cs="Times New Roman" w:eastAsia="Times New Roman" w:hAnsi="Times New Roman"/>
          <w:sz w:val="19"/>
          <w:szCs w:val="19"/>
          <w:color w:val="auto"/>
        </w:rPr>
        <w:t xml:space="preserve">. If any Lender requests compensation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2.14</w:t>
      </w:r>
      <w:r>
        <w:rPr>
          <w:rFonts w:ascii="Times New Roman" w:cs="Times New Roman" w:eastAsia="Times New Roman" w:hAnsi="Times New Roman"/>
          <w:sz w:val="19"/>
          <w:szCs w:val="19"/>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cs="Times New Roman" w:eastAsia="Times New Roman" w:hAnsi="Times New Roman"/>
          <w:sz w:val="19"/>
          <w:szCs w:val="19"/>
          <w:u w:val="single" w:color="auto"/>
          <w:color w:val="auto"/>
        </w:rPr>
        <w:t>Section</w:t>
      </w:r>
    </w:p>
    <w:p>
      <w:pPr>
        <w:spacing w:after="0" w:line="3" w:lineRule="exact"/>
        <w:rPr>
          <w:sz w:val="20"/>
          <w:szCs w:val="20"/>
          <w:color w:val="auto"/>
        </w:rPr>
      </w:pPr>
    </w:p>
    <w:p>
      <w:pPr>
        <w:ind w:left="1060" w:right="140"/>
        <w:spacing w:after="0" w:line="254" w:lineRule="auto"/>
        <w:rPr>
          <w:sz w:val="20"/>
          <w:szCs w:val="20"/>
          <w:color w:val="auto"/>
        </w:rPr>
      </w:pPr>
      <w:r>
        <w:rPr>
          <w:rFonts w:ascii="Times New Roman" w:cs="Times New Roman" w:eastAsia="Times New Roman" w:hAnsi="Times New Roman"/>
          <w:sz w:val="19"/>
          <w:szCs w:val="19"/>
          <w:u w:val="single" w:color="auto"/>
          <w:color w:val="auto"/>
        </w:rPr>
        <w:t>2.14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57" w:lineRule="exact"/>
        <w:rPr>
          <w:sz w:val="20"/>
          <w:szCs w:val="20"/>
          <w:color w:val="auto"/>
        </w:rPr>
      </w:pPr>
    </w:p>
    <w:p>
      <w:pPr>
        <w:ind w:left="1060" w:right="10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(b)Replacement of Lenders</w:t>
      </w:r>
      <w:r>
        <w:rPr>
          <w:rFonts w:ascii="Times New Roman" w:cs="Times New Roman" w:eastAsia="Times New Roman" w:hAnsi="Times New Roman"/>
          <w:sz w:val="19"/>
          <w:szCs w:val="19"/>
          <w:color w:val="auto"/>
        </w:rPr>
        <w:t xml:space="preserve">. If any Lender requests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if the Borrower is required to pay any additional amount to any Lender or any Governmental Authority for account of any Lender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or if any Lender becomes a Defaulting Lender or is a Non-Consenting Lender (as provided in </w:t>
      </w:r>
      <w:r>
        <w:rPr>
          <w:rFonts w:ascii="Times New Roman" w:cs="Times New Roman" w:eastAsia="Times New Roman" w:hAnsi="Times New Roman"/>
          <w:sz w:val="19"/>
          <w:szCs w:val="19"/>
          <w:u w:val="single" w:color="auto"/>
          <w:color w:val="auto"/>
        </w:rPr>
        <w:t>Section 9.02(d)</w:t>
      </w:r>
      <w:r>
        <w:rPr>
          <w:rFonts w:ascii="Times New Roman" w:cs="Times New Roman" w:eastAsia="Times New Roman" w:hAnsi="Times New Roman"/>
          <w:sz w:val="19"/>
          <w:szCs w:val="19"/>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shall have received the prior written consent of the Administrative Agent (and, if a Commitment is being assigned, each Issuing Bank and each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then due and payable) and (iii) in the case of any such assignment resulting from a claim for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such assignment is reasonably expected at the time of such assignment request to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6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2.19. </w:t>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44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(a)Defaulting Lender 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44" w:lineRule="exact"/>
        <w:rPr>
          <w:sz w:val="20"/>
          <w:szCs w:val="20"/>
          <w:color w:val="auto"/>
        </w:rPr>
      </w:pPr>
    </w:p>
    <w:p>
      <w:pPr>
        <w:ind w:left="1760" w:right="200" w:firstLine="936"/>
        <w:spacing w:after="0" w:line="259" w:lineRule="auto"/>
        <w:rPr>
          <w:sz w:val="20"/>
          <w:szCs w:val="20"/>
          <w:color w:val="auto"/>
        </w:rPr>
      </w:pPr>
      <w:r>
        <w:rPr>
          <w:rFonts w:ascii="Times New Roman" w:cs="Times New Roman" w:eastAsia="Times New Roman" w:hAnsi="Times New Roman"/>
          <w:sz w:val="19"/>
          <w:szCs w:val="19"/>
          <w:u w:val="single" w:color="auto"/>
          <w:color w:val="auto"/>
        </w:rPr>
        <w:t>(i)Defaulting Lender Waterfall</w:t>
      </w:r>
      <w:r>
        <w:rPr>
          <w:rFonts w:ascii="Times New Roman" w:cs="Times New Roman" w:eastAsia="Times New Roman" w:hAnsi="Times New Roman"/>
          <w:sz w:val="19"/>
          <w:szCs w:val="19"/>
          <w:color w:val="auto"/>
        </w:rPr>
        <w:t xml:space="preserve">. Any payment of principal, interest, fees or other amounts received by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or otherwise) or received by Administrative Agent from a Defaulting Lender pursuant to </w:t>
      </w:r>
      <w:r>
        <w:rPr>
          <w:rFonts w:ascii="Times New Roman" w:cs="Times New Roman" w:eastAsia="Times New Roman" w:hAnsi="Times New Roman"/>
          <w:sz w:val="19"/>
          <w:szCs w:val="19"/>
          <w:u w:val="single" w:color="auto"/>
          <w:color w:val="auto"/>
        </w:rPr>
        <w:t>Section 9.08</w:t>
      </w:r>
      <w:r>
        <w:rPr>
          <w:rFonts w:ascii="Times New Roman" w:cs="Times New Roman" w:eastAsia="Times New Roman" w:hAnsi="Times New Roman"/>
          <w:sz w:val="19"/>
          <w:szCs w:val="19"/>
          <w:color w:val="auto"/>
        </w:rPr>
        <w:t xml:space="preserve"> shall be applied at such time or times as may be determined by Administrative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payment of any amounts owing by such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11" w:name="page212"/>
    <w:bookmarkEnd w:id="211"/>
    <w:p>
      <w:pPr>
        <w:spacing w:after="0" w:line="267" w:lineRule="exact"/>
        <w:rPr>
          <w:sz w:val="20"/>
          <w:szCs w:val="20"/>
          <w:color w:val="auto"/>
        </w:rPr>
      </w:pPr>
    </w:p>
    <w:p>
      <w:pPr>
        <w:ind w:left="1760" w:right="60"/>
        <w:spacing w:after="0" w:line="251" w:lineRule="auto"/>
        <w:rPr>
          <w:sz w:val="20"/>
          <w:szCs w:val="20"/>
          <w:color w:val="auto"/>
        </w:rPr>
      </w:pPr>
      <w:r>
        <w:rPr>
          <w:rFonts w:ascii="Times New Roman" w:cs="Times New Roman" w:eastAsia="Times New Roman" w:hAnsi="Times New Roman"/>
          <w:sz w:val="19"/>
          <w:szCs w:val="19"/>
          <w:color w:val="auto"/>
        </w:rPr>
        <w:t xml:space="preserve">Defaulting Lender to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any Issuing Bank or any Swingline Lender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to Cash Collateralize each Issuing Bank’s Fronting Exposure with respect to such Defaulting Lender in the manner described in </w:t>
      </w:r>
      <w:r>
        <w:rPr>
          <w:rFonts w:ascii="Times New Roman" w:cs="Times New Roman" w:eastAsia="Times New Roman" w:hAnsi="Times New Roman"/>
          <w:sz w:val="19"/>
          <w:szCs w:val="19"/>
          <w:u w:val="single" w:color="auto"/>
          <w:color w:val="auto"/>
        </w:rPr>
        <w:t>Section 2. 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cs="Times New Roman" w:eastAsia="Times New Roman" w:hAnsi="Times New Roman"/>
          <w:sz w:val="19"/>
          <w:szCs w:val="19"/>
          <w:u w:val="single" w:color="auto"/>
          <w:color w:val="auto"/>
        </w:rPr>
        <w:t>Section 2.19(a)(iii)</w:t>
      </w:r>
      <w:r>
        <w:rPr>
          <w:rFonts w:ascii="Times New Roman" w:cs="Times New Roman" w:eastAsia="Times New Roman" w:hAnsi="Times New Roman"/>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9"/>
          <w:szCs w:val="19"/>
          <w:u w:val="single" w:color="auto"/>
          <w:color w:val="auto"/>
        </w:rPr>
        <w:t>Section 2.19(a)(i)</w:t>
      </w:r>
      <w:r>
        <w:rPr>
          <w:rFonts w:ascii="Times New Roman" w:cs="Times New Roman" w:eastAsia="Times New Roman" w:hAnsi="Times New Roman"/>
          <w:sz w:val="19"/>
          <w:szCs w:val="19"/>
          <w:color w:val="auto"/>
        </w:rPr>
        <w:t xml:space="preserve"> shall be deemed paid to and redirected by such Defaulting Lender, and each Lender irrevocably consents hereto.</w:t>
      </w:r>
    </w:p>
    <w:p>
      <w:pPr>
        <w:spacing w:after="0" w:line="18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u w:val="single" w:color="auto"/>
          <w:color w:val="auto"/>
        </w:rPr>
        <w:t>(ii)Certain Fees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2460" w:right="140" w:firstLine="1032"/>
        <w:spacing w:after="0" w:line="256" w:lineRule="auto"/>
        <w:rPr>
          <w:sz w:val="20"/>
          <w:szCs w:val="20"/>
          <w:color w:val="auto"/>
        </w:rPr>
      </w:pPr>
      <w:r>
        <w:rPr>
          <w:rFonts w:ascii="Times New Roman" w:cs="Times New Roman" w:eastAsia="Times New Roman" w:hAnsi="Times New Roman"/>
          <w:sz w:val="19"/>
          <w:szCs w:val="19"/>
          <w:color w:val="auto"/>
        </w:rPr>
        <w:t xml:space="preserve">(A)No Defaulting Lender shall be entitled to receive any fee pursuant to </w:t>
      </w:r>
      <w:r>
        <w:rPr>
          <w:rFonts w:ascii="Times New Roman" w:cs="Times New Roman" w:eastAsia="Times New Roman" w:hAnsi="Times New Roman"/>
          <w:sz w:val="19"/>
          <w:szCs w:val="19"/>
          <w:u w:val="single" w:color="auto"/>
          <w:color w:val="auto"/>
        </w:rPr>
        <w:t>Sections 2.11(a)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for any period during which that Lender is a Defaulting Lender (and Borrower shall not be required to pay any such fee that otherwise would have been required to have been paid to that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Defaulting Lender shall be entitled to receive fees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for any period during which that Lender is a Defaulting Lender only to extent allocable to its Applicable Percentage of the stated amount of</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12" w:name="page213"/>
    <w:bookmarkEnd w:id="212"/>
    <w:p>
      <w:pPr>
        <w:spacing w:after="0" w:line="26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 xml:space="preserve">Letters of Credit for which it has provided Cash Collateral pursuant to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2460" w:right="80" w:firstLine="1032"/>
        <w:spacing w:after="0" w:line="255" w:lineRule="auto"/>
        <w:rPr>
          <w:sz w:val="20"/>
          <w:szCs w:val="20"/>
          <w:color w:val="auto"/>
        </w:rPr>
      </w:pPr>
      <w:r>
        <w:rPr>
          <w:rFonts w:ascii="Times New Roman" w:cs="Times New Roman" w:eastAsia="Times New Roman" w:hAnsi="Times New Roman"/>
          <w:sz w:val="19"/>
          <w:szCs w:val="19"/>
          <w:color w:val="auto"/>
        </w:rPr>
        <w:t xml:space="preserve">(B)With respect to any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fees not required to be paid to any Defaulting Lender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Borrower shall (x) pay to each Non - 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below,</w:t>
      </w:r>
    </w:p>
    <w:p>
      <w:pPr>
        <w:spacing w:after="0" w:line="2" w:lineRule="exact"/>
        <w:rPr>
          <w:sz w:val="20"/>
          <w:szCs w:val="20"/>
          <w:color w:val="auto"/>
        </w:rPr>
      </w:pPr>
    </w:p>
    <w:p>
      <w:pPr>
        <w:ind w:left="2460" w:right="260" w:firstLine="7"/>
        <w:spacing w:after="0" w:line="256" w:lineRule="auto"/>
        <w:tabs>
          <w:tab w:leader="none" w:pos="2732"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55" w:lineRule="exact"/>
        <w:rPr>
          <w:sz w:val="20"/>
          <w:szCs w:val="20"/>
          <w:color w:val="auto"/>
        </w:rPr>
      </w:pPr>
    </w:p>
    <w:p>
      <w:pPr>
        <w:ind w:left="1760" w:right="80" w:firstLine="936"/>
        <w:spacing w:after="0" w:line="253" w:lineRule="auto"/>
        <w:rPr>
          <w:sz w:val="20"/>
          <w:szCs w:val="20"/>
          <w:color w:val="auto"/>
        </w:rPr>
      </w:pPr>
      <w:r>
        <w:rPr>
          <w:rFonts w:ascii="Times New Roman" w:cs="Times New Roman" w:eastAsia="Times New Roman" w:hAnsi="Times New Roman"/>
          <w:sz w:val="19"/>
          <w:szCs w:val="19"/>
          <w:u w:val="single" w:color="auto"/>
          <w:color w:val="auto"/>
        </w:rPr>
        <w:t>(iii)Reallocation of Participations to Reduce Fronting Exposure</w:t>
      </w:r>
      <w:r>
        <w:rPr>
          <w:rFonts w:ascii="Times New Roman" w:cs="Times New Roman" w:eastAsia="Times New Roman" w:hAnsi="Times New Roman"/>
          <w:sz w:val="19"/>
          <w:szCs w:val="19"/>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9"/>
          <w:szCs w:val="19"/>
          <w:u w:val="single" w:color="auto"/>
          <w:color w:val="auto"/>
        </w:rPr>
        <w:t>Section 9.17</w:t>
      </w:r>
      <w:r>
        <w:rPr>
          <w:rFonts w:ascii="Times New Roman" w:cs="Times New Roman" w:eastAsia="Times New Roman" w:hAnsi="Times New Roman"/>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8" w:lineRule="exact"/>
        <w:rPr>
          <w:sz w:val="20"/>
          <w:szCs w:val="20"/>
          <w:color w:val="auto"/>
        </w:rPr>
      </w:pPr>
    </w:p>
    <w:p>
      <w:pPr>
        <w:ind w:left="1760" w:right="180" w:firstLine="936"/>
        <w:spacing w:after="0" w:line="253" w:lineRule="auto"/>
        <w:rPr>
          <w:sz w:val="20"/>
          <w:szCs w:val="20"/>
          <w:color w:val="auto"/>
        </w:rPr>
      </w:pPr>
      <w:r>
        <w:rPr>
          <w:rFonts w:ascii="Times New Roman" w:cs="Times New Roman" w:eastAsia="Times New Roman" w:hAnsi="Times New Roman"/>
          <w:sz w:val="19"/>
          <w:szCs w:val="19"/>
          <w:u w:val="single" w:color="auto"/>
          <w:color w:val="auto"/>
        </w:rPr>
        <w:t>(iv)Cash Collateral; Repayment of Swingline Loans</w:t>
      </w:r>
      <w:r>
        <w:rPr>
          <w:rFonts w:ascii="Times New Roman" w:cs="Times New Roman" w:eastAsia="Times New Roman" w:hAnsi="Times New Roman"/>
          <w:sz w:val="19"/>
          <w:szCs w:val="19"/>
          <w:color w:val="auto"/>
        </w:rPr>
        <w:t xml:space="preserve">. If the reallocation described in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u w:val="single" w:color="auto"/>
          <w:color w:val="0000FF"/>
        </w:rPr>
        <w:t>Amendments Etc. No Defaulting Lender shall have any right to approve or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13" w:name="page214"/>
    <w:bookmarkEnd w:id="213"/>
    <w:p>
      <w:pPr>
        <w:spacing w:after="0" w:line="269" w:lineRule="exact"/>
        <w:rPr>
          <w:sz w:val="20"/>
          <w:szCs w:val="20"/>
          <w:color w:val="auto"/>
        </w:rPr>
      </w:pPr>
    </w:p>
    <w:p>
      <w:pPr>
        <w:ind w:left="1760" w:right="180"/>
        <w:spacing w:after="0" w:line="254" w:lineRule="auto"/>
        <w:rPr>
          <w:sz w:val="20"/>
          <w:szCs w:val="20"/>
          <w:color w:val="auto"/>
        </w:rPr>
      </w:pPr>
      <w:r>
        <w:rPr>
          <w:rFonts w:ascii="Times New Roman" w:cs="Times New Roman" w:eastAsia="Times New Roman" w:hAnsi="Times New Roman"/>
          <w:sz w:val="19"/>
          <w:szCs w:val="19"/>
          <w:u w:val="single" w:color="auto"/>
          <w:color w:val="0000FF"/>
        </w:rPr>
        <w:t>disapprove any amendment, waiver or consent hereunder or any other Loan Documents and the Commitments and Revolving Credit Exposure of such Defaulting Lender shall not be included in determining whether two-thirds (2/3rds) of the Lenders, two-thirds (2/3rds) of the Lenders of a Class, the Required Lenders or the Required Lenders of a Class have taken or may take any action hereunder or any other Loan Documents, except that the Commitments of such Lender may not be increased or extended, and, except as otherwise set forth herein, amounts payable to such Defaulting Lender hereunder may not be permanently reduced, without the consent of such Defaulting Lender (other than reductions in fees and interest in which such reduction does not disproportionately affect such Defaulting Lender); provided, for the avoidance of doubt, Section 2.19(a)(ii) shall apply in all respects.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14" w:name="page215"/>
    <w:bookmarkEnd w:id="214"/>
    <w:p>
      <w:pPr>
        <w:spacing w:after="0" w:line="200" w:lineRule="exact"/>
        <w:rPr>
          <w:sz w:val="20"/>
          <w:szCs w:val="20"/>
          <w:color w:val="auto"/>
        </w:rPr>
      </w:pPr>
    </w:p>
    <w:p>
      <w:pPr>
        <w:spacing w:after="0" w:line="213" w:lineRule="exact"/>
        <w:rPr>
          <w:sz w:val="20"/>
          <w:szCs w:val="20"/>
          <w:color w:val="auto"/>
        </w:rPr>
      </w:pPr>
    </w:p>
    <w:p>
      <w:pPr>
        <w:ind w:left="1060" w:right="6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(b)Defaulting Lender Cure</w:t>
      </w:r>
      <w:r>
        <w:rPr>
          <w:rFonts w:ascii="Times New Roman" w:cs="Times New Roman" w:eastAsia="Times New Roman" w:hAnsi="Times New Roman"/>
          <w:sz w:val="19"/>
          <w:szCs w:val="19"/>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cs="Times New Roman" w:eastAsia="Times New Roman" w:hAnsi="Times New Roman"/>
          <w:sz w:val="19"/>
          <w:szCs w:val="19"/>
          <w:u w:val="single" w:color="auto"/>
          <w:color w:val="auto"/>
        </w:rPr>
        <w:t>Section 2.19(a)(iii)</w:t>
      </w:r>
      <w:r>
        <w:rPr>
          <w:rFonts w:ascii="Times New Roman" w:cs="Times New Roman" w:eastAsia="Times New Roman" w:hAnsi="Times New Roman"/>
          <w:sz w:val="19"/>
          <w:szCs w:val="19"/>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Borrower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58" w:lineRule="exact"/>
        <w:rPr>
          <w:sz w:val="20"/>
          <w:szCs w:val="20"/>
          <w:color w:val="auto"/>
        </w:rPr>
      </w:pPr>
    </w:p>
    <w:p>
      <w:pPr>
        <w:ind w:left="1060" w:right="14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(c)New Swingline Loans/Letters of Credit</w:t>
      </w:r>
      <w:r>
        <w:rPr>
          <w:rFonts w:ascii="Times New Roman" w:cs="Times New Roman" w:eastAsia="Times New Roman" w:hAnsi="Times New Roman"/>
          <w:sz w:val="19"/>
          <w:szCs w:val="19"/>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Times New Roman" w:cs="Times New Roman" w:eastAsia="Times New Roman" w:hAnsi="Times New Roman"/>
          <w:sz w:val="19"/>
          <w:szCs w:val="19"/>
          <w:u w:val="single" w:color="auto"/>
          <w:color w:val="auto"/>
        </w:rPr>
        <w:t>clause (a)(iii)</w:t>
      </w:r>
      <w:r>
        <w:rPr>
          <w:rFonts w:ascii="Times New Roman" w:cs="Times New Roman" w:eastAsia="Times New Roman" w:hAnsi="Times New Roman"/>
          <w:sz w:val="19"/>
          <w:szCs w:val="19"/>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 Defaulting Lenders in a manner consistent with </w:t>
      </w:r>
      <w:r>
        <w:rPr>
          <w:rFonts w:ascii="Times New Roman" w:cs="Times New Roman" w:eastAsia="Times New Roman" w:hAnsi="Times New Roman"/>
          <w:sz w:val="19"/>
          <w:szCs w:val="19"/>
          <w:u w:val="single" w:color="auto"/>
          <w:color w:val="auto"/>
        </w:rPr>
        <w:t>clause (a)(iii)</w:t>
      </w:r>
      <w:r>
        <w:rPr>
          <w:rFonts w:ascii="Times New Roman" w:cs="Times New Roman" w:eastAsia="Times New Roman" w:hAnsi="Times New Roman"/>
          <w:sz w:val="19"/>
          <w:szCs w:val="19"/>
          <w:color w:val="auto"/>
        </w:rPr>
        <w:t xml:space="preserve"> above and such Defaulting Lender shall not participate therein except to the extent such Defaulting Lender’s participation has been or will be fully Cash Collateralized in accordance with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1060" w:right="260" w:firstLine="864"/>
        <w:spacing w:after="0" w:line="262" w:lineRule="auto"/>
        <w:rPr>
          <w:sz w:val="20"/>
          <w:szCs w:val="20"/>
          <w:color w:val="auto"/>
        </w:rPr>
      </w:pPr>
      <w:r>
        <w:rPr>
          <w:rFonts w:ascii="Times New Roman" w:cs="Times New Roman" w:eastAsia="Times New Roman" w:hAnsi="Times New Roman"/>
          <w:sz w:val="19"/>
          <w:szCs w:val="19"/>
          <w:u w:val="single" w:color="auto"/>
          <w:color w:val="auto"/>
        </w:rPr>
        <w:t>(d)Cash Collateral</w:t>
      </w:r>
      <w:r>
        <w:rPr>
          <w:rFonts w:ascii="Times New Roman" w:cs="Times New Roman" w:eastAsia="Times New Roman" w:hAnsi="Times New Roman"/>
          <w:sz w:val="19"/>
          <w:szCs w:val="19"/>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Times New Roman" w:cs="Times New Roman" w:eastAsia="Times New Roman" w:hAnsi="Times New Roman"/>
          <w:sz w:val="19"/>
          <w:szCs w:val="19"/>
          <w:u w:val="single" w:color="auto"/>
          <w:color w:val="auto"/>
        </w:rPr>
        <w:t>Section 2.19(a)(iii)</w:t>
      </w:r>
      <w:r>
        <w:rPr>
          <w:rFonts w:ascii="Times New Roman" w:cs="Times New Roman" w:eastAsia="Times New Roman" w:hAnsi="Times New Roman"/>
          <w:sz w:val="19"/>
          <w:szCs w:val="19"/>
          <w:color w:val="auto"/>
        </w:rPr>
        <w:t xml:space="preserve"> and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15" w:name="page216"/>
    <w:bookmarkEnd w:id="215"/>
    <w:p>
      <w:pPr>
        <w:spacing w:after="0" w:line="269" w:lineRule="exact"/>
        <w:rPr>
          <w:sz w:val="20"/>
          <w:szCs w:val="20"/>
          <w:color w:val="auto"/>
        </w:rPr>
      </w:pPr>
    </w:p>
    <w:p>
      <w:pPr>
        <w:ind w:left="1060" w:right="320"/>
        <w:spacing w:after="0" w:line="286" w:lineRule="auto"/>
        <w:rPr>
          <w:sz w:val="20"/>
          <w:szCs w:val="20"/>
          <w:color w:val="auto"/>
        </w:rPr>
      </w:pPr>
      <w:r>
        <w:rPr>
          <w:rFonts w:ascii="Times New Roman" w:cs="Times New Roman" w:eastAsia="Times New Roman" w:hAnsi="Times New Roman"/>
          <w:sz w:val="19"/>
          <w:szCs w:val="19"/>
          <w:color w:val="auto"/>
        </w:rPr>
        <w:t>any Cash Collateral provided by such Defaulting Lender) in an amount not less than the Minimum Collateral Amount.</w:t>
      </w:r>
    </w:p>
    <w:p>
      <w:pPr>
        <w:spacing w:after="0" w:line="127" w:lineRule="exact"/>
        <w:rPr>
          <w:sz w:val="20"/>
          <w:szCs w:val="20"/>
          <w:color w:val="auto"/>
        </w:rPr>
      </w:pPr>
    </w:p>
    <w:p>
      <w:pPr>
        <w:ind w:left="1760" w:right="80" w:firstLine="936"/>
        <w:spacing w:after="0" w:line="253" w:lineRule="auto"/>
        <w:rPr>
          <w:sz w:val="20"/>
          <w:szCs w:val="20"/>
          <w:color w:val="auto"/>
        </w:rPr>
      </w:pPr>
      <w:r>
        <w:rPr>
          <w:rFonts w:ascii="Times New Roman" w:cs="Times New Roman" w:eastAsia="Times New Roman" w:hAnsi="Times New Roman"/>
          <w:sz w:val="19"/>
          <w:szCs w:val="19"/>
          <w:u w:val="single" w:color="auto"/>
          <w:color w:val="auto"/>
        </w:rPr>
        <w:t>(i)Grant of Security Interest</w:t>
      </w:r>
      <w:r>
        <w:rPr>
          <w:rFonts w:ascii="Times New Roman" w:cs="Times New Roman" w:eastAsia="Times New Roman" w:hAnsi="Times New Roman"/>
          <w:sz w:val="19"/>
          <w:szCs w:val="19"/>
          <w:color w:val="auto"/>
        </w:rPr>
        <w:t xml:space="preserve"> .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158" w:lineRule="exact"/>
        <w:rPr>
          <w:sz w:val="20"/>
          <w:szCs w:val="20"/>
          <w:color w:val="auto"/>
        </w:rPr>
      </w:pPr>
    </w:p>
    <w:p>
      <w:pPr>
        <w:ind w:left="1760" w:right="180" w:firstLine="936"/>
        <w:spacing w:after="0" w:line="257" w:lineRule="auto"/>
        <w:rPr>
          <w:sz w:val="20"/>
          <w:szCs w:val="20"/>
          <w:color w:val="auto"/>
        </w:rPr>
      </w:pPr>
      <w:r>
        <w:rPr>
          <w:rFonts w:ascii="Times New Roman" w:cs="Times New Roman" w:eastAsia="Times New Roman" w:hAnsi="Times New Roman"/>
          <w:sz w:val="19"/>
          <w:szCs w:val="19"/>
          <w:u w:val="single" w:color="auto"/>
          <w:color w:val="auto"/>
        </w:rPr>
        <w:t>(ii)Application</w:t>
      </w:r>
      <w:r>
        <w:rPr>
          <w:rFonts w:ascii="Times New Roman" w:cs="Times New Roman" w:eastAsia="Times New Roman" w:hAnsi="Times New Roman"/>
          <w:sz w:val="19"/>
          <w:szCs w:val="19"/>
          <w:color w:val="auto"/>
        </w:rPr>
        <w:t xml:space="preserve">. Notwithstanding anything to the contrary contained in this Agreement, Cash Collateral provided under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57" w:lineRule="exact"/>
        <w:rPr>
          <w:sz w:val="20"/>
          <w:szCs w:val="20"/>
          <w:color w:val="auto"/>
        </w:rPr>
      </w:pPr>
    </w:p>
    <w:p>
      <w:pPr>
        <w:ind w:left="1760" w:right="260" w:firstLine="936"/>
        <w:spacing w:after="0" w:line="254" w:lineRule="auto"/>
        <w:rPr>
          <w:sz w:val="20"/>
          <w:szCs w:val="20"/>
          <w:color w:val="auto"/>
        </w:rPr>
      </w:pPr>
      <w:r>
        <w:rPr>
          <w:rFonts w:ascii="Times New Roman" w:cs="Times New Roman" w:eastAsia="Times New Roman" w:hAnsi="Times New Roman"/>
          <w:sz w:val="19"/>
          <w:szCs w:val="19"/>
          <w:u w:val="single" w:color="auto"/>
          <w:color w:val="auto"/>
        </w:rPr>
        <w:t>(iii)Termination of Requirement</w:t>
      </w:r>
      <w:r>
        <w:rPr>
          <w:rFonts w:ascii="Times New Roman" w:cs="Times New Roman" w:eastAsia="Times New Roman" w:hAnsi="Times New Roman"/>
          <w:sz w:val="19"/>
          <w:szCs w:val="19"/>
          <w:color w:val="auto"/>
        </w:rPr>
        <w:t xml:space="preserve">. Cash Collateral (or the appropriate portion thereof) provided to reduce Issuing Bank’s Fronting Exposure shall no longer be required to be held as Cash Collateral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subject to the other provisions of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 the Person providing Cash Collateral and each Issuing Bank may agree that Cash Collateral shall be held to support future anticipated Fronting Exposure;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to the extent that such Cash Collateral was provided by Borrower, such Cash Collateral shall remain subject to the security interest granted pursuant to the Loan Documents.</w:t>
      </w:r>
    </w:p>
    <w:p>
      <w:pPr>
        <w:spacing w:after="0" w:line="16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2.20. </w:t>
      </w:r>
      <w:r>
        <w:rPr>
          <w:rFonts w:ascii="Times New Roman" w:cs="Times New Roman" w:eastAsia="Times New Roman" w:hAnsi="Times New Roman"/>
          <w:sz w:val="19"/>
          <w:szCs w:val="19"/>
          <w:u w:val="single" w:color="auto"/>
          <w:color w:val="auto"/>
        </w:rPr>
        <w:t>Reallocation Following a Non-Extended Commitment Termination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u w:val="single" w:color="auto"/>
          <w:color w:val="auto"/>
        </w:rPr>
        <w:t>(a)Reallocation of Participations and Loans</w:t>
      </w:r>
      <w:r>
        <w:rPr>
          <w:rFonts w:ascii="Times New Roman" w:cs="Times New Roman" w:eastAsia="Times New Roman" w:hAnsi="Times New Roman"/>
          <w:sz w:val="19"/>
          <w:szCs w:val="19"/>
          <w:color w:val="auto"/>
        </w:rPr>
        <w:t>.</w:t>
      </w:r>
    </w:p>
    <w:p>
      <w:pPr>
        <w:spacing w:after="0" w:line="58" w:lineRule="exact"/>
        <w:rPr>
          <w:sz w:val="20"/>
          <w:szCs w:val="20"/>
          <w:color w:val="auto"/>
        </w:rPr>
      </w:pPr>
    </w:p>
    <w:p>
      <w:pPr>
        <w:ind w:left="1760" w:right="120" w:firstLine="936"/>
        <w:spacing w:after="0" w:line="286" w:lineRule="auto"/>
        <w:rPr>
          <w:sz w:val="20"/>
          <w:szCs w:val="20"/>
          <w:color w:val="auto"/>
        </w:rPr>
      </w:pPr>
      <w:r>
        <w:rPr>
          <w:rFonts w:ascii="Times New Roman" w:cs="Times New Roman" w:eastAsia="Times New Roman" w:hAnsi="Times New Roman"/>
          <w:sz w:val="19"/>
          <w:szCs w:val="19"/>
          <w:color w:val="auto"/>
        </w:rPr>
        <w:t>(i)Notwithstanding anything to the contrary herein, (a) in connection with the reduction or termination of any Non-Extending Lender’s Commitments in accordance with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16" w:name="page217"/>
    <w:bookmarkEnd w:id="216"/>
    <w:p>
      <w:pPr>
        <w:spacing w:after="0" w:line="269" w:lineRule="exact"/>
        <w:rPr>
          <w:sz w:val="20"/>
          <w:szCs w:val="20"/>
          <w:color w:val="auto"/>
        </w:rPr>
      </w:pPr>
    </w:p>
    <w:p>
      <w:pPr>
        <w:ind w:left="1760" w:right="100"/>
        <w:spacing w:after="0" w:line="252" w:lineRule="auto"/>
        <w:rPr>
          <w:sz w:val="20"/>
          <w:szCs w:val="20"/>
          <w:color w:val="auto"/>
        </w:rPr>
      </w:pP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on any date prior to the Non-Extended Commitment Termination Date for such Non-Extending Lender, the Borrower shall be permitted to request a </w:t>
      </w:r>
      <w:r>
        <w:rPr>
          <w:rFonts w:ascii="Times New Roman" w:cs="Times New Roman" w:eastAsia="Times New Roman" w:hAnsi="Times New Roman"/>
          <w:sz w:val="19"/>
          <w:szCs w:val="19"/>
          <w:color w:val="FF0000"/>
          <w:strike w:val="1"/>
        </w:rPr>
        <w:t>Dollar</w:t>
      </w:r>
      <w:r>
        <w:rPr>
          <w:rFonts w:ascii="Times New Roman" w:cs="Times New Roman" w:eastAsia="Times New Roman" w:hAnsi="Times New Roman"/>
          <w:sz w:val="19"/>
          <w:szCs w:val="19"/>
          <w:color w:val="auto"/>
        </w:rPr>
        <w:t xml:space="preserve"> Loan be made ratably among the Extending Lenders and Non- Extending Lenders for which the Non-Extended Commitment Termination Date shall not have occurred in accordance with the provisions of </w:t>
      </w:r>
      <w:r>
        <w:rPr>
          <w:rFonts w:ascii="Times New Roman" w:cs="Times New Roman" w:eastAsia="Times New Roman" w:hAnsi="Times New Roman"/>
          <w:sz w:val="19"/>
          <w:szCs w:val="19"/>
          <w:u w:val="single" w:color="auto"/>
          <w:color w:val="auto"/>
        </w:rPr>
        <w:t>Sections 2. 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2.17(c)</w:t>
      </w:r>
      <w:r>
        <w:rPr>
          <w:rFonts w:ascii="Times New Roman" w:cs="Times New Roman" w:eastAsia="Times New Roman" w:hAnsi="Times New Roman"/>
          <w:sz w:val="19"/>
          <w:szCs w:val="19"/>
          <w:color w:val="auto"/>
        </w:rPr>
        <w:t xml:space="preserve"> in an amount up to the amount by which such Non-Extending Lender’s Revolving Credit Exposure exceeds such Non -Extending Lender’s Commitments after giving effect to such Commitment reduction and (b) on any date following the Non-Extended Commitment Termination Date for any Non- Extending Lender until the Extended Commitment Termination Date, the Borrower shall be permitted to request a </w:t>
      </w:r>
      <w:r>
        <w:rPr>
          <w:rFonts w:ascii="Times New Roman" w:cs="Times New Roman" w:eastAsia="Times New Roman" w:hAnsi="Times New Roman"/>
          <w:sz w:val="19"/>
          <w:szCs w:val="19"/>
          <w:color w:val="FF0000"/>
          <w:strike w:val="1"/>
        </w:rPr>
        <w:t>Dollar</w:t>
      </w:r>
      <w:r>
        <w:rPr>
          <w:rFonts w:ascii="Times New Roman" w:cs="Times New Roman" w:eastAsia="Times New Roman" w:hAnsi="Times New Roman"/>
          <w:sz w:val="19"/>
          <w:szCs w:val="19"/>
          <w:color w:val="auto"/>
        </w:rPr>
        <w:t xml:space="preserve"> Loan to be made ratably among the Extending Lenders and Non-Extending Lenders for which the Non -Extended Commitment Termination Date shall not have occurred in accordance with </w:t>
      </w:r>
      <w:r>
        <w:rPr>
          <w:rFonts w:ascii="Times New Roman" w:cs="Times New Roman" w:eastAsia="Times New Roman" w:hAnsi="Times New Roman"/>
          <w:sz w:val="19"/>
          <w:szCs w:val="19"/>
          <w:u w:val="single" w:color="auto"/>
          <w:color w:val="auto"/>
        </w:rPr>
        <w:t>Sections 2.02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2.17(c)</w:t>
      </w:r>
      <w:r>
        <w:rPr>
          <w:rFonts w:ascii="Times New Roman" w:cs="Times New Roman" w:eastAsia="Times New Roman" w:hAnsi="Times New Roman"/>
          <w:sz w:val="19"/>
          <w:szCs w:val="19"/>
          <w:color w:val="auto"/>
        </w:rPr>
        <w:t xml:space="preserve"> in an amount up to the Revolving Credit Exposure of each Non- Extending Lender for which the Non-Extended Commitment Termination Date shall have occurred, in each case, so long as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17" w:name="page218"/>
    <w:bookmarkEnd w:id="217"/>
    <w:p>
      <w:pPr>
        <w:spacing w:after="0" w:line="221" w:lineRule="exact"/>
        <w:rPr>
          <w:sz w:val="20"/>
          <w:szCs w:val="20"/>
          <w:color w:val="auto"/>
        </w:rPr>
      </w:pPr>
    </w:p>
    <w:p>
      <w:pPr>
        <w:ind w:left="1760" w:right="160" w:hanging="1"/>
        <w:spacing w:after="0" w:line="262" w:lineRule="auto"/>
        <w:tabs>
          <w:tab w:leader="none" w:pos="212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150" w:lineRule="exact"/>
        <w:rPr>
          <w:sz w:val="20"/>
          <w:szCs w:val="20"/>
          <w:color w:val="auto"/>
        </w:rPr>
      </w:pPr>
    </w:p>
    <w:p>
      <w:pPr>
        <w:ind w:left="1760" w:right="100" w:firstLine="936"/>
        <w:spacing w:after="0" w:line="252" w:lineRule="auto"/>
        <w:rPr>
          <w:sz w:val="20"/>
          <w:szCs w:val="20"/>
          <w:color w:val="auto"/>
        </w:rPr>
      </w:pPr>
      <w:r>
        <w:rPr>
          <w:rFonts w:ascii="Times New Roman" w:cs="Times New Roman" w:eastAsia="Times New Roman" w:hAnsi="Times New Roman"/>
          <w:sz w:val="19"/>
          <w:szCs w:val="19"/>
          <w:color w:val="auto"/>
        </w:rPr>
        <w:t xml:space="preserve">(ii)All or any part of each Non-Extending Lender’s participation in Letters of Credit and Swingline Loans shall be reallocated on (A) any date on which the Commitment of such Non-Extending Lender is reduced or terminated pursuant to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18" w:name="page219"/>
    <w:bookmarkEnd w:id="218"/>
    <w:p>
      <w:pPr>
        <w:spacing w:after="0" w:line="26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Commitments then in effect to exceed the aggregate Multicurrency Commitments at such time.</w:t>
      </w:r>
    </w:p>
    <w:p>
      <w:pPr>
        <w:spacing w:after="0" w:line="202" w:lineRule="exact"/>
        <w:rPr>
          <w:sz w:val="20"/>
          <w:szCs w:val="20"/>
          <w:color w:val="auto"/>
        </w:rPr>
      </w:pPr>
    </w:p>
    <w:p>
      <w:pPr>
        <w:ind w:left="1060" w:right="4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(b)Cash Collateral; Repayment of Swingline Loans</w:t>
      </w:r>
      <w:r>
        <w:rPr>
          <w:rFonts w:ascii="Times New Roman" w:cs="Times New Roman" w:eastAsia="Times New Roman" w:hAnsi="Times New Roman"/>
          <w:sz w:val="19"/>
          <w:szCs w:val="19"/>
          <w:color w:val="auto"/>
        </w:rPr>
        <w:t xml:space="preserve">. If any Loan related to the reduction or termination of a Non-Extending Lender’s Commitment prior to the Non-Extended Commitment Termination Date described in </w:t>
      </w:r>
      <w:r>
        <w:rPr>
          <w:rFonts w:ascii="Times New Roman" w:cs="Times New Roman" w:eastAsia="Times New Roman" w:hAnsi="Times New Roman"/>
          <w:sz w:val="19"/>
          <w:szCs w:val="19"/>
          <w:u w:val="single" w:color="auto"/>
          <w:color w:val="auto"/>
        </w:rPr>
        <w:t>clause (a)(i)</w:t>
      </w:r>
      <w:r>
        <w:rPr>
          <w:rFonts w:ascii="Times New Roman" w:cs="Times New Roman" w:eastAsia="Times New Roman" w:hAnsi="Times New Roman"/>
          <w:sz w:val="19"/>
          <w:szCs w:val="19"/>
          <w:color w:val="auto"/>
        </w:rPr>
        <w:t xml:space="preserve"> above or any reallocation described in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above cannot, or can only partially, be effected, the Borrower shall, not later than (i) with respect to any reduction or termination of a Non-Extending Lender’s Commitment pursuant to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 Extended Commitment Termination Date shall not have occurred pursuant to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above, (y) provide Cash Collateral in an amount equal to the amount by which the participation obligations of such Non-Extending Lenders in Letters of Credit have not been reallocated pursuant to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Times New Roman" w:cs="Times New Roman" w:eastAsia="Times New Roman" w:hAnsi="Times New Roman"/>
          <w:sz w:val="19"/>
          <w:szCs w:val="19"/>
          <w:u w:val="single" w:color="auto"/>
          <w:color w:val="auto"/>
        </w:rPr>
        <w:t>clause (a)(i)(z) above</w:t>
      </w:r>
      <w:r>
        <w:rPr>
          <w:rFonts w:ascii="Times New Roman" w:cs="Times New Roman" w:eastAsia="Times New Roman" w:hAnsi="Times New Roman"/>
          <w:sz w:val="19"/>
          <w:szCs w:val="19"/>
          <w:color w:val="auto"/>
        </w:rPr>
        <w:t xml:space="preserve"> exceeds such Non-Extending Lender’s Commitment after giving effect to any reduction in such Non-Extending Lender’s Commitment.</w:t>
      </w:r>
    </w:p>
    <w:p>
      <w:pPr>
        <w:spacing w:after="0" w:line="167" w:lineRule="exact"/>
        <w:rPr>
          <w:sz w:val="20"/>
          <w:szCs w:val="20"/>
          <w:color w:val="auto"/>
        </w:rPr>
      </w:pPr>
    </w:p>
    <w:p>
      <w:pPr>
        <w:ind w:left="1060" w:right="120" w:firstLine="864"/>
        <w:spacing w:after="0" w:line="252" w:lineRule="auto"/>
        <w:rPr>
          <w:sz w:val="20"/>
          <w:szCs w:val="20"/>
          <w:color w:val="auto"/>
        </w:rPr>
      </w:pPr>
      <w:r>
        <w:rPr>
          <w:rFonts w:ascii="Times New Roman" w:cs="Times New Roman" w:eastAsia="Times New Roman" w:hAnsi="Times New Roman"/>
          <w:sz w:val="19"/>
          <w:szCs w:val="19"/>
          <w:color w:val="auto"/>
        </w:rPr>
        <w:t xml:space="preserve">SECTION 2.21. </w:t>
      </w:r>
      <w:r>
        <w:rPr>
          <w:rFonts w:ascii="Times New Roman" w:cs="Times New Roman" w:eastAsia="Times New Roman" w:hAnsi="Times New Roman"/>
          <w:sz w:val="19"/>
          <w:szCs w:val="19"/>
          <w:u w:val="single" w:color="auto"/>
          <w:color w:val="0000FF"/>
        </w:rPr>
        <w:t>Illegality. If any Change in Law shall make it unlawful or impossible for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Lender to perform any of its obligations hereunder, to make, maintain or fund any RFR Loan or Term Benchmark Loan or to determine or charge interest rates based upon any applicable Daily Simple RFR or Term Benchmark Rate and such Lender shall so notify the Administrative Agent, the Administrative Agent shall give written notice thereof (or telephonic notice, promptly confirmed in writing) to the Borrower and the other Lenders as promptly as practicable thereafter, whereupon until such Lender notifies the Administrative Agent and the Borrower that the circumstances giving rise to such notice no longer exist, (i) the Alternate Base Rate shall, if necessary to avoid such illegality, be determined by the Administrative Agent without reference to clause (iii) thereof, (ii)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either (A) at the end of the applicable Interest Period if such Lender may lawfully continue to maintain such Loan to such date or (B) immediately if such Lender shall determine that it may not lawfully continue to maintain such Term Benchmark Loan to such date, (iii) if the affected Currency is Dollars and any Borrowing Request requests a Term Benchmark Borrowing denominated in Dollars, such Borrowing shall be made as an ABR Borrowing, (iv) if the affected Currency is a Foreign Currency other than Canadian Dollars, (A) any Borrowing Request that requests a Term Benchmark Borrowing or RFR Borrowing denominated in the affected Currency shall be made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19" w:name="page220"/>
    <w:bookmarkEnd w:id="219"/>
    <w:p>
      <w:pPr>
        <w:spacing w:after="0" w:line="200" w:lineRule="exact"/>
        <w:rPr>
          <w:sz w:val="20"/>
          <w:szCs w:val="20"/>
          <w:color w:val="auto"/>
        </w:rPr>
      </w:pPr>
    </w:p>
    <w:p>
      <w:pPr>
        <w:spacing w:after="0" w:line="213" w:lineRule="exact"/>
        <w:rPr>
          <w:sz w:val="20"/>
          <w:szCs w:val="20"/>
          <w:color w:val="auto"/>
        </w:rPr>
      </w:pPr>
    </w:p>
    <w:p>
      <w:pPr>
        <w:jc w:val="right"/>
        <w:ind w:right="5600"/>
        <w:spacing w:after="0"/>
        <w:rPr>
          <w:sz w:val="20"/>
          <w:szCs w:val="20"/>
          <w:color w:val="auto"/>
        </w:rPr>
      </w:pPr>
      <w:r>
        <w:rPr>
          <w:rFonts w:ascii="Times New Roman" w:cs="Times New Roman" w:eastAsia="Times New Roman" w:hAnsi="Times New Roman"/>
          <w:sz w:val="19"/>
          <w:szCs w:val="19"/>
          <w:u w:val="single" w:color="auto"/>
          <w:color w:val="0000FF"/>
        </w:rPr>
        <w:t>as a Term Benchmark Borrowing with 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20" w:name="page221"/>
    <w:bookmarkEnd w:id="220"/>
    <w:p>
      <w:pPr>
        <w:spacing w:after="0" w:line="269" w:lineRule="exact"/>
        <w:rPr>
          <w:sz w:val="20"/>
          <w:szCs w:val="20"/>
          <w:color w:val="auto"/>
        </w:rPr>
      </w:pPr>
    </w:p>
    <w:p>
      <w:pPr>
        <w:ind w:left="1060" w:right="160"/>
        <w:spacing w:after="0" w:line="252" w:lineRule="auto"/>
        <w:rPr>
          <w:sz w:val="20"/>
          <w:szCs w:val="20"/>
          <w:color w:val="auto"/>
        </w:rPr>
      </w:pPr>
      <w:r>
        <w:rPr>
          <w:rFonts w:ascii="Times New Roman" w:cs="Times New Roman" w:eastAsia="Times New Roman" w:hAnsi="Times New Roman"/>
          <w:sz w:val="19"/>
          <w:szCs w:val="19"/>
          <w:u w:val="single" w:color="auto"/>
          <w:color w:val="0000FF"/>
        </w:rPr>
        <w:t>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w:t>
      </w:r>
    </w:p>
    <w:p>
      <w:pPr>
        <w:spacing w:after="0" w:line="5" w:lineRule="exact"/>
        <w:rPr>
          <w:sz w:val="20"/>
          <w:szCs w:val="20"/>
          <w:color w:val="auto"/>
        </w:rPr>
      </w:pPr>
    </w:p>
    <w:p>
      <w:pPr>
        <w:ind w:left="1060" w:right="60" w:hanging="10"/>
        <w:spacing w:after="0" w:line="250" w:lineRule="auto"/>
        <w:tabs>
          <w:tab w:leader="none" w:pos="1332" w:val="left"/>
        </w:tabs>
        <w:numPr>
          <w:ilvl w:val="0"/>
          <w:numId w:val="64"/>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and (v)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at the end of the applicable Interest Period; provided that if no election is made by the Borrower by the date that is three (3) Business Days after receipt by the Borrower of such notice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21" w:name="page222"/>
    <w:bookmarkEnd w:id="221"/>
    <w:p>
      <w:pPr>
        <w:spacing w:after="0" w:line="269" w:lineRule="exact"/>
        <w:rPr>
          <w:sz w:val="20"/>
          <w:szCs w:val="20"/>
          <w:color w:val="auto"/>
        </w:rPr>
      </w:pPr>
    </w:p>
    <w:p>
      <w:pPr>
        <w:ind w:left="1060" w:right="100"/>
        <w:spacing w:after="0" w:line="255" w:lineRule="auto"/>
        <w:rPr>
          <w:sz w:val="20"/>
          <w:szCs w:val="20"/>
          <w:color w:val="auto"/>
        </w:rPr>
      </w:pPr>
      <w:r>
        <w:rPr>
          <w:rFonts w:ascii="Times New Roman" w:cs="Times New Roman" w:eastAsia="Times New Roman" w:hAnsi="Times New Roman"/>
          <w:sz w:val="19"/>
          <w:szCs w:val="19"/>
          <w:u w:val="single" w:color="auto"/>
          <w:color w:val="0000FF"/>
        </w:rPr>
        <w:t>or, in the case of a Term Benchmark Borrowing, the last day of the current Interest Period for the applicable Term Benchmark Loan, if earlier, the Borrower shall be deemed to have elected clause (iv)(B)(1) or (v)(B)(1) above, as applicable. Notwithstanding the foregoing, the affected Lender shall, prior to giving such notice to the Administrative Agent, use reasonable efforts to designate a different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Section 2.15.</w:t>
      </w:r>
    </w:p>
    <w:p>
      <w:pPr>
        <w:spacing w:after="0" w:line="16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0000FF"/>
        </w:rPr>
        <w:t>SECTION 2.22.</w:t>
      </w:r>
      <w:r>
        <w:rPr>
          <w:rFonts w:ascii="Times New Roman" w:cs="Times New Roman" w:eastAsia="Times New Roman" w:hAnsi="Times New Roman"/>
          <w:sz w:val="19"/>
          <w:szCs w:val="19"/>
          <w:color w:val="FF0000"/>
          <w:strike w:val="1"/>
        </w:rPr>
        <w:t>SECTION 2.21.</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Effect of Benchmark Transition Event</w:t>
      </w:r>
      <w:r>
        <w:rPr>
          <w:rFonts w:ascii="Times New Roman" w:cs="Times New Roman" w:eastAsia="Times New Roman" w:hAnsi="Times New Roman"/>
          <w:sz w:val="19"/>
          <w:szCs w:val="19"/>
          <w:color w:val="000000"/>
        </w:rPr>
        <w:t>.</w:t>
      </w:r>
    </w:p>
    <w:p>
      <w:pPr>
        <w:spacing w:after="0" w:line="142" w:lineRule="exact"/>
        <w:rPr>
          <w:sz w:val="20"/>
          <w:szCs w:val="20"/>
          <w:color w:val="auto"/>
        </w:rPr>
      </w:pPr>
    </w:p>
    <w:p>
      <w:pPr>
        <w:ind w:left="1060" w:right="20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(a)Benchmark Replacement.</w:t>
      </w:r>
      <w:r>
        <w:rPr>
          <w:rFonts w:ascii="Times New Roman" w:cs="Times New Roman" w:eastAsia="Times New Roman" w:hAnsi="Times New Roman"/>
          <w:sz w:val="19"/>
          <w:szCs w:val="19"/>
          <w:color w:val="auto"/>
        </w:rPr>
        <w:t xml:space="preserve"> Notwithstanding anything to the contrary herein or in any other Loan Document, if a Benchmark Transition Event or an Other Benchmark Rate Election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w:t>
      </w:r>
    </w:p>
    <w:p>
      <w:pPr>
        <w:spacing w:after="0" w:line="2" w:lineRule="exact"/>
        <w:rPr>
          <w:sz w:val="20"/>
          <w:szCs w:val="20"/>
          <w:color w:val="auto"/>
        </w:rPr>
      </w:pPr>
    </w:p>
    <w:p>
      <w:pPr>
        <w:ind w:left="1060" w:right="120" w:hanging="10"/>
        <w:spacing w:after="0" w:line="251" w:lineRule="auto"/>
        <w:tabs>
          <w:tab w:leader="none" w:pos="1332"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(which, in the case of a Benchmark Replacement in connection with an Other Benchmark Rate Election, may be delivered on the same day that notice of such Other Benchmark Rate Election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spacing w:after="0" w:line="165" w:lineRule="exact"/>
        <w:rPr>
          <w:sz w:val="20"/>
          <w:szCs w:val="20"/>
          <w:color w:val="auto"/>
        </w:rPr>
      </w:pPr>
    </w:p>
    <w:p>
      <w:pPr>
        <w:ind w:left="1060" w:right="120" w:firstLine="864"/>
        <w:spacing w:after="0" w:line="257" w:lineRule="auto"/>
        <w:rPr>
          <w:sz w:val="20"/>
          <w:szCs w:val="20"/>
          <w:color w:val="auto"/>
        </w:rPr>
      </w:pPr>
      <w:r>
        <w:rPr>
          <w:rFonts w:ascii="Times New Roman" w:cs="Times New Roman" w:eastAsia="Times New Roman" w:hAnsi="Times New Roman"/>
          <w:sz w:val="19"/>
          <w:szCs w:val="19"/>
          <w:u w:val="single" w:color="auto"/>
          <w:color w:val="auto"/>
        </w:rPr>
        <w:t>(b)Benchmark Replacement Conforming Changes</w:t>
      </w:r>
      <w:r>
        <w:rPr>
          <w:rFonts w:ascii="Times New Roman" w:cs="Times New Roman" w:eastAsia="Times New Roman" w:hAnsi="Times New Roman"/>
          <w:sz w:val="19"/>
          <w:szCs w:val="19"/>
          <w:color w:val="auto"/>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7" w:lineRule="exact"/>
        <w:rPr>
          <w:sz w:val="20"/>
          <w:szCs w:val="20"/>
          <w:color w:val="auto"/>
        </w:rPr>
      </w:pPr>
    </w:p>
    <w:p>
      <w:pPr>
        <w:ind w:left="1060" w:right="320" w:firstLine="864"/>
        <w:spacing w:after="0" w:line="286" w:lineRule="auto"/>
        <w:rPr>
          <w:sz w:val="20"/>
          <w:szCs w:val="20"/>
          <w:color w:val="auto"/>
        </w:rPr>
      </w:pPr>
      <w:r>
        <w:rPr>
          <w:rFonts w:ascii="Times New Roman" w:cs="Times New Roman" w:eastAsia="Times New Roman" w:hAnsi="Times New Roman"/>
          <w:sz w:val="19"/>
          <w:szCs w:val="19"/>
          <w:u w:val="single" w:color="auto"/>
          <w:color w:val="auto"/>
        </w:rPr>
        <w:t>(c)Notices; Standards for Decisions and Determinations</w:t>
      </w:r>
      <w:r>
        <w:rPr>
          <w:rFonts w:ascii="Times New Roman" w:cs="Times New Roman" w:eastAsia="Times New Roman" w:hAnsi="Times New Roman"/>
          <w:sz w:val="19"/>
          <w:szCs w:val="19"/>
          <w:color w:val="auto"/>
        </w:rPr>
        <w:t>. The Administrative Agent will promptly notify the Borrower and the Lenders of (i) the implementation of any Benchmark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22" w:name="page223"/>
    <w:bookmarkEnd w:id="222"/>
    <w:p>
      <w:pPr>
        <w:spacing w:after="0" w:line="269" w:lineRule="exact"/>
        <w:rPr>
          <w:sz w:val="20"/>
          <w:szCs w:val="20"/>
          <w:color w:val="auto"/>
        </w:rPr>
      </w:pPr>
    </w:p>
    <w:p>
      <w:pPr>
        <w:ind w:left="1060" w:right="100"/>
        <w:spacing w:after="0" w:line="254" w:lineRule="auto"/>
        <w:rPr>
          <w:sz w:val="20"/>
          <w:szCs w:val="20"/>
          <w:color w:val="auto"/>
        </w:rPr>
      </w:pPr>
      <w:r>
        <w:rPr>
          <w:rFonts w:ascii="Times New Roman" w:cs="Times New Roman" w:eastAsia="Times New Roman" w:hAnsi="Times New Roman"/>
          <w:sz w:val="19"/>
          <w:szCs w:val="19"/>
          <w:color w:val="auto"/>
        </w:rPr>
        <w:t xml:space="preserve">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below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auto"/>
        </w:rPr>
        <w:t xml:space="preserve">, including any determination with respect to a tenor, rate or adjustment or of the occurrence or non -occurrence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ind w:left="1060" w:right="12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(d)Unavailability of Tenor of Benchmark</w:t>
      </w:r>
      <w:r>
        <w:rPr>
          <w:rFonts w:ascii="Times New Roman" w:cs="Times New Roman" w:eastAsia="Times New Roman" w:hAnsi="Times New Roman"/>
          <w:sz w:val="19"/>
          <w:szCs w:val="19"/>
          <w:color w:val="auto"/>
        </w:rPr>
        <w:t xml:space="preserve">. Notwithstanding anything to the contrary herein or in any other Loan Document, at any time (including in connection with the implementation of a Benchmark Replacement), (i) if the then-current Benchmark for a Currency is a term rate (including the Term SOFR </w:t>
      </w:r>
      <w:r>
        <w:rPr>
          <w:rFonts w:ascii="Times New Roman" w:cs="Times New Roman" w:eastAsia="Times New Roman" w:hAnsi="Times New Roman"/>
          <w:sz w:val="19"/>
          <w:szCs w:val="19"/>
          <w:u w:val="single" w:color="auto"/>
          <w:color w:val="0000FF"/>
        </w:rPr>
        <w:t>Reference Rate, the Term CORRA</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Reference Rate or the applicable Adjusted Term Benchmark Rate) and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 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spacing w:after="0" w:line="399" w:lineRule="exact"/>
        <w:rPr>
          <w:sz w:val="20"/>
          <w:szCs w:val="20"/>
          <w:color w:val="auto"/>
        </w:rPr>
      </w:pPr>
    </w:p>
    <w:p>
      <w:pPr>
        <w:ind w:left="1060" w:right="8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(e)Benchmark Unavailability Period</w:t>
      </w:r>
      <w:r>
        <w:rPr>
          <w:rFonts w:ascii="Times New Roman" w:cs="Times New Roman" w:eastAsia="Times New Roman" w:hAnsi="Times New Roman"/>
          <w:sz w:val="19"/>
          <w:szCs w:val="19"/>
          <w:color w:val="auto"/>
        </w:rPr>
        <w:t xml:space="preserve">.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auto"/>
        </w:rPr>
        <w:t xml:space="preserve"> (iii) if the affected Currency is a Foreign Currency </w:t>
      </w:r>
      <w:r>
        <w:rPr>
          <w:rFonts w:ascii="Times New Roman" w:cs="Times New Roman" w:eastAsia="Times New Roman" w:hAnsi="Times New Roman"/>
          <w:sz w:val="19"/>
          <w:szCs w:val="19"/>
          <w:u w:val="single" w:color="auto"/>
          <w:color w:val="0000FF"/>
        </w:rPr>
        <w:t>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than Canadian Dollars</w:t>
      </w:r>
      <w:r>
        <w:rPr>
          <w:rFonts w:ascii="Times New Roman" w:cs="Times New Roman" w:eastAsia="Times New Roman" w:hAnsi="Times New Roman"/>
          <w:sz w:val="19"/>
          <w:szCs w:val="19"/>
          <w:color w:val="000000"/>
        </w:rPr>
        <w:t>, (A) any Borrowing Request that requests a Term Benchmark Borrowing or RFR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Borrowing denominated in the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23" w:name="page224"/>
    <w:bookmarkEnd w:id="223"/>
    <w:p>
      <w:pPr>
        <w:spacing w:after="0" w:line="200" w:lineRule="exact"/>
        <w:rPr>
          <w:sz w:val="20"/>
          <w:szCs w:val="20"/>
          <w:color w:val="auto"/>
        </w:rPr>
      </w:pPr>
    </w:p>
    <w:p>
      <w:pPr>
        <w:spacing w:after="0" w:line="213"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9"/>
          <w:szCs w:val="19"/>
          <w:color w:val="auto"/>
        </w:rPr>
        <w:t xml:space="preserve">Currency </w:t>
      </w:r>
      <w:r>
        <w:rPr>
          <w:rFonts w:ascii="Times New Roman" w:cs="Times New Roman" w:eastAsia="Times New Roman" w:hAnsi="Times New Roman"/>
          <w:sz w:val="19"/>
          <w:szCs w:val="19"/>
          <w:u w:val="single" w:color="auto"/>
          <w:color w:val="0000FF"/>
        </w:rPr>
        <w:t>shall be made as a Term Benchmark Borrowing with a Term Benchmark Rate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24" w:name="page225"/>
    <w:bookmarkEnd w:id="224"/>
    <w:p>
      <w:pPr>
        <w:spacing w:after="0" w:line="269" w:lineRule="exact"/>
        <w:rPr>
          <w:sz w:val="20"/>
          <w:szCs w:val="20"/>
          <w:color w:val="auto"/>
        </w:rPr>
      </w:pPr>
    </w:p>
    <w:p>
      <w:pPr>
        <w:ind w:left="1060" w:right="60"/>
        <w:spacing w:after="0" w:line="251" w:lineRule="auto"/>
        <w:rPr>
          <w:sz w:val="20"/>
          <w:szCs w:val="20"/>
          <w:color w:val="auto"/>
        </w:rPr>
      </w:pPr>
      <w:r>
        <w:rPr>
          <w:rFonts w:ascii="Times New Roman" w:cs="Times New Roman" w:eastAsia="Times New Roman" w:hAnsi="Times New Roman"/>
          <w:sz w:val="19"/>
          <w:szCs w:val="19"/>
          <w:u w:val="single" w:color="auto"/>
          <w:color w:val="0000FF"/>
        </w:rPr>
        <w:t>equal to the Central Bank Rate for the applicable Agreed Foreign Currency; provided, that if the Administrative 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at the Borrower’s election, shall either (1</w:t>
      </w:r>
      <w:r>
        <w:rPr>
          <w:rFonts w:ascii="Times New Roman" w:cs="Times New Roman" w:eastAsia="Times New Roman" w:hAnsi="Times New Roman"/>
          <w:sz w:val="19"/>
          <w:szCs w:val="19"/>
          <w:u w:val="single" w:color="auto"/>
          <w:color w:val="0000FF"/>
        </w:rPr>
        <w:t>) be converted to a Term Benchmark Borrowing with a Term</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w:t>
      </w:r>
      <w:r>
        <w:rPr>
          <w:rFonts w:ascii="Times New Roman" w:cs="Times New Roman" w:eastAsia="Times New Roman" w:hAnsi="Times New Roman"/>
          <w:sz w:val="19"/>
          <w:szCs w:val="19"/>
          <w:color w:val="000000"/>
        </w:rPr>
        <w:t>) be converted into an ABR Borrowing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denominated in Dollars (in an amount equal to the Dollar Equivalent of such affected Currency) immediately in the case of an RFR Borrowing or, in the case of a Term Benchmark Borrowing, at the end of the applicable Interest Period, or (</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3</w:t>
      </w:r>
      <w:r>
        <w:rPr>
          <w:rFonts w:ascii="Times New Roman" w:cs="Times New Roman" w:eastAsia="Times New Roman" w:hAnsi="Times New Roman"/>
          <w:sz w:val="19"/>
          <w:szCs w:val="19"/>
          <w:color w:val="000000"/>
        </w:rPr>
        <w:t xml:space="preserve">) be prepaid in full immediately in the case of an RFR Borrowing or, in the case of a Term Benchmark Borrowing, at the end of the applicable Interest </w:t>
      </w:r>
      <w:r>
        <w:rPr>
          <w:rFonts w:ascii="Times New Roman" w:cs="Times New Roman" w:eastAsia="Times New Roman" w:hAnsi="Times New Roman"/>
          <w:sz w:val="19"/>
          <w:szCs w:val="19"/>
          <w:u w:val="single" w:color="auto"/>
          <w:color w:val="0000FF"/>
        </w:rPr>
        <w:t>Period, and (iv) if the affected Currency is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an ABR Borrowing denominated in Dollars (in an amount equal to the Dollar Equivalent of such affected Currency) at the end of the applicable Interest Period, or (3) be prepaid in full at the end of the applicable Interest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Period;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that,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clause (</w:t>
      </w:r>
      <w:r>
        <w:rPr>
          <w:rFonts w:ascii="Times New Roman" w:cs="Times New Roman" w:eastAsia="Times New Roman" w:hAnsi="Times New Roman"/>
          <w:sz w:val="19"/>
          <w:szCs w:val="19"/>
          <w:u w:val="single" w:color="auto"/>
          <w:color w:val="0000FF"/>
        </w:rPr>
        <w:t>iii)(B)(1) or</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(iv)(B)(</w:t>
      </w:r>
      <w:r>
        <w:rPr>
          <w:rFonts w:ascii="Times New Roman" w:cs="Times New Roman" w:eastAsia="Times New Roman" w:hAnsi="Times New Roman"/>
          <w:sz w:val="19"/>
          <w:szCs w:val="19"/>
          <w:color w:val="000000"/>
        </w:rPr>
        <w:t>1) above</w:t>
      </w:r>
      <w:r>
        <w:rPr>
          <w:rFonts w:ascii="Times New Roman" w:cs="Times New Roman" w:eastAsia="Times New Roman" w:hAnsi="Times New Roman"/>
          <w:sz w:val="19"/>
          <w:szCs w:val="19"/>
          <w:u w:val="single" w:color="auto"/>
          <w:color w:val="0000FF"/>
        </w:rPr>
        <w:t>, as applicable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During a Benchmark Unavailability Period or at any time that a tenor for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then-current Benchmark is not an Available Tenor, the component of the Alternate Base Rate based upon the then-current Benchmark or such tenor for such Benchmark, as applicable, will not be used in any determination of the Alternate Base Rate.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25" w:name="page226"/>
    <w:bookmarkEnd w:id="225"/>
    <w:p>
      <w:pPr>
        <w:spacing w:after="0" w:line="26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9"/>
          <w:szCs w:val="19"/>
          <w:color w:val="auto"/>
        </w:rPr>
        <w:t>ARTICLE</w:t>
      </w:r>
    </w:p>
    <w:p>
      <w:pPr>
        <w:spacing w:after="0" w:line="32" w:lineRule="exact"/>
        <w:rPr>
          <w:sz w:val="20"/>
          <w:szCs w:val="20"/>
          <w:color w:val="auto"/>
        </w:rPr>
      </w:pPr>
    </w:p>
    <w:p>
      <w:pPr>
        <w:ind w:left="2460" w:right="2480" w:firstLine="1003"/>
        <w:spacing w:after="0" w:line="262" w:lineRule="auto"/>
        <w:tabs>
          <w:tab w:leader="none" w:pos="3696"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REPRESENTATIONS AND WARRANTIES The Borrower represents and warrants to the Lenders that:</w:t>
      </w:r>
    </w:p>
    <w:p>
      <w:pPr>
        <w:spacing w:after="0" w:line="149" w:lineRule="exact"/>
        <w:rPr>
          <w:sz w:val="20"/>
          <w:szCs w:val="20"/>
          <w:color w:val="auto"/>
        </w:rPr>
      </w:pPr>
    </w:p>
    <w:p>
      <w:pPr>
        <w:ind w:left="1060" w:right="100" w:firstLine="864"/>
        <w:spacing w:after="0" w:line="257" w:lineRule="auto"/>
        <w:rPr>
          <w:sz w:val="20"/>
          <w:szCs w:val="20"/>
          <w:color w:val="auto"/>
        </w:rPr>
      </w:pPr>
      <w:r>
        <w:rPr>
          <w:rFonts w:ascii="Times New Roman" w:cs="Times New Roman" w:eastAsia="Times New Roman" w:hAnsi="Times New Roman"/>
          <w:sz w:val="19"/>
          <w:szCs w:val="19"/>
          <w:color w:val="auto"/>
        </w:rPr>
        <w:t xml:space="preserve">SECTION 3.01. </w:t>
      </w:r>
      <w:r>
        <w:rPr>
          <w:rFonts w:ascii="Times New Roman" w:cs="Times New Roman" w:eastAsia="Times New Roman" w:hAnsi="Times New Roman"/>
          <w:sz w:val="19"/>
          <w:szCs w:val="19"/>
          <w:u w:val="single" w:color="auto"/>
          <w:color w:val="auto"/>
        </w:rPr>
        <w:t>Organization; Powers</w:t>
      </w:r>
      <w:r>
        <w:rPr>
          <w:rFonts w:ascii="Times New Roman" w:cs="Times New Roman" w:eastAsia="Times New Roman" w:hAnsi="Times New Roman"/>
          <w:sz w:val="19"/>
          <w:szCs w:val="19"/>
          <w:color w:val="auto"/>
        </w:rPr>
        <w:t>. Each of the Borrower and its Subsidiaries is (a) duly organized, validly existing and in good standing under the laws of the jurisdiction of its organization, (b) has all requisite power and authority to carry on its business as now conducted and, (c) is qualified to do business in, and is in good standing in, every jurisdiction where such qualification is required of the Borrower or such Subsidiary, as applicable, except where the failure to comply with this clause (c) would not reasonably be expected to result in a Material Adverse Effect.</w:t>
      </w:r>
    </w:p>
    <w:p>
      <w:pPr>
        <w:spacing w:after="0" w:line="157" w:lineRule="exact"/>
        <w:rPr>
          <w:sz w:val="20"/>
          <w:szCs w:val="20"/>
          <w:color w:val="auto"/>
        </w:rPr>
      </w:pPr>
    </w:p>
    <w:p>
      <w:pPr>
        <w:ind w:left="1060" w:right="140" w:firstLine="864"/>
        <w:spacing w:after="0" w:line="255" w:lineRule="auto"/>
        <w:rPr>
          <w:sz w:val="20"/>
          <w:szCs w:val="20"/>
          <w:color w:val="auto"/>
        </w:rPr>
      </w:pPr>
      <w:r>
        <w:rPr>
          <w:rFonts w:ascii="Times New Roman" w:cs="Times New Roman" w:eastAsia="Times New Roman" w:hAnsi="Times New Roman"/>
          <w:sz w:val="19"/>
          <w:szCs w:val="19"/>
          <w:color w:val="auto"/>
        </w:rPr>
        <w:t xml:space="preserve">SECTION 3.02. </w:t>
      </w:r>
      <w:r>
        <w:rPr>
          <w:rFonts w:ascii="Times New Roman" w:cs="Times New Roman" w:eastAsia="Times New Roman" w:hAnsi="Times New Roman"/>
          <w:sz w:val="19"/>
          <w:szCs w:val="19"/>
          <w:u w:val="single" w:color="auto"/>
          <w:color w:val="auto"/>
        </w:rPr>
        <w:t>Authorization; Enforceability</w:t>
      </w:r>
      <w:r>
        <w:rPr>
          <w:rFonts w:ascii="Times New Roman" w:cs="Times New Roman" w:eastAsia="Times New Roman" w:hAnsi="Times New Roman"/>
          <w:sz w:val="19"/>
          <w:szCs w:val="19"/>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60" w:lineRule="exact"/>
        <w:rPr>
          <w:sz w:val="20"/>
          <w:szCs w:val="20"/>
          <w:color w:val="auto"/>
        </w:rPr>
      </w:pPr>
    </w:p>
    <w:p>
      <w:pPr>
        <w:ind w:left="1060" w:right="80" w:firstLine="864"/>
        <w:spacing w:after="0" w:line="254" w:lineRule="auto"/>
        <w:rPr>
          <w:sz w:val="20"/>
          <w:szCs w:val="20"/>
          <w:color w:val="auto"/>
        </w:rPr>
      </w:pPr>
      <w:r>
        <w:rPr>
          <w:rFonts w:ascii="Times New Roman" w:cs="Times New Roman" w:eastAsia="Times New Roman" w:hAnsi="Times New Roman"/>
          <w:sz w:val="19"/>
          <w:szCs w:val="19"/>
          <w:color w:val="auto"/>
        </w:rPr>
        <w:t xml:space="preserve">SECTION 3.03. </w:t>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 xml:space="preserve"> The Transactions (a) do not require any consent or approval of, registration or filing with, or any other action by, any Governmental Authority, except for (i) such as have been or will be obtained or made and are or will be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in each case, except as would not reasonably be expected to have a Material Adverse Effect, and (d) except for the Liens created pursuant to this Agreement or the Security Documents, will not result in the creation or imposition of any Lien on any asset of the Borrower or any Obligor.</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3.04. </w:t>
      </w:r>
      <w:r>
        <w:rPr>
          <w:rFonts w:ascii="Times New Roman" w:cs="Times New Roman" w:eastAsia="Times New Roman" w:hAnsi="Times New Roman"/>
          <w:sz w:val="19"/>
          <w:szCs w:val="19"/>
          <w:u w:val="single" w:color="auto"/>
          <w:color w:val="auto"/>
        </w:rPr>
        <w:t>Financial Condition; No Material Adverse Change</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320" w:firstLine="864"/>
        <w:spacing w:after="0" w:line="262" w:lineRule="auto"/>
        <w:rPr>
          <w:sz w:val="20"/>
          <w:szCs w:val="20"/>
          <w:color w:val="auto"/>
        </w:rPr>
      </w:pPr>
      <w:r>
        <w:rPr>
          <w:rFonts w:ascii="Times New Roman" w:cs="Times New Roman" w:eastAsia="Times New Roman" w:hAnsi="Times New Roman"/>
          <w:sz w:val="19"/>
          <w:szCs w:val="19"/>
          <w:u w:val="single" w:color="auto"/>
          <w:color w:val="auto"/>
        </w:rPr>
        <w:t>(a)Financial Statements</w:t>
      </w:r>
      <w:r>
        <w:rPr>
          <w:rFonts w:ascii="Times New Roman" w:cs="Times New Roman" w:eastAsia="Times New Roman" w:hAnsi="Times New Roman"/>
          <w:sz w:val="19"/>
          <w:szCs w:val="19"/>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26" w:name="page227"/>
    <w:bookmarkEnd w:id="226"/>
    <w:p>
      <w:pPr>
        <w:spacing w:after="0" w:line="269" w:lineRule="exact"/>
        <w:rPr>
          <w:sz w:val="20"/>
          <w:szCs w:val="20"/>
          <w:color w:val="auto"/>
        </w:rPr>
      </w:pPr>
    </w:p>
    <w:p>
      <w:pPr>
        <w:ind w:left="1060" w:right="260"/>
        <w:spacing w:after="0" w:line="286" w:lineRule="auto"/>
        <w:rPr>
          <w:sz w:val="20"/>
          <w:szCs w:val="20"/>
          <w:color w:val="auto"/>
        </w:rPr>
      </w:pPr>
      <w:r>
        <w:rPr>
          <w:rFonts w:ascii="Times New Roman" w:cs="Times New Roman" w:eastAsia="Times New Roman" w:hAnsi="Times New Roman"/>
          <w:sz w:val="19"/>
          <w:szCs w:val="19"/>
          <w:color w:val="auto"/>
        </w:rPr>
        <w:t>material respects, the consolidated financial position and results of operations and cash flows of the Borrower and its Subsidiaries as of such date and for such period in accordance with GAAP.</w:t>
      </w:r>
    </w:p>
    <w:p>
      <w:pPr>
        <w:spacing w:after="0" w:line="127" w:lineRule="exact"/>
        <w:rPr>
          <w:sz w:val="20"/>
          <w:szCs w:val="20"/>
          <w:color w:val="auto"/>
        </w:rPr>
      </w:pPr>
    </w:p>
    <w:p>
      <w:pPr>
        <w:ind w:left="1060" w:right="10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(b)No Material Adverse Change</w:t>
      </w:r>
      <w:r>
        <w:rPr>
          <w:rFonts w:ascii="Times New Roman" w:cs="Times New Roman" w:eastAsia="Times New Roman" w:hAnsi="Times New Roman"/>
          <w:sz w:val="19"/>
          <w:szCs w:val="19"/>
          <w:color w:val="auto"/>
        </w:rPr>
        <w:t>. Since the date of the most recent Applicable Financial Statements, there has not been any event, development or circumstance (herein, a “</w:t>
      </w:r>
      <w:r>
        <w:rPr>
          <w:rFonts w:ascii="Times New Roman" w:cs="Times New Roman" w:eastAsia="Times New Roman" w:hAnsi="Times New Roman"/>
          <w:sz w:val="19"/>
          <w:szCs w:val="19"/>
          <w:u w:val="single" w:color="auto"/>
          <w:color w:val="auto"/>
        </w:rPr>
        <w:t>Material Adverse Change</w:t>
      </w:r>
      <w:r>
        <w:rPr>
          <w:rFonts w:ascii="Times New Roman" w:cs="Times New Roman" w:eastAsia="Times New Roman" w:hAnsi="Times New Roman"/>
          <w:sz w:val="19"/>
          <w:szCs w:val="19"/>
          <w:color w:val="auto"/>
        </w:rPr>
        <w:t>”) that has had or would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60" w:lineRule="exact"/>
        <w:rPr>
          <w:sz w:val="20"/>
          <w:szCs w:val="20"/>
          <w:color w:val="auto"/>
        </w:rPr>
      </w:pPr>
    </w:p>
    <w:p>
      <w:pPr>
        <w:ind w:left="1060" w:right="340" w:firstLine="864"/>
        <w:spacing w:after="0" w:line="258" w:lineRule="auto"/>
        <w:rPr>
          <w:sz w:val="20"/>
          <w:szCs w:val="20"/>
          <w:color w:val="auto"/>
        </w:rPr>
      </w:pPr>
      <w:r>
        <w:rPr>
          <w:rFonts w:ascii="Times New Roman" w:cs="Times New Roman" w:eastAsia="Times New Roman" w:hAnsi="Times New Roman"/>
          <w:sz w:val="19"/>
          <w:szCs w:val="19"/>
          <w:color w:val="auto"/>
        </w:rPr>
        <w:t xml:space="preserve">SECTION 3.05. </w:t>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There are no actions, suits, investigations or proceedings by or before any arbitrator or Governmental Authority now pending against or, to the knowledge of the Borrower, threatened in writing against or affecting the Borrower or any of its Subsidiaries</w:t>
      </w:r>
    </w:p>
    <w:p>
      <w:pPr>
        <w:spacing w:after="0" w:line="2" w:lineRule="exact"/>
        <w:rPr>
          <w:sz w:val="20"/>
          <w:szCs w:val="20"/>
          <w:color w:val="auto"/>
        </w:rPr>
      </w:pPr>
    </w:p>
    <w:p>
      <w:pPr>
        <w:ind w:left="1060" w:right="120" w:hanging="10"/>
        <w:spacing w:after="0" w:line="254" w:lineRule="auto"/>
        <w:tabs>
          <w:tab w:leader="none" w:pos="12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which there is a reasonable possibility of an adverse determination and that, if adversely determined, would reasonably be expected, individually or in the aggregate, to result in a Material Adverse Effect or (ii) that directly involve this Agreement or the Transactions (other than any action brought by the Borrower against a Defaulting Lender).</w:t>
      </w:r>
    </w:p>
    <w:p>
      <w:pPr>
        <w:spacing w:after="0" w:line="157" w:lineRule="exact"/>
        <w:rPr>
          <w:sz w:val="20"/>
          <w:szCs w:val="20"/>
          <w:color w:val="auto"/>
        </w:rPr>
      </w:pPr>
    </w:p>
    <w:p>
      <w:pPr>
        <w:ind w:left="1060" w:right="140" w:firstLine="864"/>
        <w:spacing w:after="0" w:line="256" w:lineRule="auto"/>
        <w:rPr>
          <w:sz w:val="20"/>
          <w:szCs w:val="20"/>
          <w:color w:val="auto"/>
        </w:rPr>
      </w:pPr>
      <w:r>
        <w:rPr>
          <w:rFonts w:ascii="Times New Roman" w:cs="Times New Roman" w:eastAsia="Times New Roman" w:hAnsi="Times New Roman"/>
          <w:sz w:val="19"/>
          <w:szCs w:val="19"/>
          <w:color w:val="auto"/>
        </w:rPr>
        <w:t xml:space="preserve">SECTION 3.06. </w:t>
      </w:r>
      <w:r>
        <w:rPr>
          <w:rFonts w:ascii="Times New Roman" w:cs="Times New Roman" w:eastAsia="Times New Roman" w:hAnsi="Times New Roman"/>
          <w:sz w:val="19"/>
          <w:szCs w:val="19"/>
          <w:u w:val="single" w:color="auto"/>
          <w:color w:val="auto"/>
        </w:rPr>
        <w:t>Compliance with Laws and Agreements</w:t>
      </w:r>
      <w:r>
        <w:rPr>
          <w:rFonts w:ascii="Times New Roman" w:cs="Times New Roman" w:eastAsia="Times New Roman" w:hAnsi="Times New Roman"/>
          <w:sz w:val="19"/>
          <w:szCs w:val="19"/>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Neither the Borrower nor any other Obligor is subject to any contract or other arrangement, the performance of which by the Borrower or such Obligor would reasonably be expected to result in a Material Adverse Effect.</w:t>
      </w:r>
    </w:p>
    <w:p>
      <w:pPr>
        <w:spacing w:after="0" w:line="157" w:lineRule="exact"/>
        <w:rPr>
          <w:sz w:val="20"/>
          <w:szCs w:val="20"/>
          <w:color w:val="auto"/>
        </w:rPr>
      </w:pPr>
    </w:p>
    <w:p>
      <w:pPr>
        <w:ind w:left="1060" w:right="340" w:firstLine="864"/>
        <w:spacing w:after="0" w:line="259" w:lineRule="auto"/>
        <w:rPr>
          <w:sz w:val="20"/>
          <w:szCs w:val="20"/>
          <w:color w:val="auto"/>
        </w:rPr>
      </w:pPr>
      <w:r>
        <w:rPr>
          <w:rFonts w:ascii="Times New Roman" w:cs="Times New Roman" w:eastAsia="Times New Roman" w:hAnsi="Times New Roman"/>
          <w:sz w:val="19"/>
          <w:szCs w:val="19"/>
          <w:color w:val="auto"/>
        </w:rPr>
        <w:t xml:space="preserve">SECTION 3.07.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54" w:lineRule="exact"/>
        <w:rPr>
          <w:sz w:val="20"/>
          <w:szCs w:val="20"/>
          <w:color w:val="auto"/>
        </w:rPr>
      </w:pPr>
    </w:p>
    <w:p>
      <w:pPr>
        <w:jc w:val="both"/>
        <w:ind w:left="1060" w:right="480" w:firstLine="864"/>
        <w:spacing w:after="0" w:line="268" w:lineRule="auto"/>
        <w:rPr>
          <w:sz w:val="20"/>
          <w:szCs w:val="20"/>
          <w:color w:val="auto"/>
        </w:rPr>
      </w:pPr>
      <w:r>
        <w:rPr>
          <w:rFonts w:ascii="Times New Roman" w:cs="Times New Roman" w:eastAsia="Times New Roman" w:hAnsi="Times New Roman"/>
          <w:sz w:val="19"/>
          <w:szCs w:val="19"/>
          <w:color w:val="auto"/>
        </w:rPr>
        <w:t xml:space="preserve">SECTION 3.08.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44" w:lineRule="exact"/>
        <w:rPr>
          <w:sz w:val="20"/>
          <w:szCs w:val="20"/>
          <w:color w:val="auto"/>
        </w:rPr>
      </w:pPr>
    </w:p>
    <w:p>
      <w:pPr>
        <w:ind w:left="1060" w:right="120" w:firstLine="864"/>
        <w:spacing w:after="0" w:line="259" w:lineRule="auto"/>
        <w:rPr>
          <w:sz w:val="20"/>
          <w:szCs w:val="20"/>
          <w:color w:val="auto"/>
        </w:rPr>
      </w:pPr>
      <w:r>
        <w:rPr>
          <w:rFonts w:ascii="Times New Roman" w:cs="Times New Roman" w:eastAsia="Times New Roman" w:hAnsi="Times New Roman"/>
          <w:sz w:val="19"/>
          <w:szCs w:val="19"/>
          <w:color w:val="auto"/>
        </w:rPr>
        <w:t xml:space="preserve">SECTION 3.09. </w:t>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 xml:space="preserve">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Effective Date, none of the reports, financial statements, certificates or other written information (other than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27" w:name="page228"/>
    <w:bookmarkEnd w:id="227"/>
    <w:p>
      <w:pPr>
        <w:spacing w:after="0" w:line="269" w:lineRule="exact"/>
        <w:rPr>
          <w:sz w:val="20"/>
          <w:szCs w:val="20"/>
          <w:color w:val="auto"/>
        </w:rPr>
      </w:pPr>
    </w:p>
    <w:p>
      <w:pPr>
        <w:ind w:left="1060" w:right="40"/>
        <w:spacing w:after="0" w:line="255" w:lineRule="auto"/>
        <w:rPr>
          <w:sz w:val="20"/>
          <w:szCs w:val="20"/>
          <w:color w:val="auto"/>
        </w:rPr>
      </w:pPr>
      <w:r>
        <w:rPr>
          <w:rFonts w:ascii="Times New Roman" w:cs="Times New Roman" w:eastAsia="Times New Roman" w:hAnsi="Times New Roman"/>
          <w:sz w:val="19"/>
          <w:szCs w:val="19"/>
          <w:color w:val="auto"/>
        </w:rPr>
        <w:t xml:space="preserve">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 information, the Borrower represents only that such information was prepared in good faith based upon assumptions believed to be reasonable at the time.</w:t>
      </w:r>
    </w:p>
    <w:p>
      <w:pPr>
        <w:spacing w:after="0" w:line="15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3.10. </w:t>
      </w:r>
      <w:r>
        <w:rPr>
          <w:rFonts w:ascii="Times New Roman" w:cs="Times New Roman" w:eastAsia="Times New Roman" w:hAnsi="Times New Roman"/>
          <w:sz w:val="19"/>
          <w:szCs w:val="19"/>
          <w:u w:val="single" w:color="auto"/>
          <w:color w:val="auto"/>
        </w:rPr>
        <w:t>Investment Company Act; Margin Regulations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240" w:firstLine="864"/>
        <w:spacing w:after="0" w:line="286" w:lineRule="auto"/>
        <w:rPr>
          <w:sz w:val="20"/>
          <w:szCs w:val="20"/>
          <w:color w:val="auto"/>
        </w:rPr>
      </w:pPr>
      <w:r>
        <w:rPr>
          <w:rFonts w:ascii="Times New Roman" w:cs="Times New Roman" w:eastAsia="Times New Roman" w:hAnsi="Times New Roman"/>
          <w:sz w:val="19"/>
          <w:szCs w:val="19"/>
          <w:u w:val="single" w:color="auto"/>
          <w:color w:val="auto"/>
        </w:rPr>
        <w:t>(a)Status as Business Development Company</w:t>
      </w:r>
      <w:r>
        <w:rPr>
          <w:rFonts w:ascii="Times New Roman" w:cs="Times New Roman" w:eastAsia="Times New Roman" w:hAnsi="Times New Roman"/>
          <w:sz w:val="19"/>
          <w:szCs w:val="19"/>
          <w:color w:val="auto"/>
        </w:rPr>
        <w:t xml:space="preserve"> . The Borrower has elected to be regulated as a “business development company” within the meaning of the Investment Company Act and qualifies as a RIC.</w:t>
      </w:r>
    </w:p>
    <w:p>
      <w:pPr>
        <w:spacing w:after="0" w:line="127" w:lineRule="exact"/>
        <w:rPr>
          <w:sz w:val="20"/>
          <w:szCs w:val="20"/>
          <w:color w:val="auto"/>
        </w:rPr>
      </w:pPr>
    </w:p>
    <w:p>
      <w:pPr>
        <w:ind w:left="1060" w:right="380" w:firstLine="864"/>
        <w:spacing w:after="0" w:line="257" w:lineRule="auto"/>
        <w:rPr>
          <w:sz w:val="20"/>
          <w:szCs w:val="20"/>
          <w:color w:val="auto"/>
        </w:rPr>
      </w:pPr>
      <w:r>
        <w:rPr>
          <w:rFonts w:ascii="Times New Roman" w:cs="Times New Roman" w:eastAsia="Times New Roman" w:hAnsi="Times New Roman"/>
          <w:sz w:val="19"/>
          <w:szCs w:val="19"/>
          <w:u w:val="single" w:color="auto"/>
          <w:color w:val="auto"/>
        </w:rPr>
        <w:t>(b)Compliance with Investment Company Act</w:t>
      </w:r>
      <w:r>
        <w:rPr>
          <w:rFonts w:ascii="Times New Roman" w:cs="Times New Roman" w:eastAsia="Times New Roman" w:hAnsi="Times New Roman"/>
          <w:sz w:val="19"/>
          <w:szCs w:val="19"/>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57" w:lineRule="exact"/>
        <w:rPr>
          <w:sz w:val="20"/>
          <w:szCs w:val="20"/>
          <w:color w:val="auto"/>
        </w:rPr>
      </w:pPr>
    </w:p>
    <w:p>
      <w:pPr>
        <w:ind w:left="1060" w:right="28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(c)Investment Policies</w:t>
      </w:r>
      <w:r>
        <w:rPr>
          <w:rFonts w:ascii="Times New Roman" w:cs="Times New Roman" w:eastAsia="Times New Roman" w:hAnsi="Times New Roman"/>
          <w:sz w:val="19"/>
          <w:szCs w:val="19"/>
          <w:color w:val="auto"/>
        </w:rPr>
        <w:t>. The Borrower is in compliance in all respects with the Investment Policies (after giving effect to any Permitted Policy Amendments), except to the extent that the failure to so comply would not reasonably be expected to have a Material Adverse Effect.</w:t>
      </w:r>
    </w:p>
    <w:p>
      <w:pPr>
        <w:spacing w:after="0" w:line="144" w:lineRule="exact"/>
        <w:rPr>
          <w:sz w:val="20"/>
          <w:szCs w:val="20"/>
          <w:color w:val="auto"/>
        </w:rPr>
      </w:pPr>
    </w:p>
    <w:p>
      <w:pPr>
        <w:ind w:left="1060" w:right="20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(d)Use of Credit</w:t>
      </w:r>
      <w:r>
        <w:rPr>
          <w:rFonts w:ascii="Times New Roman" w:cs="Times New Roman" w:eastAsia="Times New Roman" w:hAnsi="Times New Roman"/>
          <w:sz w:val="19"/>
          <w:szCs w:val="19"/>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 (provided that so long as no violation of Regulation U would result therefrom and the Borrower intends to immediately retire any whole or fractional shares of its common stock purchased, the Borrower may use proceeds of the Loans to purchase its common stock in connection with the redemption (or buyback) of its shares).</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3.11. </w:t>
      </w:r>
      <w:r>
        <w:rPr>
          <w:rFonts w:ascii="Times New Roman" w:cs="Times New Roman" w:eastAsia="Times New Roman" w:hAnsi="Times New Roman"/>
          <w:sz w:val="19"/>
          <w:szCs w:val="19"/>
          <w:u w:val="single" w:color="auto"/>
          <w:color w:val="auto"/>
        </w:rPr>
        <w:t>Material Agreements and Liens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4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(a)Material Agreements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Part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 xml:space="preserve"> 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28" w:name="page229"/>
    <w:bookmarkEnd w:id="228"/>
    <w:p>
      <w:pPr>
        <w:spacing w:after="0" w:line="269" w:lineRule="exact"/>
        <w:rPr>
          <w:sz w:val="20"/>
          <w:szCs w:val="20"/>
          <w:color w:val="auto"/>
        </w:rPr>
      </w:pPr>
    </w:p>
    <w:p>
      <w:pPr>
        <w:ind w:left="1060" w:right="140"/>
        <w:spacing w:after="0" w:line="286" w:lineRule="auto"/>
        <w:rPr>
          <w:sz w:val="20"/>
          <w:szCs w:val="20"/>
          <w:color w:val="auto"/>
        </w:rPr>
      </w:pPr>
      <w:r>
        <w:rPr>
          <w:rFonts w:ascii="Times New Roman" w:cs="Times New Roman" w:eastAsia="Times New Roman" w:hAnsi="Times New Roman"/>
          <w:sz w:val="19"/>
          <w:szCs w:val="19"/>
          <w:color w:val="auto"/>
        </w:rPr>
        <w:t xml:space="preserve">Date, and the aggregate principal or face amount outstanding or that is, or may become, outstanding under each such arrangement is correctly described in </w:t>
      </w:r>
      <w:r>
        <w:rPr>
          <w:rFonts w:ascii="Times New Roman" w:cs="Times New Roman" w:eastAsia="Times New Roman" w:hAnsi="Times New Roman"/>
          <w:sz w:val="19"/>
          <w:szCs w:val="19"/>
          <w:u w:val="single" w:color="auto"/>
          <w:color w:val="auto"/>
        </w:rPr>
        <w:t>Part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060" w:right="14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(b)Liens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Times New Roman" w:cs="Times New Roman" w:eastAsia="Times New Roman" w:hAnsi="Times New Roman"/>
          <w:sz w:val="19"/>
          <w:szCs w:val="19"/>
          <w:u w:val="single" w:color="auto"/>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3.12. </w:t>
      </w:r>
      <w:r>
        <w:rPr>
          <w:rFonts w:ascii="Times New Roman" w:cs="Times New Roman" w:eastAsia="Times New Roman" w:hAnsi="Times New Roman"/>
          <w:sz w:val="19"/>
          <w:szCs w:val="19"/>
          <w:u w:val="single" w:color="auto"/>
          <w:color w:val="auto"/>
        </w:rPr>
        <w:t>Subsidiaries and Investments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640" w:firstLine="852"/>
        <w:spacing w:after="0" w:line="286" w:lineRule="auto"/>
        <w:rPr>
          <w:sz w:val="20"/>
          <w:szCs w:val="20"/>
          <w:color w:val="auto"/>
        </w:rPr>
      </w:pPr>
      <w:r>
        <w:rPr>
          <w:rFonts w:ascii="Times New Roman" w:cs="Times New Roman" w:eastAsia="Times New Roman" w:hAnsi="Times New Roman"/>
          <w:sz w:val="19"/>
          <w:szCs w:val="19"/>
          <w:u w:val="single" w:color="auto"/>
          <w:color w:val="auto"/>
        </w:rPr>
        <w:t>(a)Subsidiaries</w:t>
      </w:r>
      <w:r>
        <w:rPr>
          <w:rFonts w:ascii="Times New Roman" w:cs="Times New Roman" w:eastAsia="Times New Roman" w:hAnsi="Times New Roman"/>
          <w:sz w:val="19"/>
          <w:szCs w:val="19"/>
          <w:color w:val="auto"/>
        </w:rPr>
        <w:t xml:space="preserve">. Set forth on </w:t>
      </w:r>
      <w:r>
        <w:rPr>
          <w:rFonts w:ascii="Times New Roman" w:cs="Times New Roman" w:eastAsia="Times New Roman" w:hAnsi="Times New Roman"/>
          <w:sz w:val="19"/>
          <w:szCs w:val="19"/>
          <w:u w:val="single" w:color="auto"/>
          <w:color w:val="auto"/>
        </w:rPr>
        <w:t>Schedule 3.12(a)</w:t>
      </w:r>
      <w:r>
        <w:rPr>
          <w:rFonts w:ascii="Times New Roman" w:cs="Times New Roman" w:eastAsia="Times New Roman" w:hAnsi="Times New Roman"/>
          <w:sz w:val="19"/>
          <w:szCs w:val="19"/>
          <w:color w:val="auto"/>
        </w:rPr>
        <w:t xml:space="preserve"> is a list of the Borrower’s Subsidiaries as of the Original Effective Date.</w:t>
      </w:r>
    </w:p>
    <w:p>
      <w:pPr>
        <w:spacing w:after="0" w:line="127" w:lineRule="exact"/>
        <w:rPr>
          <w:sz w:val="20"/>
          <w:szCs w:val="20"/>
          <w:color w:val="auto"/>
        </w:rPr>
      </w:pPr>
    </w:p>
    <w:p>
      <w:pPr>
        <w:ind w:left="1060" w:right="14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(b)Investments</w:t>
      </w:r>
      <w:r>
        <w:rPr>
          <w:rFonts w:ascii="Times New Roman" w:cs="Times New Roman" w:eastAsia="Times New Roman" w:hAnsi="Times New Roman"/>
          <w:sz w:val="19"/>
          <w:szCs w:val="19"/>
          <w:color w:val="auto"/>
        </w:rPr>
        <w:t xml:space="preserve">. Set forth on </w:t>
      </w:r>
      <w:r>
        <w:rPr>
          <w:rFonts w:ascii="Times New Roman" w:cs="Times New Roman" w:eastAsia="Times New Roman" w:hAnsi="Times New Roman"/>
          <w:sz w:val="19"/>
          <w:szCs w:val="19"/>
          <w:u w:val="single" w:color="auto"/>
          <w:color w:val="auto"/>
        </w:rPr>
        <w:t>Schedule 3.12(b)</w:t>
      </w:r>
      <w:r>
        <w:rPr>
          <w:rFonts w:ascii="Times New Roman" w:cs="Times New Roman" w:eastAsia="Times New Roman" w:hAnsi="Times New Roman"/>
          <w:sz w:val="19"/>
          <w:szCs w:val="19"/>
          <w:color w:val="auto"/>
        </w:rPr>
        <w:t xml:space="preserve"> is a complete and correct list, as of the Original Effective Date, of all Investments (other than Investments of the types referred to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6. 04</w:t>
      </w:r>
      <w:r>
        <w:rPr>
          <w:rFonts w:ascii="Times New Roman" w:cs="Times New Roman" w:eastAsia="Times New Roman" w:hAnsi="Times New Roman"/>
          <w:sz w:val="19"/>
          <w:szCs w:val="19"/>
          <w:color w:val="auto"/>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Times New Roman" w:cs="Times New Roman" w:eastAsia="Times New Roman" w:hAnsi="Times New Roman"/>
          <w:sz w:val="19"/>
          <w:szCs w:val="19"/>
          <w:u w:val="single" w:color="auto"/>
          <w:color w:val="auto"/>
        </w:rPr>
        <w:t>Schedule 3.12</w:t>
      </w:r>
      <w:r>
        <w:rPr>
          <w:rFonts w:ascii="Times New Roman" w:cs="Times New Roman" w:eastAsia="Times New Roman" w:hAnsi="Times New Roman"/>
          <w:sz w:val="19"/>
          <w:szCs w:val="19"/>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3.13. </w:t>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22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(a)Title Generally</w:t>
      </w:r>
      <w:r>
        <w:rPr>
          <w:rFonts w:ascii="Times New Roman" w:cs="Times New Roman" w:eastAsia="Times New Roman" w:hAnsi="Times New Roman"/>
          <w:sz w:val="19"/>
          <w:szCs w:val="19"/>
          <w:color w:val="auto"/>
        </w:rPr>
        <w:t>. Each of the Borrower and the Subsidiary Guarantors has good title to, or valid leasehold interests in, all its real and personal property material to its business, taken as a whole, except for minor defects in title that do not interfere with its ability to conduct its business, taken as a whole, as currently conducted or to utilize such properties for their intended purposes except where failure to have title or leasehold interests would not reasonably be expected to have a Material Adverse Effect.</w:t>
      </w:r>
    </w:p>
    <w:p>
      <w:pPr>
        <w:spacing w:after="0" w:line="154" w:lineRule="exact"/>
        <w:rPr>
          <w:sz w:val="20"/>
          <w:szCs w:val="20"/>
          <w:color w:val="auto"/>
        </w:rPr>
      </w:pPr>
    </w:p>
    <w:p>
      <w:pPr>
        <w:ind w:left="1060" w:right="360" w:firstLine="864"/>
        <w:spacing w:after="0" w:line="257" w:lineRule="auto"/>
        <w:rPr>
          <w:sz w:val="20"/>
          <w:szCs w:val="20"/>
          <w:color w:val="auto"/>
        </w:rPr>
      </w:pPr>
      <w:r>
        <w:rPr>
          <w:rFonts w:ascii="Times New Roman" w:cs="Times New Roman" w:eastAsia="Times New Roman" w:hAnsi="Times New Roman"/>
          <w:sz w:val="19"/>
          <w:szCs w:val="19"/>
          <w:u w:val="single" w:color="auto"/>
          <w:color w:val="auto"/>
        </w:rPr>
        <w:t>(b)Intellectual Property</w:t>
      </w:r>
      <w:r>
        <w:rPr>
          <w:rFonts w:ascii="Times New Roman" w:cs="Times New Roman" w:eastAsia="Times New Roman" w:hAnsi="Times New Roman"/>
          <w:sz w:val="19"/>
          <w:szCs w:val="19"/>
          <w:color w:val="auto"/>
        </w:rPr>
        <w:t xml:space="preserve"> . Each of the Borrower and its Subsidiaries (other than any Financing Subsidiary) owns, or is licensed to use, all trademarks, tradenames, copyrights, patents and other intellectual property material to its business, taken as a whole, and the use thereof by the Borrower and its Subsidiaries (other than any Financing Subsidiary) does not infringe upon the rights of any other Person, except for any such infringements that, individually or in the aggregate, would not reasonably be expected to result in a Material Adverse Effect.</w:t>
      </w:r>
    </w:p>
    <w:p>
      <w:pPr>
        <w:spacing w:after="0" w:line="157" w:lineRule="exact"/>
        <w:rPr>
          <w:sz w:val="20"/>
          <w:szCs w:val="20"/>
          <w:color w:val="auto"/>
        </w:rPr>
      </w:pPr>
    </w:p>
    <w:p>
      <w:pPr>
        <w:ind w:left="1060" w:right="160" w:firstLine="864"/>
        <w:spacing w:after="0" w:line="259" w:lineRule="auto"/>
        <w:rPr>
          <w:sz w:val="20"/>
          <w:szCs w:val="20"/>
          <w:color w:val="auto"/>
        </w:rPr>
      </w:pPr>
      <w:r>
        <w:rPr>
          <w:rFonts w:ascii="Times New Roman" w:cs="Times New Roman" w:eastAsia="Times New Roman" w:hAnsi="Times New Roman"/>
          <w:sz w:val="19"/>
          <w:szCs w:val="19"/>
          <w:color w:val="auto"/>
        </w:rPr>
        <w:t xml:space="preserve">SECTION 3.14. </w:t>
      </w:r>
      <w:r>
        <w:rPr>
          <w:rFonts w:ascii="Times New Roman" w:cs="Times New Roman" w:eastAsia="Times New Roman" w:hAnsi="Times New Roman"/>
          <w:sz w:val="19"/>
          <w:szCs w:val="19"/>
          <w:u w:val="single" w:color="auto"/>
          <w:color w:val="auto"/>
        </w:rPr>
        <w:t>Affiliate Agreements</w:t>
      </w:r>
      <w:r>
        <w:rPr>
          <w:rFonts w:ascii="Times New Roman" w:cs="Times New Roman" w:eastAsia="Times New Roman" w:hAnsi="Times New Roman"/>
          <w:sz w:val="19"/>
          <w:szCs w:val="19"/>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1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3.15. </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29" w:name="page230"/>
    <w:bookmarkEnd w:id="229"/>
    <w:p>
      <w:pPr>
        <w:spacing w:after="0" w:line="269" w:lineRule="exact"/>
        <w:rPr>
          <w:sz w:val="20"/>
          <w:szCs w:val="20"/>
          <w:color w:val="auto"/>
        </w:rPr>
      </w:pPr>
    </w:p>
    <w:p>
      <w:pPr>
        <w:ind w:left="1060" w:right="300" w:firstLine="864"/>
        <w:spacing w:after="0" w:line="256" w:lineRule="auto"/>
        <w:rPr>
          <w:sz w:val="20"/>
          <w:szCs w:val="20"/>
          <w:color w:val="auto"/>
        </w:rPr>
      </w:pPr>
      <w:r>
        <w:rPr>
          <w:rFonts w:ascii="Times New Roman" w:cs="Times New Roman" w:eastAsia="Times New Roman" w:hAnsi="Times New Roman"/>
          <w:sz w:val="19"/>
          <w:szCs w:val="19"/>
          <w:color w:val="auto"/>
        </w:rPr>
        <w:t>(a)None of the Borrower or any of its Subsidiaries, nor, to the knowledge of the Borrower, any of their respective directors, officers or authorized signors (i) is a person on the list of Specially Designated Nationals and Blocked Persons or the subject or target of, the limitations or prohibitions (collectively, “</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under (A) any U.S. Department of Treasury’s Office of Foreign Assets Control or U.S. Department of State regulation or executive order or (B) any international economic sanction administered or enforced by the United Nations Security Council, His Majesty’s Treasury or the European Union or (ii) is located, organized or resident in a Sanctioned Country.</w:t>
      </w:r>
    </w:p>
    <w:p>
      <w:pPr>
        <w:spacing w:after="0" w:line="157" w:lineRule="exact"/>
        <w:rPr>
          <w:sz w:val="20"/>
          <w:szCs w:val="20"/>
          <w:color w:val="auto"/>
        </w:rPr>
      </w:pPr>
    </w:p>
    <w:p>
      <w:pPr>
        <w:ind w:left="1060" w:right="620" w:firstLine="864"/>
        <w:spacing w:after="0" w:line="262" w:lineRule="auto"/>
        <w:rPr>
          <w:sz w:val="20"/>
          <w:szCs w:val="20"/>
          <w:color w:val="auto"/>
        </w:rPr>
      </w:pPr>
      <w:r>
        <w:rPr>
          <w:rFonts w:ascii="Times New Roman" w:cs="Times New Roman" w:eastAsia="Times New Roman" w:hAnsi="Times New Roman"/>
          <w:sz w:val="19"/>
          <w:szCs w:val="19"/>
          <w:color w:val="auto"/>
        </w:rPr>
        <w:t>(b)The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50" w:lineRule="exact"/>
        <w:rPr>
          <w:sz w:val="20"/>
          <w:szCs w:val="20"/>
          <w:color w:val="auto"/>
        </w:rPr>
      </w:pPr>
    </w:p>
    <w:p>
      <w:pPr>
        <w:ind w:left="1060" w:right="60" w:firstLine="864"/>
        <w:spacing w:after="0" w:line="252" w:lineRule="auto"/>
        <w:rPr>
          <w:sz w:val="20"/>
          <w:szCs w:val="20"/>
          <w:color w:val="auto"/>
        </w:rPr>
      </w:pPr>
      <w:r>
        <w:rPr>
          <w:rFonts w:ascii="Times New Roman" w:cs="Times New Roman" w:eastAsia="Times New Roman" w:hAnsi="Times New Roman"/>
          <w:sz w:val="19"/>
          <w:szCs w:val="19"/>
          <w:color w:val="auto"/>
        </w:rPr>
        <w:t xml:space="preserve">SECTION 3.16.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or</w:t>
      </w:r>
    </w:p>
    <w:p>
      <w:pPr>
        <w:spacing w:after="0" w:line="6" w:lineRule="exact"/>
        <w:rPr>
          <w:sz w:val="20"/>
          <w:szCs w:val="20"/>
          <w:color w:val="auto"/>
        </w:rPr>
      </w:pPr>
    </w:p>
    <w:p>
      <w:pPr>
        <w:ind w:left="1060" w:right="80" w:hanging="10"/>
        <w:spacing w:after="0" w:line="256" w:lineRule="auto"/>
        <w:tabs>
          <w:tab w:leader="none" w:pos="134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purpose of financing the activities in or with any Sanctioned Country, or of any Person, at the time of such financing (A) the subject or target of any Sanctions or (B) located, organized or resident in a Sanctioned Country, in each case as would result in a violation of Sanctions.</w:t>
      </w:r>
    </w:p>
    <w:p>
      <w:pPr>
        <w:spacing w:after="0" w:line="155" w:lineRule="exact"/>
        <w:rPr>
          <w:sz w:val="20"/>
          <w:szCs w:val="20"/>
          <w:color w:val="auto"/>
        </w:rPr>
      </w:pPr>
    </w:p>
    <w:p>
      <w:pPr>
        <w:ind w:left="1060" w:right="240" w:firstLine="864"/>
        <w:spacing w:after="0" w:line="256" w:lineRule="auto"/>
        <w:rPr>
          <w:sz w:val="20"/>
          <w:szCs w:val="20"/>
          <w:color w:val="auto"/>
        </w:rPr>
      </w:pPr>
      <w:r>
        <w:rPr>
          <w:rFonts w:ascii="Times New Roman" w:cs="Times New Roman" w:eastAsia="Times New Roman" w:hAnsi="Times New Roman"/>
          <w:sz w:val="19"/>
          <w:szCs w:val="19"/>
          <w:color w:val="auto"/>
        </w:rPr>
        <w:t xml:space="preserve">SECTION 3.17. </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xml:space="preserve">. The provisions of the Security Documents are effective to create in favor of the Collateral Agent a legal, valid and enforceable first priority Lien (subject to Liens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on all right, title and interest of the Borrower and each Subsidiary Guarantor in the Collateral described therein except for any failure that would not constitute an Event of Default under clause</w:t>
      </w:r>
    </w:p>
    <w:p>
      <w:pPr>
        <w:spacing w:after="0" w:line="2" w:lineRule="exact"/>
        <w:rPr>
          <w:sz w:val="20"/>
          <w:szCs w:val="20"/>
          <w:color w:val="auto"/>
        </w:rPr>
      </w:pPr>
    </w:p>
    <w:p>
      <w:pPr>
        <w:ind w:left="1060" w:right="100" w:hanging="10"/>
        <w:spacing w:after="0" w:line="253" w:lineRule="auto"/>
        <w:tabs>
          <w:tab w:leader="none" w:pos="133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Article VII. Except for filings completed on or prior to the Effective Date and as contemplated hereby and by the Security Documents and the taking of possession or control by the Collateral Agent of the Collateral with respect to which a security interest may be perfected by possession or control, no filing or other action will be necessary to perfect such Liens, to the extent required thereunder, except for the failure to make any filing or take any other action that would not constitute an Event of Default under clause (q) of Article VII.</w:t>
      </w:r>
    </w:p>
    <w:p>
      <w:pPr>
        <w:spacing w:after="0" w:line="159" w:lineRule="exact"/>
        <w:rPr>
          <w:sz w:val="20"/>
          <w:szCs w:val="20"/>
          <w:color w:val="auto"/>
        </w:rPr>
      </w:pPr>
    </w:p>
    <w:p>
      <w:pPr>
        <w:ind w:left="1060" w:right="420" w:firstLine="864"/>
        <w:spacing w:after="0" w:line="286" w:lineRule="auto"/>
        <w:rPr>
          <w:sz w:val="20"/>
          <w:szCs w:val="20"/>
          <w:color w:val="auto"/>
        </w:rPr>
      </w:pPr>
      <w:r>
        <w:rPr>
          <w:rFonts w:ascii="Times New Roman" w:cs="Times New Roman" w:eastAsia="Times New Roman" w:hAnsi="Times New Roman"/>
          <w:sz w:val="19"/>
          <w:szCs w:val="19"/>
          <w:color w:val="auto"/>
        </w:rPr>
        <w:t xml:space="preserve">SECTION 3.18. </w:t>
      </w:r>
      <w:r>
        <w:rPr>
          <w:rFonts w:ascii="Times New Roman" w:cs="Times New Roman" w:eastAsia="Times New Roman" w:hAnsi="Times New Roman"/>
          <w:sz w:val="19"/>
          <w:szCs w:val="19"/>
          <w:u w:val="single" w:color="auto"/>
          <w:color w:val="auto"/>
        </w:rPr>
        <w:t>EEA Financial Institutions</w:t>
      </w:r>
      <w:r>
        <w:rPr>
          <w:rFonts w:ascii="Times New Roman" w:cs="Times New Roman" w:eastAsia="Times New Roman" w:hAnsi="Times New Roman"/>
          <w:sz w:val="19"/>
          <w:szCs w:val="19"/>
          <w:color w:val="auto"/>
        </w:rPr>
        <w:t>. Neither the Borrower nor any Subsidiary is an EEA Financial Institution.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30" w:name="page231"/>
    <w:bookmarkEnd w:id="230"/>
    <w:p>
      <w:pPr>
        <w:spacing w:after="0" w:line="269"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color w:val="auto"/>
        </w:rPr>
        <w:t>ARTICLE</w:t>
      </w:r>
    </w:p>
    <w:p>
      <w:pPr>
        <w:spacing w:after="0" w:line="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IV</w:t>
      </w:r>
    </w:p>
    <w:p>
      <w:pPr>
        <w:spacing w:after="0" w:line="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u w:val="single" w:color="auto"/>
          <w:color w:val="auto"/>
        </w:rPr>
        <w:t>CONDITIONS</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 xml:space="preserve">SECTION 4.01.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The effectiveness of this Agreement and of the</w:t>
      </w:r>
    </w:p>
    <w:p>
      <w:pPr>
        <w:spacing w:after="0" w:line="10" w:lineRule="exact"/>
        <w:rPr>
          <w:sz w:val="20"/>
          <w:szCs w:val="20"/>
          <w:color w:val="auto"/>
        </w:rPr>
      </w:pPr>
    </w:p>
    <w:p>
      <w:pPr>
        <w:jc w:val="both"/>
        <w:ind w:left="1060" w:right="320"/>
        <w:spacing w:after="0" w:line="256" w:lineRule="auto"/>
        <w:rPr>
          <w:sz w:val="20"/>
          <w:szCs w:val="20"/>
          <w:color w:val="auto"/>
        </w:rPr>
      </w:pPr>
      <w:r>
        <w:rPr>
          <w:rFonts w:ascii="Times New Roman" w:cs="Times New Roman" w:eastAsia="Times New Roman" w:hAnsi="Times New Roman"/>
          <w:sz w:val="19"/>
          <w:szCs w:val="19"/>
          <w:color w:val="auto"/>
        </w:rPr>
        <w:t xml:space="preserve">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1060" w:right="24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(a)Documents</w:t>
      </w:r>
      <w:r>
        <w:rPr>
          <w:rFonts w:ascii="Times New Roman" w:cs="Times New Roman" w:eastAsia="Times New Roman" w:hAnsi="Times New Roman"/>
          <w:sz w:val="19"/>
          <w:szCs w:val="19"/>
          <w:color w:val="auto"/>
        </w:rPr>
        <w:t>. Administrative Agent shall have received each of the following documents, each of which shall be satisfactory to the Administrative Agent (and to the extent specified below to each Lender) in form and substance:</w:t>
      </w:r>
    </w:p>
    <w:p>
      <w:pPr>
        <w:spacing w:after="0" w:line="144" w:lineRule="exact"/>
        <w:rPr>
          <w:sz w:val="20"/>
          <w:szCs w:val="20"/>
          <w:color w:val="auto"/>
        </w:rPr>
      </w:pPr>
    </w:p>
    <w:p>
      <w:pPr>
        <w:ind w:left="1760" w:right="340" w:firstLine="936"/>
        <w:spacing w:after="0" w:line="262" w:lineRule="auto"/>
        <w:rPr>
          <w:sz w:val="20"/>
          <w:szCs w:val="20"/>
          <w:color w:val="auto"/>
        </w:rPr>
      </w:pPr>
      <w:r>
        <w:rPr>
          <w:rFonts w:ascii="Times New Roman" w:cs="Times New Roman" w:eastAsia="Times New Roman" w:hAnsi="Times New Roman"/>
          <w:sz w:val="19"/>
          <w:szCs w:val="19"/>
          <w:u w:val="single" w:color="auto"/>
          <w:color w:val="auto"/>
        </w:rPr>
        <w:t>(i)Executed Counterparts</w:t>
      </w:r>
      <w:r>
        <w:rPr>
          <w:rFonts w:ascii="Times New Roman" w:cs="Times New Roman" w:eastAsia="Times New Roman" w:hAnsi="Times New Roman"/>
          <w:sz w:val="19"/>
          <w:szCs w:val="19"/>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50" w:lineRule="exact"/>
        <w:rPr>
          <w:sz w:val="20"/>
          <w:szCs w:val="20"/>
          <w:color w:val="auto"/>
        </w:rPr>
      </w:pPr>
    </w:p>
    <w:p>
      <w:pPr>
        <w:ind w:left="1760" w:right="460" w:firstLine="936"/>
        <w:spacing w:after="0" w:line="262" w:lineRule="auto"/>
        <w:rPr>
          <w:sz w:val="20"/>
          <w:szCs w:val="20"/>
          <w:color w:val="auto"/>
        </w:rPr>
      </w:pPr>
      <w:r>
        <w:rPr>
          <w:rFonts w:ascii="Times New Roman" w:cs="Times New Roman" w:eastAsia="Times New Roman" w:hAnsi="Times New Roman"/>
          <w:sz w:val="19"/>
          <w:szCs w:val="19"/>
          <w:u w:val="single" w:color="auto"/>
          <w:color w:val="auto"/>
        </w:rPr>
        <w:t>(ii)Opinion of Counsel to the Borrower</w:t>
      </w:r>
      <w:r>
        <w:rPr>
          <w:rFonts w:ascii="Times New Roman" w:cs="Times New Roman" w:eastAsia="Times New Roman" w:hAnsi="Times New Roman"/>
          <w:sz w:val="19"/>
          <w:szCs w:val="19"/>
          <w:color w:val="auto"/>
        </w:rPr>
        <w:t>. A favorable written opinion (addressed to the Administrative Agent and the Lenders and dated the Effective Date) of</w:t>
      </w:r>
    </w:p>
    <w:p>
      <w:pPr>
        <w:spacing w:after="0" w:line="1" w:lineRule="exact"/>
        <w:rPr>
          <w:sz w:val="20"/>
          <w:szCs w:val="20"/>
          <w:color w:val="auto"/>
        </w:rPr>
      </w:pPr>
    </w:p>
    <w:p>
      <w:pPr>
        <w:ind w:left="1760" w:right="180" w:hanging="1"/>
        <w:spacing w:after="0" w:line="253" w:lineRule="auto"/>
        <w:tabs>
          <w:tab w:leader="none" w:pos="207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59" w:lineRule="exact"/>
        <w:rPr>
          <w:sz w:val="20"/>
          <w:szCs w:val="20"/>
          <w:color w:val="auto"/>
        </w:rPr>
      </w:pPr>
    </w:p>
    <w:p>
      <w:pPr>
        <w:ind w:left="1760" w:right="140" w:firstLine="948"/>
        <w:spacing w:after="0" w:line="259" w:lineRule="auto"/>
        <w:rPr>
          <w:sz w:val="20"/>
          <w:szCs w:val="20"/>
          <w:color w:val="auto"/>
        </w:rPr>
      </w:pPr>
      <w:r>
        <w:rPr>
          <w:rFonts w:ascii="Times New Roman" w:cs="Times New Roman" w:eastAsia="Times New Roman" w:hAnsi="Times New Roman"/>
          <w:sz w:val="19"/>
          <w:szCs w:val="19"/>
          <w:u w:val="single" w:color="auto"/>
          <w:color w:val="auto"/>
        </w:rPr>
        <w:t>(iii)Corporate Documents</w:t>
      </w:r>
      <w:r>
        <w:rPr>
          <w:rFonts w:ascii="Times New Roman" w:cs="Times New Roman" w:eastAsia="Times New Roman" w:hAnsi="Times New Roman"/>
          <w:sz w:val="19"/>
          <w:szCs w:val="19"/>
          <w:color w:val="auto"/>
        </w:rPr>
        <w:t xml:space="preserve"> .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54" w:lineRule="exact"/>
        <w:rPr>
          <w:sz w:val="20"/>
          <w:szCs w:val="20"/>
          <w:color w:val="auto"/>
        </w:rPr>
      </w:pPr>
    </w:p>
    <w:p>
      <w:pPr>
        <w:ind w:left="1760" w:right="520" w:firstLine="936"/>
        <w:spacing w:after="0" w:line="262" w:lineRule="auto"/>
        <w:rPr>
          <w:sz w:val="20"/>
          <w:szCs w:val="20"/>
          <w:color w:val="auto"/>
        </w:rPr>
      </w:pPr>
      <w:r>
        <w:rPr>
          <w:rFonts w:ascii="Times New Roman" w:cs="Times New Roman" w:eastAsia="Times New Roman" w:hAnsi="Times New Roman"/>
          <w:sz w:val="19"/>
          <w:szCs w:val="19"/>
          <w:u w:val="single" w:color="auto"/>
          <w:color w:val="auto"/>
        </w:rPr>
        <w:t>(iv)Officer’s Certificate</w:t>
      </w:r>
      <w:r>
        <w:rPr>
          <w:rFonts w:ascii="Times New Roman" w:cs="Times New Roman" w:eastAsia="Times New Roman" w:hAnsi="Times New Roman"/>
          <w:sz w:val="19"/>
          <w:szCs w:val="19"/>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jc w:val="both"/>
        <w:ind w:left="1060" w:right="26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(b)Fees and Expenses</w:t>
      </w:r>
      <w:r>
        <w:rPr>
          <w:rFonts w:ascii="Times New Roman" w:cs="Times New Roman" w:eastAsia="Times New Roman" w:hAnsi="Times New Roman"/>
          <w:sz w:val="19"/>
          <w:szCs w:val="19"/>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144" w:lineRule="exact"/>
        <w:rPr>
          <w:sz w:val="20"/>
          <w:szCs w:val="20"/>
          <w:color w:val="auto"/>
        </w:rPr>
      </w:pPr>
    </w:p>
    <w:p>
      <w:pPr>
        <w:ind w:left="1060" w:right="300" w:firstLine="864"/>
        <w:spacing w:after="0" w:line="286" w:lineRule="auto"/>
        <w:rPr>
          <w:sz w:val="20"/>
          <w:szCs w:val="20"/>
          <w:color w:val="auto"/>
        </w:rPr>
      </w:pPr>
      <w:r>
        <w:rPr>
          <w:rFonts w:ascii="Times New Roman" w:cs="Times New Roman" w:eastAsia="Times New Roman" w:hAnsi="Times New Roman"/>
          <w:sz w:val="19"/>
          <w:szCs w:val="19"/>
          <w:color w:val="auto"/>
        </w:rPr>
        <w:t xml:space="preserve">SECTION 4.02. </w:t>
      </w:r>
      <w:r>
        <w:rPr>
          <w:rFonts w:ascii="Times New Roman" w:cs="Times New Roman" w:eastAsia="Times New Roman" w:hAnsi="Times New Roman"/>
          <w:sz w:val="19"/>
          <w:szCs w:val="19"/>
          <w:u w:val="single" w:color="auto"/>
          <w:color w:val="auto"/>
        </w:rPr>
        <w:t>Each Credit Event</w:t>
      </w:r>
      <w:r>
        <w:rPr>
          <w:rFonts w:ascii="Times New Roman" w:cs="Times New Roman" w:eastAsia="Times New Roman" w:hAnsi="Times New Roman"/>
          <w:sz w:val="19"/>
          <w:szCs w:val="19"/>
          <w:color w:val="auto"/>
        </w:rPr>
        <w:t>. The obligation of each Lender to make any Loan, and of each Issuing Bank to issue, amend, renew or extend any Letter of Credit, is additionally subject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31" w:name="page232"/>
    <w:bookmarkEnd w:id="231"/>
    <w:p>
      <w:pPr>
        <w:spacing w:after="0" w:line="200" w:lineRule="exact"/>
        <w:rPr>
          <w:sz w:val="20"/>
          <w:szCs w:val="20"/>
          <w:color w:val="auto"/>
        </w:rPr>
      </w:pPr>
    </w:p>
    <w:p>
      <w:pPr>
        <w:spacing w:after="0" w:line="213"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9"/>
          <w:szCs w:val="19"/>
          <w:color w:val="auto"/>
        </w:rPr>
        <w:t>to the satisfaction of the following conditions: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32" w:name="page233"/>
    <w:bookmarkEnd w:id="232"/>
    <w:p>
      <w:pPr>
        <w:spacing w:after="0" w:line="269" w:lineRule="exact"/>
        <w:rPr>
          <w:sz w:val="20"/>
          <w:szCs w:val="20"/>
          <w:color w:val="auto"/>
        </w:rPr>
      </w:pPr>
    </w:p>
    <w:p>
      <w:pPr>
        <w:ind w:left="1060" w:right="60" w:firstLine="864"/>
        <w:spacing w:after="0" w:line="259" w:lineRule="auto"/>
        <w:rPr>
          <w:sz w:val="20"/>
          <w:szCs w:val="20"/>
          <w:color w:val="auto"/>
        </w:rPr>
      </w:pPr>
      <w:r>
        <w:rPr>
          <w:rFonts w:ascii="Times New Roman" w:cs="Times New Roman" w:eastAsia="Times New Roman" w:hAnsi="Times New Roman"/>
          <w:sz w:val="19"/>
          <w:szCs w:val="19"/>
          <w:color w:val="auto"/>
        </w:rPr>
        <w:t>(a)the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54" w:lineRule="exact"/>
        <w:rPr>
          <w:sz w:val="20"/>
          <w:szCs w:val="20"/>
          <w:color w:val="auto"/>
        </w:rPr>
      </w:pPr>
    </w:p>
    <w:p>
      <w:pPr>
        <w:ind w:left="1060" w:right="220" w:firstLine="864"/>
        <w:spacing w:after="0" w:line="268" w:lineRule="auto"/>
        <w:rPr>
          <w:sz w:val="20"/>
          <w:szCs w:val="20"/>
          <w:color w:val="auto"/>
        </w:rPr>
      </w:pPr>
      <w:r>
        <w:rPr>
          <w:rFonts w:ascii="Times New Roman" w:cs="Times New Roman" w:eastAsia="Times New Roman" w:hAnsi="Times New Roman"/>
          <w:sz w:val="19"/>
          <w:szCs w:val="19"/>
          <w:color w:val="auto"/>
        </w:rPr>
        <w:t>(b)at the time of and immediately after giving effect to such Loan or the issuance, amendment, renewal or extension of such Letter of Credit, as applicable, no Default shall have occurred and be continuing; and</w:t>
      </w:r>
    </w:p>
    <w:p>
      <w:pPr>
        <w:spacing w:after="0" w:line="144" w:lineRule="exact"/>
        <w:rPr>
          <w:sz w:val="20"/>
          <w:szCs w:val="20"/>
          <w:color w:val="auto"/>
        </w:rPr>
      </w:pPr>
    </w:p>
    <w:p>
      <w:pPr>
        <w:ind w:left="1060" w:right="140" w:firstLine="864"/>
        <w:spacing w:after="0" w:line="256" w:lineRule="auto"/>
        <w:rPr>
          <w:sz w:val="20"/>
          <w:szCs w:val="20"/>
          <w:color w:val="auto"/>
        </w:rPr>
      </w:pPr>
      <w:r>
        <w:rPr>
          <w:rFonts w:ascii="Times New Roman" w:cs="Times New Roman" w:eastAsia="Times New Roman" w:hAnsi="Times New Roman"/>
          <w:sz w:val="19"/>
          <w:szCs w:val="19"/>
          <w:color w:val="auto"/>
        </w:rPr>
        <w:t>(c)either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57" w:lineRule="exact"/>
        <w:rPr>
          <w:sz w:val="20"/>
          <w:szCs w:val="20"/>
          <w:color w:val="auto"/>
        </w:rPr>
      </w:pPr>
    </w:p>
    <w:p>
      <w:pPr>
        <w:ind w:left="1060" w:right="440" w:firstLine="1728"/>
        <w:spacing w:after="0" w:line="262" w:lineRule="auto"/>
        <w:rPr>
          <w:sz w:val="20"/>
          <w:szCs w:val="20"/>
          <w:color w:val="auto"/>
        </w:rPr>
      </w:pPr>
      <w:r>
        <w:rPr>
          <w:rFonts w:ascii="Times New Roman" w:cs="Times New Roman" w:eastAsia="Times New Roman" w:hAnsi="Times New Roman"/>
          <w:sz w:val="19"/>
          <w:szCs w:val="19"/>
          <w:color w:val="auto"/>
        </w:rPr>
        <w:t>Each Borrowing (but, for the avoidance of doubt, not a continuation or conversion thereof) and each issuance, renewal or extension of a Letter of Credit shall be deemed to constitute a representation and warranty by the Borrower on the date thereof as to the matters specified in the preceding sentence.</w:t>
      </w:r>
    </w:p>
    <w:p>
      <w:pPr>
        <w:spacing w:after="0" w:line="1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9"/>
          <w:szCs w:val="19"/>
          <w:color w:val="auto"/>
        </w:rPr>
        <w:t>ARTICLE</w:t>
      </w:r>
    </w:p>
    <w:p>
      <w:pPr>
        <w:spacing w:after="0" w:line="32" w:lineRule="exact"/>
        <w:rPr>
          <w:sz w:val="20"/>
          <w:szCs w:val="20"/>
          <w:color w:val="auto"/>
        </w:rPr>
      </w:pPr>
    </w:p>
    <w:p>
      <w:pPr>
        <w:ind w:left="4120" w:right="4140" w:hanging="9"/>
        <w:spacing w:after="0" w:line="250" w:lineRule="auto"/>
        <w:tabs>
          <w:tab w:leader="none" w:pos="4312"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AFFIRMATIVE COVENANTS</w:t>
      </w:r>
    </w:p>
    <w:p>
      <w:pPr>
        <w:spacing w:after="0" w:line="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Until the Commitments have expired or been terminated and the principal of and</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accrued interest on each Loan and all fees payable hereunder (other than Unasserted Contingent Obligations)</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shall have been paid in full and all Letters of Credit shall have expired, been terminated, Cash Collateralized or</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backstopped and all LC Disbursements shall have been reimbursed, the Borrower covenants and agrees with</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the Lenders that:</w:t>
      </w:r>
    </w:p>
    <w:p>
      <w:pPr>
        <w:spacing w:after="0" w:line="18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 xml:space="preserve">SECTION 5.01. </w:t>
      </w:r>
      <w:r>
        <w:rPr>
          <w:rFonts w:ascii="Times New Roman" w:cs="Times New Roman" w:eastAsia="Times New Roman" w:hAnsi="Times New Roman"/>
          <w:sz w:val="19"/>
          <w:szCs w:val="19"/>
          <w:u w:val="single" w:color="auto"/>
          <w:color w:val="auto"/>
        </w:rPr>
        <w:t>Financial Statements and Other Information</w:t>
      </w:r>
      <w:r>
        <w:rPr>
          <w:rFonts w:ascii="Times New Roman" w:cs="Times New Roman" w:eastAsia="Times New Roman" w:hAnsi="Times New Roman"/>
          <w:sz w:val="19"/>
          <w:szCs w:val="19"/>
          <w:color w:val="auto"/>
        </w:rPr>
        <w:t>. The Borrower will furnish to the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Administrative Agent (for distribution to each Lender):</w:t>
      </w:r>
    </w:p>
    <w:p>
      <w:pPr>
        <w:spacing w:after="0" w:line="180" w:lineRule="exact"/>
        <w:rPr>
          <w:sz w:val="20"/>
          <w:szCs w:val="20"/>
          <w:color w:val="auto"/>
        </w:rPr>
      </w:pPr>
    </w:p>
    <w:p>
      <w:pPr>
        <w:ind w:left="1060" w:right="160" w:firstLine="864"/>
        <w:spacing w:after="0" w:line="255" w:lineRule="auto"/>
        <w:rPr>
          <w:sz w:val="20"/>
          <w:szCs w:val="20"/>
          <w:color w:val="auto"/>
        </w:rPr>
      </w:pPr>
      <w:r>
        <w:rPr>
          <w:rFonts w:ascii="Times New Roman" w:cs="Times New Roman" w:eastAsia="Times New Roman" w:hAnsi="Times New Roman"/>
          <w:sz w:val="19"/>
          <w:szCs w:val="19"/>
          <w:color w:val="auto"/>
        </w:rPr>
        <w:t>(a)within 90 days after the end of each fiscal year of the Borrower (or such longer period permitted pursuant to any orders, declarations, laws, regulations or letters issued by the Securities and Exchange Commission or any other government or regulatory authority, not to exceed one hundred twenty (120)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33" w:name="page234"/>
    <w:bookmarkEnd w:id="233"/>
    <w:p>
      <w:pPr>
        <w:spacing w:after="0" w:line="269" w:lineRule="exact"/>
        <w:rPr>
          <w:sz w:val="20"/>
          <w:szCs w:val="20"/>
          <w:color w:val="auto"/>
        </w:rPr>
      </w:pPr>
    </w:p>
    <w:p>
      <w:pPr>
        <w:ind w:left="1060" w:right="180"/>
        <w:spacing w:after="0" w:line="262" w:lineRule="auto"/>
        <w:rPr>
          <w:sz w:val="20"/>
          <w:szCs w:val="20"/>
          <w:color w:val="auto"/>
        </w:rPr>
      </w:pPr>
      <w:r>
        <w:rPr>
          <w:rFonts w:ascii="Times New Roman" w:cs="Times New Roman" w:eastAsia="Times New Roman" w:hAnsi="Times New Roman"/>
          <w:sz w:val="19"/>
          <w:szCs w:val="19"/>
          <w:color w:val="auto"/>
        </w:rPr>
        <w:t xml:space="preserve">and results of operations of the Borrower and its Subsidiaries on a consolidated basis in accordance with GAAP (except as disclosed therein) consistently applied;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requirements set forth in this </w:t>
      </w:r>
      <w:r>
        <w:rPr>
          <w:rFonts w:ascii="Times New Roman" w:cs="Times New Roman" w:eastAsia="Times New Roman" w:hAnsi="Times New Roman"/>
          <w:sz w:val="19"/>
          <w:szCs w:val="19"/>
          <w:u w:val="single" w:color="auto"/>
          <w:color w:val="auto"/>
        </w:rPr>
        <w:t>clause</w:t>
      </w:r>
    </w:p>
    <w:p>
      <w:pPr>
        <w:spacing w:after="0" w:line="1" w:lineRule="exact"/>
        <w:rPr>
          <w:sz w:val="20"/>
          <w:szCs w:val="20"/>
          <w:color w:val="auto"/>
        </w:rPr>
      </w:pPr>
    </w:p>
    <w:p>
      <w:pPr>
        <w:ind w:left="1060" w:right="320" w:hanging="10"/>
        <w:spacing w:after="0" w:line="262" w:lineRule="auto"/>
        <w:tabs>
          <w:tab w:leader="none" w:pos="1324" w:val="left"/>
        </w:tabs>
        <w:numPr>
          <w:ilvl w:val="0"/>
          <w:numId w:val="7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may be fulfilled by providing to the Administrative Agent the report of the Borrower to the SEC on Form 10-K for the applicable fiscal year;</w:t>
      </w:r>
    </w:p>
    <w:p>
      <w:pPr>
        <w:spacing w:after="0" w:line="149" w:lineRule="exact"/>
        <w:rPr>
          <w:sz w:val="20"/>
          <w:szCs w:val="20"/>
          <w:color w:val="auto"/>
        </w:rPr>
      </w:pPr>
    </w:p>
    <w:p>
      <w:pPr>
        <w:ind w:left="1060" w:right="160" w:firstLine="864"/>
        <w:spacing w:after="0" w:line="253" w:lineRule="auto"/>
        <w:rPr>
          <w:sz w:val="20"/>
          <w:szCs w:val="20"/>
          <w:color w:val="auto"/>
        </w:rPr>
      </w:pPr>
      <w:r>
        <w:rPr>
          <w:rFonts w:ascii="Times New Roman" w:cs="Times New Roman" w:eastAsia="Times New Roman" w:hAnsi="Times New Roman"/>
          <w:sz w:val="19"/>
          <w:szCs w:val="19"/>
          <w:color w:val="auto"/>
        </w:rPr>
        <w:t xml:space="preserve">(b)within 45 days after the end of each of the first three fiscal quarters of each fiscal year of the Borrower (or such longer period permitted pursuant to any orders, declarations, laws, regulations or letters issued by the SEC or any other government or regulatory authority, not to exceed seventy-five (75) days after the end of each of the first three (3)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(except as disclosed therein) consistently applied, subject to normal year -end audit adjustments and the absence of footnotes;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requirements set forth in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may be fulfilled by providing to the Administrative Agent the report of the Borrower to the SEC on Form 10-Q for the applicable quarterly period;</w:t>
      </w:r>
    </w:p>
    <w:p>
      <w:pPr>
        <w:spacing w:after="0" w:line="161" w:lineRule="exact"/>
        <w:rPr>
          <w:sz w:val="20"/>
          <w:szCs w:val="20"/>
          <w:color w:val="auto"/>
        </w:rPr>
      </w:pPr>
    </w:p>
    <w:p>
      <w:pPr>
        <w:ind w:left="1060" w:right="120" w:firstLine="864"/>
        <w:spacing w:after="0" w:line="253" w:lineRule="auto"/>
        <w:rPr>
          <w:sz w:val="20"/>
          <w:szCs w:val="20"/>
          <w:color w:val="auto"/>
        </w:rPr>
      </w:pPr>
      <w:r>
        <w:rPr>
          <w:rFonts w:ascii="Times New Roman" w:cs="Times New Roman" w:eastAsia="Times New Roman" w:hAnsi="Times New Roman"/>
          <w:sz w:val="19"/>
          <w:szCs w:val="19"/>
          <w:color w:val="auto"/>
        </w:rPr>
        <w:t xml:space="preserve">(c)concurrently with any delivery of financial statements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a certificate of a Financial Officer of the Borrower (i) certifying as to whether the Borrower has knowledge that a Default has occurred during the applicable period and, if a Default has occurred and is continuing, specifying the details thereof and any action taken or proposed to be taken with respect thereto, (ii) setting forth reasonably detailed calculations demonstrating compliance with </w:t>
      </w:r>
      <w:r>
        <w:rPr>
          <w:rFonts w:ascii="Times New Roman" w:cs="Times New Roman" w:eastAsia="Times New Roman" w:hAnsi="Times New Roman"/>
          <w:sz w:val="19"/>
          <w:szCs w:val="19"/>
          <w:u w:val="single" w:color="auto"/>
          <w:color w:val="auto"/>
        </w:rPr>
        <w:t>Sections 6. 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6.07</w:t>
      </w:r>
      <w:r>
        <w:rPr>
          <w:rFonts w:ascii="Times New Roman" w:cs="Times New Roman" w:eastAsia="Times New Roman" w:hAnsi="Times New Roman"/>
          <w:sz w:val="19"/>
          <w:szCs w:val="19"/>
          <w:color w:val="auto"/>
        </w:rPr>
        <w:t xml:space="preserve"> and (iii) stating whether any change in GAAP as applied by (or in the application of GAAP by) the Borrower has occurred since the Effective Date (but only if the Borrower has not previously reported such change to the Administrative Agent and if such change has had a material effect on the financial statements) and, if any such change has occurred, specifying the effect (unless such effect has been previously reported) as determined by the Borrower of such change on the financial statements accompanying such certificate;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requirements set forth in this clause (c)(iii) may be fulfilled by providing to the Administrative Agent the report of the Borrower to the SEC on Form 10-Q for the applicable quarterly period;</w:t>
      </w:r>
    </w:p>
    <w:p>
      <w:pPr>
        <w:spacing w:after="0" w:line="165" w:lineRule="exact"/>
        <w:rPr>
          <w:sz w:val="20"/>
          <w:szCs w:val="20"/>
          <w:color w:val="auto"/>
        </w:rPr>
      </w:pPr>
    </w:p>
    <w:p>
      <w:pPr>
        <w:ind w:left="1060" w:right="240" w:firstLine="864"/>
        <w:spacing w:after="0" w:line="256" w:lineRule="auto"/>
        <w:rPr>
          <w:sz w:val="20"/>
          <w:szCs w:val="20"/>
          <w:color w:val="auto"/>
        </w:rPr>
      </w:pPr>
      <w:r>
        <w:rPr>
          <w:rFonts w:ascii="Times New Roman" w:cs="Times New Roman" w:eastAsia="Times New Roman" w:hAnsi="Times New Roman"/>
          <w:sz w:val="19"/>
          <w:szCs w:val="19"/>
          <w:color w:val="auto"/>
        </w:rPr>
        <w:t xml:space="preserve">(d)as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Times New Roman" w:cs="Times New Roman" w:eastAsia="Times New Roman" w:hAnsi="Times New Roman"/>
          <w:sz w:val="19"/>
          <w:szCs w:val="19"/>
          <w:u w:val="single" w:color="auto"/>
          <w:color w:val="auto"/>
        </w:rPr>
        <w:t>Section 6.05(d)</w:t>
      </w:r>
      <w:r>
        <w:rPr>
          <w:rFonts w:ascii="Times New Roman" w:cs="Times New Roman" w:eastAsia="Times New Roman" w:hAnsi="Times New Roman"/>
          <w:sz w:val="19"/>
          <w:szCs w:val="19"/>
          <w:color w:val="auto"/>
        </w:rPr>
        <w:t xml:space="preserve">, such Borrowing Base Certificate shall certify that the condition set forth in </w:t>
      </w:r>
      <w:r>
        <w:rPr>
          <w:rFonts w:ascii="Times New Roman" w:cs="Times New Roman" w:eastAsia="Times New Roman" w:hAnsi="Times New Roman"/>
          <w:sz w:val="19"/>
          <w:szCs w:val="19"/>
          <w:u w:val="single" w:color="auto"/>
          <w:color w:val="auto"/>
        </w:rPr>
        <w:t>Section 6.05(d)(x)</w:t>
      </w:r>
      <w:r>
        <w:rPr>
          <w:rFonts w:ascii="Times New Roman" w:cs="Times New Roman" w:eastAsia="Times New Roman" w:hAnsi="Times New Roman"/>
          <w:sz w:val="19"/>
          <w:szCs w:val="19"/>
          <w:color w:val="auto"/>
        </w:rPr>
        <w:t xml:space="preserve"> was satisfied on the date of each such Restricted Payment;</w:t>
      </w:r>
    </w:p>
    <w:p>
      <w:pPr>
        <w:spacing w:after="0" w:line="1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(e)promptly but no later than five (5) Business Days after any Responsible Officer of the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34" w:name="page235"/>
    <w:bookmarkEnd w:id="234"/>
    <w:p>
      <w:pPr>
        <w:spacing w:after="0" w:line="269" w:lineRule="exact"/>
        <w:rPr>
          <w:sz w:val="20"/>
          <w:szCs w:val="20"/>
          <w:color w:val="auto"/>
        </w:rPr>
      </w:pPr>
    </w:p>
    <w:p>
      <w:pPr>
        <w:ind w:left="1060" w:right="200"/>
        <w:spacing w:after="0" w:line="257" w:lineRule="auto"/>
        <w:rPr>
          <w:sz w:val="20"/>
          <w:szCs w:val="20"/>
          <w:color w:val="auto"/>
        </w:rPr>
      </w:pPr>
      <w:r>
        <w:rPr>
          <w:rFonts w:ascii="Times New Roman" w:cs="Times New Roman" w:eastAsia="Times New Roman" w:hAnsi="Times New Roman"/>
          <w:sz w:val="19"/>
          <w:szCs w:val="19"/>
          <w:color w:val="auto"/>
        </w:rPr>
        <w:t>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157" w:lineRule="exact"/>
        <w:rPr>
          <w:sz w:val="20"/>
          <w:szCs w:val="20"/>
          <w:color w:val="auto"/>
        </w:rPr>
      </w:pPr>
    </w:p>
    <w:p>
      <w:pPr>
        <w:ind w:left="1060" w:right="80" w:firstLine="864"/>
        <w:spacing w:after="0" w:line="257" w:lineRule="auto"/>
        <w:rPr>
          <w:sz w:val="20"/>
          <w:szCs w:val="20"/>
          <w:color w:val="auto"/>
        </w:rPr>
      </w:pPr>
      <w:r>
        <w:rPr>
          <w:rFonts w:ascii="Times New Roman" w:cs="Times New Roman" w:eastAsia="Times New Roman" w:hAnsi="Times New Roman"/>
          <w:sz w:val="19"/>
          <w:szCs w:val="19"/>
          <w:color w:val="auto"/>
        </w:rPr>
        <w:t>(f)promptly upon receipt thereof, copies of all significant written reports submitted to management or the board of directors of the Borrower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 (other than the periodic reports that the Borrower’s independent auditors provide, in the ordinary course, to the audit committee of the Borrower’s board of directors);</w:t>
      </w:r>
    </w:p>
    <w:p>
      <w:pPr>
        <w:spacing w:after="0" w:line="157" w:lineRule="exact"/>
        <w:rPr>
          <w:sz w:val="20"/>
          <w:szCs w:val="20"/>
          <w:color w:val="auto"/>
        </w:rPr>
      </w:pPr>
    </w:p>
    <w:p>
      <w:pPr>
        <w:ind w:left="1060" w:right="60" w:firstLine="864"/>
        <w:spacing w:after="0" w:line="262" w:lineRule="auto"/>
        <w:rPr>
          <w:sz w:val="20"/>
          <w:szCs w:val="20"/>
          <w:color w:val="auto"/>
        </w:rPr>
      </w:pPr>
      <w:r>
        <w:rPr>
          <w:rFonts w:ascii="Times New Roman" w:cs="Times New Roman" w:eastAsia="Times New Roman" w:hAnsi="Times New Roman"/>
          <w:sz w:val="19"/>
          <w:szCs w:val="19"/>
          <w:color w:val="auto"/>
        </w:rPr>
        <w:t>(g)promptly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50" w:lineRule="exact"/>
        <w:rPr>
          <w:sz w:val="20"/>
          <w:szCs w:val="20"/>
          <w:color w:val="auto"/>
        </w:rPr>
      </w:pPr>
    </w:p>
    <w:p>
      <w:pPr>
        <w:ind w:left="1060" w:right="120" w:firstLine="864"/>
        <w:spacing w:after="0" w:line="262" w:lineRule="auto"/>
        <w:rPr>
          <w:sz w:val="20"/>
          <w:szCs w:val="20"/>
          <w:color w:val="auto"/>
        </w:rPr>
      </w:pPr>
      <w:r>
        <w:rPr>
          <w:rFonts w:ascii="Times New Roman" w:cs="Times New Roman" w:eastAsia="Times New Roman" w:hAnsi="Times New Roman"/>
          <w:sz w:val="19"/>
          <w:szCs w:val="19"/>
          <w:color w:val="auto"/>
        </w:rPr>
        <w:t>(h)promptly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(acting through the Administrative Agent) may reasonably request.</w:t>
      </w:r>
    </w:p>
    <w:p>
      <w:pPr>
        <w:spacing w:after="0" w:line="15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(i)Borrower and each Lender acknowledge that certain of the Lenders may be Public Lenders and, if</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documents or notices required to be delivered pursuant to this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or otherwise are being distributed</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through IntraLinks/IntraAgency, SyndTrak or another relevant website or other information platform (the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any document or notice that Borrower has indicated contains Non-Public Information shall not be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posted by Administrative Agent on that portion of the Platform designated for such Public Lenders. Borrower</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agrees to clearly designate all information provided to Administrative Agent by or on behalf of Borrower or any</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of its Subsidiaries which is suitable to make available to Public Lenders. If Borrower has not indicated whether</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a document or notice delivered pursuant to this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contains Non-Public Information, the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Administrative Agent reserves the right to post such document or notice solely on that portion of the Platform</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designated for Lenders who wish to receive material Non-Public Information with respect to Borrower, its</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Subsidiaries and their Securities (as such term is defined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of this Agreement).</w:t>
      </w:r>
    </w:p>
    <w:p>
      <w:pPr>
        <w:spacing w:after="0" w:line="180" w:lineRule="exact"/>
        <w:rPr>
          <w:sz w:val="20"/>
          <w:szCs w:val="20"/>
          <w:color w:val="auto"/>
        </w:rPr>
      </w:pPr>
    </w:p>
    <w:p>
      <w:pPr>
        <w:jc w:val="both"/>
        <w:ind w:left="1060" w:right="140" w:firstLine="864"/>
        <w:spacing w:after="0" w:line="268" w:lineRule="auto"/>
        <w:rPr>
          <w:sz w:val="20"/>
          <w:szCs w:val="20"/>
          <w:color w:val="auto"/>
        </w:rPr>
      </w:pPr>
      <w:r>
        <w:rPr>
          <w:rFonts w:ascii="Times New Roman" w:cs="Times New Roman" w:eastAsia="Times New Roman" w:hAnsi="Times New Roman"/>
          <w:sz w:val="19"/>
          <w:szCs w:val="19"/>
          <w:color w:val="auto"/>
        </w:rPr>
        <w:t xml:space="preserve">(j)Notwithstanding anything to the contrary herein, the requirements to deliver documents set forth in </w:t>
      </w:r>
      <w:r>
        <w:rPr>
          <w:rFonts w:ascii="Times New Roman" w:cs="Times New Roman" w:eastAsia="Times New Roman" w:hAnsi="Times New Roman"/>
          <w:sz w:val="19"/>
          <w:szCs w:val="19"/>
          <w:u w:val="single" w:color="auto"/>
          <w:color w:val="auto"/>
        </w:rPr>
        <w:t>Section 5.01(a)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will be fulfilled by filing by the Borrower of the applicable documents for public availability on the SEC’s Electronic Data Gathering 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35" w:name="page236"/>
    <w:bookmarkEnd w:id="235"/>
    <w:p>
      <w:pPr>
        <w:spacing w:after="0" w:line="269" w:lineRule="exact"/>
        <w:rPr>
          <w:sz w:val="20"/>
          <w:szCs w:val="20"/>
          <w:color w:val="auto"/>
        </w:rPr>
      </w:pPr>
    </w:p>
    <w:p>
      <w:pPr>
        <w:ind w:left="1060" w:right="140"/>
        <w:spacing w:after="0" w:line="286" w:lineRule="auto"/>
        <w:rPr>
          <w:sz w:val="20"/>
          <w:szCs w:val="20"/>
          <w:color w:val="auto"/>
        </w:rPr>
      </w:pPr>
      <w:r>
        <w:rPr>
          <w:rFonts w:ascii="Times New Roman" w:cs="Times New Roman" w:eastAsia="Times New Roman" w:hAnsi="Times New Roman"/>
          <w:sz w:val="19"/>
          <w:szCs w:val="19"/>
          <w:color w:val="auto"/>
        </w:rPr>
        <w:t xml:space="preserve">Retrieval system;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 that the Borrower shall notify the Administrative Agent (by telecopier or electronic mail) of the posting of any such documents.</w:t>
      </w:r>
    </w:p>
    <w:p>
      <w:pPr>
        <w:spacing w:after="0" w:line="127" w:lineRule="exact"/>
        <w:rPr>
          <w:sz w:val="20"/>
          <w:szCs w:val="20"/>
          <w:color w:val="auto"/>
        </w:rPr>
      </w:pPr>
    </w:p>
    <w:p>
      <w:pPr>
        <w:ind w:left="1060" w:right="160" w:firstLine="864"/>
        <w:spacing w:after="0" w:line="268" w:lineRule="auto"/>
        <w:rPr>
          <w:sz w:val="20"/>
          <w:szCs w:val="20"/>
          <w:color w:val="auto"/>
        </w:rPr>
      </w:pPr>
      <w:r>
        <w:rPr>
          <w:rFonts w:ascii="Times New Roman" w:cs="Times New Roman" w:eastAsia="Times New Roman" w:hAnsi="Times New Roman"/>
          <w:sz w:val="19"/>
          <w:szCs w:val="19"/>
          <w:color w:val="auto"/>
        </w:rPr>
        <w:t xml:space="preserve">SECTION 5.02. </w:t>
      </w:r>
      <w:r>
        <w:rPr>
          <w:rFonts w:ascii="Times New Roman" w:cs="Times New Roman" w:eastAsia="Times New Roman" w:hAnsi="Times New Roman"/>
          <w:sz w:val="19"/>
          <w:szCs w:val="19"/>
          <w:u w:val="single" w:color="auto"/>
          <w:color w:val="auto"/>
        </w:rPr>
        <w:t>Notices of Material Events</w:t>
      </w:r>
      <w:r>
        <w:rPr>
          <w:rFonts w:ascii="Times New Roman" w:cs="Times New Roman" w:eastAsia="Times New Roman" w:hAnsi="Times New Roman"/>
          <w:sz w:val="19"/>
          <w:szCs w:val="19"/>
          <w:color w:val="auto"/>
        </w:rPr>
        <w:t xml:space="preserve"> . The Borrower will furnish to the Administrative Agent (for distribution to each Lender) prompt written notice upon any Responsible Officer obtaining knowledge of the following:</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(a)the occurrence of any Default;</w:t>
      </w:r>
    </w:p>
    <w:p>
      <w:pPr>
        <w:spacing w:after="0" w:line="202" w:lineRule="exact"/>
        <w:rPr>
          <w:sz w:val="20"/>
          <w:szCs w:val="20"/>
          <w:color w:val="auto"/>
        </w:rPr>
      </w:pPr>
    </w:p>
    <w:p>
      <w:pPr>
        <w:ind w:left="1060" w:right="360" w:firstLine="864"/>
        <w:spacing w:after="0" w:line="268" w:lineRule="auto"/>
        <w:rPr>
          <w:sz w:val="20"/>
          <w:szCs w:val="20"/>
          <w:color w:val="auto"/>
        </w:rPr>
      </w:pPr>
      <w:r>
        <w:rPr>
          <w:rFonts w:ascii="Times New Roman" w:cs="Times New Roman" w:eastAsia="Times New Roman" w:hAnsi="Times New Roman"/>
          <w:sz w:val="19"/>
          <w:szCs w:val="19"/>
          <w:color w:val="auto"/>
        </w:rPr>
        <w:t>(b)the filing or commencement of any action, suit or proceeding by or before any arbitrator or Governmental Authority against the Borrower or any of its Subsidiaries that, if adversely determined, would reasonably be expected to result in a Material Adverse Effect;</w:t>
      </w:r>
    </w:p>
    <w:p>
      <w:pPr>
        <w:spacing w:after="0" w:line="144" w:lineRule="exact"/>
        <w:rPr>
          <w:sz w:val="20"/>
          <w:szCs w:val="20"/>
          <w:color w:val="auto"/>
        </w:rPr>
      </w:pPr>
    </w:p>
    <w:p>
      <w:pPr>
        <w:ind w:left="1060" w:right="240" w:firstLine="864"/>
        <w:spacing w:after="0" w:line="268" w:lineRule="auto"/>
        <w:rPr>
          <w:sz w:val="20"/>
          <w:szCs w:val="20"/>
          <w:color w:val="auto"/>
        </w:rPr>
      </w:pPr>
      <w:r>
        <w:rPr>
          <w:rFonts w:ascii="Times New Roman" w:cs="Times New Roman" w:eastAsia="Times New Roman" w:hAnsi="Times New Roman"/>
          <w:sz w:val="19"/>
          <w:szCs w:val="19"/>
          <w:color w:val="auto"/>
        </w:rPr>
        <w:t>(c)the occurrence of any ERISA Event that, alone or together with any other ERISA Events that have occurred after the Effective Date, would reasonably be expected to result in liability of the Borrower and its Subsidiaries in an aggregate amount exceeding $50,000,000; and</w:t>
      </w:r>
    </w:p>
    <w:p>
      <w:pPr>
        <w:spacing w:after="0" w:line="144" w:lineRule="exact"/>
        <w:rPr>
          <w:sz w:val="20"/>
          <w:szCs w:val="20"/>
          <w:color w:val="auto"/>
        </w:rPr>
      </w:pPr>
    </w:p>
    <w:p>
      <w:pPr>
        <w:ind w:left="1060" w:right="240" w:firstLine="864"/>
        <w:spacing w:after="0" w:line="268" w:lineRule="auto"/>
        <w:rPr>
          <w:sz w:val="20"/>
          <w:szCs w:val="20"/>
          <w:color w:val="auto"/>
        </w:rPr>
      </w:pPr>
      <w:r>
        <w:rPr>
          <w:rFonts w:ascii="Times New Roman" w:cs="Times New Roman" w:eastAsia="Times New Roman" w:hAnsi="Times New Roman"/>
          <w:sz w:val="19"/>
          <w:szCs w:val="19"/>
          <w:color w:val="auto"/>
        </w:rPr>
        <w:t>(d)any other development (excluding matters of a general economic, financial or political nature to the extent that they could not reasonably be expected to have a disproportionate effect on the Borrower) that results in, or would reasonably be expected to result in, a Material Adverse Effect.</w:t>
      </w:r>
    </w:p>
    <w:p>
      <w:pPr>
        <w:spacing w:after="0" w:line="144" w:lineRule="exact"/>
        <w:rPr>
          <w:sz w:val="20"/>
          <w:szCs w:val="20"/>
          <w:color w:val="auto"/>
        </w:rPr>
      </w:pPr>
    </w:p>
    <w:p>
      <w:pPr>
        <w:ind w:left="1060" w:right="660" w:firstLine="1728"/>
        <w:spacing w:after="0" w:line="268" w:lineRule="auto"/>
        <w:rPr>
          <w:sz w:val="20"/>
          <w:szCs w:val="20"/>
          <w:color w:val="auto"/>
        </w:rPr>
      </w:pPr>
      <w:r>
        <w:rPr>
          <w:rFonts w:ascii="Times New Roman" w:cs="Times New Roman" w:eastAsia="Times New Roman" w:hAnsi="Times New Roman"/>
          <w:sz w:val="19"/>
          <w:szCs w:val="19"/>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4" w:lineRule="exact"/>
        <w:rPr>
          <w:sz w:val="20"/>
          <w:szCs w:val="20"/>
          <w:color w:val="auto"/>
        </w:rPr>
      </w:pPr>
    </w:p>
    <w:p>
      <w:pPr>
        <w:ind w:left="1060" w:right="420" w:firstLine="864"/>
        <w:spacing w:after="0" w:line="259" w:lineRule="auto"/>
        <w:rPr>
          <w:sz w:val="20"/>
          <w:szCs w:val="20"/>
          <w:color w:val="auto"/>
        </w:rPr>
      </w:pPr>
      <w:r>
        <w:rPr>
          <w:rFonts w:ascii="Times New Roman" w:cs="Times New Roman" w:eastAsia="Times New Roman" w:hAnsi="Times New Roman"/>
          <w:sz w:val="19"/>
          <w:szCs w:val="19"/>
          <w:color w:val="auto"/>
        </w:rPr>
        <w:t xml:space="preserve">SECTION 5.03. </w:t>
      </w:r>
      <w:r>
        <w:rPr>
          <w:rFonts w:ascii="Times New Roman" w:cs="Times New Roman" w:eastAsia="Times New Roman" w:hAnsi="Times New Roman"/>
          <w:sz w:val="19"/>
          <w:szCs w:val="19"/>
          <w:u w:val="single" w:color="auto"/>
          <w:color w:val="auto"/>
        </w:rPr>
        <w:t>Existence: Conduct of Business</w:t>
      </w:r>
      <w:r>
        <w:rPr>
          <w:rFonts w:ascii="Times New Roman" w:cs="Times New Roman" w:eastAsia="Times New Roman" w:hAnsi="Times New Roman"/>
          <w:sz w:val="19"/>
          <w:szCs w:val="19"/>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prohibit any merger, consolidation, liquidation or dissolution not prohibited under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left="1060" w:right="160" w:firstLine="864"/>
        <w:spacing w:after="0" w:line="256" w:lineRule="auto"/>
        <w:rPr>
          <w:sz w:val="20"/>
          <w:szCs w:val="20"/>
          <w:color w:val="auto"/>
        </w:rPr>
      </w:pPr>
      <w:r>
        <w:rPr>
          <w:rFonts w:ascii="Times New Roman" w:cs="Times New Roman" w:eastAsia="Times New Roman" w:hAnsi="Times New Roman"/>
          <w:sz w:val="19"/>
          <w:szCs w:val="19"/>
          <w:color w:val="auto"/>
        </w:rPr>
        <w:t xml:space="preserve">SECTION 5.04. </w:t>
      </w:r>
      <w:r>
        <w:rPr>
          <w:rFonts w:ascii="Times New Roman" w:cs="Times New Roman" w:eastAsia="Times New Roman" w:hAnsi="Times New Roman"/>
          <w:sz w:val="19"/>
          <w:szCs w:val="19"/>
          <w:u w:val="single" w:color="auto"/>
          <w:color w:val="auto"/>
        </w:rPr>
        <w:t>Payment of Obligations</w:t>
      </w:r>
      <w:r>
        <w:rPr>
          <w:rFonts w:ascii="Times New Roman" w:cs="Times New Roman" w:eastAsia="Times New Roman" w:hAnsi="Times New Roman"/>
          <w:sz w:val="19"/>
          <w:szCs w:val="19"/>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w:t>
      </w:r>
    </w:p>
    <w:p>
      <w:pPr>
        <w:spacing w:after="0" w:line="2" w:lineRule="exact"/>
        <w:rPr>
          <w:sz w:val="20"/>
          <w:szCs w:val="20"/>
          <w:color w:val="auto"/>
        </w:rPr>
      </w:pPr>
    </w:p>
    <w:p>
      <w:pPr>
        <w:ind w:left="1320" w:hanging="270"/>
        <w:spacing w:after="0"/>
        <w:tabs>
          <w:tab w:leader="none" w:pos="13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validity or amount thereof is being contested in good faith by appropriate proceedings,</w:t>
      </w:r>
    </w:p>
    <w:p>
      <w:pPr>
        <w:spacing w:after="0" w:line="9" w:lineRule="exact"/>
        <w:rPr>
          <w:rFonts w:ascii="Times New Roman" w:cs="Times New Roman" w:eastAsia="Times New Roman" w:hAnsi="Times New Roman"/>
          <w:sz w:val="19"/>
          <w:szCs w:val="19"/>
          <w:color w:val="auto"/>
        </w:rPr>
      </w:pPr>
    </w:p>
    <w:p>
      <w:pPr>
        <w:ind w:left="1060" w:right="540" w:hanging="10"/>
        <w:spacing w:after="0" w:line="256" w:lineRule="auto"/>
        <w:tabs>
          <w:tab w:leader="none" w:pos="1332"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55" w:lineRule="exact"/>
        <w:rPr>
          <w:sz w:val="20"/>
          <w:szCs w:val="20"/>
          <w:color w:val="auto"/>
        </w:rPr>
      </w:pPr>
    </w:p>
    <w:p>
      <w:pPr>
        <w:ind w:left="1060" w:right="100" w:firstLine="864"/>
        <w:spacing w:after="0" w:line="262" w:lineRule="auto"/>
        <w:rPr>
          <w:sz w:val="20"/>
          <w:szCs w:val="20"/>
          <w:color w:val="auto"/>
        </w:rPr>
      </w:pPr>
      <w:r>
        <w:rPr>
          <w:rFonts w:ascii="Times New Roman" w:cs="Times New Roman" w:eastAsia="Times New Roman" w:hAnsi="Times New Roman"/>
          <w:sz w:val="19"/>
          <w:szCs w:val="19"/>
          <w:color w:val="auto"/>
        </w:rPr>
        <w:t xml:space="preserve">SECTION 5.05. </w:t>
      </w:r>
      <w:r>
        <w:rPr>
          <w:rFonts w:ascii="Times New Roman" w:cs="Times New Roman" w:eastAsia="Times New Roman" w:hAnsi="Times New Roman"/>
          <w:sz w:val="19"/>
          <w:szCs w:val="19"/>
          <w:u w:val="single" w:color="auto"/>
          <w:color w:val="auto"/>
        </w:rPr>
        <w:t>Maintenance of Properties; Insurance</w:t>
      </w:r>
      <w:r>
        <w:rPr>
          <w:rFonts w:ascii="Times New Roman" w:cs="Times New Roman" w:eastAsia="Times New Roman" w:hAnsi="Times New Roman"/>
          <w:sz w:val="19"/>
          <w:szCs w:val="19"/>
          <w:color w:val="auto"/>
        </w:rPr>
        <w:t>. The Borrower will, and will cause each of its Subsidiaries (other than Immaterial Subsidiaries) to, (a) keep and maintain all property material to the conduct of its business in good working order and condition, ordinary wear and tear excepted except where failure to keep or maintain would not reasonably be expected to result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36" w:name="page237"/>
    <w:bookmarkEnd w:id="236"/>
    <w:p>
      <w:pPr>
        <w:spacing w:after="0" w:line="200" w:lineRule="exact"/>
        <w:rPr>
          <w:sz w:val="20"/>
          <w:szCs w:val="20"/>
          <w:color w:val="auto"/>
        </w:rPr>
      </w:pPr>
    </w:p>
    <w:p>
      <w:pPr>
        <w:spacing w:after="0" w:line="213" w:lineRule="exact"/>
        <w:rPr>
          <w:sz w:val="20"/>
          <w:szCs w:val="20"/>
          <w:color w:val="auto"/>
        </w:rPr>
      </w:pPr>
    </w:p>
    <w:p>
      <w:pPr>
        <w:jc w:val="right"/>
        <w:ind w:right="2620"/>
        <w:spacing w:after="0"/>
        <w:rPr>
          <w:sz w:val="20"/>
          <w:szCs w:val="20"/>
          <w:color w:val="auto"/>
        </w:rPr>
      </w:pPr>
      <w:r>
        <w:rPr>
          <w:rFonts w:ascii="Times New Roman" w:cs="Times New Roman" w:eastAsia="Times New Roman" w:hAnsi="Times New Roman"/>
          <w:sz w:val="19"/>
          <w:szCs w:val="19"/>
          <w:color w:val="auto"/>
        </w:rPr>
        <w:t>in a Material Adverse Effect; provided that the foregoing shall not prohibit any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37" w:name="page238"/>
    <w:bookmarkEnd w:id="237"/>
    <w:p>
      <w:pPr>
        <w:spacing w:after="0" w:line="26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merger, consolidation, liquidation or dissolution not prohibited under Section 6.03, and</w:t>
      </w:r>
    </w:p>
    <w:p>
      <w:pPr>
        <w:spacing w:after="0" w:line="32" w:lineRule="exact"/>
        <w:rPr>
          <w:sz w:val="20"/>
          <w:szCs w:val="20"/>
          <w:color w:val="auto"/>
        </w:rPr>
      </w:pPr>
    </w:p>
    <w:p>
      <w:pPr>
        <w:ind w:left="1060" w:right="160" w:hanging="10"/>
        <w:spacing w:after="0" w:line="256" w:lineRule="auto"/>
        <w:tabs>
          <w:tab w:leader="none" w:pos="133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55" w:lineRule="exact"/>
        <w:rPr>
          <w:sz w:val="20"/>
          <w:szCs w:val="20"/>
          <w:color w:val="auto"/>
        </w:rPr>
      </w:pPr>
    </w:p>
    <w:p>
      <w:pPr>
        <w:ind w:left="1060" w:right="100" w:firstLine="864"/>
        <w:spacing w:after="0" w:line="253" w:lineRule="auto"/>
        <w:rPr>
          <w:sz w:val="20"/>
          <w:szCs w:val="20"/>
          <w:color w:val="auto"/>
        </w:rPr>
      </w:pPr>
      <w:r>
        <w:rPr>
          <w:rFonts w:ascii="Times New Roman" w:cs="Times New Roman" w:eastAsia="Times New Roman" w:hAnsi="Times New Roman"/>
          <w:sz w:val="19"/>
          <w:szCs w:val="19"/>
          <w:color w:val="auto"/>
        </w:rPr>
        <w:t xml:space="preserve">SECTION 5.06. </w:t>
      </w:r>
      <w:r>
        <w:rPr>
          <w:rFonts w:ascii="Times New Roman" w:cs="Times New Roman" w:eastAsia="Times New Roman" w:hAnsi="Times New Roman"/>
          <w:sz w:val="19"/>
          <w:szCs w:val="19"/>
          <w:u w:val="single" w:color="auto"/>
          <w:color w:val="auto"/>
        </w:rPr>
        <w:t>Books and Records; Inspection and Audit Rights</w:t>
      </w:r>
      <w:r>
        <w:rPr>
          <w:rFonts w:ascii="Times New Roman" w:cs="Times New Roman" w:eastAsia="Times New Roman" w:hAnsi="Times New Roman"/>
          <w:sz w:val="19"/>
          <w:szCs w:val="19"/>
          <w:color w:val="auto"/>
        </w:rPr>
        <w:t xml:space="preserve">. The Borrower will, and will cause each of its Subsidiaries to, keep books of record and account in accordance with GAAP in all material respects. The Borrower will, and will cause each other Obligor to, permit any representatives designated by the Administrative Agent or any Lender, upon reasonable prior notice, to visit and inspect its properties during business hours, to examine and make extracts from its books and records (but only to the extent the Borrower is not prohibited from disclosing such information or providing access to such information pursuant to applicable law or an agreement any Obligor entered into with a third party in the ordinary course of its business),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58" w:lineRule="exact"/>
        <w:rPr>
          <w:sz w:val="20"/>
          <w:szCs w:val="20"/>
          <w:color w:val="auto"/>
        </w:rPr>
      </w:pPr>
    </w:p>
    <w:p>
      <w:pPr>
        <w:ind w:left="1060" w:right="160" w:firstLine="864"/>
        <w:spacing w:after="0" w:line="256" w:lineRule="auto"/>
        <w:rPr>
          <w:sz w:val="20"/>
          <w:szCs w:val="20"/>
          <w:color w:val="auto"/>
        </w:rPr>
      </w:pPr>
      <w:r>
        <w:rPr>
          <w:rFonts w:ascii="Times New Roman" w:cs="Times New Roman" w:eastAsia="Times New Roman" w:hAnsi="Times New Roman"/>
          <w:sz w:val="19"/>
          <w:szCs w:val="19"/>
          <w:color w:val="auto"/>
        </w:rPr>
        <w:t xml:space="preserve">SECTION 5.07. </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5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9"/>
          <w:szCs w:val="19"/>
          <w:color w:val="auto"/>
        </w:rPr>
        <w:t>SECTION 5.08. Certain Obligations Respecting Subsidiaries; Further Assurances.</w:t>
      </w:r>
    </w:p>
    <w:p>
      <w:pPr>
        <w:spacing w:after="0" w:line="202" w:lineRule="exact"/>
        <w:rPr>
          <w:sz w:val="20"/>
          <w:szCs w:val="20"/>
          <w:color w:val="auto"/>
        </w:rPr>
      </w:pPr>
    </w:p>
    <w:p>
      <w:pPr>
        <w:ind w:left="1060" w:right="16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(a)Subsidiary Guarantors</w:t>
      </w:r>
      <w:r>
        <w:rPr>
          <w:rFonts w:ascii="Times New Roman" w:cs="Times New Roman" w:eastAsia="Times New Roman" w:hAnsi="Times New Roman"/>
          <w:sz w:val="19"/>
          <w:szCs w:val="19"/>
          <w:color w:val="auto"/>
        </w:rPr>
        <w:t xml:space="preserve">. In the event that </w:t>
      </w:r>
      <w:r>
        <w:rPr>
          <w:rFonts w:ascii="Times New Roman" w:cs="Times New Roman" w:eastAsia="Times New Roman" w:hAnsi="Times New Roman"/>
          <w:sz w:val="19"/>
          <w:szCs w:val="19"/>
          <w:u w:val="single" w:color="auto"/>
          <w:color w:val="0000FF"/>
        </w:rPr>
        <w:t>(i)</w:t>
      </w:r>
      <w:r>
        <w:rPr>
          <w:rFonts w:ascii="Times New Roman" w:cs="Times New Roman" w:eastAsia="Times New Roman" w:hAnsi="Times New Roman"/>
          <w:sz w:val="19"/>
          <w:szCs w:val="19"/>
          <w:color w:val="auto"/>
        </w:rPr>
        <w:t xml:space="preserve"> the Borrower or any the Subsidiary Guarantors shall form or acquire any new Subsidiary (other than a Financing Subsidiary, a Foreign Subsidiary, an Immaterial Subsidiary or a Subsidiary of a Foreign Subsidiary)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u w:val="single" w:color="auto"/>
          <w:color w:val="0000FF"/>
        </w:rPr>
        <w:t>or (ii) any Financing Subsidiary, Foreign Subsidiary,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Immaterial Subsidiary or Subsidiary of a Foreign Subsidiary shall no longer constitute a “Financing Subsidiary”, “Foreign Subsidiary”, “Immaterial Subsidiary” or “Subsidiary of a Foreign Subsidiary”, as applicable, pursuant to the definition thereof (in which case such Person shall be deemed to be a “new” Subsidiary for purposes of Section 5.08 as of such date),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Borrower will cause such new Subsidiary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become a “Subsidiary Guarantor” (and, thereby, an “Obligor”) under the Guarantee and Security Agreement pursuant to a Guarantee Assumption Agreement and to deliver such proof of corporate or other action, incumbency of officers, opinions of counsel (unless waived by the Administrative Agent) and other documents as is consistent with those delivered by the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38" w:name="page239"/>
    <w:bookmarkEnd w:id="238"/>
    <w:p>
      <w:pPr>
        <w:spacing w:after="0" w:line="269" w:lineRule="exact"/>
        <w:rPr>
          <w:sz w:val="20"/>
          <w:szCs w:val="20"/>
          <w:color w:val="auto"/>
        </w:rPr>
      </w:pPr>
    </w:p>
    <w:p>
      <w:pPr>
        <w:ind w:left="1060" w:right="40"/>
        <w:spacing w:after="0" w:line="286" w:lineRule="auto"/>
        <w:rPr>
          <w:sz w:val="20"/>
          <w:szCs w:val="20"/>
          <w:color w:val="auto"/>
        </w:rPr>
      </w:pPr>
      <w:r>
        <w:rPr>
          <w:rFonts w:ascii="Times New Roman" w:cs="Times New Roman" w:eastAsia="Times New Roman" w:hAnsi="Times New Roman"/>
          <w:sz w:val="19"/>
          <w:szCs w:val="19"/>
          <w:color w:val="auto"/>
        </w:rPr>
        <w:t xml:space="preserve">Borrower pursuant to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upon the Effective Date or as the Administrative Agent shall have reasonably requested.</w:t>
      </w:r>
    </w:p>
    <w:p>
      <w:pPr>
        <w:spacing w:after="0" w:line="127" w:lineRule="exact"/>
        <w:rPr>
          <w:sz w:val="20"/>
          <w:szCs w:val="20"/>
          <w:color w:val="auto"/>
        </w:rPr>
      </w:pPr>
    </w:p>
    <w:p>
      <w:pPr>
        <w:jc w:val="both"/>
        <w:ind w:left="1060" w:right="40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(b)Ownership of Subsidiaries</w:t>
      </w:r>
      <w:r>
        <w:rPr>
          <w:rFonts w:ascii="Times New Roman" w:cs="Times New Roman" w:eastAsia="Times New Roman" w:hAnsi="Times New Roman"/>
          <w:sz w:val="19"/>
          <w:szCs w:val="19"/>
          <w:color w:val="auto"/>
        </w:rPr>
        <w:t xml:space="preserve"> . The Borrower will, and will cause each of its Subsidiaries to, take such action from time to time as shall be necessary to ensure that each of its Subsidiaries is a wholly owned Subsidiary.</w:t>
      </w:r>
    </w:p>
    <w:p>
      <w:pPr>
        <w:spacing w:after="0" w:line="144" w:lineRule="exact"/>
        <w:rPr>
          <w:sz w:val="20"/>
          <w:szCs w:val="20"/>
          <w:color w:val="auto"/>
        </w:rPr>
      </w:pPr>
    </w:p>
    <w:p>
      <w:pPr>
        <w:ind w:left="1060" w:right="14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(c)Further Assurances</w:t>
      </w:r>
      <w:r>
        <w:rPr>
          <w:rFonts w:ascii="Times New Roman" w:cs="Times New Roman" w:eastAsia="Times New Roman" w:hAnsi="Times New Roman"/>
          <w:sz w:val="19"/>
          <w:szCs w:val="19"/>
          <w:color w:val="auto"/>
        </w:rPr>
        <w:t>.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w:t>
      </w:r>
    </w:p>
    <w:p>
      <w:pPr>
        <w:spacing w:after="0" w:line="3" w:lineRule="exact"/>
        <w:rPr>
          <w:sz w:val="20"/>
          <w:szCs w:val="20"/>
          <w:color w:val="auto"/>
        </w:rPr>
      </w:pPr>
    </w:p>
    <w:p>
      <w:pPr>
        <w:ind w:left="1280" w:hanging="230"/>
        <w:spacing w:after="0"/>
        <w:tabs>
          <w:tab w:leader="none" w:pos="128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create, in favor of the Collateral Agent for the benefit of the Lenders (and any affiliate thereof that is a</w:t>
      </w:r>
    </w:p>
    <w:p>
      <w:pPr>
        <w:spacing w:after="0" w:line="9" w:lineRule="exact"/>
        <w:rPr>
          <w:rFonts w:ascii="Times New Roman" w:cs="Times New Roman" w:eastAsia="Times New Roman" w:hAnsi="Times New Roman"/>
          <w:sz w:val="19"/>
          <w:szCs w:val="19"/>
          <w:color w:val="auto"/>
        </w:rPr>
      </w:pPr>
    </w:p>
    <w:p>
      <w:pPr>
        <w:ind w:left="1060" w:right="16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party to any Hedging Agreement entered into with the Borrower) and the holders of any Secured Longer-Term Indebtedness or Secured Shorter-Term Indebtedness, perfected security interests and Liens in the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security interest or Lien shall be subject to the relevant requirements of the Security Documents, (ii) in the case of any Portfolio Investment consisting of a Bank Loan (as defined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w:t>
      </w:r>
    </w:p>
    <w:p>
      <w:pPr>
        <w:spacing w:after="0" w:line="4" w:lineRule="exact"/>
        <w:rPr>
          <w:rFonts w:ascii="Times New Roman" w:cs="Times New Roman" w:eastAsia="Times New Roman" w:hAnsi="Times New Roman"/>
          <w:sz w:val="19"/>
          <w:szCs w:val="19"/>
          <w:color w:val="auto"/>
        </w:rPr>
      </w:pPr>
    </w:p>
    <w:p>
      <w:pPr>
        <w:ind w:left="1060" w:right="100" w:hanging="10"/>
        <w:spacing w:after="0" w:line="251" w:lineRule="auto"/>
        <w:tabs>
          <w:tab w:leader="none" w:pos="1332"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if an Event of Default has occurred and is continuing,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393" w:lineRule="exact"/>
        <w:rPr>
          <w:sz w:val="20"/>
          <w:szCs w:val="20"/>
          <w:color w:val="auto"/>
        </w:rPr>
      </w:pPr>
    </w:p>
    <w:p>
      <w:pPr>
        <w:ind w:left="1060" w:right="80" w:firstLine="864"/>
        <w:spacing w:after="0" w:line="256" w:lineRule="auto"/>
        <w:rPr>
          <w:sz w:val="20"/>
          <w:szCs w:val="20"/>
          <w:color w:val="auto"/>
        </w:rPr>
      </w:pPr>
      <w:r>
        <w:rPr>
          <w:rFonts w:ascii="Times New Roman" w:cs="Times New Roman" w:eastAsia="Times New Roman" w:hAnsi="Times New Roman"/>
          <w:sz w:val="19"/>
          <w:szCs w:val="19"/>
          <w:color w:val="auto"/>
        </w:rPr>
        <w:t xml:space="preserve">SECTION 5.09.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Times New Roman" w:cs="Times New Roman" w:eastAsia="Times New Roman" w:hAnsi="Times New Roman"/>
          <w:sz w:val="19"/>
          <w:szCs w:val="19"/>
          <w:u w:val="single" w:color="auto"/>
          <w:color w:val="auto"/>
        </w:rPr>
        <w:t>Section 3.16</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39" w:name="page240"/>
    <w:bookmarkEnd w:id="239"/>
    <w:p>
      <w:pPr>
        <w:spacing w:after="0" w:line="269" w:lineRule="exact"/>
        <w:rPr>
          <w:sz w:val="20"/>
          <w:szCs w:val="20"/>
          <w:color w:val="auto"/>
        </w:rPr>
      </w:pPr>
    </w:p>
    <w:p>
      <w:pPr>
        <w:ind w:left="1060" w:right="740"/>
        <w:spacing w:after="0" w:line="286" w:lineRule="auto"/>
        <w:rPr>
          <w:sz w:val="20"/>
          <w:szCs w:val="20"/>
          <w:color w:val="auto"/>
        </w:rPr>
      </w:pPr>
      <w:r>
        <w:rPr>
          <w:rFonts w:ascii="Times New Roman" w:cs="Times New Roman" w:eastAsia="Times New Roman" w:hAnsi="Times New Roman"/>
          <w:sz w:val="19"/>
          <w:szCs w:val="19"/>
          <w:color w:val="auto"/>
        </w:rPr>
        <w:t>Margin Stock shall be purchased by the Obligors only with the proceeds of Indebtedness not directly or indirectly secured by Margin Stock, or with the proceeds of equity capital of the Borrower.</w:t>
      </w:r>
    </w:p>
    <w:p>
      <w:pPr>
        <w:spacing w:after="0" w:line="127" w:lineRule="exact"/>
        <w:rPr>
          <w:sz w:val="20"/>
          <w:szCs w:val="20"/>
          <w:color w:val="auto"/>
        </w:rPr>
      </w:pPr>
    </w:p>
    <w:p>
      <w:pPr>
        <w:ind w:left="1060" w:right="100" w:firstLine="864"/>
        <w:spacing w:after="0" w:line="268" w:lineRule="auto"/>
        <w:rPr>
          <w:sz w:val="20"/>
          <w:szCs w:val="20"/>
          <w:color w:val="auto"/>
        </w:rPr>
      </w:pPr>
      <w:r>
        <w:rPr>
          <w:rFonts w:ascii="Times New Roman" w:cs="Times New Roman" w:eastAsia="Times New Roman" w:hAnsi="Times New Roman"/>
          <w:sz w:val="19"/>
          <w:szCs w:val="19"/>
          <w:color w:val="auto"/>
        </w:rPr>
        <w:t xml:space="preserve">SECTION 5.10. </w:t>
      </w:r>
      <w:r>
        <w:rPr>
          <w:rFonts w:ascii="Times New Roman" w:cs="Times New Roman" w:eastAsia="Times New Roman" w:hAnsi="Times New Roman"/>
          <w:sz w:val="19"/>
          <w:szCs w:val="19"/>
          <w:u w:val="single" w:color="auto"/>
          <w:color w:val="auto"/>
        </w:rPr>
        <w:t>Status of RIC and BDC</w:t>
      </w:r>
      <w:r>
        <w:rPr>
          <w:rFonts w:ascii="Times New Roman" w:cs="Times New Roman" w:eastAsia="Times New Roman" w:hAnsi="Times New Roman"/>
          <w:sz w:val="19"/>
          <w:szCs w:val="19"/>
          <w:color w:val="auto"/>
        </w:rPr>
        <w:t>. The Borrower shall at all times, subject to applicable grace periods set forth in the Code, maintain its status as a RIC under the Code, and as a “business development company” under the Investment Company Act.</w:t>
      </w:r>
    </w:p>
    <w:p>
      <w:pPr>
        <w:spacing w:after="0" w:line="144" w:lineRule="exact"/>
        <w:rPr>
          <w:sz w:val="20"/>
          <w:szCs w:val="20"/>
          <w:color w:val="auto"/>
        </w:rPr>
      </w:pPr>
    </w:p>
    <w:p>
      <w:pPr>
        <w:jc w:val="both"/>
        <w:ind w:left="1060" w:right="700" w:firstLine="864"/>
        <w:spacing w:after="0" w:line="286" w:lineRule="auto"/>
        <w:rPr>
          <w:sz w:val="20"/>
          <w:szCs w:val="20"/>
          <w:color w:val="auto"/>
        </w:rPr>
      </w:pPr>
      <w:r>
        <w:rPr>
          <w:rFonts w:ascii="Times New Roman" w:cs="Times New Roman" w:eastAsia="Times New Roman" w:hAnsi="Times New Roman"/>
          <w:sz w:val="19"/>
          <w:szCs w:val="19"/>
          <w:color w:val="auto"/>
        </w:rPr>
        <w:t xml:space="preserve">SECTION 5.11. </w:t>
      </w:r>
      <w:r>
        <w:rPr>
          <w:rFonts w:ascii="Times New Roman" w:cs="Times New Roman" w:eastAsia="Times New Roman" w:hAnsi="Times New Roman"/>
          <w:sz w:val="19"/>
          <w:szCs w:val="19"/>
          <w:u w:val="single" w:color="auto"/>
          <w:color w:val="auto"/>
        </w:rPr>
        <w:t>Investment Policies</w:t>
      </w:r>
      <w:r>
        <w:rPr>
          <w:rFonts w:ascii="Times New Roman" w:cs="Times New Roman" w:eastAsia="Times New Roman" w:hAnsi="Times New Roman"/>
          <w:sz w:val="19"/>
          <w:szCs w:val="19"/>
          <w:color w:val="auto"/>
        </w:rPr>
        <w:t>. The Borrower shall at all times be in compliance in all material respects with its Investment Policies (after giving effect to any Permitted Policy Amendments).</w:t>
      </w:r>
    </w:p>
    <w:p>
      <w:pPr>
        <w:spacing w:after="0" w:line="1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5.12. </w:t>
      </w:r>
      <w:r>
        <w:rPr>
          <w:rFonts w:ascii="Times New Roman" w:cs="Times New Roman" w:eastAsia="Times New Roman" w:hAnsi="Times New Roman"/>
          <w:sz w:val="19"/>
          <w:szCs w:val="19"/>
          <w:u w:val="single" w:color="auto"/>
          <w:color w:val="auto"/>
        </w:rPr>
        <w:t>Portfolio Valuation and Diversification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60" w:right="28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(a)Industry Classification Groups</w:t>
      </w:r>
      <w:r>
        <w:rPr>
          <w:rFonts w:ascii="Times New Roman" w:cs="Times New Roman" w:eastAsia="Times New Roman" w:hAnsi="Times New Roman"/>
          <w:sz w:val="19"/>
          <w:szCs w:val="19"/>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u w:val="single" w:color="auto"/>
          <w:color w:val="auto"/>
        </w:rPr>
        <w:t>(b)Portfolio Valuation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760" w:right="60" w:firstLine="936"/>
        <w:spacing w:after="0" w:line="257" w:lineRule="auto"/>
        <w:rPr>
          <w:sz w:val="20"/>
          <w:szCs w:val="20"/>
          <w:color w:val="auto"/>
        </w:rPr>
      </w:pPr>
      <w:r>
        <w:rPr>
          <w:rFonts w:ascii="Times New Roman" w:cs="Times New Roman" w:eastAsia="Times New Roman" w:hAnsi="Times New Roman"/>
          <w:sz w:val="19"/>
          <w:szCs w:val="19"/>
          <w:u w:val="single" w:color="auto"/>
          <w:color w:val="auto"/>
        </w:rPr>
        <w:t>(i)Settlement Date Basis</w:t>
      </w:r>
      <w:r>
        <w:rPr>
          <w:rFonts w:ascii="Times New Roman" w:cs="Times New Roman" w:eastAsia="Times New Roman" w:hAnsi="Times New Roman"/>
          <w:sz w:val="19"/>
          <w:szCs w:val="19"/>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investment shall be included as a Portfolio Investment to the extent it has not been paid for in full.</w:t>
      </w:r>
    </w:p>
    <w:p>
      <w:pPr>
        <w:spacing w:after="0" w:line="157" w:lineRule="exact"/>
        <w:rPr>
          <w:sz w:val="20"/>
          <w:szCs w:val="20"/>
          <w:color w:val="auto"/>
        </w:rPr>
      </w:pPr>
    </w:p>
    <w:p>
      <w:pPr>
        <w:ind w:left="1760" w:right="700" w:firstLine="936"/>
        <w:spacing w:after="0" w:line="286" w:lineRule="auto"/>
        <w:rPr>
          <w:sz w:val="20"/>
          <w:szCs w:val="20"/>
          <w:color w:val="auto"/>
        </w:rPr>
      </w:pPr>
      <w:r>
        <w:rPr>
          <w:rFonts w:ascii="Times New Roman" w:cs="Times New Roman" w:eastAsia="Times New Roman" w:hAnsi="Times New Roman"/>
          <w:sz w:val="19"/>
          <w:szCs w:val="19"/>
          <w:u w:val="single" w:color="auto"/>
          <w:color w:val="auto"/>
        </w:rPr>
        <w:t>(ii)Determination of Values</w:t>
      </w:r>
      <w:r>
        <w:rPr>
          <w:rFonts w:ascii="Times New Roman" w:cs="Times New Roman" w:eastAsia="Times New Roman" w:hAnsi="Times New Roman"/>
          <w:sz w:val="19"/>
          <w:szCs w:val="19"/>
          <w:color w:val="auto"/>
        </w:rPr>
        <w:t>. The Borrower will conduct reviews of the value to be assigned to each of its Portfolio Investments as follows:</w:t>
      </w:r>
    </w:p>
    <w:p>
      <w:pPr>
        <w:spacing w:after="0" w:line="127" w:lineRule="exact"/>
        <w:rPr>
          <w:sz w:val="20"/>
          <w:szCs w:val="20"/>
          <w:color w:val="auto"/>
        </w:rPr>
      </w:pPr>
    </w:p>
    <w:p>
      <w:pPr>
        <w:ind w:left="2460" w:right="180" w:firstLine="1032"/>
        <w:spacing w:after="0" w:line="259" w:lineRule="auto"/>
        <w:rPr>
          <w:sz w:val="20"/>
          <w:szCs w:val="20"/>
          <w:color w:val="auto"/>
        </w:rPr>
      </w:pPr>
      <w:r>
        <w:rPr>
          <w:rFonts w:ascii="Times New Roman" w:cs="Times New Roman" w:eastAsia="Times New Roman" w:hAnsi="Times New Roman"/>
          <w:sz w:val="19"/>
          <w:szCs w:val="19"/>
          <w:u w:val="single" w:color="auto"/>
          <w:color w:val="auto"/>
        </w:rPr>
        <w:t>(A)Quoted Investments - External Review</w:t>
      </w:r>
      <w:r>
        <w:rPr>
          <w:rFonts w:ascii="Times New Roman" w:cs="Times New Roman" w:eastAsia="Times New Roman" w:hAnsi="Times New Roman"/>
          <w:sz w:val="19"/>
          <w:szCs w:val="19"/>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54" w:lineRule="exact"/>
        <w:rPr>
          <w:sz w:val="20"/>
          <w:szCs w:val="20"/>
          <w:color w:val="auto"/>
        </w:rPr>
      </w:pPr>
    </w:p>
    <w:p>
      <w:pPr>
        <w:ind w:left="3160" w:right="300" w:firstLine="1140"/>
        <w:spacing w:after="0" w:line="276" w:lineRule="auto"/>
        <w:rPr>
          <w:sz w:val="20"/>
          <w:szCs w:val="20"/>
          <w:color w:val="auto"/>
        </w:rPr>
      </w:pPr>
      <w:r>
        <w:rPr>
          <w:rFonts w:ascii="Times New Roman" w:cs="Times New Roman" w:eastAsia="Times New Roman" w:hAnsi="Times New Roman"/>
          <w:sz w:val="19"/>
          <w:szCs w:val="19"/>
          <w:color w:val="auto"/>
        </w:rPr>
        <w:t>(w)in the case of public and 144A securities, the average of the bid prices as determined by two Approved Dealers selected by the Borrower,</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(x)in the case of bank loans, the bid price as determined by 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40" w:name="page241"/>
    <w:bookmarkEnd w:id="240"/>
    <w:p>
      <w:pPr>
        <w:spacing w:after="0" w:line="2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Approved Dealer selected by the Borrower,</w:t>
      </w:r>
    </w:p>
    <w:p>
      <w:pPr>
        <w:spacing w:after="0" w:line="202" w:lineRule="exact"/>
        <w:rPr>
          <w:sz w:val="20"/>
          <w:szCs w:val="20"/>
          <w:color w:val="auto"/>
        </w:rPr>
      </w:pPr>
    </w:p>
    <w:p>
      <w:pPr>
        <w:jc w:val="both"/>
        <w:ind w:left="3160" w:right="120" w:firstLine="1152"/>
        <w:spacing w:after="0" w:line="268" w:lineRule="auto"/>
        <w:rPr>
          <w:sz w:val="20"/>
          <w:szCs w:val="20"/>
          <w:color w:val="auto"/>
        </w:rPr>
      </w:pPr>
      <w:r>
        <w:rPr>
          <w:rFonts w:ascii="Times New Roman" w:cs="Times New Roman" w:eastAsia="Times New Roman" w:hAnsi="Times New Roman"/>
          <w:sz w:val="19"/>
          <w:szCs w:val="19"/>
          <w:color w:val="auto"/>
        </w:rPr>
        <w:t>(y)in the case of any Portfolio Investment traded on an exchange, the closing price for such Portfolio Investment most recently posted on such exchange, and</w:t>
      </w:r>
    </w:p>
    <w:p>
      <w:pPr>
        <w:spacing w:after="0" w:line="144" w:lineRule="exact"/>
        <w:rPr>
          <w:sz w:val="20"/>
          <w:szCs w:val="20"/>
          <w:color w:val="auto"/>
        </w:rPr>
      </w:pPr>
    </w:p>
    <w:p>
      <w:pPr>
        <w:ind w:left="3160" w:right="560" w:firstLine="1152"/>
        <w:spacing w:after="0" w:line="268" w:lineRule="auto"/>
        <w:rPr>
          <w:sz w:val="20"/>
          <w:szCs w:val="20"/>
          <w:color w:val="auto"/>
        </w:rPr>
      </w:pPr>
      <w:r>
        <w:rPr>
          <w:rFonts w:ascii="Times New Roman" w:cs="Times New Roman" w:eastAsia="Times New Roman" w:hAnsi="Times New Roman"/>
          <w:sz w:val="19"/>
          <w:szCs w:val="19"/>
          <w:color w:val="auto"/>
        </w:rPr>
        <w:t>(z)in the case of any other Portfolio Investment, the fair market value thereof as determined by an Approved Pricing Service selected by the Borrower; and</w:t>
      </w:r>
    </w:p>
    <w:p>
      <w:pPr>
        <w:spacing w:after="0" w:line="144" w:lineRule="exact"/>
        <w:rPr>
          <w:sz w:val="20"/>
          <w:szCs w:val="20"/>
          <w:color w:val="auto"/>
        </w:rPr>
      </w:pPr>
    </w:p>
    <w:p>
      <w:pPr>
        <w:ind w:left="2460" w:right="120" w:firstLine="1032"/>
        <w:spacing w:after="0" w:line="256" w:lineRule="auto"/>
        <w:rPr>
          <w:sz w:val="20"/>
          <w:szCs w:val="20"/>
          <w:color w:val="auto"/>
        </w:rPr>
      </w:pPr>
      <w:r>
        <w:rPr>
          <w:rFonts w:ascii="Times New Roman" w:cs="Times New Roman" w:eastAsia="Times New Roman" w:hAnsi="Times New Roman"/>
          <w:sz w:val="19"/>
          <w:szCs w:val="19"/>
          <w:u w:val="single" w:color="auto"/>
          <w:color w:val="auto"/>
        </w:rPr>
        <w:t>(B)Unquoted Investments- External Review</w:t>
      </w:r>
      <w:r>
        <w:rPr>
          <w:rFonts w:ascii="Times New Roman" w:cs="Times New Roman" w:eastAsia="Times New Roman" w:hAnsi="Times New Roman"/>
          <w:sz w:val="19"/>
          <w:szCs w:val="19"/>
          <w:color w:val="auto"/>
        </w:rPr>
        <w:t xml:space="preserve">. With respect to each Portfolio Investment for which market quotations are not readily available, the Borrower shall request an Approved Third-Party Appraiser to assist the </w:t>
      </w:r>
      <w:r>
        <w:rPr>
          <w:rFonts w:ascii="Times New Roman" w:cs="Times New Roman" w:eastAsia="Times New Roman" w:hAnsi="Times New Roman"/>
          <w:sz w:val="19"/>
          <w:szCs w:val="19"/>
          <w:color w:val="FF0000"/>
          <w:strike w:val="1"/>
        </w:rPr>
        <w:t>Board of Directors</w:t>
      </w:r>
      <w:r>
        <w:rPr>
          <w:rFonts w:ascii="Times New Roman" w:cs="Times New Roman" w:eastAsia="Times New Roman" w:hAnsi="Times New Roman"/>
          <w:sz w:val="19"/>
          <w:szCs w:val="19"/>
          <w:u w:val="single" w:color="auto"/>
          <w:color w:val="0000FF"/>
        </w:rPr>
        <w:t>board of directors</w:t>
      </w:r>
      <w:r>
        <w:rPr>
          <w:rFonts w:ascii="Times New Roman" w:cs="Times New Roman" w:eastAsia="Times New Roman" w:hAnsi="Times New Roman"/>
          <w:sz w:val="19"/>
          <w:szCs w:val="19"/>
          <w:color w:val="auto"/>
        </w:rPr>
        <w:t xml:space="preserve">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Times New Roman" w:cs="Times New Roman" w:eastAsia="Times New Roman" w:hAnsi="Times New Roman"/>
          <w:sz w:val="19"/>
          <w:szCs w:val="19"/>
          <w:u w:val="single" w:color="auto"/>
          <w:color w:val="auto"/>
        </w:rPr>
        <w:t>Testing Quarter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41" w:name="page242"/>
    <w:bookmarkEnd w:id="241"/>
    <w:p>
      <w:pPr>
        <w:spacing w:after="0" w:line="200" w:lineRule="exact"/>
        <w:rPr>
          <w:sz w:val="20"/>
          <w:szCs w:val="20"/>
          <w:color w:val="auto"/>
        </w:rPr>
      </w:pPr>
    </w:p>
    <w:p>
      <w:pPr>
        <w:spacing w:after="0" w:line="213" w:lineRule="exact"/>
        <w:rPr>
          <w:sz w:val="20"/>
          <w:szCs w:val="20"/>
          <w:color w:val="auto"/>
        </w:rPr>
      </w:pPr>
    </w:p>
    <w:p>
      <w:pPr>
        <w:ind w:left="3160" w:right="160" w:firstLine="1140"/>
        <w:spacing w:after="0" w:line="255" w:lineRule="auto"/>
        <w:rPr>
          <w:sz w:val="20"/>
          <w:szCs w:val="20"/>
          <w:color w:val="auto"/>
        </w:rPr>
      </w:pPr>
      <w:r>
        <w:rPr>
          <w:rFonts w:ascii="Times New Roman" w:cs="Times New Roman" w:eastAsia="Times New Roman" w:hAnsi="Times New Roman"/>
          <w:sz w:val="19"/>
          <w:szCs w:val="19"/>
          <w:color w:val="auto"/>
        </w:rPr>
        <w:t xml:space="preserve">(x)the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Times New Roman" w:cs="Times New Roman" w:eastAsia="Times New Roman" w:hAnsi="Times New Roman"/>
          <w:sz w:val="19"/>
          <w:szCs w:val="19"/>
          <w:u w:val="single" w:color="auto"/>
          <w:color w:val="auto"/>
        </w:rPr>
        <w:t>sub-clause</w:t>
      </w:r>
    </w:p>
    <w:p>
      <w:pPr>
        <w:spacing w:after="0" w:line="2" w:lineRule="exact"/>
        <w:rPr>
          <w:sz w:val="20"/>
          <w:szCs w:val="20"/>
          <w:color w:val="auto"/>
        </w:rPr>
      </w:pPr>
    </w:p>
    <w:p>
      <w:pPr>
        <w:ind w:left="3160" w:right="400" w:firstLine="3"/>
        <w:spacing w:after="0" w:line="262" w:lineRule="auto"/>
        <w:tabs>
          <w:tab w:leader="none" w:pos="3460" w:val="left"/>
        </w:tabs>
        <w:numPr>
          <w:ilvl w:val="0"/>
          <w:numId w:val="7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as at the last day of the next succeeding Testing Quarter with respect to such Portfolio Investment;</w:t>
      </w:r>
    </w:p>
    <w:p>
      <w:pPr>
        <w:spacing w:after="0" w:line="149" w:lineRule="exact"/>
        <w:rPr>
          <w:sz w:val="20"/>
          <w:szCs w:val="20"/>
          <w:color w:val="auto"/>
        </w:rPr>
      </w:pPr>
    </w:p>
    <w:p>
      <w:pPr>
        <w:ind w:left="3160" w:right="200" w:firstLine="1152"/>
        <w:spacing w:after="0" w:line="253" w:lineRule="auto"/>
        <w:rPr>
          <w:sz w:val="20"/>
          <w:szCs w:val="20"/>
          <w:color w:val="auto"/>
        </w:rPr>
      </w:pPr>
      <w:r>
        <w:rPr>
          <w:rFonts w:ascii="Times New Roman" w:cs="Times New Roman" w:eastAsia="Times New Roman" w:hAnsi="Times New Roman"/>
          <w:sz w:val="19"/>
          <w:szCs w:val="19"/>
          <w:color w:val="auto"/>
        </w:rPr>
        <w:t xml:space="preserve">(y)notwithstanding the foregoing, the </w:t>
      </w:r>
      <w:r>
        <w:rPr>
          <w:rFonts w:ascii="Times New Roman" w:cs="Times New Roman" w:eastAsia="Times New Roman" w:hAnsi="Times New Roman"/>
          <w:sz w:val="19"/>
          <w:szCs w:val="19"/>
          <w:color w:val="FF0000"/>
          <w:strike w:val="1"/>
        </w:rPr>
        <w:t>Board of Directors</w:t>
      </w:r>
      <w:r>
        <w:rPr>
          <w:rFonts w:ascii="Times New Roman" w:cs="Times New Roman" w:eastAsia="Times New Roman" w:hAnsi="Times New Roman"/>
          <w:sz w:val="19"/>
          <w:szCs w:val="19"/>
          <w:u w:val="single" w:color="auto"/>
          <w:color w:val="0000FF"/>
        </w:rPr>
        <w:t>board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directors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of the Borrower may, without the assistance of an Approved Third-Party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 Party Appraiser has not assisted the </w:t>
      </w:r>
      <w:r>
        <w:rPr>
          <w:rFonts w:ascii="Times New Roman" w:cs="Times New Roman" w:eastAsia="Times New Roman" w:hAnsi="Times New Roman"/>
          <w:sz w:val="19"/>
          <w:szCs w:val="19"/>
          <w:color w:val="FF0000"/>
          <w:strike w:val="1"/>
        </w:rPr>
        <w:t>Board of</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Directors</w:t>
      </w:r>
      <w:r>
        <w:rPr>
          <w:rFonts w:ascii="Times New Roman" w:cs="Times New Roman" w:eastAsia="Times New Roman" w:hAnsi="Times New Roman"/>
          <w:sz w:val="19"/>
          <w:szCs w:val="19"/>
          <w:u w:val="single" w:color="auto"/>
          <w:color w:val="0000FF"/>
        </w:rPr>
        <w:t>board of directors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of the Borrower in determining the fair market value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such Portfolio Investments, as at such date; and</w:t>
      </w:r>
    </w:p>
    <w:p>
      <w:pPr>
        <w:spacing w:after="0" w:line="161" w:lineRule="exact"/>
        <w:rPr>
          <w:sz w:val="20"/>
          <w:szCs w:val="20"/>
          <w:color w:val="auto"/>
        </w:rPr>
      </w:pPr>
    </w:p>
    <w:p>
      <w:pPr>
        <w:ind w:left="3160" w:right="360" w:firstLine="1152"/>
        <w:spacing w:after="0" w:line="286" w:lineRule="auto"/>
        <w:rPr>
          <w:sz w:val="20"/>
          <w:szCs w:val="20"/>
          <w:color w:val="auto"/>
        </w:rPr>
      </w:pPr>
      <w:r>
        <w:rPr>
          <w:rFonts w:ascii="Times New Roman" w:cs="Times New Roman" w:eastAsia="Times New Roman" w:hAnsi="Times New Roman"/>
          <w:sz w:val="19"/>
          <w:szCs w:val="19"/>
          <w:color w:val="auto"/>
        </w:rPr>
        <w:t>(z)no Testing Quarter with respect to any Portfolio Investment for which market quotations are not readily available shall end more than six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42" w:name="page243"/>
    <w:bookmarkEnd w:id="242"/>
    <w:p>
      <w:pPr>
        <w:spacing w:after="0" w:line="269" w:lineRule="exact"/>
        <w:rPr>
          <w:sz w:val="20"/>
          <w:szCs w:val="20"/>
          <w:color w:val="auto"/>
        </w:rPr>
      </w:pPr>
    </w:p>
    <w:p>
      <w:pPr>
        <w:ind w:left="3160" w:right="380"/>
        <w:spacing w:after="0" w:line="286" w:lineRule="auto"/>
        <w:rPr>
          <w:sz w:val="20"/>
          <w:szCs w:val="20"/>
          <w:color w:val="auto"/>
        </w:rPr>
      </w:pPr>
      <w:r>
        <w:rPr>
          <w:rFonts w:ascii="Times New Roman" w:cs="Times New Roman" w:eastAsia="Times New Roman" w:hAnsi="Times New Roman"/>
          <w:sz w:val="19"/>
          <w:szCs w:val="19"/>
          <w:color w:val="auto"/>
        </w:rPr>
        <w:t>months following the end of the immediately preceding Testing Quarter for such Portfolio Investment.</w:t>
      </w:r>
    </w:p>
    <w:p>
      <w:pPr>
        <w:spacing w:after="0" w:line="127" w:lineRule="exact"/>
        <w:rPr>
          <w:sz w:val="20"/>
          <w:szCs w:val="20"/>
          <w:color w:val="auto"/>
        </w:rPr>
      </w:pPr>
    </w:p>
    <w:p>
      <w:pPr>
        <w:ind w:left="2460" w:right="140" w:firstLine="1032"/>
        <w:spacing w:after="0" w:line="253" w:lineRule="auto"/>
        <w:rPr>
          <w:sz w:val="20"/>
          <w:szCs w:val="20"/>
          <w:color w:val="auto"/>
        </w:rPr>
      </w:pPr>
      <w:r>
        <w:rPr>
          <w:rFonts w:ascii="Times New Roman" w:cs="Times New Roman" w:eastAsia="Times New Roman" w:hAnsi="Times New Roman"/>
          <w:sz w:val="19"/>
          <w:szCs w:val="19"/>
          <w:u w:val="single" w:color="auto"/>
          <w:color w:val="auto"/>
        </w:rPr>
        <w:t>(C)Internal Review</w:t>
      </w:r>
      <w:r>
        <w:rPr>
          <w:rFonts w:ascii="Times New Roman" w:cs="Times New Roman" w:eastAsia="Times New Roman" w:hAnsi="Times New Roman"/>
          <w:sz w:val="19"/>
          <w:szCs w:val="19"/>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Times New Roman" w:cs="Times New Roman" w:eastAsia="Times New Roman" w:hAnsi="Times New Roman"/>
          <w:sz w:val="19"/>
          <w:szCs w:val="19"/>
          <w:u w:val="single" w:color="auto"/>
          <w:color w:val="auto"/>
        </w:rPr>
        <w:t>Section 5.12(b)(ii)(C)</w:t>
      </w:r>
      <w:r>
        <w:rPr>
          <w:rFonts w:ascii="Times New Roman" w:cs="Times New Roman" w:eastAsia="Times New Roman" w:hAnsi="Times New Roman"/>
          <w:sz w:val="19"/>
          <w:szCs w:val="19"/>
          <w:color w:val="auto"/>
        </w:rPr>
        <w:t xml:space="preserve"> is lower than the value of such Portfolio Investment as most recently determined pursuant to </w:t>
      </w:r>
      <w:r>
        <w:rPr>
          <w:rFonts w:ascii="Times New Roman" w:cs="Times New Roman" w:eastAsia="Times New Roman" w:hAnsi="Times New Roman"/>
          <w:sz w:val="19"/>
          <w:szCs w:val="19"/>
          <w:u w:val="single" w:color="auto"/>
          <w:color w:val="auto"/>
        </w:rPr>
        <w:t>Section 5.12(b)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such lower value shall be deemed to be the “Value” of such Portfolio Investment for purposes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61" w:lineRule="exact"/>
        <w:rPr>
          <w:sz w:val="20"/>
          <w:szCs w:val="20"/>
          <w:color w:val="auto"/>
        </w:rPr>
      </w:pPr>
    </w:p>
    <w:p>
      <w:pPr>
        <w:ind w:left="2460" w:right="400" w:firstLine="1032"/>
        <w:spacing w:after="0" w:line="262" w:lineRule="auto"/>
        <w:rPr>
          <w:sz w:val="20"/>
          <w:szCs w:val="20"/>
          <w:color w:val="auto"/>
        </w:rPr>
      </w:pPr>
      <w:r>
        <w:rPr>
          <w:rFonts w:ascii="Times New Roman" w:cs="Times New Roman" w:eastAsia="Times New Roman" w:hAnsi="Times New Roman"/>
          <w:sz w:val="19"/>
          <w:szCs w:val="19"/>
          <w:u w:val="single" w:color="auto"/>
          <w:color w:val="auto"/>
        </w:rPr>
        <w:t>(D)Failure to Determine Values</w:t>
      </w:r>
      <w:r>
        <w:rPr>
          <w:rFonts w:ascii="Times New Roman" w:cs="Times New Roman" w:eastAsia="Times New Roman" w:hAnsi="Times New Roman"/>
          <w:sz w:val="19"/>
          <w:szCs w:val="19"/>
          <w:color w:val="auto"/>
        </w:rPr>
        <w:t xml:space="preserve">. If the Borrower shall fail to determine the value of any Portfolio Investment as at any date pursuant to the requirements of the foregoing </w:t>
      </w:r>
      <w:r>
        <w:rPr>
          <w:rFonts w:ascii="Times New Roman" w:cs="Times New Roman" w:eastAsia="Times New Roman" w:hAnsi="Times New Roman"/>
          <w:sz w:val="19"/>
          <w:szCs w:val="19"/>
          <w:u w:val="single" w:color="auto"/>
          <w:color w:val="auto"/>
        </w:rPr>
        <w:t>sub-clauses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then the “Value” of such Portfolio Investment as at such date shall be deemed to be zero.</w:t>
      </w:r>
    </w:p>
    <w:p>
      <w:pPr>
        <w:spacing w:after="0" w:line="15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u w:val="single" w:color="auto"/>
          <w:color w:val="auto"/>
        </w:rPr>
        <w:t>(E)Testing of Values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3160" w:right="200" w:firstLine="1152"/>
        <w:spacing w:after="0" w:line="253" w:lineRule="auto"/>
        <w:rPr>
          <w:sz w:val="20"/>
          <w:szCs w:val="20"/>
          <w:color w:val="auto"/>
        </w:rPr>
      </w:pPr>
      <w:r>
        <w:rPr>
          <w:rFonts w:ascii="Times New Roman" w:cs="Times New Roman" w:eastAsia="Times New Roman" w:hAnsi="Times New Roman"/>
          <w:sz w:val="19"/>
          <w:szCs w:val="19"/>
          <w:color w:val="auto"/>
        </w:rPr>
        <w:t>(x)For the second calendar month immediately following the end of each fiscal quarter (the last such fiscal quarter is referred to herein as, the “</w:t>
      </w:r>
      <w:r>
        <w:rPr>
          <w:rFonts w:ascii="Times New Roman" w:cs="Times New Roman" w:eastAsia="Times New Roman" w:hAnsi="Times New Roman"/>
          <w:sz w:val="19"/>
          <w:szCs w:val="19"/>
          <w:u w:val="single" w:color="auto"/>
          <w:color w:val="auto"/>
        </w:rPr>
        <w:t>Testing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Period</w:t>
      </w:r>
      <w:r>
        <w:rPr>
          <w:rFonts w:ascii="Times New Roman" w:cs="Times New Roman" w:eastAsia="Times New Roman" w:hAnsi="Times New Roman"/>
          <w:sz w:val="19"/>
          <w:szCs w:val="19"/>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Times New Roman" w:cs="Times New Roman" w:eastAsia="Times New Roman" w:hAnsi="Times New Roman"/>
          <w:sz w:val="19"/>
          <w:szCs w:val="19"/>
          <w:u w:val="single" w:color="auto"/>
          <w:color w:val="auto"/>
        </w:rPr>
        <w:t>sub-clause (F)</w:t>
      </w:r>
      <w:r>
        <w:rPr>
          <w:rFonts w:ascii="Times New Roman" w:cs="Times New Roman" w:eastAsia="Times New Roman" w:hAnsi="Times New Roman"/>
          <w:sz w:val="19"/>
          <w:szCs w:val="19"/>
          <w:color w:val="auto"/>
        </w:rPr>
        <w:t xml:space="preserve"> below.</w:t>
      </w:r>
    </w:p>
    <w:p>
      <w:pPr>
        <w:spacing w:after="0" w:line="16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(y)For the avoidance of doubt, the valuation of any Approved Third-</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Party Appraiser selected by the Administrative Agent would not be as of, or</w:t>
      </w:r>
    </w:p>
    <w:p>
      <w:pPr>
        <w:spacing w:after="0" w:line="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delivered at, the end of any fiscal quarter. Any such valuation would be as of the</w:t>
      </w:r>
    </w:p>
    <w:p>
      <w:pPr>
        <w:spacing w:after="0" w:line="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end of the second month immediately following any fiscal quarter (the</w:t>
      </w:r>
    </w:p>
    <w:p>
      <w:pPr>
        <w:spacing w:after="0" w:line="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 Appraisal Testing Period</w:t>
      </w:r>
      <w:r>
        <w:rPr>
          <w:rFonts w:ascii="Times New Roman" w:cs="Times New Roman" w:eastAsia="Times New Roman" w:hAnsi="Times New Roman"/>
          <w:sz w:val="19"/>
          <w:szCs w:val="19"/>
          <w:color w:val="auto"/>
        </w:rPr>
        <w:t>”) and would be reflected in the</w:t>
      </w:r>
    </w:p>
    <w:p>
      <w:pPr>
        <w:spacing w:after="0" w:line="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Borrowing Base Certificate for such month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43" w:name="page244"/>
    <w:bookmarkEnd w:id="243"/>
    <w:p>
      <w:pPr>
        <w:spacing w:after="0" w:line="269" w:lineRule="exact"/>
        <w:rPr>
          <w:sz w:val="20"/>
          <w:szCs w:val="20"/>
          <w:color w:val="auto"/>
        </w:rPr>
      </w:pPr>
    </w:p>
    <w:p>
      <w:pPr>
        <w:ind w:left="3160" w:right="120"/>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Approved Third-Party Appraiser delivers such valuation at least seven (7) Business Days before the 20</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17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 xml:space="preserve">For the avoidance of doubt, all calculations of value pursuant to this </w:t>
      </w:r>
      <w:r>
        <w:rPr>
          <w:rFonts w:ascii="Times New Roman" w:cs="Times New Roman" w:eastAsia="Times New Roman" w:hAnsi="Times New Roman"/>
          <w:sz w:val="19"/>
          <w:szCs w:val="19"/>
          <w:u w:val="single" w:color="auto"/>
          <w:color w:val="auto"/>
        </w:rPr>
        <w:t>Section 5.12(b)</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u w:val="single" w:color="auto"/>
          <w:color w:val="auto"/>
        </w:rPr>
        <w:t>(ii)(E)</w:t>
      </w:r>
      <w:r>
        <w:rPr>
          <w:rFonts w:ascii="Times New Roman" w:cs="Times New Roman" w:eastAsia="Times New Roman" w:hAnsi="Times New Roman"/>
          <w:sz w:val="19"/>
          <w:szCs w:val="19"/>
          <w:color w:val="auto"/>
        </w:rPr>
        <w:t xml:space="preserve"> shall be determined without application of the Advance Rates.</w:t>
      </w:r>
    </w:p>
    <w:p>
      <w:pPr>
        <w:spacing w:after="0" w:line="180" w:lineRule="exact"/>
        <w:rPr>
          <w:sz w:val="20"/>
          <w:szCs w:val="20"/>
          <w:color w:val="auto"/>
        </w:rPr>
      </w:pPr>
    </w:p>
    <w:p>
      <w:pPr>
        <w:ind w:left="2460" w:right="140" w:firstLine="1032"/>
        <w:spacing w:after="0" w:line="254" w:lineRule="auto"/>
        <w:rPr>
          <w:sz w:val="20"/>
          <w:szCs w:val="20"/>
          <w:color w:val="auto"/>
        </w:rPr>
      </w:pPr>
      <w:r>
        <w:rPr>
          <w:rFonts w:ascii="Times New Roman" w:cs="Times New Roman" w:eastAsia="Times New Roman" w:hAnsi="Times New Roman"/>
          <w:sz w:val="19"/>
          <w:szCs w:val="19"/>
          <w:u w:val="single" w:color="auto"/>
          <w:color w:val="auto"/>
        </w:rPr>
        <w:t>(F)Valuation Dispute Resolution</w:t>
      </w:r>
      <w:r>
        <w:rPr>
          <w:rFonts w:ascii="Times New Roman" w:cs="Times New Roman" w:eastAsia="Times New Roman" w:hAnsi="Times New Roman"/>
          <w:sz w:val="19"/>
          <w:szCs w:val="19"/>
          <w:color w:val="auto"/>
        </w:rPr>
        <w:t xml:space="preserve">. Notwithstanding the foregoing, the Administrative Agent shall at any time have the right to request any Unquoted Investment be independently valued by an Approved Third- 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Times New Roman" w:cs="Times New Roman" w:eastAsia="Times New Roman" w:hAnsi="Times New Roman"/>
          <w:sz w:val="19"/>
          <w:szCs w:val="19"/>
          <w:u w:val="single" w:color="auto"/>
          <w:color w:val="auto"/>
        </w:rPr>
        <w:t>Section 5.12(b)(ii)</w:t>
      </w:r>
    </w:p>
    <w:p>
      <w:pPr>
        <w:spacing w:after="0" w:line="3" w:lineRule="exact"/>
        <w:rPr>
          <w:sz w:val="20"/>
          <w:szCs w:val="20"/>
          <w:color w:val="auto"/>
        </w:rPr>
      </w:pPr>
    </w:p>
    <w:p>
      <w:pPr>
        <w:ind w:left="2460" w:right="160" w:firstLine="7"/>
        <w:spacing w:after="0" w:line="251" w:lineRule="auto"/>
        <w:tabs>
          <w:tab w:leader="none" w:pos="2760" w:val="left"/>
        </w:tabs>
        <w:numPr>
          <w:ilvl w:val="0"/>
          <w:numId w:val="7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and the valuation of any Approved Third-Party Appraiser selected by the Administrative Agent pursuant to </w:t>
      </w:r>
      <w:r>
        <w:rPr>
          <w:rFonts w:ascii="Times New Roman" w:cs="Times New Roman" w:eastAsia="Times New Roman" w:hAnsi="Times New Roman"/>
          <w:sz w:val="19"/>
          <w:szCs w:val="19"/>
          <w:u w:val="single" w:color="auto"/>
          <w:color w:val="auto"/>
        </w:rPr>
        <w:t>Section 5.12(b)(ii)(E)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66" w:lineRule="exact"/>
        <w:rPr>
          <w:sz w:val="20"/>
          <w:szCs w:val="20"/>
          <w:color w:val="auto"/>
        </w:rPr>
      </w:pPr>
    </w:p>
    <w:p>
      <w:pPr>
        <w:jc w:val="both"/>
        <w:ind w:left="1060" w:right="16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(c)RIC Diversification Requirements</w:t>
      </w:r>
      <w:r>
        <w:rPr>
          <w:rFonts w:ascii="Times New Roman" w:cs="Times New Roman" w:eastAsia="Times New Roman" w:hAnsi="Times New Roman"/>
          <w:sz w:val="19"/>
          <w:szCs w:val="19"/>
          <w:color w:val="auto"/>
        </w:rPr>
        <w:t>. The Borrower will, and will cause its Subsidiaries (other than Financing Subsidiaries that are exempt from the Investment Company Act) at all times to, subject to applicable grace periods set forth in the Code, comply with the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44" w:name="page245"/>
    <w:bookmarkEnd w:id="244"/>
    <w:p>
      <w:pPr>
        <w:spacing w:after="0" w:line="26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portfolio diversification requirements set forth in the Code applicable to RICs, to the extent applicable.</w:t>
      </w:r>
    </w:p>
    <w:p>
      <w:pPr>
        <w:spacing w:after="0" w:line="202" w:lineRule="exact"/>
        <w:rPr>
          <w:sz w:val="20"/>
          <w:szCs w:val="20"/>
          <w:color w:val="auto"/>
        </w:rPr>
      </w:pPr>
    </w:p>
    <w:p>
      <w:pPr>
        <w:ind w:left="1060" w:right="100" w:firstLine="864"/>
        <w:spacing w:after="0" w:line="255" w:lineRule="auto"/>
        <w:rPr>
          <w:sz w:val="20"/>
          <w:szCs w:val="20"/>
          <w:color w:val="auto"/>
        </w:rPr>
      </w:pPr>
      <w:r>
        <w:rPr>
          <w:rFonts w:ascii="Times New Roman" w:cs="Times New Roman" w:eastAsia="Times New Roman" w:hAnsi="Times New Roman"/>
          <w:sz w:val="19"/>
          <w:szCs w:val="19"/>
          <w:color w:val="auto"/>
        </w:rPr>
        <w:t xml:space="preserve">SECTION 5.13. </w:t>
      </w:r>
      <w:r>
        <w:rPr>
          <w:rFonts w:ascii="Times New Roman" w:cs="Times New Roman" w:eastAsia="Times New Roman" w:hAnsi="Times New Roman"/>
          <w:sz w:val="19"/>
          <w:szCs w:val="19"/>
          <w:u w:val="single" w:color="auto"/>
          <w:color w:val="auto"/>
        </w:rPr>
        <w:t>Calculation of Borrowing Base</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For purposes of this Agreement, the “</w:t>
      </w:r>
      <w:r>
        <w:rPr>
          <w:rFonts w:ascii="Times New Roman" w:cs="Times New Roman" w:eastAsia="Times New Roman" w:hAnsi="Times New Roman"/>
          <w:sz w:val="19"/>
          <w:szCs w:val="19"/>
          <w:u w:val="single" w:color="auto"/>
          <w:color w:val="auto"/>
        </w:rPr>
        <w:t>Borrowing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Base</w:t>
      </w:r>
      <w:r>
        <w:rPr>
          <w:rFonts w:ascii="Times New Roman" w:cs="Times New Roman" w:eastAsia="Times New Roman" w:hAnsi="Times New Roman"/>
          <w:sz w:val="19"/>
          <w:szCs w:val="19"/>
          <w:color w:val="auto"/>
        </w:rPr>
        <w:t xml:space="preserve">” shall be determined, as at any date of determination, as the sum of the Advance Rates of the Value of each Portfolio Investment (excluding any Cash Collateral held by the Administrative Agent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2.05(k)</w:t>
      </w:r>
      <w:r>
        <w:rPr>
          <w:rFonts w:ascii="Times New Roman" w:cs="Times New Roman" w:eastAsia="Times New Roman" w:hAnsi="Times New Roman"/>
          <w:sz w:val="19"/>
          <w:szCs w:val="19"/>
          <w:color w:val="auto"/>
        </w:rPr>
        <w:t xml:space="preserve"> or the last paragraph of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that:the Advance Rate applicable to that portion of the aggregate Value of the Portfolio Investments of all issuers in a consolidated group of corporations or other entities (collectively, a “</w:t>
      </w:r>
      <w:r>
        <w:rPr>
          <w:rFonts w:ascii="Times New Roman" w:cs="Times New Roman" w:eastAsia="Times New Roman" w:hAnsi="Times New Roman"/>
          <w:sz w:val="19"/>
          <w:szCs w:val="19"/>
          <w:u w:val="single" w:color="auto"/>
          <w:color w:val="auto"/>
        </w:rPr>
        <w:t>Consolidated Group</w:t>
      </w:r>
      <w:r>
        <w:rPr>
          <w:rFonts w:ascii="Times New Roman" w:cs="Times New Roman" w:eastAsia="Times New Roman" w:hAnsi="Times New Roman"/>
          <w:sz w:val="19"/>
          <w:szCs w:val="19"/>
          <w:color w:val="auto"/>
        </w:rPr>
        <w:t>”), in accordance with GAAP, that exceeds 6% of the aggregate Value of all Portfolio Investments in the Collateral Pool as of the end of the most recent quarter shall be 50% of the Advance Rate otherwise applicable;</w:t>
      </w:r>
    </w:p>
    <w:p>
      <w:pPr>
        <w:spacing w:after="0" w:line="160" w:lineRule="exact"/>
        <w:rPr>
          <w:sz w:val="20"/>
          <w:szCs w:val="20"/>
          <w:color w:val="auto"/>
        </w:rPr>
      </w:pPr>
    </w:p>
    <w:p>
      <w:pPr>
        <w:ind w:left="1060" w:right="140" w:firstLine="864"/>
        <w:spacing w:after="0" w:line="268" w:lineRule="auto"/>
        <w:rPr>
          <w:sz w:val="20"/>
          <w:szCs w:val="20"/>
          <w:color w:val="auto"/>
        </w:rPr>
      </w:pPr>
      <w:r>
        <w:rPr>
          <w:rFonts w:ascii="Times New Roman" w:cs="Times New Roman" w:eastAsia="Times New Roman" w:hAnsi="Times New Roman"/>
          <w:sz w:val="19"/>
          <w:szCs w:val="19"/>
          <w:color w:val="auto"/>
        </w:rPr>
        <w:t>(b)the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44" w:lineRule="exact"/>
        <w:rPr>
          <w:sz w:val="20"/>
          <w:szCs w:val="20"/>
          <w:color w:val="auto"/>
        </w:rPr>
      </w:pPr>
    </w:p>
    <w:p>
      <w:pPr>
        <w:ind w:left="1060" w:right="200" w:firstLine="864"/>
        <w:spacing w:after="0" w:line="255" w:lineRule="auto"/>
        <w:rPr>
          <w:sz w:val="20"/>
          <w:szCs w:val="20"/>
          <w:color w:val="auto"/>
        </w:rPr>
      </w:pPr>
      <w:r>
        <w:rPr>
          <w:rFonts w:ascii="Times New Roman" w:cs="Times New Roman" w:eastAsia="Times New Roman" w:hAnsi="Times New Roman"/>
          <w:sz w:val="19"/>
          <w:szCs w:val="19"/>
          <w:color w:val="auto"/>
        </w:rPr>
        <w:t xml:space="preserve">(c)the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60" w:lineRule="exact"/>
        <w:rPr>
          <w:sz w:val="20"/>
          <w:szCs w:val="20"/>
          <w:color w:val="auto"/>
        </w:rPr>
      </w:pPr>
    </w:p>
    <w:p>
      <w:pPr>
        <w:ind w:left="1060" w:right="120" w:firstLine="864"/>
        <w:spacing w:after="0" w:line="259" w:lineRule="auto"/>
        <w:rPr>
          <w:sz w:val="20"/>
          <w:szCs w:val="20"/>
          <w:color w:val="auto"/>
        </w:rPr>
      </w:pPr>
      <w:r>
        <w:rPr>
          <w:rFonts w:ascii="Times New Roman" w:cs="Times New Roman" w:eastAsia="Times New Roman" w:hAnsi="Times New Roman"/>
          <w:sz w:val="19"/>
          <w:szCs w:val="19"/>
          <w:color w:val="auto"/>
        </w:rPr>
        <w:t>(d)no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54" w:lineRule="exact"/>
        <w:rPr>
          <w:sz w:val="20"/>
          <w:szCs w:val="20"/>
          <w:color w:val="auto"/>
        </w:rPr>
      </w:pPr>
    </w:p>
    <w:p>
      <w:pPr>
        <w:ind w:left="1060" w:right="260" w:firstLine="864"/>
        <w:spacing w:after="0" w:line="268" w:lineRule="auto"/>
        <w:rPr>
          <w:sz w:val="20"/>
          <w:szCs w:val="20"/>
          <w:color w:val="auto"/>
        </w:rPr>
      </w:pPr>
      <w:r>
        <w:rPr>
          <w:rFonts w:ascii="Times New Roman" w:cs="Times New Roman" w:eastAsia="Times New Roman" w:hAnsi="Times New Roman"/>
          <w:sz w:val="19"/>
          <w:szCs w:val="19"/>
          <w:color w:val="auto"/>
        </w:rPr>
        <w:t>(e)the portion of the Borrowing Base attributable to Performing Non-Cash Pay High Yield Securities, Performing Non-Cash Pay Mezzanine Investments, Equity Interests and Non-Performing Portfolio Investments shall not exceed 20%;</w:t>
      </w:r>
    </w:p>
    <w:p>
      <w:pPr>
        <w:spacing w:after="0" w:line="144" w:lineRule="exact"/>
        <w:rPr>
          <w:sz w:val="20"/>
          <w:szCs w:val="20"/>
          <w:color w:val="auto"/>
        </w:rPr>
      </w:pPr>
    </w:p>
    <w:p>
      <w:pPr>
        <w:ind w:left="1060" w:right="260" w:firstLine="864"/>
        <w:spacing w:after="0" w:line="268" w:lineRule="auto"/>
        <w:rPr>
          <w:sz w:val="20"/>
          <w:szCs w:val="20"/>
          <w:color w:val="auto"/>
        </w:rPr>
      </w:pPr>
      <w:r>
        <w:rPr>
          <w:rFonts w:ascii="Times New Roman" w:cs="Times New Roman" w:eastAsia="Times New Roman" w:hAnsi="Times New Roman"/>
          <w:sz w:val="19"/>
          <w:szCs w:val="19"/>
          <w:color w:val="auto"/>
        </w:rPr>
        <w:t>(f)the portion of the Borrowing Base attributable to Equity Interests shall not exceed 10% (it being understood that in no event shall Equity Interests of Financing Subsidiaries be included in the Borrowing Base);</w:t>
      </w:r>
    </w:p>
    <w:p>
      <w:pPr>
        <w:spacing w:after="0" w:line="144" w:lineRule="exact"/>
        <w:rPr>
          <w:sz w:val="20"/>
          <w:szCs w:val="20"/>
          <w:color w:val="auto"/>
        </w:rPr>
      </w:pPr>
    </w:p>
    <w:p>
      <w:pPr>
        <w:ind w:left="1060" w:right="120" w:firstLine="864"/>
        <w:spacing w:after="0" w:line="268" w:lineRule="auto"/>
        <w:rPr>
          <w:sz w:val="20"/>
          <w:szCs w:val="20"/>
          <w:color w:val="auto"/>
        </w:rPr>
      </w:pPr>
      <w:r>
        <w:rPr>
          <w:rFonts w:ascii="Times New Roman" w:cs="Times New Roman" w:eastAsia="Times New Roman" w:hAnsi="Times New Roman"/>
          <w:sz w:val="19"/>
          <w:szCs w:val="19"/>
          <w:color w:val="auto"/>
        </w:rPr>
        <w:t>(g)the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ind w:left="1060" w:right="580" w:firstLine="864"/>
        <w:spacing w:after="0" w:line="268" w:lineRule="auto"/>
        <w:rPr>
          <w:sz w:val="20"/>
          <w:szCs w:val="20"/>
          <w:color w:val="auto"/>
        </w:rPr>
      </w:pPr>
      <w:r>
        <w:rPr>
          <w:rFonts w:ascii="Times New Roman" w:cs="Times New Roman" w:eastAsia="Times New Roman" w:hAnsi="Times New Roman"/>
          <w:sz w:val="19"/>
          <w:szCs w:val="19"/>
          <w:color w:val="auto"/>
        </w:rPr>
        <w:t>(h)the portion of the Borrowing Base attributable to Portfolio Investments invested outside the United States, Canada, the United Kingdom, Australia, Germany, France, Belgium, the Netherlands, Luxembourg, Switzerland, Denmark, Finland, Norway and Sweden shall not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45" w:name="page246"/>
    <w:bookmarkEnd w:id="245"/>
    <w:p>
      <w:pPr>
        <w:spacing w:after="0" w:line="26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exceed 5% without the consent of the Administrative Agent and JPMorgan Chase Bank, N.A.;</w:t>
      </w:r>
    </w:p>
    <w:p>
      <w:pPr>
        <w:spacing w:after="0" w:line="202" w:lineRule="exact"/>
        <w:rPr>
          <w:sz w:val="20"/>
          <w:szCs w:val="20"/>
          <w:color w:val="auto"/>
        </w:rPr>
      </w:pPr>
    </w:p>
    <w:p>
      <w:pPr>
        <w:jc w:val="both"/>
        <w:ind w:left="1060" w:right="280" w:firstLine="864"/>
        <w:spacing w:after="0" w:line="268" w:lineRule="auto"/>
        <w:rPr>
          <w:sz w:val="20"/>
          <w:szCs w:val="20"/>
          <w:color w:val="auto"/>
        </w:rPr>
      </w:pPr>
      <w:r>
        <w:rPr>
          <w:rFonts w:ascii="Times New Roman" w:cs="Times New Roman" w:eastAsia="Times New Roman" w:hAnsi="Times New Roman"/>
          <w:sz w:val="19"/>
          <w:szCs w:val="19"/>
          <w:color w:val="auto"/>
        </w:rPr>
        <w:t>(i)at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spacing w:after="0" w:line="144" w:lineRule="exact"/>
        <w:rPr>
          <w:sz w:val="20"/>
          <w:szCs w:val="20"/>
          <w:color w:val="auto"/>
        </w:rPr>
      </w:pPr>
    </w:p>
    <w:p>
      <w:pPr>
        <w:jc w:val="both"/>
        <w:ind w:left="1060" w:right="320" w:firstLine="864"/>
        <w:spacing w:after="0" w:line="268" w:lineRule="auto"/>
        <w:rPr>
          <w:sz w:val="20"/>
          <w:szCs w:val="20"/>
          <w:color w:val="auto"/>
        </w:rPr>
      </w:pPr>
      <w:r>
        <w:rPr>
          <w:rFonts w:ascii="Times New Roman" w:cs="Times New Roman" w:eastAsia="Times New Roman" w:hAnsi="Times New Roman"/>
          <w:sz w:val="19"/>
          <w:szCs w:val="19"/>
          <w:color w:val="auto"/>
        </w:rPr>
        <w:t>(j)at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46" w:name="page247"/>
    <w:bookmarkEnd w:id="246"/>
    <w:p>
      <w:pPr>
        <w:spacing w:after="0" w:line="200" w:lineRule="exact"/>
        <w:rPr>
          <w:sz w:val="20"/>
          <w:szCs w:val="20"/>
          <w:color w:val="auto"/>
        </w:rPr>
      </w:pPr>
    </w:p>
    <w:p>
      <w:pPr>
        <w:spacing w:after="0" w:line="2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As used herein, the following terms have the following meanings:</w:t>
      </w:r>
    </w:p>
    <w:p>
      <w:pPr>
        <w:spacing w:after="0" w:line="202" w:lineRule="exact"/>
        <w:rPr>
          <w:sz w:val="20"/>
          <w:szCs w:val="20"/>
          <w:color w:val="auto"/>
        </w:rPr>
      </w:pPr>
    </w:p>
    <w:p>
      <w:pPr>
        <w:ind w:left="1060" w:right="3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Advance Rate</w:t>
      </w:r>
      <w:r>
        <w:rPr>
          <w:rFonts w:ascii="Times New Roman" w:cs="Times New Roman" w:eastAsia="Times New Roman" w:hAnsi="Times New Roman"/>
          <w:sz w:val="19"/>
          <w:szCs w:val="19"/>
          <w:color w:val="auto"/>
        </w:rPr>
        <w:t xml:space="preserve">” means, as to any Portfolio Investment and subject to adjustment as provided in </w:t>
      </w:r>
      <w:r>
        <w:rPr>
          <w:rFonts w:ascii="Times New Roman" w:cs="Times New Roman" w:eastAsia="Times New Roman" w:hAnsi="Times New Roman"/>
          <w:sz w:val="19"/>
          <w:szCs w:val="19"/>
          <w:u w:val="single" w:color="auto"/>
          <w:color w:val="auto"/>
        </w:rPr>
        <w:t>Section 5.13(a)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the following percentages with respect to such Portfolio Investment: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47" w:name="page248"/>
    <w:bookmarkEnd w:id="247"/>
    <w:p>
      <w:pPr>
        <w:ind w:left="3640"/>
        <w:spacing w:after="0"/>
        <w:rPr>
          <w:sz w:val="20"/>
          <w:szCs w:val="20"/>
          <w:color w:val="auto"/>
        </w:rPr>
      </w:pPr>
      <w:r>
        <w:rPr>
          <w:rFonts w:ascii="Times New Roman" w:cs="Times New Roman" w:eastAsia="Times New Roman" w:hAnsi="Times New Roman"/>
          <w:sz w:val="19"/>
          <w:szCs w:val="19"/>
          <w:u w:val="single" w:color="auto"/>
          <w:color w:val="auto"/>
        </w:rPr>
        <w:t>Portfolio Investment</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Quoted</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u w:val="single" w:color="auto"/>
          <w:color w:val="auto"/>
        </w:rPr>
        <w:t>Unquoted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720" w:top="1133" w:right="680" w:bottom="1440" w:gutter="0" w:footer="0" w:header="0"/>
        </w:sectPr>
      </w:pPr>
    </w:p>
    <w:bookmarkStart w:id="248" w:name="page249"/>
    <w:bookmarkEnd w:id="248"/>
    <w:tbl>
      <w:tblPr>
        <w:tblLayout w:type="fixed"/>
        <w:tblInd w:w="2120" w:type="dxa"/>
        <w:tblCellMar>
          <w:top w:w="0" w:type="dxa"/>
          <w:left w:w="0" w:type="dxa"/>
          <w:bottom w:w="0" w:type="dxa"/>
          <w:right w:w="0" w:type="dxa"/>
        </w:tblCellMar>
      </w:tblPr>
      <w:tr>
        <w:trPr>
          <w:trHeight w:val="251"/>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Cash, Cash Equivalents and</w:t>
            </w:r>
          </w:p>
        </w:tc>
        <w:tc>
          <w:tcPr>
            <w:tcW w:w="14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2"/>
        </w:trPr>
        <w:tc>
          <w:tcPr>
            <w:tcW w:w="44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Short-Term U.S. Government Securities</w:t>
            </w:r>
          </w:p>
        </w:tc>
        <w:tc>
          <w:tcPr>
            <w:tcW w:w="1440" w:type="dxa"/>
            <w:vAlign w:val="bottom"/>
          </w:tcPr>
          <w:p>
            <w:pPr>
              <w:jc w:val="center"/>
              <w:ind w:left="264"/>
              <w:spacing w:after="0"/>
              <w:rPr>
                <w:sz w:val="20"/>
                <w:szCs w:val="20"/>
                <w:color w:val="auto"/>
              </w:rPr>
            </w:pPr>
            <w:r>
              <w:rPr>
                <w:rFonts w:ascii="Times New Roman" w:cs="Times New Roman" w:eastAsia="Times New Roman" w:hAnsi="Times New Roman"/>
                <w:sz w:val="19"/>
                <w:szCs w:val="19"/>
                <w:color w:val="auto"/>
                <w:w w:val="99"/>
              </w:rPr>
              <w:t>100%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0%</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Long-Term U.S. Government Securities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95%</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0%</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Performing First Lien Bank Loans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85%</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75%</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Performing Unitranche Loans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80%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70%</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Performing Second Lien Bank Loans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75%</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65%</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Performing Cash Pay High Yield Securities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70%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60%</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Performing Cash Pay Mezzanine Investments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65%</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55%</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Performing Non-Cash Pay High Yield Securities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60%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50%</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Performing Non-Cash Pay Mezzanine Investments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55%</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45%</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First Lien Bank Loans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45%</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45%</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Unitranche Loans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40%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40%</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Second Lien Bank Loans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40%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30%</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High Yield Securities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30%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30%</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Cash Pay Mezzanine Investments</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30%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25%</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Performing Common Equity (and zero cost or</w:t>
            </w:r>
          </w:p>
        </w:tc>
        <w:tc>
          <w:tcPr>
            <w:tcW w:w="14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30%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7"/>
              </w:rPr>
              <w:t>20%</w:t>
            </w: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penny warrants with performing debt) Non-</w:t>
            </w:r>
          </w:p>
        </w:tc>
        <w:tc>
          <w:tcPr>
            <w:tcW w:w="1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1"/>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Performing Common Equity</w:t>
            </w:r>
          </w:p>
        </w:tc>
        <w:tc>
          <w:tcPr>
            <w:tcW w:w="1440" w:type="dxa"/>
            <w:vAlign w:val="bottom"/>
          </w:tcPr>
          <w:p>
            <w:pPr>
              <w:jc w:val="center"/>
              <w:ind w:left="284"/>
              <w:spacing w:after="0"/>
              <w:rPr>
                <w:sz w:val="20"/>
                <w:szCs w:val="20"/>
                <w:color w:val="auto"/>
              </w:rPr>
            </w:pPr>
            <w:r>
              <w:rPr>
                <w:rFonts w:ascii="Times New Roman" w:cs="Times New Roman" w:eastAsia="Times New Roman" w:hAnsi="Times New Roman"/>
                <w:sz w:val="19"/>
                <w:szCs w:val="19"/>
                <w:color w:val="auto"/>
              </w:rPr>
              <w:t>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0%</w:t>
            </w: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Structured Finance Obligations and Finance Leases</w:t>
            </w:r>
          </w:p>
        </w:tc>
        <w:tc>
          <w:tcPr>
            <w:tcW w:w="1440" w:type="dxa"/>
            <w:vAlign w:val="bottom"/>
          </w:tcPr>
          <w:p>
            <w:pPr>
              <w:jc w:val="center"/>
              <w:ind w:left="284"/>
              <w:spacing w:after="0"/>
              <w:rPr>
                <w:sz w:val="20"/>
                <w:szCs w:val="20"/>
                <w:color w:val="auto"/>
              </w:rPr>
            </w:pPr>
            <w:r>
              <w:rPr>
                <w:rFonts w:ascii="Times New Roman" w:cs="Times New Roman" w:eastAsia="Times New Roman" w:hAnsi="Times New Roman"/>
                <w:sz w:val="19"/>
                <w:szCs w:val="19"/>
                <w:color w:val="auto"/>
              </w:rPr>
              <w:t>0%</w:t>
            </w:r>
          </w:p>
        </w:tc>
        <w:tc>
          <w:tcPr>
            <w:tcW w:w="68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0%</w:t>
            </w:r>
          </w:p>
        </w:tc>
      </w:tr>
    </w:tbl>
    <w:p>
      <w:pPr>
        <w:spacing w:after="0" w:line="229" w:lineRule="exact"/>
        <w:rPr>
          <w:sz w:val="20"/>
          <w:szCs w:val="20"/>
          <w:color w:val="auto"/>
        </w:rPr>
      </w:pPr>
    </w:p>
    <w:p>
      <w:pPr>
        <w:ind w:left="1060" w:right="30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 Loans</w:t>
      </w:r>
      <w:r>
        <w:rPr>
          <w:rFonts w:ascii="Times New Roman" w:cs="Times New Roman" w:eastAsia="Times New Roman" w:hAnsi="Times New Roman"/>
          <w:sz w:val="19"/>
          <w:szCs w:val="19"/>
          <w:color w:val="auto"/>
        </w:rPr>
        <w:t>” means debt obligations (including term loans, notes, revolving loans, debtor-in -possession financings, the funded and unfunded portion of revolving credit lines and letter of credit facilities and other similar loans and investments including interim loans 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097" w:right="1440" w:bottom="1440" w:gutter="0" w:footer="0" w:header="0"/>
        </w:sectPr>
      </w:pPr>
    </w:p>
    <w:bookmarkStart w:id="249" w:name="page250"/>
    <w:bookmarkEnd w:id="249"/>
    <w:p>
      <w:pPr>
        <w:spacing w:after="0" w:line="269" w:lineRule="exact"/>
        <w:rPr>
          <w:sz w:val="20"/>
          <w:szCs w:val="20"/>
          <w:color w:val="auto"/>
        </w:rPr>
      </w:pPr>
    </w:p>
    <w:p>
      <w:pPr>
        <w:ind w:left="1060"/>
        <w:spacing w:after="0" w:line="286" w:lineRule="auto"/>
        <w:rPr>
          <w:sz w:val="20"/>
          <w:szCs w:val="20"/>
          <w:color w:val="auto"/>
        </w:rPr>
      </w:pPr>
      <w:r>
        <w:rPr>
          <w:rFonts w:ascii="Times New Roman" w:cs="Times New Roman" w:eastAsia="Times New Roman" w:hAnsi="Times New Roman"/>
          <w:sz w:val="19"/>
          <w:szCs w:val="19"/>
          <w:color w:val="auto"/>
        </w:rPr>
        <w:t>senior subordinated loans) which are generally under a loan or credit facility (whether or not syndicated) or note purchase agreement.</w:t>
      </w:r>
    </w:p>
    <w:p>
      <w:pPr>
        <w:spacing w:after="0" w:line="127" w:lineRule="exact"/>
        <w:rPr>
          <w:sz w:val="20"/>
          <w:szCs w:val="20"/>
          <w:color w:val="auto"/>
        </w:rPr>
      </w:pPr>
    </w:p>
    <w:p>
      <w:pPr>
        <w:ind w:left="1060" w:right="114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Stock</w:t>
      </w:r>
      <w:r>
        <w:rPr>
          <w:rFonts w:ascii="Times New Roman" w:cs="Times New Roman" w:eastAsia="Times New Roman" w:hAnsi="Times New Roman"/>
          <w:sz w:val="19"/>
          <w:szCs w:val="19"/>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720" w:top="1440" w:right="780" w:bottom="1440" w:gutter="0" w:footer="0" w:header="0"/>
        </w:sectPr>
      </w:pPr>
    </w:p>
    <w:bookmarkStart w:id="250" w:name="page251"/>
    <w:bookmarkEnd w:id="250"/>
    <w:p>
      <w:pPr>
        <w:spacing w:after="0" w:line="34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Agreement.</w:t>
      </w:r>
    </w:p>
    <w:p>
      <w:pPr>
        <w:spacing w:after="0" w:line="82" w:lineRule="exact"/>
        <w:rPr>
          <w:sz w:val="20"/>
          <w:szCs w:val="20"/>
          <w:color w:val="auto"/>
        </w:rPr>
      </w:pPr>
    </w:p>
    <w:p>
      <w:pPr>
        <w:ind w:left="220"/>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of this Agreement. “</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of this</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Finance Lease</w:t>
      </w:r>
      <w:r>
        <w:rPr>
          <w:rFonts w:ascii="Times New Roman" w:cs="Times New Roman" w:eastAsia="Times New Roman" w:hAnsi="Times New Roman"/>
          <w:sz w:val="19"/>
          <w:szCs w:val="19"/>
          <w:color w:val="auto"/>
        </w:rPr>
        <w:t>” means any transaction representing the obligation of a lessee to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20"/>
          </w:cols>
          <w:pgMar w:left="720" w:top="1440" w:right="1160" w:bottom="1440" w:gutter="0" w:footer="0" w:header="0"/>
        </w:sectPr>
      </w:pPr>
    </w:p>
    <w:bookmarkStart w:id="251" w:name="page252"/>
    <w:bookmarkEnd w:id="251"/>
    <w:p>
      <w:pPr>
        <w:ind w:left="1060" w:right="100"/>
        <w:spacing w:after="0" w:line="286" w:lineRule="auto"/>
        <w:rPr>
          <w:sz w:val="20"/>
          <w:szCs w:val="20"/>
          <w:color w:val="auto"/>
        </w:rPr>
      </w:pPr>
      <w:r>
        <w:rPr>
          <w:rFonts w:ascii="Times New Roman" w:cs="Times New Roman" w:eastAsia="Times New Roman" w:hAnsi="Times New Roman"/>
          <w:sz w:val="19"/>
          <w:szCs w:val="19"/>
          <w:color w:val="auto"/>
        </w:rPr>
        <w:t>pay rent or other amounts under a lease which is required to be classified and accounted for as a capital lease on the balance sheet of such lessee under GAAP.</w:t>
      </w:r>
    </w:p>
    <w:p>
      <w:pPr>
        <w:spacing w:after="0" w:line="127" w:lineRule="exact"/>
        <w:rPr>
          <w:sz w:val="20"/>
          <w:szCs w:val="20"/>
          <w:color w:val="auto"/>
        </w:rPr>
      </w:pPr>
    </w:p>
    <w:p>
      <w:pPr>
        <w:ind w:left="1060" w:right="360" w:firstLine="172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Lien Bank Loan</w:t>
      </w:r>
      <w:r>
        <w:rPr>
          <w:rFonts w:ascii="Times New Roman" w:cs="Times New Roman" w:eastAsia="Times New Roman" w:hAnsi="Times New Roman"/>
          <w:sz w:val="19"/>
          <w:szCs w:val="19"/>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High Yield Securities</w:t>
      </w:r>
      <w:r>
        <w:rPr>
          <w:rFonts w:ascii="Times New Roman" w:cs="Times New Roman" w:eastAsia="Times New Roman" w:hAnsi="Times New Roman"/>
          <w:sz w:val="19"/>
          <w:szCs w:val="19"/>
          <w:color w:val="auto"/>
        </w:rPr>
        <w:t>” means debt Securities and Preferred Stock, in each case</w:t>
      </w:r>
    </w:p>
    <w:p>
      <w:pPr>
        <w:spacing w:after="0" w:line="32" w:lineRule="exact"/>
        <w:rPr>
          <w:sz w:val="20"/>
          <w:szCs w:val="20"/>
          <w:color w:val="auto"/>
        </w:rPr>
      </w:pPr>
    </w:p>
    <w:p>
      <w:pPr>
        <w:ind w:left="1060" w:right="80" w:hanging="10"/>
        <w:spacing w:after="0" w:line="256" w:lineRule="auto"/>
        <w:tabs>
          <w:tab w:leader="none" w:pos="132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55" w:lineRule="exact"/>
        <w:rPr>
          <w:sz w:val="20"/>
          <w:szCs w:val="20"/>
          <w:color w:val="auto"/>
        </w:rPr>
      </w:pPr>
    </w:p>
    <w:p>
      <w:pPr>
        <w:ind w:left="1060" w:right="22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Long -Term U.S. Government Securities</w:t>
      </w:r>
      <w:r>
        <w:rPr>
          <w:rFonts w:ascii="Times New Roman" w:cs="Times New Roman" w:eastAsia="Times New Roman" w:hAnsi="Times New Roman"/>
          <w:sz w:val="19"/>
          <w:szCs w:val="19"/>
          <w:color w:val="auto"/>
        </w:rPr>
        <w:t>” means U.S. Government Securities maturing more than one year from the applicable date of determination.</w:t>
      </w:r>
    </w:p>
    <w:p>
      <w:pPr>
        <w:spacing w:after="0" w:line="127" w:lineRule="exact"/>
        <w:rPr>
          <w:sz w:val="20"/>
          <w:szCs w:val="20"/>
          <w:color w:val="auto"/>
        </w:rPr>
      </w:pPr>
    </w:p>
    <w:p>
      <w:pPr>
        <w:ind w:left="1060" w:right="8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Mezzanine Investments</w:t>
      </w:r>
      <w:r>
        <w:rPr>
          <w:rFonts w:ascii="Times New Roman" w:cs="Times New Roman" w:eastAsia="Times New Roman" w:hAnsi="Times New Roman"/>
          <w:sz w:val="19"/>
          <w:szCs w:val="19"/>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54" w:lineRule="exact"/>
        <w:rPr>
          <w:sz w:val="20"/>
          <w:szCs w:val="20"/>
          <w:color w:val="auto"/>
        </w:rPr>
      </w:pPr>
    </w:p>
    <w:p>
      <w:pPr>
        <w:ind w:left="1060" w:right="38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Common Equity</w:t>
      </w:r>
      <w:r>
        <w:rPr>
          <w:rFonts w:ascii="Times New Roman" w:cs="Times New Roman" w:eastAsia="Times New Roman" w:hAnsi="Times New Roman"/>
          <w:sz w:val="19"/>
          <w:szCs w:val="19"/>
          <w:color w:val="auto"/>
        </w:rPr>
        <w:t>” means Capital Stock (other than Preferred Stock) and warrants of an issuer having any debt outstanding that is non-Performing.</w:t>
      </w:r>
    </w:p>
    <w:p>
      <w:pPr>
        <w:spacing w:after="0" w:line="127" w:lineRule="exact"/>
        <w:rPr>
          <w:sz w:val="20"/>
          <w:szCs w:val="20"/>
          <w:color w:val="auto"/>
        </w:rPr>
      </w:pPr>
    </w:p>
    <w:p>
      <w:pPr>
        <w:ind w:left="1060" w:right="62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 -Performing First Lien Bank Loans</w:t>
      </w:r>
      <w:r>
        <w:rPr>
          <w:rFonts w:ascii="Times New Roman" w:cs="Times New Roman" w:eastAsia="Times New Roman" w:hAnsi="Times New Roman"/>
          <w:sz w:val="19"/>
          <w:szCs w:val="19"/>
          <w:color w:val="auto"/>
        </w:rPr>
        <w:t>” means First Lien Bank Loans other than Performing First Lien Bank Loans.</w:t>
      </w:r>
    </w:p>
    <w:p>
      <w:pPr>
        <w:spacing w:after="0" w:line="127" w:lineRule="exact"/>
        <w:rPr>
          <w:sz w:val="20"/>
          <w:szCs w:val="20"/>
          <w:color w:val="auto"/>
        </w:rPr>
      </w:pPr>
    </w:p>
    <w:p>
      <w:pPr>
        <w:ind w:left="1060" w:right="7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High Yield Securities</w:t>
      </w:r>
      <w:r>
        <w:rPr>
          <w:rFonts w:ascii="Times New Roman" w:cs="Times New Roman" w:eastAsia="Times New Roman" w:hAnsi="Times New Roman"/>
          <w:sz w:val="19"/>
          <w:szCs w:val="19"/>
          <w:color w:val="auto"/>
        </w:rPr>
        <w:t>” means High Yield Securities other than Performing High Yield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061" w:right="1440" w:bottom="1440" w:gutter="0" w:footer="0" w:header="0"/>
        </w:sectPr>
      </w:pPr>
    </w:p>
    <w:bookmarkStart w:id="252" w:name="page253"/>
    <w:bookmarkEnd w:id="252"/>
    <w:p>
      <w:pPr>
        <w:spacing w:after="0" w:line="269" w:lineRule="exact"/>
        <w:rPr>
          <w:sz w:val="20"/>
          <w:szCs w:val="20"/>
          <w:color w:val="auto"/>
        </w:rPr>
      </w:pPr>
    </w:p>
    <w:p>
      <w:pPr>
        <w:ind w:left="1060" w:right="4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Mezzanine Investments</w:t>
      </w:r>
      <w:r>
        <w:rPr>
          <w:rFonts w:ascii="Times New Roman" w:cs="Times New Roman" w:eastAsia="Times New Roman" w:hAnsi="Times New Roman"/>
          <w:sz w:val="19"/>
          <w:szCs w:val="19"/>
          <w:color w:val="auto"/>
        </w:rPr>
        <w:t>” means Mezzanine Investments other than Performing Mezzanine Investments.</w:t>
      </w:r>
    </w:p>
    <w:p>
      <w:pPr>
        <w:spacing w:after="0" w:line="127" w:lineRule="exact"/>
        <w:rPr>
          <w:sz w:val="20"/>
          <w:szCs w:val="20"/>
          <w:color w:val="auto"/>
        </w:rPr>
      </w:pPr>
    </w:p>
    <w:p>
      <w:pPr>
        <w:ind w:left="1060" w:right="30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Portfolio Investment</w:t>
      </w:r>
      <w:r>
        <w:rPr>
          <w:rFonts w:ascii="Times New Roman" w:cs="Times New Roman" w:eastAsia="Times New Roman" w:hAnsi="Times New Roman"/>
          <w:sz w:val="19"/>
          <w:szCs w:val="19"/>
          <w:color w:val="auto"/>
        </w:rPr>
        <w:t xml:space="preserve"> ” means Portfolio Investments for which the issuer is in default of any payment obligations of principal or interest in respect thereof after the expiration of any applicable grace period.</w:t>
      </w:r>
    </w:p>
    <w:p>
      <w:pPr>
        <w:spacing w:after="0" w:line="144" w:lineRule="exact"/>
        <w:rPr>
          <w:sz w:val="20"/>
          <w:szCs w:val="20"/>
          <w:color w:val="auto"/>
        </w:rPr>
      </w:pPr>
    </w:p>
    <w:p>
      <w:pPr>
        <w:ind w:left="1060" w:right="20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Second Lien Bank Loans</w:t>
      </w:r>
      <w:r>
        <w:rPr>
          <w:rFonts w:ascii="Times New Roman" w:cs="Times New Roman" w:eastAsia="Times New Roman" w:hAnsi="Times New Roman"/>
          <w:sz w:val="19"/>
          <w:szCs w:val="19"/>
          <w:color w:val="auto"/>
        </w:rPr>
        <w:t>” means Second Lien Bank Loans other than Performing Second Lien Bank Loans.</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Unitranche Loans</w:t>
      </w:r>
      <w:r>
        <w:rPr>
          <w:rFonts w:ascii="Times New Roman" w:cs="Times New Roman" w:eastAsia="Times New Roman" w:hAnsi="Times New Roman"/>
          <w:sz w:val="19"/>
          <w:szCs w:val="19"/>
          <w:color w:val="auto"/>
        </w:rPr>
        <w:t>” means Unitranche Loans other than Performing</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Unitranche Loans.</w:t>
      </w:r>
    </w:p>
    <w:p>
      <w:pPr>
        <w:spacing w:after="0" w:line="180" w:lineRule="exact"/>
        <w:rPr>
          <w:sz w:val="20"/>
          <w:szCs w:val="20"/>
          <w:color w:val="auto"/>
        </w:rPr>
      </w:pPr>
    </w:p>
    <w:p>
      <w:pPr>
        <w:ind w:left="1060" w:right="220" w:firstLine="172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w:t>
      </w:r>
      <w:r>
        <w:rPr>
          <w:rFonts w:ascii="Times New Roman" w:cs="Times New Roman" w:eastAsia="Times New Roman" w:hAnsi="Times New Roman"/>
          <w:sz w:val="19"/>
          <w:szCs w:val="19"/>
          <w:color w:val="auto"/>
        </w:rPr>
        <w:t xml:space="preserve"> ”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54" w:lineRule="exact"/>
        <w:rPr>
          <w:sz w:val="20"/>
          <w:szCs w:val="20"/>
          <w:color w:val="auto"/>
        </w:rPr>
      </w:pPr>
    </w:p>
    <w:p>
      <w:pPr>
        <w:ind w:left="1060" w:right="200" w:firstLine="172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Cash Pay High Yield Securities</w:t>
      </w:r>
      <w:r>
        <w:rPr>
          <w:rFonts w:ascii="Times New Roman" w:cs="Times New Roman" w:eastAsia="Times New Roman" w:hAnsi="Times New Roman"/>
          <w:sz w:val="19"/>
          <w:szCs w:val="19"/>
          <w:color w:val="auto"/>
        </w:rPr>
        <w:t>” means High Yield Securities (a) as to which, at the time of determination, not less than 2/3rds of the interest (including accretions and “pay-in-kind” interest) for the current monthly, quarterly, semiannual or annual period (as applicable) is payable in cash and</w:t>
      </w:r>
    </w:p>
    <w:p>
      <w:pPr>
        <w:spacing w:after="0" w:line="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(b) which are Performing.</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Cash Pay Mezzanine Investments</w:t>
      </w:r>
      <w:r>
        <w:rPr>
          <w:rFonts w:ascii="Times New Roman" w:cs="Times New Roman" w:eastAsia="Times New Roman" w:hAnsi="Times New Roman"/>
          <w:sz w:val="19"/>
          <w:szCs w:val="19"/>
          <w:color w:val="auto"/>
        </w:rPr>
        <w:t>” means Mezzanine Investments</w:t>
      </w:r>
    </w:p>
    <w:p>
      <w:pPr>
        <w:spacing w:after="0" w:line="32" w:lineRule="exact"/>
        <w:rPr>
          <w:sz w:val="20"/>
          <w:szCs w:val="20"/>
          <w:color w:val="auto"/>
        </w:rPr>
      </w:pPr>
    </w:p>
    <w:p>
      <w:pPr>
        <w:jc w:val="both"/>
        <w:ind w:left="1060" w:right="180" w:hanging="10"/>
        <w:spacing w:after="0" w:line="256" w:lineRule="auto"/>
        <w:tabs>
          <w:tab w:leader="none" w:pos="1321"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55" w:lineRule="exact"/>
        <w:rPr>
          <w:sz w:val="20"/>
          <w:szCs w:val="20"/>
          <w:color w:val="auto"/>
        </w:rPr>
      </w:pPr>
    </w:p>
    <w:p>
      <w:pPr>
        <w:ind w:left="1060" w:right="4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Common Equity</w:t>
      </w:r>
      <w:r>
        <w:rPr>
          <w:rFonts w:ascii="Times New Roman" w:cs="Times New Roman" w:eastAsia="Times New Roman" w:hAnsi="Times New Roman"/>
          <w:sz w:val="19"/>
          <w:szCs w:val="19"/>
          <w:color w:val="auto"/>
        </w:rPr>
        <w:t>” means Capital Stock (other than Preferred Stock) and warrants of an issuer all of whose outstanding debt is Performing.</w:t>
      </w:r>
    </w:p>
    <w:p>
      <w:pPr>
        <w:spacing w:after="0" w:line="1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First Lien Bank Loans</w:t>
      </w:r>
      <w:r>
        <w:rPr>
          <w:rFonts w:ascii="Times New Roman" w:cs="Times New Roman" w:eastAsia="Times New Roman" w:hAnsi="Times New Roman"/>
          <w:sz w:val="19"/>
          <w:szCs w:val="19"/>
          <w:color w:val="auto"/>
        </w:rPr>
        <w:t>” means First Lien Bank Loans which are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Performing.</w:t>
      </w:r>
    </w:p>
    <w:p>
      <w:pPr>
        <w:spacing w:after="0" w:line="180" w:lineRule="exact"/>
        <w:rPr>
          <w:sz w:val="20"/>
          <w:szCs w:val="20"/>
          <w:color w:val="auto"/>
        </w:rPr>
      </w:pPr>
    </w:p>
    <w:p>
      <w:pPr>
        <w:ind w:left="1060" w:right="1000" w:firstLine="141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Non-Cash Pay High Yield Securities</w:t>
      </w:r>
      <w:r>
        <w:rPr>
          <w:rFonts w:ascii="Times New Roman" w:cs="Times New Roman" w:eastAsia="Times New Roman" w:hAnsi="Times New Roman"/>
          <w:sz w:val="19"/>
          <w:szCs w:val="19"/>
          <w:color w:val="auto"/>
        </w:rPr>
        <w:t>” means Performing High Yield Securities other than Performing Cash Pay High Yield Securities.</w:t>
      </w:r>
    </w:p>
    <w:p>
      <w:pPr>
        <w:spacing w:after="0" w:line="127" w:lineRule="exact"/>
        <w:rPr>
          <w:sz w:val="20"/>
          <w:szCs w:val="20"/>
          <w:color w:val="auto"/>
        </w:rPr>
      </w:pPr>
    </w:p>
    <w:p>
      <w:pPr>
        <w:ind w:left="1060" w:right="540" w:firstLine="172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Non- Cash Pay Mezzanine Investments</w:t>
      </w:r>
      <w:r>
        <w:rPr>
          <w:rFonts w:ascii="Times New Roman" w:cs="Times New Roman" w:eastAsia="Times New Roman" w:hAnsi="Times New Roman"/>
          <w:sz w:val="19"/>
          <w:szCs w:val="19"/>
          <w:color w:val="auto"/>
        </w:rPr>
        <w:t>” means Performing Mezzanine Investments other than Performing Cash Pay Mezzanine Investments.</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Second Lien Bank Loans</w:t>
      </w:r>
      <w:r>
        <w:rPr>
          <w:rFonts w:ascii="Times New Roman" w:cs="Times New Roman" w:eastAsia="Times New Roman" w:hAnsi="Times New Roman"/>
          <w:sz w:val="19"/>
          <w:szCs w:val="19"/>
          <w:color w:val="auto"/>
        </w:rPr>
        <w:t>” means Second Lien Bank Loans which are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Performing.</w:t>
      </w:r>
    </w:p>
    <w:p>
      <w:pPr>
        <w:spacing w:after="0" w:line="180" w:lineRule="exact"/>
        <w:rPr>
          <w:sz w:val="20"/>
          <w:szCs w:val="20"/>
          <w:color w:val="auto"/>
        </w:rPr>
      </w:pPr>
    </w:p>
    <w:p>
      <w:pPr>
        <w:jc w:val="both"/>
        <w:ind w:left="1060" w:right="18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as applied to the Capital Stock of any Person, means Capital Stock of such Person of any class or classes (however designated) that ranks prior, as to the payment of dividends or as to the distribution of assets upon any voluntary or involuntary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53" w:name="page254"/>
    <w:bookmarkEnd w:id="253"/>
    <w:p>
      <w:pPr>
        <w:spacing w:after="0" w:line="269" w:lineRule="exact"/>
        <w:rPr>
          <w:sz w:val="20"/>
          <w:szCs w:val="20"/>
          <w:color w:val="auto"/>
        </w:rPr>
      </w:pPr>
    </w:p>
    <w:p>
      <w:pPr>
        <w:ind w:left="1060" w:right="100"/>
        <w:spacing w:after="0" w:line="268" w:lineRule="auto"/>
        <w:rPr>
          <w:sz w:val="20"/>
          <w:szCs w:val="20"/>
          <w:color w:val="auto"/>
        </w:rPr>
      </w:pPr>
      <w:r>
        <w:rPr>
          <w:rFonts w:ascii="Times New Roman" w:cs="Times New Roman" w:eastAsia="Times New Roman" w:hAnsi="Times New Roman"/>
          <w:sz w:val="19"/>
          <w:szCs w:val="19"/>
          <w:color w:val="auto"/>
        </w:rPr>
        <w:t>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44" w:lineRule="exact"/>
        <w:rPr>
          <w:sz w:val="20"/>
          <w:szCs w:val="20"/>
          <w:color w:val="auto"/>
        </w:rPr>
      </w:pPr>
    </w:p>
    <w:p>
      <w:pPr>
        <w:jc w:val="both"/>
        <w:ind w:left="1060" w:right="240" w:firstLine="172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Second Lien Bank Loan</w:t>
      </w:r>
      <w:r>
        <w:rPr>
          <w:rFonts w:ascii="Times New Roman" w:cs="Times New Roman" w:eastAsia="Times New Roman" w:hAnsi="Times New Roman"/>
          <w:sz w:val="19"/>
          <w:szCs w:val="19"/>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44" w:lineRule="exact"/>
        <w:rPr>
          <w:sz w:val="20"/>
          <w:szCs w:val="20"/>
          <w:color w:val="auto"/>
        </w:rPr>
      </w:pPr>
    </w:p>
    <w:p>
      <w:pPr>
        <w:ind w:left="1060" w:right="180" w:firstLine="1716"/>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w:t>
      </w:r>
      <w:r>
        <w:rPr>
          <w:rFonts w:ascii="Times New Roman" w:cs="Times New Roman" w:eastAsia="Times New Roman" w:hAnsi="Times New Roman"/>
          <w:sz w:val="19"/>
          <w:szCs w:val="19"/>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3" w:lineRule="exact"/>
        <w:rPr>
          <w:sz w:val="20"/>
          <w:szCs w:val="20"/>
          <w:color w:val="auto"/>
        </w:rPr>
      </w:pPr>
    </w:p>
    <w:p>
      <w:pPr>
        <w:ind w:left="2460" w:right="28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means the United States Securities Act of 1933, as amended. “</w:t>
      </w:r>
      <w:r>
        <w:rPr>
          <w:rFonts w:ascii="Times New Roman" w:cs="Times New Roman" w:eastAsia="Times New Roman" w:hAnsi="Times New Roman"/>
          <w:sz w:val="19"/>
          <w:szCs w:val="19"/>
          <w:u w:val="single" w:color="auto"/>
          <w:color w:val="auto"/>
        </w:rPr>
        <w:t>Short-Term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U.S. Government Securities</w:t>
      </w:r>
      <w:r>
        <w:rPr>
          <w:rFonts w:ascii="Times New Roman" w:cs="Times New Roman" w:eastAsia="Times New Roman" w:hAnsi="Times New Roman"/>
          <w:sz w:val="19"/>
          <w:szCs w:val="19"/>
          <w:color w:val="auto"/>
        </w:rPr>
        <w:t>” means U.S. Government Securities</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maturing within one year of the applicable date of determination.</w:t>
      </w:r>
    </w:p>
    <w:p>
      <w:pPr>
        <w:spacing w:after="0" w:line="180" w:lineRule="exact"/>
        <w:rPr>
          <w:sz w:val="20"/>
          <w:szCs w:val="20"/>
          <w:color w:val="auto"/>
        </w:rPr>
      </w:pPr>
    </w:p>
    <w:p>
      <w:pPr>
        <w:ind w:left="1060" w:right="260" w:firstLine="172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Structured Finance Obligation</w:t>
      </w:r>
      <w:r>
        <w:rPr>
          <w:rFonts w:ascii="Times New Roman" w:cs="Times New Roman" w:eastAsia="Times New Roman" w:hAnsi="Times New Roman"/>
          <w:sz w:val="19"/>
          <w:szCs w:val="19"/>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5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w:t>
      </w:r>
      <w:r>
        <w:rPr>
          <w:rFonts w:ascii="Times New Roman" w:cs="Times New Roman" w:eastAsia="Times New Roman" w:hAnsi="Times New Roman"/>
          <w:sz w:val="19"/>
          <w:szCs w:val="19"/>
          <w:color w:val="auto"/>
        </w:rPr>
        <w:t>” has the meaning assigned to such term in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Unitranche Loan</w:t>
      </w:r>
      <w:r>
        <w:rPr>
          <w:rFonts w:ascii="Times New Roman" w:cs="Times New Roman" w:eastAsia="Times New Roman" w:hAnsi="Times New Roman"/>
          <w:sz w:val="19"/>
          <w:szCs w:val="19"/>
          <w:color w:val="auto"/>
        </w:rPr>
        <w:t>” means a Bank Loan that is a First Lien Bank Loan, a portion</w:t>
      </w:r>
    </w:p>
    <w:p>
      <w:pPr>
        <w:spacing w:after="0" w:line="32" w:lineRule="exact"/>
        <w:rPr>
          <w:sz w:val="20"/>
          <w:szCs w:val="20"/>
          <w:color w:val="auto"/>
        </w:rPr>
      </w:pPr>
    </w:p>
    <w:p>
      <w:pPr>
        <w:ind w:left="1060" w:right="100"/>
        <w:spacing w:after="0" w:line="254" w:lineRule="auto"/>
        <w:rPr>
          <w:sz w:val="20"/>
          <w:szCs w:val="20"/>
          <w:color w:val="auto"/>
        </w:rPr>
      </w:pPr>
      <w:r>
        <w:rPr>
          <w:rFonts w:ascii="Times New Roman" w:cs="Times New Roman" w:eastAsia="Times New Roman" w:hAnsi="Times New Roman"/>
          <w:sz w:val="19"/>
          <w:szCs w:val="19"/>
          <w:color w:val="auto"/>
        </w:rPr>
        <w:t>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this Agreement.</w:t>
      </w:r>
    </w:p>
    <w:p>
      <w:pPr>
        <w:spacing w:after="0" w:line="15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Value</w:t>
      </w:r>
      <w:r>
        <w:rPr>
          <w:rFonts w:ascii="Times New Roman" w:cs="Times New Roman" w:eastAsia="Times New Roman" w:hAnsi="Times New Roman"/>
          <w:sz w:val="19"/>
          <w:szCs w:val="19"/>
          <w:color w:val="auto"/>
        </w:rPr>
        <w:t>” means, with respect to any Portfolio Investment, the lower of:</w:t>
      </w:r>
    </w:p>
    <w:p>
      <w:pPr>
        <w:spacing w:after="0" w:line="20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 xml:space="preserve">(i)the most recent internal market value as determined pursuant to </w:t>
      </w:r>
      <w:r>
        <w:rPr>
          <w:rFonts w:ascii="Times New Roman" w:cs="Times New Roman" w:eastAsia="Times New Roman" w:hAnsi="Times New Roman"/>
          <w:sz w:val="19"/>
          <w:szCs w:val="19"/>
          <w:u w:val="single" w:color="auto"/>
          <w:color w:val="auto"/>
        </w:rPr>
        <w:t>Section 5.12(b)(ii)(C)</w:t>
      </w:r>
    </w:p>
    <w:p>
      <w:pPr>
        <w:spacing w:after="0" w:line="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and</w:t>
      </w:r>
    </w:p>
    <w:p>
      <w:pPr>
        <w:spacing w:after="0" w:line="18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 xml:space="preserve">(ii)the most recent external market value as determined pursuant to </w:t>
      </w:r>
      <w:r>
        <w:rPr>
          <w:rFonts w:ascii="Times New Roman" w:cs="Times New Roman" w:eastAsia="Times New Roman" w:hAnsi="Times New Roman"/>
          <w:sz w:val="19"/>
          <w:szCs w:val="19"/>
          <w:u w:val="single" w:color="auto"/>
          <w:color w:val="auto"/>
        </w:rPr>
        <w:t>Section 5.12(b)(ii)(A)</w:t>
      </w:r>
    </w:p>
    <w:p>
      <w:pPr>
        <w:spacing w:after="0" w:line="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54" w:name="page255"/>
    <w:bookmarkEnd w:id="254"/>
    <w:p>
      <w:pPr>
        <w:spacing w:after="0" w:line="26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9"/>
          <w:szCs w:val="19"/>
          <w:color w:val="auto"/>
        </w:rPr>
        <w:t>ARTICLE</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 xml:space="preserve">VI </w:t>
      </w:r>
      <w:r>
        <w:rPr>
          <w:rFonts w:ascii="Times New Roman" w:cs="Times New Roman" w:eastAsia="Times New Roman" w:hAnsi="Times New Roman"/>
          <w:sz w:val="19"/>
          <w:szCs w:val="19"/>
          <w:u w:val="single" w:color="auto"/>
          <w:color w:val="auto"/>
        </w:rPr>
        <w:t>NEGATIVE</w:t>
      </w:r>
    </w:p>
    <w:p>
      <w:pPr>
        <w:spacing w:after="0" w:line="1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u w:val="single" w:color="auto"/>
          <w:color w:val="auto"/>
        </w:rPr>
        <w:t>COVENANTS</w:t>
      </w:r>
    </w:p>
    <w:p>
      <w:pPr>
        <w:spacing w:after="0" w:line="1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Until the Commitments have expired or terminated and the principal of and</w:t>
      </w:r>
    </w:p>
    <w:p>
      <w:pPr>
        <w:spacing w:after="0" w:line="10" w:lineRule="exact"/>
        <w:rPr>
          <w:sz w:val="20"/>
          <w:szCs w:val="20"/>
          <w:color w:val="auto"/>
        </w:rPr>
      </w:pPr>
    </w:p>
    <w:p>
      <w:pPr>
        <w:ind w:left="1060" w:right="320"/>
        <w:spacing w:after="0" w:line="254" w:lineRule="auto"/>
        <w:rPr>
          <w:sz w:val="20"/>
          <w:szCs w:val="20"/>
          <w:color w:val="auto"/>
        </w:rPr>
      </w:pPr>
      <w:r>
        <w:rPr>
          <w:rFonts w:ascii="Times New Roman" w:cs="Times New Roman" w:eastAsia="Times New Roman" w:hAnsi="Times New Roman"/>
          <w:sz w:val="19"/>
          <w:szCs w:val="19"/>
          <w:color w:val="auto"/>
        </w:rPr>
        <w:t>accrued interest on each Loan and all fees payable hereunder (other than Unasserted Contingent Obligations) have been paid in full and all Letters of Credit have expired, been terminated, Cash Collateralized or backstopped and all LC Disbursements shall have been reimbursed, the Borrower covenants and agrees with the Lenders that:</w:t>
      </w:r>
    </w:p>
    <w:p>
      <w:pPr>
        <w:spacing w:after="0" w:line="157" w:lineRule="exact"/>
        <w:rPr>
          <w:sz w:val="20"/>
          <w:szCs w:val="20"/>
          <w:color w:val="auto"/>
        </w:rPr>
      </w:pPr>
    </w:p>
    <w:p>
      <w:pPr>
        <w:ind w:left="1060" w:right="360" w:firstLine="864"/>
        <w:spacing w:after="0" w:line="268" w:lineRule="auto"/>
        <w:rPr>
          <w:sz w:val="20"/>
          <w:szCs w:val="20"/>
          <w:color w:val="auto"/>
        </w:rPr>
      </w:pPr>
      <w:r>
        <w:rPr>
          <w:rFonts w:ascii="Times New Roman" w:cs="Times New Roman" w:eastAsia="Times New Roman" w:hAnsi="Times New Roman"/>
          <w:sz w:val="19"/>
          <w:szCs w:val="19"/>
          <w:color w:val="auto"/>
        </w:rPr>
        <w:t xml:space="preserve">SECTION 6.01. </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xml:space="preserve">. Subject to the last sentence of this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the Borrower will not, nor will it permit any of the Subsidiary Guarantors to, create, incur, assume or permit to exist any Indebtedness, except: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(a)Indebtedness created hereunder or under any other Loan Document;</w:t>
      </w:r>
    </w:p>
    <w:p>
      <w:pPr>
        <w:spacing w:after="0" w:line="202" w:lineRule="exact"/>
        <w:rPr>
          <w:sz w:val="20"/>
          <w:szCs w:val="20"/>
          <w:color w:val="auto"/>
        </w:rPr>
      </w:pPr>
    </w:p>
    <w:p>
      <w:pPr>
        <w:ind w:left="1060" w:right="240" w:firstLine="864"/>
        <w:spacing w:after="0" w:line="257" w:lineRule="auto"/>
        <w:rPr>
          <w:sz w:val="20"/>
          <w:szCs w:val="20"/>
          <w:color w:val="auto"/>
        </w:rPr>
      </w:pPr>
      <w:r>
        <w:rPr>
          <w:rFonts w:ascii="Times New Roman" w:cs="Times New Roman" w:eastAsia="Times New Roman" w:hAnsi="Times New Roman"/>
          <w:sz w:val="19"/>
          <w:szCs w:val="19"/>
          <w:color w:val="auto"/>
        </w:rPr>
        <w:t xml:space="preserve">(b)Secured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(iii) prior to and immediately after giving effect to the incurrence of any Secured Longer-Term Indebtedness, the Covered Debt Amount does not or would not exceed the Borrowing Base then in effect;</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(c)Other Permitted Indebtedness;</w:t>
      </w:r>
    </w:p>
    <w:p>
      <w:pPr>
        <w:spacing w:after="0" w:line="2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(d)Guarantees of Indebtedness otherwise permitted hereunder;</w:t>
      </w:r>
    </w:p>
    <w:p>
      <w:pPr>
        <w:spacing w:after="0" w:line="202" w:lineRule="exact"/>
        <w:rPr>
          <w:sz w:val="20"/>
          <w:szCs w:val="20"/>
          <w:color w:val="auto"/>
        </w:rPr>
      </w:pPr>
    </w:p>
    <w:p>
      <w:pPr>
        <w:ind w:left="1060" w:right="340" w:firstLine="864"/>
        <w:spacing w:after="0" w:line="268" w:lineRule="auto"/>
        <w:rPr>
          <w:sz w:val="20"/>
          <w:szCs w:val="20"/>
          <w:color w:val="auto"/>
        </w:rPr>
      </w:pPr>
      <w:r>
        <w:rPr>
          <w:rFonts w:ascii="Times New Roman" w:cs="Times New Roman" w:eastAsia="Times New Roman" w:hAnsi="Times New Roman"/>
          <w:sz w:val="19"/>
          <w:szCs w:val="19"/>
          <w:color w:val="auto"/>
        </w:rPr>
        <w:t>(e)Indebtedness of any Obligor owing to any other Obligor or, if such Indebtedness is subject to subordination terms and conditions that are satisfactory to the Administrative Agent, any other Subsidiary of the Borrower;</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(f)Indebtedness of Financing Subsidiaries;</w:t>
      </w:r>
    </w:p>
    <w:p>
      <w:pPr>
        <w:spacing w:after="0" w:line="202" w:lineRule="exact"/>
        <w:rPr>
          <w:sz w:val="20"/>
          <w:szCs w:val="20"/>
          <w:color w:val="auto"/>
        </w:rPr>
      </w:pPr>
    </w:p>
    <w:p>
      <w:pPr>
        <w:ind w:left="1060" w:right="1640" w:firstLine="708"/>
        <w:spacing w:after="0" w:line="286" w:lineRule="auto"/>
        <w:rPr>
          <w:sz w:val="20"/>
          <w:szCs w:val="20"/>
          <w:color w:val="auto"/>
        </w:rPr>
      </w:pPr>
      <w:r>
        <w:rPr>
          <w:rFonts w:ascii="Times New Roman" w:cs="Times New Roman" w:eastAsia="Times New Roman" w:hAnsi="Times New Roman"/>
          <w:sz w:val="19"/>
          <w:szCs w:val="19"/>
          <w:color w:val="auto"/>
        </w:rPr>
        <w:t>(g)repurchase obligations arising in the ordinary course of business with respect to U.S. Government Securities;</w:t>
      </w:r>
    </w:p>
    <w:p>
      <w:pPr>
        <w:spacing w:after="0" w:line="127" w:lineRule="exact"/>
        <w:rPr>
          <w:sz w:val="20"/>
          <w:szCs w:val="20"/>
          <w:color w:val="auto"/>
        </w:rPr>
      </w:pPr>
    </w:p>
    <w:p>
      <w:pPr>
        <w:ind w:left="1060" w:right="360" w:firstLine="864"/>
        <w:spacing w:after="0" w:line="286" w:lineRule="auto"/>
        <w:rPr>
          <w:sz w:val="20"/>
          <w:szCs w:val="20"/>
          <w:color w:val="auto"/>
        </w:rPr>
      </w:pPr>
      <w:r>
        <w:rPr>
          <w:rFonts w:ascii="Times New Roman" w:cs="Times New Roman" w:eastAsia="Times New Roman" w:hAnsi="Times New Roman"/>
          <w:sz w:val="19"/>
          <w:szCs w:val="19"/>
          <w:color w:val="auto"/>
        </w:rPr>
        <w:t>(h)obligations payable to clearing agencies, brokers or dealers in connection with the purchase or sale of securities in the ordinary course of business;</w:t>
      </w:r>
    </w:p>
    <w:p>
      <w:pPr>
        <w:spacing w:after="0" w:line="127" w:lineRule="exact"/>
        <w:rPr>
          <w:sz w:val="20"/>
          <w:szCs w:val="20"/>
          <w:color w:val="auto"/>
        </w:rPr>
      </w:pPr>
    </w:p>
    <w:p>
      <w:pPr>
        <w:ind w:left="1060" w:right="280" w:firstLine="864"/>
        <w:spacing w:after="0" w:line="257" w:lineRule="auto"/>
        <w:rPr>
          <w:sz w:val="20"/>
          <w:szCs w:val="20"/>
          <w:color w:val="auto"/>
        </w:rPr>
      </w:pPr>
      <w:r>
        <w:rPr>
          <w:rFonts w:ascii="Times New Roman" w:cs="Times New Roman" w:eastAsia="Times New Roman" w:hAnsi="Times New Roman"/>
          <w:sz w:val="19"/>
          <w:szCs w:val="19"/>
          <w:color w:val="auto"/>
        </w:rPr>
        <w:t xml:space="preserve">(i)Secured Shorter-Term Indebtedness so long as (i) no Default exists at the time of the 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(iv) prior to and immediately after giving effect to the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55" w:name="page256"/>
    <w:bookmarkEnd w:id="255"/>
    <w:p>
      <w:pPr>
        <w:spacing w:after="0" w:line="269" w:lineRule="exact"/>
        <w:rPr>
          <w:sz w:val="20"/>
          <w:szCs w:val="20"/>
          <w:color w:val="auto"/>
        </w:rPr>
      </w:pPr>
    </w:p>
    <w:p>
      <w:pPr>
        <w:ind w:left="1060" w:right="300"/>
        <w:spacing w:after="0" w:line="286" w:lineRule="auto"/>
        <w:rPr>
          <w:sz w:val="20"/>
          <w:szCs w:val="20"/>
          <w:color w:val="auto"/>
        </w:rPr>
      </w:pPr>
      <w:r>
        <w:rPr>
          <w:rFonts w:ascii="Times New Roman" w:cs="Times New Roman" w:eastAsia="Times New Roman" w:hAnsi="Times New Roman"/>
          <w:sz w:val="19"/>
          <w:szCs w:val="19"/>
          <w:color w:val="auto"/>
        </w:rPr>
        <w:t>incurrence of any such Indebtedness, the Covered Debt Amount does not or would not exceed the Borrowing Base then in effect;</w:t>
      </w:r>
    </w:p>
    <w:p>
      <w:pPr>
        <w:spacing w:after="0" w:line="12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(j)obligations (including Guarantees) in respect of Standard Securitization Undertakings;</w:t>
      </w:r>
    </w:p>
    <w:p>
      <w:pPr>
        <w:spacing w:after="0" w:line="2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(k)Permitted SBIC Guarantees;</w:t>
      </w:r>
    </w:p>
    <w:p>
      <w:pPr>
        <w:spacing w:after="0" w:line="20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(l)Indebtedness incurred pursuant to the 2024 Notes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the 2026 Notes</w:t>
      </w:r>
      <w:r>
        <w:rPr>
          <w:rFonts w:ascii="Times New Roman" w:cs="Times New Roman" w:eastAsia="Times New Roman" w:hAnsi="Times New Roman"/>
          <w:sz w:val="19"/>
          <w:szCs w:val="19"/>
          <w:u w:val="single" w:color="auto"/>
          <w:color w:val="0000FF"/>
        </w:rPr>
        <w:t>, the 2028 Notes or the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-53340</wp:posOffset>
            </wp:positionV>
            <wp:extent cx="12954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129540" cy="762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u w:val="single" w:color="auto"/>
          <w:color w:val="0000FF"/>
        </w:rPr>
        <w:t>Notes</w:t>
      </w:r>
      <w:r>
        <w:rPr>
          <w:rFonts w:ascii="Times New Roman" w:cs="Times New Roman" w:eastAsia="Times New Roman" w:hAnsi="Times New Roman"/>
          <w:sz w:val="19"/>
          <w:szCs w:val="19"/>
          <w:color w:val="000000"/>
        </w:rPr>
        <w:t>;</w:t>
      </w:r>
    </w:p>
    <w:p>
      <w:pPr>
        <w:spacing w:after="0" w:line="180" w:lineRule="exact"/>
        <w:rPr>
          <w:sz w:val="20"/>
          <w:szCs w:val="20"/>
          <w:color w:val="auto"/>
        </w:rPr>
      </w:pPr>
    </w:p>
    <w:p>
      <w:pPr>
        <w:ind w:left="1060" w:right="300" w:firstLine="864"/>
        <w:spacing w:after="0" w:line="262" w:lineRule="auto"/>
        <w:rPr>
          <w:sz w:val="20"/>
          <w:szCs w:val="20"/>
          <w:color w:val="auto"/>
        </w:rPr>
      </w:pPr>
      <w:r>
        <w:rPr>
          <w:rFonts w:ascii="Times New Roman" w:cs="Times New Roman" w:eastAsia="Times New Roman" w:hAnsi="Times New Roman"/>
          <w:sz w:val="19"/>
          <w:szCs w:val="19"/>
          <w:color w:val="auto"/>
        </w:rPr>
        <w:t>(m)Unsecured Shorter-Term Indebtedness (other than Special Unsecured Indebtedness that would otherwise constitute Unsecured Shorter-Term Indebtedness) so long as</w:t>
      </w:r>
    </w:p>
    <w:p>
      <w:pPr>
        <w:spacing w:after="0" w:line="1" w:lineRule="exact"/>
        <w:rPr>
          <w:sz w:val="20"/>
          <w:szCs w:val="20"/>
          <w:color w:val="auto"/>
        </w:rPr>
      </w:pPr>
    </w:p>
    <w:p>
      <w:pPr>
        <w:ind w:left="1060" w:right="300" w:hanging="10"/>
        <w:spacing w:after="0" w:line="250" w:lineRule="auto"/>
        <w:tabs>
          <w:tab w:leader="none" w:pos="128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exists at the time of the incurrence thereof, (ii) the aggregate amount (determined at the time of the incurrence of such Indebtedness) of such Indebtedness does not exceed</w:t>
      </w:r>
    </w:p>
    <w:p>
      <w:pPr>
        <w:ind w:left="1060" w:right="22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$500,000,000, (iii) the aggregate amount (determined at the time of the incurrence of such Indebtedness) of such Indebtedness, taken together with then-outstanding Special Unsecured Indebtedness incurred pursuant to </w:t>
      </w:r>
      <w:r>
        <w:rPr>
          <w:rFonts w:ascii="Times New Roman" w:cs="Times New Roman" w:eastAsia="Times New Roman" w:hAnsi="Times New Roman"/>
          <w:sz w:val="19"/>
          <w:szCs w:val="19"/>
          <w:u w:val="single" w:color="auto"/>
          <w:color w:val="auto"/>
        </w:rPr>
        <w:t>Section 6.01(n)</w:t>
      </w:r>
      <w:r>
        <w:rPr>
          <w:rFonts w:ascii="Times New Roman" w:cs="Times New Roman" w:eastAsia="Times New Roman" w:hAnsi="Times New Roman"/>
          <w:sz w:val="19"/>
          <w:szCs w:val="19"/>
          <w:color w:val="auto"/>
        </w:rPr>
        <w:t xml:space="preserve">, does not exceed $1,000,000,000,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(v) prior to and immediately after giving effect to the incurrence of any such Indebtedness, the Covered Debt Amount does not or would not exceed the Borrowing Base then in effect;</w:t>
      </w:r>
    </w:p>
    <w:p>
      <w:pPr>
        <w:spacing w:after="0" w:line="161" w:lineRule="exact"/>
        <w:rPr>
          <w:sz w:val="20"/>
          <w:szCs w:val="20"/>
          <w:color w:val="auto"/>
        </w:rPr>
      </w:pPr>
    </w:p>
    <w:p>
      <w:pPr>
        <w:ind w:left="1060" w:right="160" w:firstLine="864"/>
        <w:spacing w:after="0" w:line="255" w:lineRule="auto"/>
        <w:rPr>
          <w:sz w:val="20"/>
          <w:szCs w:val="20"/>
          <w:color w:val="auto"/>
        </w:rPr>
      </w:pPr>
      <w:r>
        <w:rPr>
          <w:rFonts w:ascii="Times New Roman" w:cs="Times New Roman" w:eastAsia="Times New Roman" w:hAnsi="Times New Roman"/>
          <w:sz w:val="19"/>
          <w:szCs w:val="19"/>
          <w:color w:val="auto"/>
        </w:rPr>
        <w:t xml:space="preserve">(n)Special Unsecured Indebtedness so long as (i) no Default exists at the time of the incurrence thereof, (ii) the aggregate amount (determined at the time of the incurrence of such Indebtedness) of such Indebtedness does not exceed $1,000,000,000, (iii) the aggregate amount (determined at the time of the incurrence of such Indebtedness) of such Indebtedness, taken together with then-outstanding Unsecured Shorter-Term Indebtedness incurred pursuant to </w:t>
      </w:r>
      <w:r>
        <w:rPr>
          <w:rFonts w:ascii="Times New Roman" w:cs="Times New Roman" w:eastAsia="Times New Roman" w:hAnsi="Times New Roman"/>
          <w:sz w:val="19"/>
          <w:szCs w:val="19"/>
          <w:u w:val="single" w:color="auto"/>
          <w:color w:val="auto"/>
        </w:rPr>
        <w:t>Section 6.01(m)</w:t>
      </w:r>
      <w:r>
        <w:rPr>
          <w:rFonts w:ascii="Times New Roman" w:cs="Times New Roman" w:eastAsia="Times New Roman" w:hAnsi="Times New Roman"/>
          <w:sz w:val="19"/>
          <w:szCs w:val="19"/>
          <w:color w:val="auto"/>
        </w:rPr>
        <w:t xml:space="preserve">, does not exceed $1,000,000,000,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(v) prior to and immediately after giving effect to the incurrence of any such Indebtedness, the Covered Debt Amount does not or would not exceed the Borrowing Base then in effect; and</w:t>
      </w:r>
    </w:p>
    <w:p>
      <w:pPr>
        <w:spacing w:after="0" w:line="155" w:lineRule="exact"/>
        <w:rPr>
          <w:sz w:val="20"/>
          <w:szCs w:val="20"/>
          <w:color w:val="auto"/>
        </w:rPr>
      </w:pPr>
    </w:p>
    <w:p>
      <w:pPr>
        <w:ind w:left="1060" w:right="540" w:firstLine="864"/>
        <w:spacing w:after="0" w:line="286" w:lineRule="auto"/>
        <w:rPr>
          <w:sz w:val="20"/>
          <w:szCs w:val="20"/>
          <w:color w:val="auto"/>
        </w:rPr>
      </w:pPr>
      <w:r>
        <w:rPr>
          <w:rFonts w:ascii="Times New Roman" w:cs="Times New Roman" w:eastAsia="Times New Roman" w:hAnsi="Times New Roman"/>
          <w:sz w:val="19"/>
          <w:szCs w:val="19"/>
          <w:color w:val="auto"/>
        </w:rPr>
        <w:t>(o)other Indebtedness not to exceed the greater of (i) $25,000,000 and (ii) 5% of Shareholders’ Equity at any time outstanding.</w:t>
      </w:r>
    </w:p>
    <w:p>
      <w:pPr>
        <w:spacing w:after="0" w:line="127" w:lineRule="exact"/>
        <w:rPr>
          <w:sz w:val="20"/>
          <w:szCs w:val="20"/>
          <w:color w:val="auto"/>
        </w:rPr>
      </w:pPr>
    </w:p>
    <w:p>
      <w:pPr>
        <w:ind w:left="1060" w:right="100" w:firstLine="864"/>
        <w:spacing w:after="0" w:line="262" w:lineRule="auto"/>
        <w:rPr>
          <w:sz w:val="20"/>
          <w:szCs w:val="20"/>
          <w:color w:val="auto"/>
        </w:rPr>
      </w:pPr>
      <w:r>
        <w:rPr>
          <w:rFonts w:ascii="Times New Roman" w:cs="Times New Roman" w:eastAsia="Times New Roman" w:hAnsi="Times New Roman"/>
          <w:sz w:val="19"/>
          <w:szCs w:val="19"/>
          <w:color w:val="auto"/>
        </w:rPr>
        <w:t xml:space="preserve">SECTION 6.02. </w:t>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50" w:lineRule="exact"/>
        <w:rPr>
          <w:sz w:val="20"/>
          <w:szCs w:val="20"/>
          <w:color w:val="auto"/>
        </w:rPr>
      </w:pPr>
    </w:p>
    <w:p>
      <w:pPr>
        <w:ind w:left="1060" w:right="160" w:firstLine="864"/>
        <w:spacing w:after="0" w:line="259" w:lineRule="auto"/>
        <w:rPr>
          <w:sz w:val="20"/>
          <w:szCs w:val="20"/>
          <w:color w:val="auto"/>
        </w:rPr>
      </w:pPr>
      <w:r>
        <w:rPr>
          <w:rFonts w:ascii="Times New Roman" w:cs="Times New Roman" w:eastAsia="Times New Roman" w:hAnsi="Times New Roman"/>
          <w:sz w:val="19"/>
          <w:szCs w:val="19"/>
          <w:color w:val="auto"/>
        </w:rPr>
        <w:t xml:space="preserve">(a)any Lien on any property or asset of the Borrower existing on the Original Effective Date and set forth in </w:t>
      </w:r>
      <w:r>
        <w:rPr>
          <w:rFonts w:ascii="Times New Roman" w:cs="Times New Roman" w:eastAsia="Times New Roman" w:hAnsi="Times New Roman"/>
          <w:sz w:val="19"/>
          <w:szCs w:val="19"/>
          <w:u w:val="single" w:color="auto"/>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 such Lien shall extend to any other property or asset of the Borrower or any of the Subsidiary Guarantors (other than proceeds thereof of accessions thereto), and (ii) any such Lien shall secure only those obligations which it secures on the Original Effective Date and extensions, renewals and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56" w:name="page257"/>
    <w:bookmarkEnd w:id="256"/>
    <w:p>
      <w:pPr>
        <w:spacing w:after="0" w:line="269" w:lineRule="exact"/>
        <w:rPr>
          <w:sz w:val="20"/>
          <w:szCs w:val="20"/>
          <w:color w:val="auto"/>
        </w:rPr>
      </w:pPr>
    </w:p>
    <w:p>
      <w:pPr>
        <w:ind w:left="1060" w:right="520"/>
        <w:spacing w:after="0" w:line="286" w:lineRule="auto"/>
        <w:rPr>
          <w:sz w:val="20"/>
          <w:szCs w:val="20"/>
          <w:color w:val="auto"/>
        </w:rPr>
      </w:pPr>
      <w:r>
        <w:rPr>
          <w:rFonts w:ascii="Times New Roman" w:cs="Times New Roman" w:eastAsia="Times New Roman" w:hAnsi="Times New Roman"/>
          <w:sz w:val="19"/>
          <w:szCs w:val="19"/>
          <w:color w:val="auto"/>
        </w:rPr>
        <w:t>replacements thereof that do not increase the outstanding principal amount thereof except to the extent not prohibited hereunder;</w:t>
      </w:r>
    </w:p>
    <w:p>
      <w:pPr>
        <w:spacing w:after="0" w:line="127" w:lineRule="exact"/>
        <w:rPr>
          <w:sz w:val="20"/>
          <w:szCs w:val="20"/>
          <w:color w:val="auto"/>
        </w:rPr>
      </w:pPr>
    </w:p>
    <w:p>
      <w:pPr>
        <w:ind w:left="1060" w:right="200" w:firstLine="864"/>
        <w:spacing w:after="0" w:line="268" w:lineRule="auto"/>
        <w:rPr>
          <w:sz w:val="20"/>
          <w:szCs w:val="20"/>
          <w:color w:val="auto"/>
        </w:rPr>
      </w:pPr>
      <w:r>
        <w:rPr>
          <w:rFonts w:ascii="Times New Roman" w:cs="Times New Roman" w:eastAsia="Times New Roman" w:hAnsi="Times New Roman"/>
          <w:sz w:val="19"/>
          <w:szCs w:val="19"/>
          <w:color w:val="auto"/>
        </w:rPr>
        <w:t xml:space="preserve">(b)Liens created pursuant to this Agreement (including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or any of the Security Documents (including Liens in favor of the Designated Indebtedness Holders (as defined in the Guarantee and Security Agreement));</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(c)Liens on the assets of a Financing Subsidiary securing obligations of such Financing Subsidiary;</w:t>
      </w:r>
    </w:p>
    <w:p>
      <w:pPr>
        <w:spacing w:after="0" w:line="202" w:lineRule="exact"/>
        <w:rPr>
          <w:sz w:val="20"/>
          <w:szCs w:val="20"/>
          <w:color w:val="auto"/>
        </w:rPr>
      </w:pPr>
    </w:p>
    <w:p>
      <w:pPr>
        <w:ind w:left="1060" w:right="200" w:firstLine="864"/>
        <w:spacing w:after="0" w:line="268" w:lineRule="auto"/>
        <w:rPr>
          <w:sz w:val="20"/>
          <w:szCs w:val="20"/>
          <w:color w:val="auto"/>
        </w:rPr>
      </w:pPr>
      <w:r>
        <w:rPr>
          <w:rFonts w:ascii="Times New Roman" w:cs="Times New Roman" w:eastAsia="Times New Roman" w:hAnsi="Times New Roman"/>
          <w:sz w:val="19"/>
          <w:szCs w:val="19"/>
          <w:color w:val="auto"/>
        </w:rPr>
        <w:t>(d)Liens on Special Equity Interests included in the Portfolio Investments of the Borrower but only to the extent securing obligations in the manner provided in the definition of “</w:t>
      </w:r>
      <w:r>
        <w:rPr>
          <w:rFonts w:ascii="Times New Roman" w:cs="Times New Roman" w:eastAsia="Times New Roman" w:hAnsi="Times New Roman"/>
          <w:sz w:val="19"/>
          <w:szCs w:val="19"/>
          <w:u w:val="single" w:color="auto"/>
          <w:color w:val="auto"/>
        </w:rPr>
        <w:t>Special Equity Interests</w:t>
      </w:r>
      <w:r>
        <w:rPr>
          <w:rFonts w:ascii="Times New Roman" w:cs="Times New Roman" w:eastAsia="Times New Roman" w:hAnsi="Times New Roman"/>
          <w:sz w:val="19"/>
          <w:szCs w:val="19"/>
          <w:color w:val="auto"/>
        </w:rPr>
        <w:t xml:space="preserve">”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1060" w:right="120" w:firstLine="864"/>
        <w:spacing w:after="0" w:line="256" w:lineRule="auto"/>
        <w:rPr>
          <w:sz w:val="20"/>
          <w:szCs w:val="20"/>
          <w:color w:val="auto"/>
        </w:rPr>
      </w:pPr>
      <w:r>
        <w:rPr>
          <w:rFonts w:ascii="Times New Roman" w:cs="Times New Roman" w:eastAsia="Times New Roman" w:hAnsi="Times New Roman"/>
          <w:sz w:val="19"/>
          <w:szCs w:val="19"/>
          <w:color w:val="auto"/>
        </w:rPr>
        <w:t xml:space="preserve">(e)Liens securing Indebtedness or other obligations in an aggregate principal amount not exceeding the greater of (i) $25,000,000 and (ii) 5% of Shareholders’ Equity at any one time outstanding (which may cover Portfolio Investments, but only to the extent released from, or otherwise not covered by, the Lien in favor of the Collateral Agent pursuant to Section 10.03 of the Guarantee and Security Agreement), so long as at the time of incurrence of such Indebtedness or other obligations, the aggregate outstanding principal amount of Indebtedness permitted under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does not exceed the lesser of (i) the Borrowing Base and (ii)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(f)Permitted Liens;</w:t>
      </w:r>
    </w:p>
    <w:p>
      <w:pPr>
        <w:spacing w:after="0" w:line="2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(g)Liens on Equity Interests in any SBIC Subsidiary created in favor of the SBA;</w:t>
      </w:r>
    </w:p>
    <w:p>
      <w:pPr>
        <w:spacing w:after="0" w:line="2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(h)[Reserved];</w:t>
      </w:r>
    </w:p>
    <w:p>
      <w:pPr>
        <w:spacing w:after="0" w:line="202" w:lineRule="exact"/>
        <w:rPr>
          <w:sz w:val="20"/>
          <w:szCs w:val="20"/>
          <w:color w:val="auto"/>
        </w:rPr>
      </w:pPr>
    </w:p>
    <w:p>
      <w:pPr>
        <w:ind w:left="1060" w:right="200" w:firstLine="864"/>
        <w:spacing w:after="0" w:line="253" w:lineRule="auto"/>
        <w:rPr>
          <w:sz w:val="20"/>
          <w:szCs w:val="20"/>
          <w:color w:val="auto"/>
        </w:rPr>
      </w:pPr>
      <w:r>
        <w:rPr>
          <w:rFonts w:ascii="Times New Roman" w:cs="Times New Roman" w:eastAsia="Times New Roman" w:hAnsi="Times New Roman"/>
          <w:sz w:val="19"/>
          <w:szCs w:val="19"/>
          <w:color w:val="auto"/>
        </w:rPr>
        <w:t xml:space="preserve">(i)(x) Liens securing Hedging Agreements permitted under </w:t>
      </w:r>
      <w:r>
        <w:rPr>
          <w:rFonts w:ascii="Times New Roman" w:cs="Times New Roman" w:eastAsia="Times New Roman" w:hAnsi="Times New Roman"/>
          <w:sz w:val="19"/>
          <w:szCs w:val="19"/>
          <w:u w:val="single" w:color="auto"/>
          <w:color w:val="auto"/>
        </w:rPr>
        <w:t>Section 6.04(c)</w:t>
      </w:r>
      <w:r>
        <w:rPr>
          <w:rFonts w:ascii="Times New Roman" w:cs="Times New Roman" w:eastAsia="Times New Roman" w:hAnsi="Times New Roman"/>
          <w:sz w:val="19"/>
          <w:szCs w:val="19"/>
          <w:color w:val="auto"/>
        </w:rPr>
        <w:t xml:space="preserve"> and not otherwise permitted under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Times New Roman" w:cs="Times New Roman" w:eastAsia="Times New Roman" w:hAnsi="Times New Roman"/>
          <w:sz w:val="19"/>
          <w:szCs w:val="19"/>
          <w:u w:val="single" w:color="auto"/>
          <w:color w:val="auto"/>
        </w:rPr>
        <w:t>sub-clause (y)</w:t>
      </w:r>
      <w:r>
        <w:rPr>
          <w:rFonts w:ascii="Times New Roman" w:cs="Times New Roman" w:eastAsia="Times New Roman" w:hAnsi="Times New Roman"/>
          <w:sz w:val="19"/>
          <w:szCs w:val="19"/>
          <w:color w:val="auto"/>
        </w:rPr>
        <w:t xml:space="preserve"> even if such Lender has assigned all of its Loans and other interests in this Agreement and thus has ceased to be a Lender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any Obligor be permitted to create, incur or assume any Lien pursuant to this </w:t>
      </w:r>
      <w:r>
        <w:rPr>
          <w:rFonts w:ascii="Times New Roman" w:cs="Times New Roman" w:eastAsia="Times New Roman" w:hAnsi="Times New Roman"/>
          <w:sz w:val="19"/>
          <w:szCs w:val="19"/>
          <w:u w:val="single" w:color="auto"/>
          <w:color w:val="auto"/>
        </w:rPr>
        <w:t>clause</w:t>
      </w:r>
    </w:p>
    <w:p>
      <w:pPr>
        <w:spacing w:after="0" w:line="4" w:lineRule="exact"/>
        <w:rPr>
          <w:sz w:val="20"/>
          <w:szCs w:val="20"/>
          <w:color w:val="auto"/>
        </w:rPr>
      </w:pPr>
    </w:p>
    <w:p>
      <w:pPr>
        <w:ind w:left="1060" w:right="60" w:hanging="10"/>
        <w:spacing w:after="0" w:line="254" w:lineRule="auto"/>
        <w:tabs>
          <w:tab w:leader="none" w:pos="1288" w:val="left"/>
        </w:tabs>
        <w:numPr>
          <w:ilvl w:val="0"/>
          <w:numId w:val="8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or increase the aggregate amount of collateral securing any Liens previously permitted under this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157" w:lineRule="exact"/>
        <w:rPr>
          <w:sz w:val="20"/>
          <w:szCs w:val="20"/>
          <w:color w:val="auto"/>
        </w:rPr>
      </w:pPr>
    </w:p>
    <w:p>
      <w:pPr>
        <w:ind w:left="1060" w:right="360" w:firstLine="864"/>
        <w:spacing w:after="0" w:line="286" w:lineRule="auto"/>
        <w:rPr>
          <w:sz w:val="20"/>
          <w:szCs w:val="20"/>
          <w:color w:val="auto"/>
        </w:rPr>
      </w:pPr>
      <w:r>
        <w:rPr>
          <w:rFonts w:ascii="Times New Roman" w:cs="Times New Roman" w:eastAsia="Times New Roman" w:hAnsi="Times New Roman"/>
          <w:sz w:val="19"/>
          <w:szCs w:val="19"/>
          <w:color w:val="auto"/>
        </w:rPr>
        <w:t>(j)Liens securing repurchase obligations arising in the ordinary course of business with respect to U.S. Government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57" w:name="page258"/>
    <w:bookmarkEnd w:id="257"/>
    <w:p>
      <w:pPr>
        <w:spacing w:after="0" w:line="269" w:lineRule="exact"/>
        <w:rPr>
          <w:sz w:val="20"/>
          <w:szCs w:val="20"/>
          <w:color w:val="auto"/>
        </w:rPr>
      </w:pPr>
    </w:p>
    <w:p>
      <w:pPr>
        <w:ind w:left="1060" w:right="60" w:firstLine="852"/>
        <w:spacing w:after="0" w:line="253" w:lineRule="auto"/>
        <w:rPr>
          <w:sz w:val="20"/>
          <w:szCs w:val="20"/>
          <w:color w:val="auto"/>
        </w:rPr>
      </w:pPr>
      <w:r>
        <w:rPr>
          <w:rFonts w:ascii="Times New Roman" w:cs="Times New Roman" w:eastAsia="Times New Roman" w:hAnsi="Times New Roman"/>
          <w:sz w:val="19"/>
          <w:szCs w:val="19"/>
          <w:color w:val="auto"/>
        </w:rPr>
        <w:t xml:space="preserve">SECTION 6.03. </w:t>
      </w:r>
      <w:r>
        <w:rPr>
          <w:rFonts w:ascii="Times New Roman" w:cs="Times New Roman" w:eastAsia="Times New Roman" w:hAnsi="Times New Roman"/>
          <w:sz w:val="19"/>
          <w:szCs w:val="19"/>
          <w:u w:val="single" w:color="auto"/>
          <w:color w:val="auto"/>
        </w:rPr>
        <w:t>Fundamental Changes</w:t>
      </w:r>
      <w:r>
        <w:rPr>
          <w:rFonts w:ascii="Times New Roman" w:cs="Times New Roman" w:eastAsia="Times New Roman" w:hAnsi="Times New Roman"/>
          <w:sz w:val="19"/>
          <w:szCs w:val="19"/>
          <w:color w:val="auto"/>
        </w:rPr>
        <w:t>.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 -to -day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clauses (d) and (e) below, Portfolio Investments.</w:t>
      </w:r>
    </w:p>
    <w:p>
      <w:pPr>
        <w:spacing w:after="0" w:line="16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Notwithstanding the foregoing provisions of this Section:</w:t>
      </w:r>
    </w:p>
    <w:p>
      <w:pPr>
        <w:spacing w:after="0" w:line="202" w:lineRule="exact"/>
        <w:rPr>
          <w:sz w:val="20"/>
          <w:szCs w:val="20"/>
          <w:color w:val="auto"/>
        </w:rPr>
      </w:pPr>
    </w:p>
    <w:p>
      <w:pPr>
        <w:ind w:left="1060" w:right="180" w:firstLine="864"/>
        <w:spacing w:after="0" w:line="262" w:lineRule="auto"/>
        <w:rPr>
          <w:sz w:val="20"/>
          <w:szCs w:val="20"/>
          <w:color w:val="auto"/>
        </w:rPr>
      </w:pP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color w:val="000000"/>
        </w:rPr>
        <w:t>any Subsidiary Guarantor of the Borrower may be merged or consolidated with or into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Borrower or any other Subsidiary Guarantor;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if any such transaction shall be between a Subsidiary Guarantor and a wholly owned Subsidiary Guarantor, the wholly owned Subsidiary Guarantor shall be the continuing or surviving entity;</w:t>
      </w:r>
    </w:p>
    <w:p>
      <w:pPr>
        <w:spacing w:after="0" w:line="150" w:lineRule="exact"/>
        <w:rPr>
          <w:sz w:val="20"/>
          <w:szCs w:val="20"/>
          <w:color w:val="auto"/>
        </w:rPr>
      </w:pPr>
    </w:p>
    <w:p>
      <w:pPr>
        <w:ind w:left="1060" w:right="240" w:firstLine="864"/>
        <w:spacing w:after="0" w:line="268" w:lineRule="auto"/>
        <w:rPr>
          <w:sz w:val="20"/>
          <w:szCs w:val="20"/>
          <w:color w:val="auto"/>
        </w:rPr>
      </w:pPr>
      <w:r>
        <w:rPr>
          <w:rFonts w:ascii="Times New Roman" w:cs="Times New Roman" w:eastAsia="Times New Roman" w:hAnsi="Times New Roman"/>
          <w:sz w:val="19"/>
          <w:szCs w:val="19"/>
          <w:u w:val="single" w:color="auto"/>
          <w:color w:val="0000FF"/>
        </w:rPr>
        <w:t>(b)</w:t>
      </w:r>
      <w:r>
        <w:rPr>
          <w:rFonts w:ascii="Times New Roman" w:cs="Times New Roman" w:eastAsia="Times New Roman" w:hAnsi="Times New Roman"/>
          <w:sz w:val="19"/>
          <w:szCs w:val="19"/>
          <w:color w:val="000000"/>
        </w:rPr>
        <w:t>any Subsidiary Guarantor of the Borrower may sell, lease, transfer (including a deemed transfer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resulting from a division or plan of division) or otherwise dispose of any or all of its assets (upon voluntary liquidation or otherwise) to the Borrower or any wholly owned Subsidiary Guarantor of the Borrower;</w:t>
      </w:r>
    </w:p>
    <w:p>
      <w:pPr>
        <w:spacing w:after="0" w:line="144" w:lineRule="exact"/>
        <w:rPr>
          <w:sz w:val="20"/>
          <w:szCs w:val="20"/>
          <w:color w:val="auto"/>
        </w:rPr>
      </w:pPr>
    </w:p>
    <w:p>
      <w:pPr>
        <w:ind w:left="1060" w:right="160" w:firstLine="864"/>
        <w:spacing w:after="0" w:line="268" w:lineRule="auto"/>
        <w:rPr>
          <w:sz w:val="20"/>
          <w:szCs w:val="20"/>
          <w:color w:val="auto"/>
        </w:rPr>
      </w:pPr>
      <w:r>
        <w:rPr>
          <w:rFonts w:ascii="Times New Roman" w:cs="Times New Roman" w:eastAsia="Times New Roman" w:hAnsi="Times New Roman"/>
          <w:sz w:val="19"/>
          <w:szCs w:val="19"/>
          <w:u w:val="single" w:color="auto"/>
          <w:color w:val="0000FF"/>
        </w:rPr>
        <w:t>(c)</w:t>
      </w:r>
      <w:r>
        <w:rPr>
          <w:rFonts w:ascii="Times New Roman" w:cs="Times New Roman" w:eastAsia="Times New Roman" w:hAnsi="Times New Roman"/>
          <w:sz w:val="19"/>
          <w:szCs w:val="19"/>
          <w:color w:val="000000"/>
        </w:rPr>
        <w:t>the capital stock of any Subsidiary of the Borrower may be sold, transferred (including a deemed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transfer resulting from a division or plan of division) or otherwise disposed of to the Borrower or any wholly owned Subsidiary Guarantor of the Borrower;</w:t>
      </w:r>
    </w:p>
    <w:p>
      <w:pPr>
        <w:spacing w:after="0" w:line="144" w:lineRule="exact"/>
        <w:rPr>
          <w:sz w:val="20"/>
          <w:szCs w:val="20"/>
          <w:color w:val="auto"/>
        </w:rPr>
      </w:pPr>
    </w:p>
    <w:p>
      <w:pPr>
        <w:ind w:left="1060" w:right="80" w:firstLine="864"/>
        <w:spacing w:after="0" w:line="259" w:lineRule="auto"/>
        <w:rPr>
          <w:sz w:val="20"/>
          <w:szCs w:val="20"/>
          <w:color w:val="auto"/>
        </w:rPr>
      </w:pPr>
      <w:r>
        <w:rPr>
          <w:rFonts w:ascii="Times New Roman" w:cs="Times New Roman" w:eastAsia="Times New Roman" w:hAnsi="Times New Roman"/>
          <w:sz w:val="19"/>
          <w:szCs w:val="19"/>
          <w:u w:val="single" w:color="auto"/>
          <w:color w:val="0000FF"/>
        </w:rPr>
        <w:t>(d)</w:t>
      </w:r>
      <w:r>
        <w:rPr>
          <w:rFonts w:ascii="Times New Roman" w:cs="Times New Roman" w:eastAsia="Times New Roman" w:hAnsi="Times New Roman"/>
          <w:sz w:val="19"/>
          <w:szCs w:val="19"/>
          <w:color w:val="000000"/>
        </w:rPr>
        <w:t>the Obligors may sell, transfer (including a deemed transfer resulting from a division or plan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division)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54" w:lineRule="exact"/>
        <w:rPr>
          <w:sz w:val="20"/>
          <w:szCs w:val="20"/>
          <w:color w:val="auto"/>
        </w:rPr>
      </w:pPr>
    </w:p>
    <w:p>
      <w:pPr>
        <w:ind w:left="1060" w:right="200" w:firstLine="864"/>
        <w:spacing w:after="0" w:line="254" w:lineRule="auto"/>
        <w:rPr>
          <w:sz w:val="20"/>
          <w:szCs w:val="20"/>
          <w:color w:val="auto"/>
        </w:rPr>
      </w:pPr>
      <w:r>
        <w:rPr>
          <w:rFonts w:ascii="Times New Roman" w:cs="Times New Roman" w:eastAsia="Times New Roman" w:hAnsi="Times New Roman"/>
          <w:sz w:val="19"/>
          <w:szCs w:val="19"/>
          <w:u w:val="single" w:color="auto"/>
          <w:color w:val="0000FF"/>
        </w:rPr>
        <w:t>(e)</w:t>
      </w:r>
      <w:r>
        <w:rPr>
          <w:rFonts w:ascii="Times New Roman" w:cs="Times New Roman" w:eastAsia="Times New Roman" w:hAnsi="Times New Roman"/>
          <w:sz w:val="19"/>
          <w:szCs w:val="19"/>
          <w:color w:val="000000"/>
        </w:rPr>
        <w:t>the Obligors may sell, transfer (including a deemed transfer resulting from a division or plan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division) or otherwise dispose of Portfolio Investments to a Financing Subsidiary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w:t>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(x) the amount by which the Borrowing Base exceeds the Covered Debt Amount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58" w:name="page259"/>
    <w:bookmarkEnd w:id="258"/>
    <w:p>
      <w:pPr>
        <w:spacing w:after="0" w:line="269" w:lineRule="exact"/>
        <w:rPr>
          <w:sz w:val="20"/>
          <w:szCs w:val="20"/>
          <w:color w:val="auto"/>
        </w:rPr>
      </w:pPr>
    </w:p>
    <w:p>
      <w:pPr>
        <w:ind w:left="1060" w:right="700"/>
        <w:spacing w:after="0" w:line="286" w:lineRule="auto"/>
        <w:rPr>
          <w:sz w:val="20"/>
          <w:szCs w:val="20"/>
          <w:color w:val="auto"/>
        </w:rPr>
      </w:pPr>
      <w:r>
        <w:rPr>
          <w:rFonts w:ascii="Times New Roman" w:cs="Times New Roman" w:eastAsia="Times New Roman" w:hAnsi="Times New Roman"/>
          <w:sz w:val="19"/>
          <w:szCs w:val="19"/>
          <w:color w:val="auto"/>
        </w:rPr>
        <w:t>immediately prior to such release is not diminished as a result of such release or (y) the Borrowing Base immediately after giving effect to such release is at least 110% of the Covered Debt Amount;</w:t>
      </w:r>
    </w:p>
    <w:p>
      <w:pPr>
        <w:spacing w:after="0" w:line="127" w:lineRule="exact"/>
        <w:rPr>
          <w:sz w:val="20"/>
          <w:szCs w:val="20"/>
          <w:color w:val="auto"/>
        </w:rPr>
      </w:pPr>
    </w:p>
    <w:p>
      <w:pPr>
        <w:ind w:left="1060" w:right="220" w:firstLine="864"/>
        <w:spacing w:after="0" w:line="268" w:lineRule="auto"/>
        <w:rPr>
          <w:sz w:val="20"/>
          <w:szCs w:val="20"/>
          <w:color w:val="auto"/>
        </w:rPr>
      </w:pPr>
      <w:r>
        <w:rPr>
          <w:rFonts w:ascii="Times New Roman" w:cs="Times New Roman" w:eastAsia="Times New Roman" w:hAnsi="Times New Roman"/>
          <w:sz w:val="19"/>
          <w:szCs w:val="19"/>
          <w:u w:val="single" w:color="auto"/>
          <w:color w:val="0000FF"/>
        </w:rPr>
        <w:t>(f)</w:t>
      </w:r>
      <w:r>
        <w:rPr>
          <w:rFonts w:ascii="Times New Roman" w:cs="Times New Roman" w:eastAsia="Times New Roman" w:hAnsi="Times New Roman"/>
          <w:sz w:val="19"/>
          <w:szCs w:val="19"/>
          <w:color w:val="000000"/>
        </w:rPr>
        <w:t>the Borrower may merge or consolidate with, or acquire all or substantially all of the assets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any other Person so long as (i) the Borrower is the continuing or surviving entity in such transaction and (ii) at the time thereof and after giving effect thereto, no Default shall have occurred or be continuing; </w:t>
      </w:r>
      <w:r>
        <w:rPr>
          <w:rFonts w:ascii="Times New Roman" w:cs="Times New Roman" w:eastAsia="Times New Roman" w:hAnsi="Times New Roman"/>
          <w:sz w:val="19"/>
          <w:szCs w:val="19"/>
          <w:color w:val="FF0000"/>
          <w:strike w:val="1"/>
        </w:rPr>
        <w:t>and</w:t>
      </w:r>
    </w:p>
    <w:p>
      <w:pPr>
        <w:spacing w:after="0" w:line="1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u w:val="single" w:color="auto"/>
          <w:color w:val="0000FF"/>
        </w:rPr>
        <w:t>(g)</w:t>
      </w:r>
      <w:r>
        <w:rPr>
          <w:rFonts w:ascii="Times New Roman" w:cs="Times New Roman" w:eastAsia="Times New Roman" w:hAnsi="Times New Roman"/>
          <w:sz w:val="19"/>
          <w:szCs w:val="19"/>
          <w:color w:val="000000"/>
        </w:rPr>
        <w:t>the Borrower and each of the Subsidiary Guarantors may sell, lease, transfer (including a</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deemed transfer resulting from a division or plan of division) or otherwise dispose of equipment or other</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property or assets that do not consist of Portfolio Investments so long as the aggregate amount of all such sales,</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leases, transfer and dispositions does not exceed</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$5,000,000 in any fiscal year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u w:val="single" w:color="auto"/>
          <w:color w:val="0000FF"/>
        </w:rPr>
        <w:t>; and</w:t>
      </w:r>
    </w:p>
    <w:p>
      <w:pPr>
        <w:spacing w:after="0" w:line="180" w:lineRule="exact"/>
        <w:rPr>
          <w:sz w:val="20"/>
          <w:szCs w:val="20"/>
          <w:color w:val="auto"/>
        </w:rPr>
      </w:pPr>
    </w:p>
    <w:p>
      <w:pPr>
        <w:ind w:left="1060" w:right="100" w:firstLine="864"/>
        <w:spacing w:after="0" w:line="259" w:lineRule="auto"/>
        <w:rPr>
          <w:sz w:val="20"/>
          <w:szCs w:val="20"/>
          <w:color w:val="auto"/>
        </w:rPr>
      </w:pPr>
      <w:r>
        <w:rPr>
          <w:rFonts w:ascii="Times New Roman" w:cs="Times New Roman" w:eastAsia="Times New Roman" w:hAnsi="Times New Roman"/>
          <w:sz w:val="19"/>
          <w:szCs w:val="19"/>
          <w:u w:val="single" w:color="auto"/>
          <w:color w:val="0000FF"/>
        </w:rPr>
        <w:t>(h)the Borrower and each of the Subsidiary Guarantors may dissolve or liquidate (i) any Immaterial Subsidiary or (ii) any other Subsidiary so long as, with respect to this clause (ii), (A) in connection with such dissolution or liquidation, any and all of the assets of such Subsidiary shall be distributed or otherwise transferred to an Obligor and (B) such dissolution or liquidation is not materially adverse to the Lenders and the Borrower determines in good faith that such dissolution or liquidation is in its best interests.</w:t>
      </w:r>
    </w:p>
    <w:p>
      <w:pPr>
        <w:spacing w:after="0" w:line="154" w:lineRule="exact"/>
        <w:rPr>
          <w:sz w:val="20"/>
          <w:szCs w:val="20"/>
          <w:color w:val="auto"/>
        </w:rPr>
      </w:pPr>
    </w:p>
    <w:p>
      <w:pPr>
        <w:ind w:left="1060" w:right="700" w:firstLine="864"/>
        <w:spacing w:after="0" w:line="286" w:lineRule="auto"/>
        <w:rPr>
          <w:sz w:val="20"/>
          <w:szCs w:val="20"/>
          <w:color w:val="auto"/>
        </w:rPr>
      </w:pPr>
      <w:r>
        <w:rPr>
          <w:rFonts w:ascii="Times New Roman" w:cs="Times New Roman" w:eastAsia="Times New Roman" w:hAnsi="Times New Roman"/>
          <w:sz w:val="19"/>
          <w:szCs w:val="19"/>
          <w:color w:val="auto"/>
        </w:rPr>
        <w:t xml:space="preserve">SECTION 6.04. </w:t>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The Borrower will not, nor will it permit any of the Subsidiary Guarantors to, acquire, make or enter into, or hold, any Investments except:</w:t>
      </w:r>
    </w:p>
    <w:p>
      <w:pPr>
        <w:spacing w:after="0" w:line="1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(a)operating deposit accounts with banks;</w:t>
      </w:r>
    </w:p>
    <w:p>
      <w:pPr>
        <w:spacing w:after="0" w:line="202" w:lineRule="exact"/>
        <w:rPr>
          <w:sz w:val="20"/>
          <w:szCs w:val="20"/>
          <w:color w:val="auto"/>
        </w:rPr>
      </w:pPr>
    </w:p>
    <w:p>
      <w:pPr>
        <w:ind w:left="1060" w:right="240" w:firstLine="864"/>
        <w:spacing w:after="0" w:line="286" w:lineRule="auto"/>
        <w:rPr>
          <w:sz w:val="20"/>
          <w:szCs w:val="20"/>
          <w:color w:val="auto"/>
        </w:rPr>
      </w:pPr>
      <w:r>
        <w:rPr>
          <w:rFonts w:ascii="Times New Roman" w:cs="Times New Roman" w:eastAsia="Times New Roman" w:hAnsi="Times New Roman"/>
          <w:sz w:val="19"/>
          <w:szCs w:val="19"/>
          <w:color w:val="auto"/>
        </w:rPr>
        <w:t>(b)Investments by the Borrower and the Subsidiary Guarantors in the Borrower and the Subsidiary Guarantors;</w:t>
      </w:r>
    </w:p>
    <w:p>
      <w:pPr>
        <w:spacing w:after="0" w:line="127" w:lineRule="exact"/>
        <w:rPr>
          <w:sz w:val="20"/>
          <w:szCs w:val="20"/>
          <w:color w:val="auto"/>
        </w:rPr>
      </w:pPr>
    </w:p>
    <w:p>
      <w:pPr>
        <w:ind w:left="1060" w:right="440" w:firstLine="864"/>
        <w:spacing w:after="0" w:line="286" w:lineRule="auto"/>
        <w:rPr>
          <w:sz w:val="20"/>
          <w:szCs w:val="20"/>
          <w:color w:val="auto"/>
        </w:rPr>
      </w:pPr>
      <w:r>
        <w:rPr>
          <w:rFonts w:ascii="Times New Roman" w:cs="Times New Roman" w:eastAsia="Times New Roman" w:hAnsi="Times New Roman"/>
          <w:sz w:val="19"/>
          <w:szCs w:val="19"/>
          <w:color w:val="auto"/>
        </w:rPr>
        <w:t>(c)Hedging Agreements entered into in the ordinary course of the Borrower’s financial planning and not for speculative purposes;</w:t>
      </w:r>
    </w:p>
    <w:p>
      <w:pPr>
        <w:spacing w:after="0" w:line="127" w:lineRule="exact"/>
        <w:rPr>
          <w:sz w:val="20"/>
          <w:szCs w:val="20"/>
          <w:color w:val="auto"/>
        </w:rPr>
      </w:pPr>
    </w:p>
    <w:p>
      <w:pPr>
        <w:ind w:left="1060" w:right="420" w:firstLine="864"/>
        <w:spacing w:after="0" w:line="268" w:lineRule="auto"/>
        <w:rPr>
          <w:sz w:val="20"/>
          <w:szCs w:val="20"/>
          <w:color w:val="auto"/>
        </w:rPr>
      </w:pPr>
      <w:r>
        <w:rPr>
          <w:rFonts w:ascii="Times New Roman" w:cs="Times New Roman" w:eastAsia="Times New Roman" w:hAnsi="Times New Roman"/>
          <w:sz w:val="19"/>
          <w:szCs w:val="19"/>
          <w:color w:val="auto"/>
        </w:rPr>
        <w:t>(d)Portfolio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44" w:lineRule="exact"/>
        <w:rPr>
          <w:sz w:val="20"/>
          <w:szCs w:val="20"/>
          <w:color w:val="auto"/>
        </w:rPr>
      </w:pPr>
    </w:p>
    <w:p>
      <w:pPr>
        <w:ind w:left="1060" w:right="340" w:firstLine="864"/>
        <w:spacing w:after="0" w:line="262" w:lineRule="auto"/>
        <w:rPr>
          <w:sz w:val="20"/>
          <w:szCs w:val="20"/>
          <w:color w:val="auto"/>
        </w:rPr>
      </w:pPr>
      <w:r>
        <w:rPr>
          <w:rFonts w:ascii="Times New Roman" w:cs="Times New Roman" w:eastAsia="Times New Roman" w:hAnsi="Times New Roman"/>
          <w:sz w:val="19"/>
          <w:szCs w:val="19"/>
          <w:color w:val="auto"/>
        </w:rPr>
        <w:t>(e)Investments in Financing Subsidiaries so long as, (i) after giving effect to such Investment, the Covered Debt Amount does not exceed the Borrowing Base and (ii) the sum of</w:t>
      </w:r>
    </w:p>
    <w:p>
      <w:pPr>
        <w:spacing w:after="0" w:line="1" w:lineRule="exact"/>
        <w:rPr>
          <w:sz w:val="20"/>
          <w:szCs w:val="20"/>
          <w:color w:val="auto"/>
        </w:rPr>
      </w:pPr>
    </w:p>
    <w:p>
      <w:pPr>
        <w:jc w:val="both"/>
        <w:ind w:left="1060" w:right="260" w:hanging="10"/>
        <w:spacing w:after="0" w:line="256" w:lineRule="auto"/>
        <w:tabs>
          <w:tab w:leader="none" w:pos="133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Investments under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that occur after the Extended Commitment Termination Date and (y) all Investments under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below that occur after the Extended Commitment Termination Date, shall not exceed $10,000,000 in the aggregate;</w:t>
      </w:r>
    </w:p>
    <w:p>
      <w:pPr>
        <w:spacing w:after="0" w:line="155" w:lineRule="exact"/>
        <w:rPr>
          <w:sz w:val="20"/>
          <w:szCs w:val="20"/>
          <w:color w:val="auto"/>
        </w:rPr>
      </w:pPr>
    </w:p>
    <w:p>
      <w:pPr>
        <w:jc w:val="both"/>
        <w:ind w:left="1060" w:right="360" w:firstLine="864"/>
        <w:spacing w:after="0" w:line="262" w:lineRule="auto"/>
        <w:rPr>
          <w:sz w:val="20"/>
          <w:szCs w:val="20"/>
          <w:color w:val="auto"/>
        </w:rPr>
      </w:pPr>
      <w:r>
        <w:rPr>
          <w:rFonts w:ascii="Times New Roman" w:cs="Times New Roman" w:eastAsia="Times New Roman" w:hAnsi="Times New Roman"/>
          <w:sz w:val="19"/>
          <w:szCs w:val="19"/>
          <w:color w:val="auto"/>
        </w:rPr>
        <w:t xml:space="preserve">(f)additional Investments up to but not exceeding $15,000,000 in the aggregate;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sum of (x) all Investments under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that occur after the Extended Commitment Termination Date and (y) all Investments under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above that occur after the Extended Commitment Termination Date, shall not exceed $10,000,000 in the aggregate;</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(g)Investments in Cash and Cash Equivalents;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59" w:name="page260"/>
    <w:bookmarkEnd w:id="259"/>
    <w:p>
      <w:pPr>
        <w:spacing w:after="0" w:line="200" w:lineRule="exact"/>
        <w:rPr>
          <w:sz w:val="20"/>
          <w:szCs w:val="20"/>
          <w:color w:val="auto"/>
        </w:rPr>
      </w:pPr>
    </w:p>
    <w:p>
      <w:pPr>
        <w:spacing w:after="0" w:line="2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(h)Investments described on </w:t>
      </w:r>
      <w:r>
        <w:rPr>
          <w:rFonts w:ascii="Times New Roman" w:cs="Times New Roman" w:eastAsia="Times New Roman" w:hAnsi="Times New Roman"/>
          <w:sz w:val="19"/>
          <w:szCs w:val="19"/>
          <w:u w:val="single" w:color="auto"/>
          <w:color w:val="auto"/>
        </w:rPr>
        <w:t>Schedule 3.12(b)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(i)Investments by a Financing Subsidiary; and</w:t>
      </w:r>
    </w:p>
    <w:p>
      <w:pPr>
        <w:spacing w:after="0" w:line="202"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9"/>
          <w:szCs w:val="19"/>
          <w:color w:val="auto"/>
        </w:rPr>
        <w:t xml:space="preserve">(j)Investments in the form of Guarantees permitted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60" w:name="page261"/>
    <w:bookmarkEnd w:id="260"/>
    <w:p>
      <w:pPr>
        <w:spacing w:after="0" w:line="200" w:lineRule="exact"/>
        <w:rPr>
          <w:sz w:val="20"/>
          <w:szCs w:val="20"/>
          <w:color w:val="auto"/>
        </w:rPr>
      </w:pPr>
    </w:p>
    <w:p>
      <w:pPr>
        <w:spacing w:after="0" w:line="213" w:lineRule="exact"/>
        <w:rPr>
          <w:sz w:val="20"/>
          <w:szCs w:val="20"/>
          <w:color w:val="auto"/>
        </w:rPr>
      </w:pPr>
    </w:p>
    <w:p>
      <w:pPr>
        <w:ind w:left="1060" w:right="120" w:firstLine="1728"/>
        <w:spacing w:after="0" w:line="255" w:lineRule="auto"/>
        <w:rPr>
          <w:sz w:val="20"/>
          <w:szCs w:val="20"/>
          <w:color w:val="auto"/>
        </w:rPr>
      </w:pPr>
      <w:r>
        <w:rPr>
          <w:rFonts w:ascii="Times New Roman" w:cs="Times New Roman" w:eastAsia="Times New Roman" w:hAnsi="Times New Roman"/>
          <w:sz w:val="19"/>
          <w:szCs w:val="19"/>
          <w:color w:val="auto"/>
        </w:rPr>
        <w:t xml:space="preserve">For purposes of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amount of dividends, distributions or other payments received in cash in respect of such Investment;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60" w:lineRule="exact"/>
        <w:rPr>
          <w:sz w:val="20"/>
          <w:szCs w:val="20"/>
          <w:color w:val="auto"/>
        </w:rPr>
      </w:pPr>
    </w:p>
    <w:p>
      <w:pPr>
        <w:ind w:left="1060" w:right="660" w:firstLine="864"/>
        <w:spacing w:after="0" w:line="268" w:lineRule="auto"/>
        <w:rPr>
          <w:sz w:val="20"/>
          <w:szCs w:val="20"/>
          <w:color w:val="auto"/>
        </w:rPr>
      </w:pPr>
      <w:r>
        <w:rPr>
          <w:rFonts w:ascii="Times New Roman" w:cs="Times New Roman" w:eastAsia="Times New Roman" w:hAnsi="Times New Roman"/>
          <w:sz w:val="19"/>
          <w:szCs w:val="19"/>
          <w:color w:val="auto"/>
        </w:rPr>
        <w:t xml:space="preserve">SECTION 6.05. </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The Borrower will not, nor will it permit any of the Subsidiary Guarantors to, declare or make, or agree to pay or make, directly or indirectly, any Restricted Payment, except that the Borrower may declare and pay:</w:t>
      </w:r>
    </w:p>
    <w:p>
      <w:pPr>
        <w:spacing w:after="0" w:line="144" w:lineRule="exact"/>
        <w:rPr>
          <w:sz w:val="20"/>
          <w:szCs w:val="20"/>
          <w:color w:val="auto"/>
        </w:rPr>
      </w:pPr>
    </w:p>
    <w:p>
      <w:pPr>
        <w:ind w:left="1060" w:right="220" w:firstLine="864"/>
        <w:spacing w:after="0" w:line="286" w:lineRule="auto"/>
        <w:rPr>
          <w:sz w:val="20"/>
          <w:szCs w:val="20"/>
          <w:color w:val="auto"/>
        </w:rPr>
      </w:pPr>
      <w:r>
        <w:rPr>
          <w:rFonts w:ascii="Times New Roman" w:cs="Times New Roman" w:eastAsia="Times New Roman" w:hAnsi="Times New Roman"/>
          <w:sz w:val="19"/>
          <w:szCs w:val="19"/>
          <w:color w:val="auto"/>
        </w:rPr>
        <w:t>(a)dividends with respect to the capital stock of the Borrower payable solely in additional shares of the Borrower’s common stock;</w:t>
      </w:r>
    </w:p>
    <w:p>
      <w:pPr>
        <w:spacing w:after="0" w:line="127" w:lineRule="exact"/>
        <w:rPr>
          <w:sz w:val="20"/>
          <w:szCs w:val="20"/>
          <w:color w:val="auto"/>
        </w:rPr>
      </w:pPr>
    </w:p>
    <w:p>
      <w:pPr>
        <w:ind w:left="1060" w:right="120" w:firstLine="864"/>
        <w:spacing w:after="0" w:line="258" w:lineRule="auto"/>
        <w:rPr>
          <w:sz w:val="20"/>
          <w:szCs w:val="20"/>
          <w:color w:val="auto"/>
        </w:rPr>
      </w:pPr>
      <w:r>
        <w:rPr>
          <w:rFonts w:ascii="Times New Roman" w:cs="Times New Roman" w:eastAsia="Times New Roman" w:hAnsi="Times New Roman"/>
          <w:sz w:val="19"/>
          <w:szCs w:val="19"/>
          <w:color w:val="auto"/>
        </w:rPr>
        <w:t>(b)dividends and distributions in either case in cash or other property (excluding for this purpose the Borrower’s common stock) in any taxable year of the Borrower in amounts not to exceed the amount that is determined in good faith by the Borrower to be required to</w:t>
      </w:r>
    </w:p>
    <w:p>
      <w:pPr>
        <w:spacing w:after="0" w:line="2" w:lineRule="exact"/>
        <w:rPr>
          <w:sz w:val="20"/>
          <w:szCs w:val="20"/>
          <w:color w:val="auto"/>
        </w:rPr>
      </w:pPr>
    </w:p>
    <w:p>
      <w:pPr>
        <w:ind w:left="1060" w:right="700" w:hanging="10"/>
        <w:spacing w:after="0" w:line="262" w:lineRule="auto"/>
        <w:tabs>
          <w:tab w:leader="none" w:pos="1289"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the status of the Borrower as a RIC, and (ii) avoid federal excise taxes for such taxable year imposed by Section 4982 of the Code;</w:t>
      </w:r>
    </w:p>
    <w:p>
      <w:pPr>
        <w:spacing w:after="0" w:line="149" w:lineRule="exact"/>
        <w:rPr>
          <w:sz w:val="20"/>
          <w:szCs w:val="20"/>
          <w:color w:val="auto"/>
        </w:rPr>
      </w:pPr>
    </w:p>
    <w:p>
      <w:pPr>
        <w:ind w:left="1060" w:right="160" w:firstLine="864"/>
        <w:spacing w:after="0" w:line="262" w:lineRule="auto"/>
        <w:rPr>
          <w:sz w:val="20"/>
          <w:szCs w:val="20"/>
          <w:color w:val="auto"/>
        </w:rPr>
      </w:pPr>
      <w:r>
        <w:rPr>
          <w:rFonts w:ascii="Times New Roman" w:cs="Times New Roman" w:eastAsia="Times New Roman" w:hAnsi="Times New Roman"/>
          <w:sz w:val="19"/>
          <w:szCs w:val="19"/>
          <w:color w:val="auto"/>
        </w:rPr>
        <w:t xml:space="preserve">(c)dividends and distributions in each case in cash or other property (excluding for this purpose the Borrower’s common stock) in addition to the dividends and distributions permitted under the foregoing </w:t>
      </w:r>
      <w:r>
        <w:rPr>
          <w:rFonts w:ascii="Times New Roman" w:cs="Times New Roman" w:eastAsia="Times New Roman" w:hAnsi="Times New Roman"/>
          <w:sz w:val="19"/>
          <w:szCs w:val="19"/>
          <w:u w:val="single" w:color="auto"/>
          <w:color w:val="auto"/>
        </w:rPr>
        <w:t>clauses</w:t>
      </w:r>
    </w:p>
    <w:p>
      <w:pPr>
        <w:spacing w:after="0" w:line="1" w:lineRule="exact"/>
        <w:rPr>
          <w:sz w:val="20"/>
          <w:szCs w:val="20"/>
          <w:color w:val="auto"/>
        </w:rPr>
      </w:pPr>
    </w:p>
    <w:p>
      <w:pPr>
        <w:ind w:left="1320" w:hanging="270"/>
        <w:spacing w:after="0"/>
        <w:tabs>
          <w:tab w:leader="none" w:pos="1320" w:val="left"/>
        </w:tabs>
        <w:numPr>
          <w:ilvl w:val="0"/>
          <w:numId w:val="8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so long as on the date of such Restricted Payment and after giving effect thereto:</w:t>
      </w:r>
    </w:p>
    <w:p>
      <w:pPr>
        <w:spacing w:after="0" w:line="18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(i)no Default shall have occurred and be continuing or would result therefrom; and</w:t>
      </w:r>
    </w:p>
    <w:p>
      <w:pPr>
        <w:spacing w:after="0" w:line="202" w:lineRule="exact"/>
        <w:rPr>
          <w:sz w:val="20"/>
          <w:szCs w:val="20"/>
          <w:color w:val="auto"/>
        </w:rPr>
      </w:pPr>
    </w:p>
    <w:p>
      <w:pPr>
        <w:ind w:left="1760" w:right="160" w:firstLine="936"/>
        <w:spacing w:after="0" w:line="256" w:lineRule="auto"/>
        <w:rPr>
          <w:sz w:val="20"/>
          <w:szCs w:val="20"/>
          <w:color w:val="auto"/>
        </w:rPr>
      </w:pPr>
      <w:r>
        <w:rPr>
          <w:rFonts w:ascii="Times New Roman" w:cs="Times New Roman" w:eastAsia="Times New Roman" w:hAnsi="Times New Roman"/>
          <w:sz w:val="19"/>
          <w:szCs w:val="19"/>
          <w:color w:val="auto"/>
        </w:rPr>
        <w:t xml:space="preserve">(ii)the aggregate amount of Restricted Payments made during any taxable year of the Borrower after the date hereof under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shall not exceed the difference of (x) an amount equal to 10% of the taxable income of the Borrower for such taxable year determined under section 852(b)(2) of the Code, but without regard to </w:t>
      </w:r>
      <w:r>
        <w:rPr>
          <w:rFonts w:ascii="Times New Roman" w:cs="Times New Roman" w:eastAsia="Times New Roman" w:hAnsi="Times New Roman"/>
          <w:sz w:val="19"/>
          <w:szCs w:val="19"/>
          <w:u w:val="single" w:color="auto"/>
          <w:color w:val="auto"/>
        </w:rPr>
        <w:t>subparagraphs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thereof,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(y) the amount, if any, by which dividends and distributions made during such taxable year pursuant to the foregoing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(whether in respect of such taxable year or the previous taxable year) based upon the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61" w:name="page262"/>
    <w:bookmarkEnd w:id="261"/>
    <w:p>
      <w:pPr>
        <w:spacing w:after="0" w:line="269" w:lineRule="exact"/>
        <w:rPr>
          <w:sz w:val="20"/>
          <w:szCs w:val="20"/>
          <w:color w:val="auto"/>
        </w:rPr>
      </w:pPr>
    </w:p>
    <w:p>
      <w:pPr>
        <w:ind w:left="1760"/>
        <w:spacing w:after="0" w:line="286" w:lineRule="auto"/>
        <w:rPr>
          <w:sz w:val="20"/>
          <w:szCs w:val="20"/>
          <w:color w:val="auto"/>
        </w:rPr>
      </w:pPr>
      <w:r>
        <w:rPr>
          <w:rFonts w:ascii="Times New Roman" w:cs="Times New Roman" w:eastAsia="Times New Roman" w:hAnsi="Times New Roman"/>
          <w:sz w:val="19"/>
          <w:szCs w:val="19"/>
          <w:color w:val="auto"/>
        </w:rPr>
        <w:t xml:space="preserve">Borrower’s estimate of taxable income exceeded the actual amounts specified in </w:t>
      </w:r>
      <w:r>
        <w:rPr>
          <w:rFonts w:ascii="Times New Roman" w:cs="Times New Roman" w:eastAsia="Times New Roman" w:hAnsi="Times New Roman"/>
          <w:sz w:val="19"/>
          <w:szCs w:val="19"/>
          <w:u w:val="single" w:color="auto"/>
          <w:color w:val="auto"/>
        </w:rPr>
        <w:t>subclauses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of such foregoing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for such taxable year.</w:t>
      </w:r>
    </w:p>
    <w:p>
      <w:pPr>
        <w:spacing w:after="0" w:line="127" w:lineRule="exact"/>
        <w:rPr>
          <w:sz w:val="20"/>
          <w:szCs w:val="20"/>
          <w:color w:val="auto"/>
        </w:rPr>
      </w:pPr>
    </w:p>
    <w:p>
      <w:pPr>
        <w:jc w:val="both"/>
        <w:ind w:left="1060" w:right="980" w:firstLine="864"/>
        <w:spacing w:after="0" w:line="268" w:lineRule="auto"/>
        <w:rPr>
          <w:sz w:val="20"/>
          <w:szCs w:val="20"/>
          <w:color w:val="auto"/>
        </w:rPr>
      </w:pPr>
      <w:r>
        <w:rPr>
          <w:rFonts w:ascii="Times New Roman" w:cs="Times New Roman" w:eastAsia="Times New Roman" w:hAnsi="Times New Roman"/>
          <w:sz w:val="19"/>
          <w:szCs w:val="19"/>
          <w:color w:val="auto"/>
        </w:rPr>
        <w:t>(d)other Restricted Payments so long as on the date of such other Restricted Payment and after giving effect thereto (x) the Covered Debt Amount does not exceed 90% of the Borrowing Base and (y) no Default shall have occurred and be continuing or would result therefrom.</w:t>
      </w:r>
    </w:p>
    <w:p>
      <w:pPr>
        <w:spacing w:after="0" w:line="144" w:lineRule="exact"/>
        <w:rPr>
          <w:sz w:val="20"/>
          <w:szCs w:val="20"/>
          <w:color w:val="auto"/>
        </w:rPr>
      </w:pPr>
    </w:p>
    <w:p>
      <w:pPr>
        <w:ind w:left="1060" w:right="780" w:firstLine="1740"/>
        <w:spacing w:after="0" w:line="286" w:lineRule="auto"/>
        <w:rPr>
          <w:sz w:val="20"/>
          <w:szCs w:val="20"/>
          <w:color w:val="auto"/>
        </w:rPr>
      </w:pPr>
      <w:r>
        <w:rPr>
          <w:rFonts w:ascii="Times New Roman" w:cs="Times New Roman" w:eastAsia="Times New Roman" w:hAnsi="Times New Roman"/>
          <w:sz w:val="19"/>
          <w:szCs w:val="19"/>
          <w:color w:val="auto"/>
        </w:rPr>
        <w:t>Nothing herein shall be deemed to prohibit the payment of Restricted Payments by any Subsidiary of the Borrower to the Borrower or to any other Subsidiary Guarantor.</w:t>
      </w:r>
    </w:p>
    <w:p>
      <w:pPr>
        <w:spacing w:after="0" w:line="127" w:lineRule="exact"/>
        <w:rPr>
          <w:sz w:val="20"/>
          <w:szCs w:val="20"/>
          <w:color w:val="auto"/>
        </w:rPr>
      </w:pPr>
    </w:p>
    <w:p>
      <w:pPr>
        <w:ind w:left="1060" w:right="600" w:firstLine="864"/>
        <w:spacing w:after="0" w:line="253" w:lineRule="auto"/>
        <w:rPr>
          <w:sz w:val="20"/>
          <w:szCs w:val="20"/>
          <w:color w:val="auto"/>
        </w:rPr>
      </w:pPr>
      <w:r>
        <w:rPr>
          <w:rFonts w:ascii="Times New Roman" w:cs="Times New Roman" w:eastAsia="Times New Roman" w:hAnsi="Times New Roman"/>
          <w:sz w:val="19"/>
          <w:szCs w:val="19"/>
          <w:color w:val="auto"/>
        </w:rPr>
        <w:t xml:space="preserve">SECTION 6.06. </w:t>
      </w:r>
      <w:r>
        <w:rPr>
          <w:rFonts w:ascii="Times New Roman" w:cs="Times New Roman" w:eastAsia="Times New Roman" w:hAnsi="Times New Roman"/>
          <w:sz w:val="19"/>
          <w:szCs w:val="19"/>
          <w:u w:val="single" w:color="auto"/>
          <w:color w:val="auto"/>
        </w:rPr>
        <w:t>Certain Restrictions on Subsidiaries</w:t>
      </w:r>
      <w:r>
        <w:rPr>
          <w:rFonts w:ascii="Times New Roman" w:cs="Times New Roman" w:eastAsia="Times New Roman" w:hAnsi="Times New Roman"/>
          <w:sz w:val="19"/>
          <w:szCs w:val="19"/>
          <w:color w:val="auto"/>
        </w:rPr>
        <w:t xml:space="preserve"> .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6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6.07. </w:t>
      </w:r>
      <w:r>
        <w:rPr>
          <w:rFonts w:ascii="Times New Roman" w:cs="Times New Roman" w:eastAsia="Times New Roman" w:hAnsi="Times New Roman"/>
          <w:sz w:val="19"/>
          <w:szCs w:val="19"/>
          <w:u w:val="single" w:color="auto"/>
          <w:color w:val="auto"/>
        </w:rPr>
        <w:t>Certain Financial Covenants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60" w:right="700" w:firstLine="864"/>
        <w:spacing w:after="0" w:line="262" w:lineRule="auto"/>
        <w:rPr>
          <w:sz w:val="20"/>
          <w:szCs w:val="20"/>
          <w:color w:val="auto"/>
        </w:rPr>
      </w:pPr>
      <w:r>
        <w:rPr>
          <w:rFonts w:ascii="Times New Roman" w:cs="Times New Roman" w:eastAsia="Times New Roman" w:hAnsi="Times New Roman"/>
          <w:sz w:val="19"/>
          <w:szCs w:val="19"/>
          <w:u w:val="single" w:color="auto"/>
          <w:color w:val="auto"/>
        </w:rPr>
        <w:t>(a)Minimum Shareholders’ Equity</w:t>
      </w:r>
      <w:r>
        <w:rPr>
          <w:rFonts w:ascii="Times New Roman" w:cs="Times New Roman" w:eastAsia="Times New Roman" w:hAnsi="Times New Roman"/>
          <w:sz w:val="19"/>
          <w:szCs w:val="19"/>
          <w:color w:val="auto"/>
        </w:rPr>
        <w:t>. The Borrower will not permit Shareholders’ Equity at the last day of any fiscal quarter of the Borrower to be less than</w:t>
      </w:r>
    </w:p>
    <w:p>
      <w:pPr>
        <w:spacing w:after="0" w:line="1" w:lineRule="exact"/>
        <w:rPr>
          <w:sz w:val="20"/>
          <w:szCs w:val="20"/>
          <w:color w:val="auto"/>
        </w:rPr>
      </w:pPr>
    </w:p>
    <w:p>
      <w:pPr>
        <w:ind w:left="1060" w:right="74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500,000,000</w:t>
      </w:r>
      <w:r>
        <w:rPr>
          <w:rFonts w:ascii="Times New Roman" w:cs="Times New Roman" w:eastAsia="Times New Roman" w:hAnsi="Times New Roman"/>
          <w:sz w:val="19"/>
          <w:szCs w:val="19"/>
          <w:u w:val="single" w:color="auto"/>
          <w:color w:val="0000FF"/>
        </w:rPr>
        <w:t>650,000,000</w:t>
      </w:r>
      <w:r>
        <w:rPr>
          <w:rFonts w:ascii="Times New Roman" w:cs="Times New Roman" w:eastAsia="Times New Roman" w:hAnsi="Times New Roman"/>
          <w:sz w:val="19"/>
          <w:szCs w:val="19"/>
          <w:color w:val="auto"/>
        </w:rPr>
        <w:t xml:space="preserve"> plus 25% of the net proceeds of the sale of Equity Interests by the Borrower and its Subsidiaries after the </w:t>
      </w:r>
      <w:r>
        <w:rPr>
          <w:rFonts w:ascii="Times New Roman" w:cs="Times New Roman" w:eastAsia="Times New Roman" w:hAnsi="Times New Roman"/>
          <w:sz w:val="19"/>
          <w:szCs w:val="19"/>
          <w:color w:val="FF0000"/>
          <w:strike w:val="1"/>
        </w:rPr>
        <w:t>Ninth</w:t>
      </w:r>
      <w:r>
        <w:rPr>
          <w:rFonts w:ascii="Times New Roman" w:cs="Times New Roman" w:eastAsia="Times New Roman" w:hAnsi="Times New Roman"/>
          <w:sz w:val="19"/>
          <w:szCs w:val="19"/>
          <w:u w:val="single" w:color="auto"/>
          <w:color w:val="0000FF"/>
        </w:rPr>
        <w:t>Fifteenth</w:t>
      </w:r>
      <w:r>
        <w:rPr>
          <w:rFonts w:ascii="Times New Roman" w:cs="Times New Roman" w:eastAsia="Times New Roman" w:hAnsi="Times New Roman"/>
          <w:sz w:val="19"/>
          <w:szCs w:val="19"/>
          <w:color w:val="auto"/>
        </w:rPr>
        <w:t xml:space="preserve"> Amendment Effective Date (other than proceeds of sales of Equity Interests by and among the Borrower and its Subsidiaries).</w:t>
      </w:r>
    </w:p>
    <w:p>
      <w:pPr>
        <w:spacing w:after="0" w:line="15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60" w:right="960" w:firstLine="864"/>
        <w:spacing w:after="0" w:line="286" w:lineRule="auto"/>
        <w:rPr>
          <w:sz w:val="20"/>
          <w:szCs w:val="20"/>
          <w:color w:val="auto"/>
        </w:rPr>
      </w:pPr>
      <w:r>
        <w:rPr>
          <w:rFonts w:ascii="Times New Roman" w:cs="Times New Roman" w:eastAsia="Times New Roman" w:hAnsi="Times New Roman"/>
          <w:sz w:val="19"/>
          <w:szCs w:val="19"/>
          <w:u w:val="single" w:color="auto"/>
          <w:color w:val="auto"/>
        </w:rPr>
        <w:t>(c)Borrower Asset Coverage Ratio</w:t>
      </w:r>
      <w:r>
        <w:rPr>
          <w:rFonts w:ascii="Times New Roman" w:cs="Times New Roman" w:eastAsia="Times New Roman" w:hAnsi="Times New Roman"/>
          <w:sz w:val="19"/>
          <w:szCs w:val="19"/>
          <w:color w:val="auto"/>
        </w:rPr>
        <w:t>. The Borrower will not permit the Borrower Asset Coverage Ratio at the last day of any fiscal quarter of the Borrower to be less than 2.00 to 1 at any time.</w:t>
      </w:r>
    </w:p>
    <w:p>
      <w:pPr>
        <w:spacing w:after="0" w:line="127" w:lineRule="exact"/>
        <w:rPr>
          <w:sz w:val="20"/>
          <w:szCs w:val="20"/>
          <w:color w:val="auto"/>
        </w:rPr>
      </w:pPr>
    </w:p>
    <w:p>
      <w:pPr>
        <w:jc w:val="both"/>
        <w:ind w:left="1060" w:right="1180" w:firstLine="864"/>
        <w:spacing w:after="0" w:line="286" w:lineRule="auto"/>
        <w:rPr>
          <w:sz w:val="20"/>
          <w:szCs w:val="20"/>
          <w:color w:val="auto"/>
        </w:rPr>
      </w:pPr>
      <w:r>
        <w:rPr>
          <w:rFonts w:ascii="Times New Roman" w:cs="Times New Roman" w:eastAsia="Times New Roman" w:hAnsi="Times New Roman"/>
          <w:sz w:val="19"/>
          <w:szCs w:val="19"/>
          <w:u w:val="single" w:color="auto"/>
          <w:color w:val="auto"/>
        </w:rPr>
        <w:t>(d)Consolidated Asset Coverage Ratio</w:t>
      </w:r>
      <w:r>
        <w:rPr>
          <w:rFonts w:ascii="Times New Roman" w:cs="Times New Roman" w:eastAsia="Times New Roman" w:hAnsi="Times New Roman"/>
          <w:sz w:val="19"/>
          <w:szCs w:val="19"/>
          <w:color w:val="auto"/>
        </w:rPr>
        <w:t>. The Borrower will not permit the Consolidated Asset Coverage Ratio at the last day of any fiscal quarter of the Borrower to be less than 1.50 to 1 at any time.</w:t>
      </w:r>
    </w:p>
    <w:p>
      <w:pPr>
        <w:spacing w:after="0" w:line="127" w:lineRule="exact"/>
        <w:rPr>
          <w:sz w:val="20"/>
          <w:szCs w:val="20"/>
          <w:color w:val="auto"/>
        </w:rPr>
      </w:pPr>
    </w:p>
    <w:p>
      <w:pPr>
        <w:ind w:left="1060" w:right="760" w:firstLine="852"/>
        <w:spacing w:after="0" w:line="286" w:lineRule="auto"/>
        <w:rPr>
          <w:sz w:val="20"/>
          <w:szCs w:val="20"/>
          <w:color w:val="auto"/>
        </w:rPr>
      </w:pPr>
      <w:r>
        <w:rPr>
          <w:rFonts w:ascii="Times New Roman" w:cs="Times New Roman" w:eastAsia="Times New Roman" w:hAnsi="Times New Roman"/>
          <w:sz w:val="19"/>
          <w:szCs w:val="19"/>
          <w:color w:val="auto"/>
        </w:rPr>
        <w:t xml:space="preserve">SECTION 6.08.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The Borrower will not, and will not permit any of its Subsidiaries to enter into any transactions with any of its Affiliates, even if otherwise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40"/>
          </w:cols>
          <w:pgMar w:left="720" w:top="1440" w:right="940" w:bottom="1440" w:gutter="0" w:footer="0" w:header="0"/>
        </w:sectPr>
      </w:pPr>
    </w:p>
    <w:bookmarkStart w:id="262" w:name="page263"/>
    <w:bookmarkEnd w:id="262"/>
    <w:p>
      <w:pPr>
        <w:spacing w:after="0" w:line="269" w:lineRule="exact"/>
        <w:rPr>
          <w:sz w:val="20"/>
          <w:szCs w:val="20"/>
          <w:color w:val="auto"/>
        </w:rPr>
      </w:pPr>
    </w:p>
    <w:p>
      <w:pPr>
        <w:ind w:left="1060" w:right="160"/>
        <w:spacing w:after="0" w:line="254" w:lineRule="auto"/>
        <w:rPr>
          <w:sz w:val="20"/>
          <w:szCs w:val="20"/>
          <w:color w:val="auto"/>
        </w:rPr>
      </w:pPr>
      <w:r>
        <w:rPr>
          <w:rFonts w:ascii="Times New Roman" w:cs="Times New Roman" w:eastAsia="Times New Roman" w:hAnsi="Times New Roman"/>
          <w:sz w:val="19"/>
          <w:szCs w:val="19"/>
          <w:color w:val="auto"/>
        </w:rPr>
        <w:t xml:space="preserve">permitted under this Agreement, except (a) transactions at prices and on terms and conditions not materially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Times New Roman" w:cs="Times New Roman" w:eastAsia="Times New Roman" w:hAnsi="Times New Roman"/>
          <w:sz w:val="19"/>
          <w:szCs w:val="19"/>
          <w:u w:val="single" w:color="auto"/>
          <w:color w:val="auto"/>
        </w:rPr>
        <w:t>Section 6.05</w:t>
      </w:r>
      <w:r>
        <w:rPr>
          <w:rFonts w:ascii="Times New Roman" w:cs="Times New Roman" w:eastAsia="Times New Roman" w:hAnsi="Times New Roman"/>
          <w:sz w:val="19"/>
          <w:szCs w:val="19"/>
          <w:color w:val="auto"/>
        </w:rPr>
        <w:t xml:space="preserve">, (d) the Affiliate Agreements and the transactions provided in the Affiliate Agreements, (e) transactions described on </w:t>
      </w:r>
      <w:r>
        <w:rPr>
          <w:rFonts w:ascii="Times New Roman" w:cs="Times New Roman" w:eastAsia="Times New Roman" w:hAnsi="Times New Roman"/>
          <w:sz w:val="19"/>
          <w:szCs w:val="19"/>
          <w:u w:val="single" w:color="auto"/>
          <w:color w:val="auto"/>
        </w:rPr>
        <w:t>Schedule 6.08</w:t>
      </w:r>
      <w:r>
        <w:rPr>
          <w:rFonts w:ascii="Times New Roman" w:cs="Times New Roman" w:eastAsia="Times New Roman" w:hAnsi="Times New Roman"/>
          <w:sz w:val="19"/>
          <w:szCs w:val="19"/>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160" w:lineRule="exact"/>
        <w:rPr>
          <w:sz w:val="20"/>
          <w:szCs w:val="20"/>
          <w:color w:val="auto"/>
        </w:rPr>
      </w:pPr>
    </w:p>
    <w:p>
      <w:pPr>
        <w:ind w:left="1060" w:right="200" w:firstLine="864"/>
        <w:spacing w:after="0" w:line="262" w:lineRule="auto"/>
        <w:rPr>
          <w:sz w:val="20"/>
          <w:szCs w:val="20"/>
          <w:color w:val="auto"/>
        </w:rPr>
      </w:pPr>
      <w:r>
        <w:rPr>
          <w:rFonts w:ascii="Times New Roman" w:cs="Times New Roman" w:eastAsia="Times New Roman" w:hAnsi="Times New Roman"/>
          <w:sz w:val="19"/>
          <w:szCs w:val="19"/>
          <w:color w:val="auto"/>
        </w:rPr>
        <w:t xml:space="preserve">SECTION 6.09. </w:t>
      </w:r>
      <w:r>
        <w:rPr>
          <w:rFonts w:ascii="Times New Roman" w:cs="Times New Roman" w:eastAsia="Times New Roman" w:hAnsi="Times New Roman"/>
          <w:sz w:val="19"/>
          <w:szCs w:val="19"/>
          <w:u w:val="single" w:color="auto"/>
          <w:color w:val="auto"/>
        </w:rPr>
        <w:t>Lines of Business</w:t>
      </w:r>
      <w:r>
        <w:rPr>
          <w:rFonts w:ascii="Times New Roman" w:cs="Times New Roman" w:eastAsia="Times New Roman" w:hAnsi="Times New Roman"/>
          <w:sz w:val="19"/>
          <w:szCs w:val="19"/>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50" w:lineRule="exact"/>
        <w:rPr>
          <w:sz w:val="20"/>
          <w:szCs w:val="20"/>
          <w:color w:val="auto"/>
        </w:rPr>
      </w:pPr>
    </w:p>
    <w:p>
      <w:pPr>
        <w:ind w:left="1060" w:right="160" w:firstLine="864"/>
        <w:spacing w:after="0" w:line="252" w:lineRule="auto"/>
        <w:rPr>
          <w:sz w:val="20"/>
          <w:szCs w:val="20"/>
          <w:color w:val="auto"/>
        </w:rPr>
      </w:pPr>
      <w:r>
        <w:rPr>
          <w:rFonts w:ascii="Times New Roman" w:cs="Times New Roman" w:eastAsia="Times New Roman" w:hAnsi="Times New Roman"/>
          <w:sz w:val="19"/>
          <w:szCs w:val="19"/>
          <w:color w:val="auto"/>
        </w:rPr>
        <w:t xml:space="preserve">SECTION 6.10. </w:t>
      </w:r>
      <w:r>
        <w:rPr>
          <w:rFonts w:ascii="Times New Roman" w:cs="Times New Roman" w:eastAsia="Times New Roman" w:hAnsi="Times New Roman"/>
          <w:sz w:val="19"/>
          <w:szCs w:val="19"/>
          <w:u w:val="single" w:color="auto"/>
          <w:color w:val="auto"/>
        </w:rPr>
        <w:t>No Further Negative Pledge</w:t>
      </w:r>
      <w:r>
        <w:rPr>
          <w:rFonts w:ascii="Times New Roman" w:cs="Times New Roman" w:eastAsia="Times New Roman" w:hAnsi="Times New Roman"/>
          <w:sz w:val="19"/>
          <w:szCs w:val="19"/>
          <w:color w:val="auto"/>
        </w:rPr>
        <w:t xml:space="preserve">. The Borrower will not, and will not permit any of the Subsidiary Guarantors to, enter into any agreement, instrument, deed or lease which prohibits or limits in any material respect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6.01(b),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(b) covenants in documents creating Liens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(including covenants with respect to the Designated </w:t>
      </w:r>
      <w:r>
        <w:rPr>
          <w:rFonts w:ascii="Times New Roman" w:cs="Times New Roman" w:eastAsia="Times New Roman" w:hAnsi="Times New Roman"/>
          <w:sz w:val="19"/>
          <w:szCs w:val="19"/>
          <w:u w:val="single" w:color="auto"/>
          <w:color w:val="0000FF"/>
        </w:rPr>
        <w:t>Indebtedness</w:t>
      </w:r>
      <w:r>
        <w:rPr>
          <w:rFonts w:ascii="Times New Roman" w:cs="Times New Roman" w:eastAsia="Times New Roman" w:hAnsi="Times New Roman"/>
          <w:sz w:val="19"/>
          <w:szCs w:val="19"/>
          <w:color w:val="auto"/>
        </w:rPr>
        <w:t xml:space="preserve">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71" w:lineRule="exact"/>
        <w:rPr>
          <w:sz w:val="20"/>
          <w:szCs w:val="20"/>
          <w:color w:val="auto"/>
        </w:rPr>
      </w:pPr>
    </w:p>
    <w:p>
      <w:pPr>
        <w:ind w:left="1060" w:right="380" w:firstLine="864"/>
        <w:spacing w:after="0" w:line="286" w:lineRule="auto"/>
        <w:rPr>
          <w:sz w:val="20"/>
          <w:szCs w:val="20"/>
          <w:color w:val="auto"/>
        </w:rPr>
      </w:pPr>
      <w:r>
        <w:rPr>
          <w:rFonts w:ascii="Times New Roman" w:cs="Times New Roman" w:eastAsia="Times New Roman" w:hAnsi="Times New Roman"/>
          <w:sz w:val="19"/>
          <w:szCs w:val="19"/>
          <w:color w:val="auto"/>
        </w:rPr>
        <w:t xml:space="preserve">SECTION 6.11. </w:t>
      </w:r>
      <w:r>
        <w:rPr>
          <w:rFonts w:ascii="Times New Roman" w:cs="Times New Roman" w:eastAsia="Times New Roman" w:hAnsi="Times New Roman"/>
          <w:sz w:val="19"/>
          <w:szCs w:val="19"/>
          <w:u w:val="single" w:color="auto"/>
          <w:color w:val="auto"/>
        </w:rPr>
        <w:t>Modifications of Longer-Term Indebtedness Documents</w:t>
      </w:r>
      <w:r>
        <w:rPr>
          <w:rFonts w:ascii="Times New Roman" w:cs="Times New Roman" w:eastAsia="Times New Roman" w:hAnsi="Times New Roman"/>
          <w:sz w:val="19"/>
          <w:szCs w:val="19"/>
          <w:color w:val="auto"/>
        </w:rPr>
        <w:t>. The Borrower will not consent to any modification, supplement or waiver of:</w:t>
      </w:r>
    </w:p>
    <w:p>
      <w:pPr>
        <w:spacing w:after="0" w:line="127" w:lineRule="exact"/>
        <w:rPr>
          <w:sz w:val="20"/>
          <w:szCs w:val="20"/>
          <w:color w:val="auto"/>
        </w:rPr>
      </w:pPr>
    </w:p>
    <w:p>
      <w:pPr>
        <w:ind w:left="1060" w:right="100" w:firstLine="864"/>
        <w:spacing w:after="0" w:line="256" w:lineRule="auto"/>
        <w:rPr>
          <w:sz w:val="20"/>
          <w:szCs w:val="20"/>
          <w:color w:val="auto"/>
        </w:rPr>
      </w:pPr>
      <w:r>
        <w:rPr>
          <w:rFonts w:ascii="Times New Roman" w:cs="Times New Roman" w:eastAsia="Times New Roman" w:hAnsi="Times New Roman"/>
          <w:sz w:val="19"/>
          <w:szCs w:val="19"/>
          <w:color w:val="auto"/>
        </w:rPr>
        <w:t xml:space="preserve">(a)any of the provisions of any agreement, instrument or other document evidencing or relating to any Secured Longer-Term Indebtedness or Unsecured Longer- Term Indebtedness that would result in such Indebtedness not meeting the requirements of the definition of “Secured Longer-Term Indebtedness” and “Unsecured Longer -Term Indebtedness”, as applicable, set forth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of this Agreement, unless (i) in the case of Secured Longer-Term Indebtedness, such Indebtedness would have been permitted to be incurred as Secured Shorter-Term Indebtedness at the time of such modification, supplement or waiver and the Borrower so</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63" w:name="page264"/>
    <w:bookmarkEnd w:id="263"/>
    <w:p>
      <w:pPr>
        <w:spacing w:after="0" w:line="269" w:lineRule="exact"/>
        <w:rPr>
          <w:sz w:val="20"/>
          <w:szCs w:val="20"/>
          <w:color w:val="auto"/>
        </w:rPr>
      </w:pPr>
    </w:p>
    <w:p>
      <w:pPr>
        <w:ind w:left="1060" w:right="200"/>
        <w:spacing w:after="0" w:line="256" w:lineRule="auto"/>
        <w:rPr>
          <w:sz w:val="20"/>
          <w:szCs w:val="20"/>
          <w:color w:val="auto"/>
        </w:rPr>
      </w:pPr>
      <w:r>
        <w:rPr>
          <w:rFonts w:ascii="Times New Roman" w:cs="Times New Roman" w:eastAsia="Times New Roman" w:hAnsi="Times New Roman"/>
          <w:sz w:val="19"/>
          <w:szCs w:val="19"/>
          <w:color w:val="auto"/>
        </w:rPr>
        <w:t>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57" w:lineRule="exact"/>
        <w:rPr>
          <w:sz w:val="20"/>
          <w:szCs w:val="20"/>
          <w:color w:val="auto"/>
        </w:rPr>
      </w:pPr>
    </w:p>
    <w:p>
      <w:pPr>
        <w:ind w:left="1060" w:right="220" w:firstLine="864"/>
        <w:spacing w:after="0" w:line="262" w:lineRule="auto"/>
        <w:rPr>
          <w:sz w:val="20"/>
          <w:szCs w:val="20"/>
          <w:color w:val="auto"/>
        </w:rPr>
      </w:pPr>
      <w:r>
        <w:rPr>
          <w:rFonts w:ascii="Times New Roman" w:cs="Times New Roman" w:eastAsia="Times New Roman" w:hAnsi="Times New Roman"/>
          <w:sz w:val="19"/>
          <w:szCs w:val="19"/>
          <w:color w:val="auto"/>
        </w:rPr>
        <w:t>(b)any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50" w:lineRule="exact"/>
        <w:rPr>
          <w:sz w:val="20"/>
          <w:szCs w:val="20"/>
          <w:color w:val="auto"/>
        </w:rPr>
      </w:pPr>
    </w:p>
    <w:p>
      <w:pPr>
        <w:ind w:left="1060" w:right="80" w:firstLine="864"/>
        <w:spacing w:after="0" w:line="255" w:lineRule="auto"/>
        <w:rPr>
          <w:sz w:val="20"/>
          <w:szCs w:val="20"/>
          <w:color w:val="auto"/>
        </w:rPr>
      </w:pPr>
      <w:r>
        <w:rPr>
          <w:rFonts w:ascii="Times New Roman" w:cs="Times New Roman" w:eastAsia="Times New Roman" w:hAnsi="Times New Roman"/>
          <w:sz w:val="19"/>
          <w:szCs w:val="19"/>
          <w:color w:val="auto"/>
        </w:rPr>
        <w:t xml:space="preserve">SECTION 6.12. </w:t>
      </w:r>
      <w:r>
        <w:rPr>
          <w:rFonts w:ascii="Times New Roman" w:cs="Times New Roman" w:eastAsia="Times New Roman" w:hAnsi="Times New Roman"/>
          <w:sz w:val="19"/>
          <w:szCs w:val="19"/>
          <w:u w:val="single" w:color="auto"/>
          <w:color w:val="auto"/>
        </w:rPr>
        <w:t>Payments of Longer-Term Indebtedness, the 2024 Notes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the 2026 Notes</w:t>
      </w:r>
      <w:r>
        <w:rPr>
          <w:rFonts w:ascii="Times New Roman" w:cs="Times New Roman" w:eastAsia="Times New Roman" w:hAnsi="Times New Roman"/>
          <w:sz w:val="19"/>
          <w:szCs w:val="19"/>
          <w:color w:val="0000FF"/>
        </w:rPr>
        <w:t>,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2028 Notes and the 2029 Notes</w:t>
      </w:r>
      <w:r>
        <w:rPr>
          <w:rFonts w:ascii="Times New Roman" w:cs="Times New Roman" w:eastAsia="Times New Roman" w:hAnsi="Times New Roman"/>
          <w:sz w:val="19"/>
          <w:szCs w:val="19"/>
          <w:color w:val="000000"/>
        </w:rPr>
        <w:t>. The Borrower will not, nor will it permit any of the Subsidiary Guarantors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 Term Indebtedness, Special Unsecured Indebtedness, the 2024 Notes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000000"/>
        </w:rPr>
        <w:t xml:space="preserve"> the 2026 </w:t>
      </w:r>
      <w:r>
        <w:rPr>
          <w:rFonts w:ascii="Times New Roman" w:cs="Times New Roman" w:eastAsia="Times New Roman" w:hAnsi="Times New Roman"/>
          <w:sz w:val="19"/>
          <w:szCs w:val="19"/>
          <w:u w:val="single" w:color="auto"/>
          <w:color w:val="0000FF"/>
        </w:rPr>
        <w:t>Notes, the 2028 Notes or the 2029</w:t>
      </w:r>
      <w:r>
        <w:rPr>
          <w:rFonts w:ascii="Times New Roman" w:cs="Times New Roman" w:eastAsia="Times New Roman" w:hAnsi="Times New Roman"/>
          <w:sz w:val="19"/>
          <w:szCs w:val="19"/>
          <w:color w:val="000000"/>
        </w:rPr>
        <w:t xml:space="preserve"> Notes (other than the refinancing of Secured Longer-Term Indebtedness, Unsecured Longer-Term Indebtedness, Special Unsecured Indebtedness, the 2024 Notes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000000"/>
        </w:rPr>
        <w:t xml:space="preserve"> the 2026 Notes</w:t>
      </w:r>
      <w:r>
        <w:rPr>
          <w:rFonts w:ascii="Times New Roman" w:cs="Times New Roman" w:eastAsia="Times New Roman" w:hAnsi="Times New Roman"/>
          <w:sz w:val="19"/>
          <w:szCs w:val="19"/>
          <w:u w:val="single" w:color="auto"/>
          <w:color w:val="0000FF"/>
        </w:rPr>
        <w:t>, the 2028 Notes or the 2029 Notes</w:t>
      </w:r>
      <w:r>
        <w:rPr>
          <w:rFonts w:ascii="Times New Roman" w:cs="Times New Roman" w:eastAsia="Times New Roman" w:hAnsi="Times New Roman"/>
          <w:sz w:val="19"/>
          <w:szCs w:val="19"/>
          <w:color w:val="000000"/>
        </w:rPr>
        <w:t xml:space="preserve"> with Indebtedness permitted under </w:t>
      </w:r>
      <w:r>
        <w:rPr>
          <w:rFonts w:ascii="Times New Roman" w:cs="Times New Roman" w:eastAsia="Times New Roman" w:hAnsi="Times New Roman"/>
          <w:sz w:val="19"/>
          <w:szCs w:val="19"/>
          <w:u w:val="single" w:color="auto"/>
          <w:color w:val="000000"/>
        </w:rPr>
        <w:t>Section 6.01</w:t>
      </w:r>
      <w:r>
        <w:rPr>
          <w:rFonts w:ascii="Times New Roman" w:cs="Times New Roman" w:eastAsia="Times New Roman" w:hAnsi="Times New Roman"/>
          <w:sz w:val="19"/>
          <w:szCs w:val="19"/>
          <w:color w:val="000000"/>
        </w:rPr>
        <w:t>),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-1241425</wp:posOffset>
            </wp:positionV>
            <wp:extent cx="20574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205740" cy="762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-372745</wp:posOffset>
            </wp:positionV>
            <wp:extent cx="12954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129540" cy="7620"/>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-227965</wp:posOffset>
            </wp:positionV>
            <wp:extent cx="12954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129540" cy="7620"/>
                    </a:xfrm>
                    <a:prstGeom prst="rect">
                      <a:avLst/>
                    </a:prstGeom>
                    <a:noFill/>
                  </pic:spPr>
                </pic:pic>
              </a:graphicData>
            </a:graphic>
          </wp:anchor>
        </w:drawing>
      </w:r>
    </w:p>
    <w:p>
      <w:pPr>
        <w:spacing w:after="0" w:line="135" w:lineRule="exact"/>
        <w:rPr>
          <w:sz w:val="20"/>
          <w:szCs w:val="20"/>
          <w:color w:val="auto"/>
        </w:rPr>
      </w:pPr>
    </w:p>
    <w:p>
      <w:pPr>
        <w:ind w:left="1060" w:right="420" w:firstLine="855"/>
        <w:spacing w:after="0" w:line="262" w:lineRule="auto"/>
        <w:tabs>
          <w:tab w:leader="none" w:pos="2188" w:val="left"/>
        </w:tabs>
        <w:numPr>
          <w:ilvl w:val="1"/>
          <w:numId w:val="86"/>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color w:val="FF0000"/>
        </w:rPr>
        <w:t xml:space="preserve">(a) </w:t>
      </w:r>
      <w:r>
        <w:rPr>
          <w:rFonts w:ascii="Times New Roman" w:cs="Times New Roman" w:eastAsia="Times New Roman" w:hAnsi="Times New Roman"/>
          <w:sz w:val="19"/>
          <w:szCs w:val="19"/>
          <w:color w:val="000000"/>
        </w:rPr>
        <w:t>regularly scheduled payments, prepayments or redemptions of principal and interest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respect thereof required pursuant to the instruments evidencing such Indebtedness (it being understood that:</w:t>
      </w:r>
    </w:p>
    <w:p>
      <w:pPr>
        <w:spacing w:after="0" w:line="1" w:lineRule="exact"/>
        <w:rPr>
          <w:rFonts w:ascii="Times New Roman" w:cs="Times New Roman" w:eastAsia="Times New Roman" w:hAnsi="Times New Roman"/>
          <w:sz w:val="19"/>
          <w:szCs w:val="19"/>
          <w:u w:val="single" w:color="auto"/>
          <w:color w:val="0000FF"/>
        </w:rPr>
      </w:pPr>
    </w:p>
    <w:p>
      <w:pPr>
        <w:ind w:left="1060" w:right="320" w:hanging="10"/>
        <w:spacing w:after="0" w:line="254" w:lineRule="auto"/>
        <w:tabs>
          <w:tab w:leader="none" w:pos="137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jc w:val="both"/>
        <w:ind w:left="1060" w:right="140" w:firstLine="855"/>
        <w:spacing w:after="0" w:line="268" w:lineRule="auto"/>
        <w:tabs>
          <w:tab w:leader="none" w:pos="2200" w:val="left"/>
        </w:tabs>
        <w:numPr>
          <w:ilvl w:val="1"/>
          <w:numId w:val="87"/>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color w:val="FF0000"/>
        </w:rPr>
        <w:t xml:space="preserve">(b) </w:t>
      </w:r>
      <w:r>
        <w:rPr>
          <w:rFonts w:ascii="Times New Roman" w:cs="Times New Roman" w:eastAsia="Times New Roman" w:hAnsi="Times New Roman"/>
          <w:sz w:val="19"/>
          <w:szCs w:val="19"/>
          <w:color w:val="000000"/>
        </w:rPr>
        <w:t>so long as no Default shall exist or be continuing, any payment that, if treated as a Restricted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Payment for purposes of </w:t>
      </w:r>
      <w:r>
        <w:rPr>
          <w:rFonts w:ascii="Times New Roman" w:cs="Times New Roman" w:eastAsia="Times New Roman" w:hAnsi="Times New Roman"/>
          <w:sz w:val="19"/>
          <w:szCs w:val="19"/>
          <w:u w:val="single" w:color="auto"/>
          <w:color w:val="000000"/>
        </w:rPr>
        <w:t>Section 6.05(d)</w:t>
      </w:r>
      <w:r>
        <w:rPr>
          <w:rFonts w:ascii="Times New Roman" w:cs="Times New Roman" w:eastAsia="Times New Roman" w:hAnsi="Times New Roman"/>
          <w:sz w:val="19"/>
          <w:szCs w:val="19"/>
          <w:color w:val="000000"/>
        </w:rPr>
        <w:t xml:space="preserve">, would be permitted to be made pursuant to the provisions set forth in </w:t>
      </w:r>
      <w:r>
        <w:rPr>
          <w:rFonts w:ascii="Times New Roman" w:cs="Times New Roman" w:eastAsia="Times New Roman" w:hAnsi="Times New Roman"/>
          <w:sz w:val="19"/>
          <w:szCs w:val="19"/>
          <w:u w:val="single" w:color="auto"/>
          <w:color w:val="000000"/>
        </w:rPr>
        <w:t>Section 6.05(d)</w:t>
      </w:r>
      <w:r>
        <w:rPr>
          <w:rFonts w:ascii="Times New Roman" w:cs="Times New Roman" w:eastAsia="Times New Roman" w:hAnsi="Times New Roman"/>
          <w:sz w:val="19"/>
          <w:szCs w:val="19"/>
          <w:color w:val="000000"/>
        </w:rPr>
        <w:t>;</w:t>
      </w:r>
    </w:p>
    <w:p>
      <w:pPr>
        <w:spacing w:after="0" w:line="144" w:lineRule="exact"/>
        <w:rPr>
          <w:rFonts w:ascii="Times New Roman" w:cs="Times New Roman" w:eastAsia="Times New Roman" w:hAnsi="Times New Roman"/>
          <w:sz w:val="19"/>
          <w:szCs w:val="19"/>
          <w:u w:val="single" w:color="auto"/>
          <w:color w:val="0000FF"/>
        </w:rPr>
      </w:pPr>
    </w:p>
    <w:p>
      <w:pPr>
        <w:ind w:left="1060" w:right="280" w:firstLine="855"/>
        <w:spacing w:after="0" w:line="258" w:lineRule="auto"/>
        <w:tabs>
          <w:tab w:leader="none" w:pos="2188" w:val="left"/>
        </w:tabs>
        <w:numPr>
          <w:ilvl w:val="1"/>
          <w:numId w:val="87"/>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color w:val="FF0000"/>
        </w:rPr>
        <w:t xml:space="preserve">(c) </w:t>
      </w:r>
      <w:r>
        <w:rPr>
          <w:rFonts w:ascii="Times New Roman" w:cs="Times New Roman" w:eastAsia="Times New Roman" w:hAnsi="Times New Roman"/>
          <w:sz w:val="19"/>
          <w:szCs w:val="19"/>
          <w:color w:val="000000"/>
        </w:rPr>
        <w:t>voluntary payments or prepayments of Secured Longer-Term Indebtedness, so long as both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before and after giving effect to such voluntary payment or prepayment (i) the Borrower is in pro forma compliance with the financial covenants set forth in </w:t>
      </w:r>
      <w:r>
        <w:rPr>
          <w:rFonts w:ascii="Times New Roman" w:cs="Times New Roman" w:eastAsia="Times New Roman" w:hAnsi="Times New Roman"/>
          <w:sz w:val="19"/>
          <w:szCs w:val="19"/>
          <w:u w:val="single" w:color="auto"/>
          <w:color w:val="000000"/>
        </w:rPr>
        <w:t>Section 6.07</w:t>
      </w:r>
      <w:r>
        <w:rPr>
          <w:rFonts w:ascii="Times New Roman" w:cs="Times New Roman" w:eastAsia="Times New Roman" w:hAnsi="Times New Roman"/>
          <w:sz w:val="19"/>
          <w:szCs w:val="19"/>
          <w:color w:val="000000"/>
        </w:rPr>
        <w:t xml:space="preserve"> and</w:t>
      </w:r>
    </w:p>
    <w:p>
      <w:pPr>
        <w:spacing w:after="0" w:line="1" w:lineRule="exact"/>
        <w:rPr>
          <w:rFonts w:ascii="Times New Roman" w:cs="Times New Roman" w:eastAsia="Times New Roman" w:hAnsi="Times New Roman"/>
          <w:sz w:val="19"/>
          <w:szCs w:val="19"/>
          <w:u w:val="single" w:color="auto"/>
          <w:color w:val="0000FF"/>
        </w:rPr>
      </w:pPr>
    </w:p>
    <w:p>
      <w:pPr>
        <w:ind w:left="1340" w:hanging="290"/>
        <w:spacing w:after="0"/>
        <w:tabs>
          <w:tab w:leader="none" w:pos="13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shall exist or be continuing;</w:t>
      </w:r>
    </w:p>
    <w:p>
      <w:pPr>
        <w:spacing w:after="0" w:line="179" w:lineRule="exact"/>
        <w:rPr>
          <w:rFonts w:ascii="Times New Roman" w:cs="Times New Roman" w:eastAsia="Times New Roman" w:hAnsi="Times New Roman"/>
          <w:sz w:val="19"/>
          <w:szCs w:val="19"/>
          <w:color w:val="auto"/>
        </w:rPr>
      </w:pPr>
    </w:p>
    <w:p>
      <w:pPr>
        <w:ind w:left="1060" w:right="220" w:firstLine="855"/>
        <w:spacing w:after="0" w:line="262" w:lineRule="auto"/>
        <w:tabs>
          <w:tab w:leader="none" w:pos="2200" w:val="left"/>
        </w:tabs>
        <w:numPr>
          <w:ilvl w:val="1"/>
          <w:numId w:val="88"/>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color w:val="FF0000"/>
        </w:rPr>
        <w:t xml:space="preserve">(d) </w:t>
      </w:r>
      <w:r>
        <w:rPr>
          <w:rFonts w:ascii="Times New Roman" w:cs="Times New Roman" w:eastAsia="Times New Roman" w:hAnsi="Times New Roman"/>
          <w:sz w:val="19"/>
          <w:szCs w:val="19"/>
          <w:color w:val="000000"/>
        </w:rPr>
        <w:t>mandatory payments, required prepayments or mandatory redemptions of any other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convertible notes constituting Unsecured Longer-Term Indebtedness or Special Unsecured Indebtedness in Cash (including any cash payment elected to be paid in connection with the settlement by the Borrower of any conversion at the option of any holder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-2769235</wp:posOffset>
            </wp:positionV>
            <wp:extent cx="19812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198120" cy="7620"/>
                    </a:xfrm>
                    <a:prstGeom prst="rect">
                      <a:avLst/>
                    </a:prstGeom>
                    <a:noFill/>
                  </pic:spPr>
                </pic:pic>
              </a:graphicData>
            </a:graphic>
          </wp:anchor>
        </w:drawing>
        <w:drawing>
          <wp:anchor simplePos="0" relativeHeight="251657728" behindDoc="1" locked="0" layoutInCell="0" allowOverlap="1">
            <wp:simplePos x="0" y="0"/>
            <wp:positionH relativeFrom="column">
              <wp:posOffset>1360805</wp:posOffset>
            </wp:positionH>
            <wp:positionV relativeFrom="paragraph">
              <wp:posOffset>-1778000</wp:posOffset>
            </wp:positionV>
            <wp:extent cx="17526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-1221740</wp:posOffset>
            </wp:positionV>
            <wp:extent cx="16764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167640" cy="7620"/>
                    </a:xfrm>
                    <a:prstGeom prst="rect">
                      <a:avLst/>
                    </a:prstGeom>
                    <a:noFill/>
                  </pic:spPr>
                </pic:pic>
              </a:graphicData>
            </a:graphic>
          </wp:anchor>
        </w:drawing>
        <w:drawing>
          <wp:anchor simplePos="0" relativeHeight="251657728" behindDoc="1" locked="0" layoutInCell="0" allowOverlap="1">
            <wp:simplePos x="0" y="0"/>
            <wp:positionH relativeFrom="column">
              <wp:posOffset>1360805</wp:posOffset>
            </wp:positionH>
            <wp:positionV relativeFrom="paragraph">
              <wp:posOffset>-520700</wp:posOffset>
            </wp:positionV>
            <wp:extent cx="17526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64" w:name="page265"/>
    <w:bookmarkEnd w:id="264"/>
    <w:p>
      <w:pPr>
        <w:spacing w:after="0" w:line="269" w:lineRule="exact"/>
        <w:rPr>
          <w:sz w:val="20"/>
          <w:szCs w:val="20"/>
          <w:color w:val="auto"/>
        </w:rPr>
      </w:pPr>
    </w:p>
    <w:p>
      <w:pPr>
        <w:jc w:val="both"/>
        <w:ind w:left="1060" w:right="120"/>
        <w:spacing w:after="0" w:line="268" w:lineRule="auto"/>
        <w:rPr>
          <w:sz w:val="20"/>
          <w:szCs w:val="20"/>
          <w:color w:val="auto"/>
        </w:rPr>
      </w:pPr>
      <w:r>
        <w:rPr>
          <w:rFonts w:ascii="Times New Roman" w:cs="Times New Roman" w:eastAsia="Times New Roman" w:hAnsi="Times New Roman"/>
          <w:sz w:val="19"/>
          <w:szCs w:val="19"/>
          <w:color w:val="auto"/>
        </w:rPr>
        <w:t xml:space="preserve">pursuant to the conversion features thereunder), the 2023 Notes, the 2024 Notes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the 2026 Notes, </w:t>
      </w:r>
      <w:r>
        <w:rPr>
          <w:rFonts w:ascii="Times New Roman" w:cs="Times New Roman" w:eastAsia="Times New Roman" w:hAnsi="Times New Roman"/>
          <w:sz w:val="19"/>
          <w:szCs w:val="19"/>
          <w:u w:val="single" w:color="auto"/>
          <w:color w:val="0000FF"/>
        </w:rPr>
        <w:t>the 2028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Notes and the 2029 Notes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so long as both before and after giving effect to such payment (i) no Event of Default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shall exist or be continuing and (ii) the Covered Debt Amount does not exceed the Borrowing Base;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-379730</wp:posOffset>
            </wp:positionV>
            <wp:extent cx="20574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205740" cy="7620"/>
                    </a:xfrm>
                    <a:prstGeom prst="rect">
                      <a:avLst/>
                    </a:prstGeom>
                    <a:noFill/>
                  </pic:spPr>
                </pic:pic>
              </a:graphicData>
            </a:graphic>
          </wp:anchor>
        </w:drawing>
      </w:r>
    </w:p>
    <w:p>
      <w:pPr>
        <w:spacing w:after="0" w:line="124" w:lineRule="exact"/>
        <w:rPr>
          <w:sz w:val="20"/>
          <w:szCs w:val="20"/>
          <w:color w:val="auto"/>
        </w:rPr>
      </w:pPr>
    </w:p>
    <w:p>
      <w:pPr>
        <w:jc w:val="both"/>
        <w:ind w:left="1060" w:right="120" w:firstLine="855"/>
        <w:spacing w:after="0" w:line="262" w:lineRule="auto"/>
        <w:tabs>
          <w:tab w:leader="none" w:pos="2188" w:val="left"/>
        </w:tabs>
        <w:numPr>
          <w:ilvl w:val="0"/>
          <w:numId w:val="89"/>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color w:val="FF0000"/>
        </w:rPr>
        <w:t xml:space="preserve">(e) </w:t>
      </w:r>
      <w:r>
        <w:rPr>
          <w:rFonts w:ascii="Times New Roman" w:cs="Times New Roman" w:eastAsia="Times New Roman" w:hAnsi="Times New Roman"/>
          <w:sz w:val="19"/>
          <w:szCs w:val="19"/>
          <w:color w:val="000000"/>
        </w:rPr>
        <w:t>payments or prepayments of Secured Longer-Term Indebtedness, Unsecured Longer-Term</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-520700</wp:posOffset>
            </wp:positionV>
            <wp:extent cx="16764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167640" cy="7620"/>
                    </a:xfrm>
                    <a:prstGeom prst="rect">
                      <a:avLst/>
                    </a:prstGeom>
                    <a:noFill/>
                  </pic:spPr>
                </pic:pic>
              </a:graphicData>
            </a:graphic>
          </wp:anchor>
        </w:drawing>
      </w:r>
    </w:p>
    <w:p>
      <w:pPr>
        <w:spacing w:after="0" w:line="130" w:lineRule="exact"/>
        <w:rPr>
          <w:sz w:val="20"/>
          <w:szCs w:val="20"/>
          <w:color w:val="auto"/>
        </w:rPr>
      </w:pPr>
    </w:p>
    <w:p>
      <w:pPr>
        <w:ind w:left="1060" w:right="220"/>
        <w:spacing w:after="0" w:line="268" w:lineRule="auto"/>
        <w:rPr>
          <w:sz w:val="20"/>
          <w:szCs w:val="20"/>
          <w:color w:val="auto"/>
        </w:rPr>
      </w:pPr>
      <w:r>
        <w:rPr>
          <w:rFonts w:ascii="Times New Roman" w:cs="Times New Roman" w:eastAsia="Times New Roman" w:hAnsi="Times New Roman"/>
          <w:sz w:val="19"/>
          <w:szCs w:val="19"/>
          <w:u w:val="single" w:color="auto"/>
          <w:color w:val="0000FF"/>
        </w:rPr>
        <w:t xml:space="preserve">Notwithstanding anything herein to the contrary, in no event shall any Obligor be permitted to prepay or settle (whether </w:t>
      </w:r>
      <w:r>
        <w:rPr>
          <w:rFonts w:ascii="Times New Roman" w:cs="Times New Roman" w:eastAsia="Times New Roman" w:hAnsi="Times New Roman"/>
          <w:sz w:val="19"/>
          <w:szCs w:val="19"/>
          <w:u w:val="single" w:color="auto"/>
          <w:color w:val="007F00"/>
        </w:rPr>
        <w:t>as a result of a</w:t>
      </w:r>
      <w:r>
        <w:rPr>
          <w:rFonts w:ascii="Times New Roman" w:cs="Times New Roman" w:eastAsia="Times New Roman" w:hAnsi="Times New Roman"/>
          <w:sz w:val="19"/>
          <w:szCs w:val="19"/>
          <w:u w:val="single" w:color="auto"/>
          <w:color w:val="0000FF"/>
        </w:rPr>
        <w:t xml:space="preserve"> mandatory redemption, conversion or otherwise) any such Indebtedness if, immediately after giving effect thereto, the Covered Debt Amount would exceed the Borrowing Base.</w:t>
      </w:r>
    </w:p>
    <w:p>
      <w:pPr>
        <w:spacing w:after="0" w:line="144" w:lineRule="exact"/>
        <w:rPr>
          <w:sz w:val="20"/>
          <w:szCs w:val="20"/>
          <w:color w:val="auto"/>
        </w:rPr>
      </w:pPr>
    </w:p>
    <w:p>
      <w:pPr>
        <w:ind w:left="1060" w:right="380" w:firstLine="864"/>
        <w:spacing w:after="0" w:line="268" w:lineRule="auto"/>
        <w:rPr>
          <w:sz w:val="20"/>
          <w:szCs w:val="20"/>
          <w:color w:val="auto"/>
        </w:rPr>
      </w:pPr>
      <w:r>
        <w:rPr>
          <w:rFonts w:ascii="Times New Roman" w:cs="Times New Roman" w:eastAsia="Times New Roman" w:hAnsi="Times New Roman"/>
          <w:sz w:val="19"/>
          <w:szCs w:val="19"/>
          <w:color w:val="auto"/>
        </w:rPr>
        <w:t xml:space="preserve">SECTION 6.13. </w:t>
      </w:r>
      <w:r>
        <w:rPr>
          <w:rFonts w:ascii="Times New Roman" w:cs="Times New Roman" w:eastAsia="Times New Roman" w:hAnsi="Times New Roman"/>
          <w:sz w:val="19"/>
          <w:szCs w:val="19"/>
          <w:u w:val="single" w:color="auto"/>
          <w:color w:val="auto"/>
        </w:rPr>
        <w:t>Accounting Changes</w:t>
      </w:r>
      <w:r>
        <w:rPr>
          <w:rFonts w:ascii="Times New Roman" w:cs="Times New Roman" w:eastAsia="Times New Roman" w:hAnsi="Times New Roman"/>
          <w:sz w:val="19"/>
          <w:szCs w:val="19"/>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44" w:lineRule="exact"/>
        <w:rPr>
          <w:sz w:val="20"/>
          <w:szCs w:val="20"/>
          <w:color w:val="auto"/>
        </w:rPr>
      </w:pPr>
    </w:p>
    <w:p>
      <w:pPr>
        <w:jc w:val="both"/>
        <w:ind w:left="1060" w:right="300" w:firstLine="864"/>
        <w:spacing w:after="0" w:line="268" w:lineRule="auto"/>
        <w:rPr>
          <w:sz w:val="20"/>
          <w:szCs w:val="20"/>
          <w:color w:val="auto"/>
        </w:rPr>
      </w:pPr>
      <w:r>
        <w:rPr>
          <w:rFonts w:ascii="Times New Roman" w:cs="Times New Roman" w:eastAsia="Times New Roman" w:hAnsi="Times New Roman"/>
          <w:sz w:val="19"/>
          <w:szCs w:val="19"/>
          <w:color w:val="auto"/>
        </w:rPr>
        <w:t xml:space="preserve">SECTION 6.14. </w:t>
      </w:r>
      <w:r>
        <w:rPr>
          <w:rFonts w:ascii="Times New Roman" w:cs="Times New Roman" w:eastAsia="Times New Roman" w:hAnsi="Times New Roman"/>
          <w:sz w:val="19"/>
          <w:szCs w:val="19"/>
          <w:u w:val="single" w:color="auto"/>
          <w:color w:val="auto"/>
        </w:rPr>
        <w:t>SBIC Guarantee</w:t>
      </w:r>
      <w:r>
        <w:rPr>
          <w:rFonts w:ascii="Times New Roman" w:cs="Times New Roman" w:eastAsia="Times New Roman" w:hAnsi="Times New Roman"/>
          <w:sz w:val="19"/>
          <w:szCs w:val="19"/>
          <w:color w:val="auto"/>
        </w:rPr>
        <w:t>. The Borrower will not, nor will it permit any of its Subsidiaries to, cause or permit the occurrence of any event or condition that would result in any recourse to any Obligor under any Permitted SBIC Guarantee.</w:t>
      </w:r>
    </w:p>
    <w:p>
      <w:pPr>
        <w:spacing w:after="0" w:line="1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color w:val="auto"/>
        </w:rPr>
        <w:t>ARTICLE VII</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u w:val="single" w:color="auto"/>
          <w:color w:val="auto"/>
        </w:rPr>
        <w:t>EVENTS OF</w:t>
      </w:r>
    </w:p>
    <w:p>
      <w:pPr>
        <w:spacing w:after="0" w:line="1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u w:val="single" w:color="auto"/>
          <w:color w:val="auto"/>
        </w:rPr>
        <w:t>DEFAULT</w:t>
      </w:r>
    </w:p>
    <w:p>
      <w:pPr>
        <w:spacing w:after="0" w:line="1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If any of the following events (“</w:t>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shall occur and be continuing:</w:t>
      </w:r>
    </w:p>
    <w:p>
      <w:pPr>
        <w:spacing w:after="0" w:line="180" w:lineRule="exact"/>
        <w:rPr>
          <w:sz w:val="20"/>
          <w:szCs w:val="20"/>
          <w:color w:val="auto"/>
        </w:rPr>
      </w:pPr>
    </w:p>
    <w:p>
      <w:pPr>
        <w:jc w:val="both"/>
        <w:ind w:left="1060" w:right="260" w:firstLine="864"/>
        <w:spacing w:after="0" w:line="258" w:lineRule="auto"/>
        <w:rPr>
          <w:sz w:val="20"/>
          <w:szCs w:val="20"/>
          <w:color w:val="auto"/>
        </w:rPr>
      </w:pPr>
      <w:r>
        <w:rPr>
          <w:rFonts w:ascii="Times New Roman" w:cs="Times New Roman" w:eastAsia="Times New Roman" w:hAnsi="Times New Roman"/>
          <w:sz w:val="19"/>
          <w:szCs w:val="19"/>
          <w:color w:val="auto"/>
        </w:rPr>
        <w:t>(a)the Borrower shall (i) fail to pay any principal of any Loan or any reimbursement obligation in respect of any LC Disbursement when and as the same shall become due and payable, whether at the due date thereof or at a date fixed for prepayment thereof or otherwise or</w:t>
      </w:r>
    </w:p>
    <w:p>
      <w:pPr>
        <w:spacing w:after="0" w:line="2" w:lineRule="exact"/>
        <w:rPr>
          <w:sz w:val="20"/>
          <w:szCs w:val="20"/>
          <w:color w:val="auto"/>
        </w:rPr>
      </w:pPr>
    </w:p>
    <w:p>
      <w:pPr>
        <w:ind w:left="1060" w:right="140" w:hanging="10"/>
        <w:spacing w:after="0" w:line="262" w:lineRule="auto"/>
        <w:tabs>
          <w:tab w:leader="none" w:pos="134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fail to deposit any amount into the Letter of Credit Collateral Account as required by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on the Extended Commitment Termination Date or as required by </w:t>
      </w:r>
      <w:r>
        <w:rPr>
          <w:rFonts w:ascii="Times New Roman" w:cs="Times New Roman" w:eastAsia="Times New Roman" w:hAnsi="Times New Roman"/>
          <w:sz w:val="19"/>
          <w:szCs w:val="19"/>
          <w:u w:val="single" w:color="auto"/>
          <w:color w:val="auto"/>
        </w:rPr>
        <w:t>Section 2.20(b)</w:t>
      </w:r>
      <w:r>
        <w:rPr>
          <w:rFonts w:ascii="Times New Roman" w:cs="Times New Roman" w:eastAsia="Times New Roman" w:hAnsi="Times New Roman"/>
          <w:sz w:val="19"/>
          <w:szCs w:val="19"/>
          <w:color w:val="auto"/>
        </w:rPr>
        <w:t xml:space="preserve"> on the date so required;</w:t>
      </w:r>
    </w:p>
    <w:p>
      <w:pPr>
        <w:spacing w:after="0" w:line="149" w:lineRule="exact"/>
        <w:rPr>
          <w:sz w:val="20"/>
          <w:szCs w:val="20"/>
          <w:color w:val="auto"/>
        </w:rPr>
      </w:pPr>
    </w:p>
    <w:p>
      <w:pPr>
        <w:ind w:left="1060" w:right="220" w:firstLine="864"/>
        <w:spacing w:after="0" w:line="262" w:lineRule="auto"/>
        <w:rPr>
          <w:sz w:val="20"/>
          <w:szCs w:val="20"/>
          <w:color w:val="auto"/>
        </w:rPr>
      </w:pPr>
      <w:r>
        <w:rPr>
          <w:rFonts w:ascii="Times New Roman" w:cs="Times New Roman" w:eastAsia="Times New Roman" w:hAnsi="Times New Roman"/>
          <w:sz w:val="19"/>
          <w:szCs w:val="19"/>
          <w:color w:val="auto"/>
        </w:rPr>
        <w:t xml:space="preserve">(b)the Borrower shall fail to pay any interest on any Loan or any fee or any other amount (other than an amount referred to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Article) payable under this Agreement or under any other Loan Document, when and as the same shall become due and payable, and such failure shall continue unremedied for a period of five (5) or more Business Days;</w:t>
      </w:r>
    </w:p>
    <w:p>
      <w:pPr>
        <w:spacing w:after="0" w:line="150" w:lineRule="exact"/>
        <w:rPr>
          <w:sz w:val="20"/>
          <w:szCs w:val="20"/>
          <w:color w:val="auto"/>
        </w:rPr>
      </w:pPr>
    </w:p>
    <w:p>
      <w:pPr>
        <w:ind w:left="1060" w:right="60" w:firstLine="864"/>
        <w:spacing w:after="0" w:line="262" w:lineRule="auto"/>
        <w:rPr>
          <w:sz w:val="20"/>
          <w:szCs w:val="20"/>
          <w:color w:val="auto"/>
        </w:rPr>
      </w:pPr>
      <w:r>
        <w:rPr>
          <w:rFonts w:ascii="Times New Roman" w:cs="Times New Roman" w:eastAsia="Times New Roman" w:hAnsi="Times New Roman"/>
          <w:sz w:val="19"/>
          <w:szCs w:val="19"/>
          <w:color w:val="auto"/>
        </w:rPr>
        <w:t>(c)any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65" w:name="page266"/>
    <w:bookmarkEnd w:id="265"/>
    <w:p>
      <w:pPr>
        <w:spacing w:after="0" w:line="269" w:lineRule="exact"/>
        <w:rPr>
          <w:sz w:val="20"/>
          <w:szCs w:val="20"/>
          <w:color w:val="auto"/>
        </w:rPr>
      </w:pPr>
    </w:p>
    <w:p>
      <w:pPr>
        <w:ind w:left="1060" w:right="380"/>
        <w:spacing w:after="0" w:line="259" w:lineRule="auto"/>
        <w:rPr>
          <w:sz w:val="20"/>
          <w:szCs w:val="20"/>
          <w:color w:val="auto"/>
        </w:rPr>
      </w:pPr>
      <w:r>
        <w:rPr>
          <w:rFonts w:ascii="Times New Roman" w:cs="Times New Roman" w:eastAsia="Times New Roman" w:hAnsi="Times New Roman"/>
          <w:sz w:val="19"/>
          <w:szCs w:val="19"/>
          <w:color w:val="auto"/>
        </w:rPr>
        <w:t>Agreement or any other Loan Document or any amendment or modification hereof or thereof, shall prove to have been incorrect when made or deemed made in any material respect and such failure shall continue unremedied for a period of ten (10) or more Business Days after the earlier of the Borrower obtaining actual knowledge thereof or receiving notice thereof from the Administrative Agent (given at the request of any Lender);</w:t>
      </w:r>
    </w:p>
    <w:p>
      <w:pPr>
        <w:spacing w:after="0" w:line="15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(d)the Borrower shall fail to observe or perform any covenant, condition or agreement contained in</w:t>
      </w:r>
    </w:p>
    <w:p>
      <w:pPr>
        <w:spacing w:after="0" w:line="32" w:lineRule="exact"/>
        <w:rPr>
          <w:sz w:val="20"/>
          <w:szCs w:val="20"/>
          <w:color w:val="auto"/>
        </w:rPr>
      </w:pPr>
    </w:p>
    <w:p>
      <w:pPr>
        <w:ind w:left="1060" w:right="100" w:hanging="10"/>
        <w:spacing w:after="0" w:line="250" w:lineRule="auto"/>
        <w:tabs>
          <w:tab w:leader="none" w:pos="128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5.03</w:t>
      </w:r>
      <w:r>
        <w:rPr>
          <w:rFonts w:ascii="Times New Roman" w:cs="Times New Roman" w:eastAsia="Times New Roman" w:hAnsi="Times New Roman"/>
          <w:sz w:val="19"/>
          <w:szCs w:val="19"/>
          <w:color w:val="auto"/>
        </w:rPr>
        <w:t xml:space="preserve"> (with respect to the Borrower’s existence) or </w:t>
      </w:r>
      <w:r>
        <w:rPr>
          <w:rFonts w:ascii="Times New Roman" w:cs="Times New Roman" w:eastAsia="Times New Roman" w:hAnsi="Times New Roman"/>
          <w:sz w:val="19"/>
          <w:szCs w:val="19"/>
          <w:u w:val="single" w:color="auto"/>
          <w:color w:val="auto"/>
        </w:rPr>
        <w:t>Sections 5.08(a)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or any Obligor shall default in the performance of any of its obligations contained in Sections 3 and 7 of the Guarantee and Security Agreement or</w:t>
      </w:r>
    </w:p>
    <w:p>
      <w:pPr>
        <w:spacing w:after="0" w:line="1" w:lineRule="exact"/>
        <w:rPr>
          <w:rFonts w:ascii="Times New Roman" w:cs="Times New Roman" w:eastAsia="Times New Roman" w:hAnsi="Times New Roman"/>
          <w:sz w:val="19"/>
          <w:szCs w:val="19"/>
          <w:color w:val="auto"/>
        </w:rPr>
      </w:pPr>
    </w:p>
    <w:p>
      <w:pPr>
        <w:ind w:left="1060" w:right="180" w:hanging="10"/>
        <w:spacing w:after="0" w:line="256" w:lineRule="auto"/>
        <w:tabs>
          <w:tab w:leader="none" w:pos="134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Sections 5.01 (d)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5.02</w:t>
      </w:r>
      <w:r>
        <w:rPr>
          <w:rFonts w:ascii="Times New Roman" w:cs="Times New Roman" w:eastAsia="Times New Roman" w:hAnsi="Times New Roman"/>
          <w:sz w:val="19"/>
          <w:szCs w:val="19"/>
          <w:color w:val="auto"/>
        </w:rPr>
        <w:t xml:space="preserve"> and such failure shall continue unremedied for a period of five (5) or more days after notice thereof by the Administrative Agent (given at the request of any Lender) to the Borrower;</w:t>
      </w:r>
    </w:p>
    <w:p>
      <w:pPr>
        <w:spacing w:after="0" w:line="15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(e)a Borrowing Base Deficiency shall occur and continue unremedied for a period of five or more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Business Days after delivery of a Borrowing Base Certificate demonstrating such Borrowing Base Deficiency</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5.01(e)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it shall not be an Event of Default hereunder if the Borrower shall</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present the Administrative Agent with a reasonably feasible plan acceptable to the </w:t>
      </w:r>
      <w:r>
        <w:rPr>
          <w:rFonts w:ascii="Times New Roman" w:cs="Times New Roman" w:eastAsia="Times New Roman" w:hAnsi="Times New Roman"/>
          <w:sz w:val="19"/>
          <w:szCs w:val="19"/>
          <w:color w:val="FF0000"/>
          <w:strike w:val="1"/>
        </w:rPr>
        <w:t>Required Lenders in</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FF0000"/>
          <w:strike w:val="1"/>
        </w:rPr>
        <w:t>their</w:t>
      </w:r>
      <w:r>
        <w:rPr>
          <w:rFonts w:ascii="Times New Roman" w:cs="Times New Roman" w:eastAsia="Times New Roman" w:hAnsi="Times New Roman"/>
          <w:sz w:val="19"/>
          <w:szCs w:val="19"/>
          <w:u w:val="single" w:color="auto"/>
          <w:color w:val="0000FF"/>
        </w:rPr>
        <w:t>Administrative Agent in its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sole discretion to enable such Borrowing Base Deficiency to be cured within</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30 Business Days (which 30-Business Day period shall include the five (5) Business Days permitted for</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delivery of such plan), so long as such Borrowing Base Deficiency is cured within such 30-Business Day</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period;</w:t>
      </w:r>
    </w:p>
    <w:p>
      <w:pPr>
        <w:spacing w:after="0" w:line="180" w:lineRule="exact"/>
        <w:rPr>
          <w:sz w:val="20"/>
          <w:szCs w:val="20"/>
          <w:color w:val="auto"/>
        </w:rPr>
      </w:pPr>
    </w:p>
    <w:p>
      <w:pPr>
        <w:ind w:left="1060" w:right="200" w:firstLine="864"/>
        <w:spacing w:after="0" w:line="259" w:lineRule="auto"/>
        <w:rPr>
          <w:sz w:val="20"/>
          <w:szCs w:val="20"/>
          <w:color w:val="auto"/>
        </w:rPr>
      </w:pPr>
      <w:r>
        <w:rPr>
          <w:rFonts w:ascii="Times New Roman" w:cs="Times New Roman" w:eastAsia="Times New Roman" w:hAnsi="Times New Roman"/>
          <w:sz w:val="19"/>
          <w:szCs w:val="19"/>
          <w:color w:val="auto"/>
        </w:rPr>
        <w:t xml:space="preserve">(f)the Borrower or any Obligor, as applicable, shall fail to observe or perform any covenant, condition or agreement contained in this Agreement (other than those specified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w:t>
      </w:r>
      <w:r>
        <w:rPr>
          <w:rFonts w:ascii="Times New Roman" w:cs="Times New Roman" w:eastAsia="Times New Roman" w:hAnsi="Times New Roman"/>
          <w:sz w:val="19"/>
          <w:szCs w:val="19"/>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54" w:lineRule="exact"/>
        <w:rPr>
          <w:sz w:val="20"/>
          <w:szCs w:val="20"/>
          <w:color w:val="auto"/>
        </w:rPr>
      </w:pPr>
    </w:p>
    <w:p>
      <w:pPr>
        <w:ind w:left="1060" w:right="180" w:firstLine="864"/>
        <w:spacing w:after="0" w:line="268" w:lineRule="auto"/>
        <w:rPr>
          <w:sz w:val="20"/>
          <w:szCs w:val="20"/>
          <w:color w:val="auto"/>
        </w:rPr>
      </w:pPr>
      <w:r>
        <w:rPr>
          <w:rFonts w:ascii="Times New Roman" w:cs="Times New Roman" w:eastAsia="Times New Roman" w:hAnsi="Times New Roman"/>
          <w:sz w:val="19"/>
          <w:szCs w:val="19"/>
          <w:color w:val="auto"/>
        </w:rPr>
        <w:t>(g)the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44" w:lineRule="exact"/>
        <w:rPr>
          <w:sz w:val="20"/>
          <w:szCs w:val="20"/>
          <w:color w:val="auto"/>
        </w:rPr>
      </w:pPr>
    </w:p>
    <w:p>
      <w:pPr>
        <w:ind w:left="1060" w:right="100" w:firstLine="864"/>
        <w:spacing w:after="0" w:line="254" w:lineRule="auto"/>
        <w:rPr>
          <w:sz w:val="20"/>
          <w:szCs w:val="20"/>
          <w:color w:val="auto"/>
        </w:rPr>
      </w:pPr>
      <w:r>
        <w:rPr>
          <w:rFonts w:ascii="Times New Roman" w:cs="Times New Roman" w:eastAsia="Times New Roman" w:hAnsi="Times New Roman"/>
          <w:sz w:val="19"/>
          <w:szCs w:val="19"/>
          <w:color w:val="auto"/>
        </w:rPr>
        <w:t xml:space="preserve">(h)any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66" w:name="page267"/>
    <w:bookmarkEnd w:id="266"/>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“event of default” (as defined in the documents governing such convertible Material Indebtedness);</w:t>
      </w:r>
    </w:p>
    <w:p>
      <w:pPr>
        <w:spacing w:after="0" w:line="202" w:lineRule="exact"/>
        <w:rPr>
          <w:sz w:val="20"/>
          <w:szCs w:val="20"/>
          <w:color w:val="auto"/>
        </w:rPr>
      </w:pPr>
    </w:p>
    <w:p>
      <w:pPr>
        <w:ind w:left="1060" w:right="100" w:firstLine="864"/>
        <w:spacing w:after="0" w:line="255" w:lineRule="auto"/>
        <w:rPr>
          <w:sz w:val="20"/>
          <w:szCs w:val="20"/>
          <w:color w:val="auto"/>
        </w:rPr>
      </w:pPr>
      <w:r>
        <w:rPr>
          <w:rFonts w:ascii="Times New Roman" w:cs="Times New Roman" w:eastAsia="Times New Roman" w:hAnsi="Times New Roman"/>
          <w:sz w:val="19"/>
          <w:szCs w:val="19"/>
          <w:color w:val="auto"/>
        </w:rPr>
        <w:t>(i)an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(j)the Borrower or any of its Subsidiaries (other than Immaterial Subsidiaries) shall</w:t>
      </w:r>
    </w:p>
    <w:p>
      <w:pPr>
        <w:spacing w:after="0" w:line="32" w:lineRule="exact"/>
        <w:rPr>
          <w:sz w:val="20"/>
          <w:szCs w:val="20"/>
          <w:color w:val="auto"/>
        </w:rPr>
      </w:pPr>
    </w:p>
    <w:p>
      <w:pPr>
        <w:ind w:left="1060" w:right="120" w:hanging="10"/>
        <w:spacing w:after="0" w:line="252" w:lineRule="auto"/>
        <w:tabs>
          <w:tab w:leader="none" w:pos="1289"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59" w:lineRule="exact"/>
        <w:rPr>
          <w:sz w:val="20"/>
          <w:szCs w:val="20"/>
          <w:color w:val="auto"/>
        </w:rPr>
      </w:pPr>
    </w:p>
    <w:p>
      <w:pPr>
        <w:ind w:left="1060" w:right="140" w:firstLine="864"/>
        <w:spacing w:after="0" w:line="286" w:lineRule="auto"/>
        <w:rPr>
          <w:sz w:val="20"/>
          <w:szCs w:val="20"/>
          <w:color w:val="auto"/>
        </w:rPr>
      </w:pPr>
      <w:r>
        <w:rPr>
          <w:rFonts w:ascii="Times New Roman" w:cs="Times New Roman" w:eastAsia="Times New Roman" w:hAnsi="Times New Roman"/>
          <w:sz w:val="19"/>
          <w:szCs w:val="19"/>
          <w:color w:val="auto"/>
        </w:rPr>
        <w:t>(k)the Borrower or any of its Subsidiaries (other than Immaterial Subsidiaries) shall become unable, admit in writing its inability or fail generally to pay its debts as they become due;</w:t>
      </w:r>
    </w:p>
    <w:p>
      <w:pPr>
        <w:spacing w:after="0" w:line="127" w:lineRule="exact"/>
        <w:rPr>
          <w:sz w:val="20"/>
          <w:szCs w:val="20"/>
          <w:color w:val="auto"/>
        </w:rPr>
      </w:pPr>
    </w:p>
    <w:p>
      <w:pPr>
        <w:ind w:left="1060" w:right="100" w:firstLine="864"/>
        <w:spacing w:after="0" w:line="257" w:lineRule="auto"/>
        <w:rPr>
          <w:sz w:val="20"/>
          <w:szCs w:val="20"/>
          <w:color w:val="auto"/>
        </w:rPr>
      </w:pPr>
      <w:r>
        <w:rPr>
          <w:rFonts w:ascii="Times New Roman" w:cs="Times New Roman" w:eastAsia="Times New Roman" w:hAnsi="Times New Roman"/>
          <w:sz w:val="19"/>
          <w:szCs w:val="19"/>
          <w:color w:val="auto"/>
        </w:rPr>
        <w:t>(l)one or more judgments for the payment of money in an aggregate amount in excess of $50,000,000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57" w:lineRule="exact"/>
        <w:rPr>
          <w:sz w:val="20"/>
          <w:szCs w:val="20"/>
          <w:color w:val="auto"/>
        </w:rPr>
      </w:pPr>
    </w:p>
    <w:p>
      <w:pPr>
        <w:ind w:left="1060" w:right="240" w:firstLine="864"/>
        <w:spacing w:after="0" w:line="268" w:lineRule="auto"/>
        <w:rPr>
          <w:sz w:val="20"/>
          <w:szCs w:val="20"/>
          <w:color w:val="auto"/>
        </w:rPr>
      </w:pPr>
      <w:r>
        <w:rPr>
          <w:rFonts w:ascii="Times New Roman" w:cs="Times New Roman" w:eastAsia="Times New Roman" w:hAnsi="Times New Roman"/>
          <w:sz w:val="19"/>
          <w:szCs w:val="19"/>
          <w:color w:val="auto"/>
        </w:rPr>
        <w:t>(m)an ERISA Event shall have occurred that, in the opinion of the Required Lenders, when taken together with all other ERISA Events that have occurred, would reasonably be expected to result in a Material Adverse Effect;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(n)a Change in Control shall occur;</w:t>
      </w:r>
    </w:p>
    <w:p>
      <w:pPr>
        <w:spacing w:after="0" w:line="20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(o)the Borrower shall cease to be managed by the External Manager or an Affiliate thereof;</w:t>
      </w:r>
    </w:p>
    <w:p>
      <w:pPr>
        <w:spacing w:after="0" w:line="202" w:lineRule="exact"/>
        <w:rPr>
          <w:sz w:val="20"/>
          <w:szCs w:val="20"/>
          <w:color w:val="auto"/>
        </w:rPr>
      </w:pPr>
    </w:p>
    <w:p>
      <w:pPr>
        <w:ind w:left="1060" w:right="100" w:firstLine="852"/>
        <w:spacing w:after="0" w:line="262" w:lineRule="auto"/>
        <w:rPr>
          <w:sz w:val="20"/>
          <w:szCs w:val="20"/>
          <w:color w:val="auto"/>
        </w:rPr>
      </w:pPr>
      <w:r>
        <w:rPr>
          <w:rFonts w:ascii="Times New Roman" w:cs="Times New Roman" w:eastAsia="Times New Roman" w:hAnsi="Times New Roman"/>
          <w:sz w:val="19"/>
          <w:szCs w:val="19"/>
          <w:color w:val="auto"/>
        </w:rPr>
        <w:t>(p)if, prior to the Extended Final Maturity Date, both of the principals of the External Manager (who initially will be Alan Waxman and Joshua Easterly) fail to remain actively involved in the investment activities of the Borrower and the other investment vehicles managed by TSSP Management Holdings, L.P. and its Affiliates; provided that the External Manager 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67" w:name="page268"/>
    <w:bookmarkEnd w:id="267"/>
    <w:p>
      <w:pPr>
        <w:spacing w:after="0" w:line="269" w:lineRule="exact"/>
        <w:rPr>
          <w:sz w:val="20"/>
          <w:szCs w:val="20"/>
          <w:color w:val="auto"/>
        </w:rPr>
      </w:pPr>
    </w:p>
    <w:p>
      <w:pPr>
        <w:jc w:val="both"/>
        <w:ind w:left="1060" w:right="320"/>
        <w:spacing w:after="0" w:line="268" w:lineRule="auto"/>
        <w:rPr>
          <w:sz w:val="20"/>
          <w:szCs w:val="20"/>
          <w:color w:val="auto"/>
        </w:rPr>
      </w:pPr>
      <w:r>
        <w:rPr>
          <w:rFonts w:ascii="Times New Roman" w:cs="Times New Roman" w:eastAsia="Times New Roman" w:hAnsi="Times New Roman"/>
          <w:sz w:val="19"/>
          <w:szCs w:val="19"/>
          <w:color w:val="auto"/>
        </w:rPr>
        <w:t>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44" w:lineRule="exact"/>
        <w:rPr>
          <w:sz w:val="20"/>
          <w:szCs w:val="20"/>
          <w:color w:val="auto"/>
        </w:rPr>
      </w:pPr>
    </w:p>
    <w:p>
      <w:pPr>
        <w:ind w:left="1060" w:right="120" w:firstLine="864"/>
        <w:spacing w:after="0" w:line="256" w:lineRule="auto"/>
        <w:rPr>
          <w:sz w:val="20"/>
          <w:szCs w:val="20"/>
          <w:color w:val="auto"/>
        </w:rPr>
      </w:pPr>
      <w:r>
        <w:rPr>
          <w:rFonts w:ascii="Times New Roman" w:cs="Times New Roman" w:eastAsia="Times New Roman" w:hAnsi="Times New Roman"/>
          <w:sz w:val="19"/>
          <w:szCs w:val="19"/>
          <w:color w:val="auto"/>
        </w:rPr>
        <w:t xml:space="preserve">(q)the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Collateral Agent, free and clear of all other Liens (other than Liens permitted under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57" w:lineRule="exact"/>
        <w:rPr>
          <w:sz w:val="20"/>
          <w:szCs w:val="20"/>
          <w:color w:val="auto"/>
        </w:rPr>
      </w:pPr>
    </w:p>
    <w:p>
      <w:pPr>
        <w:jc w:val="both"/>
        <w:ind w:left="1060" w:right="180" w:firstLine="864"/>
        <w:spacing w:after="0" w:line="268" w:lineRule="auto"/>
        <w:rPr>
          <w:sz w:val="20"/>
          <w:szCs w:val="20"/>
          <w:color w:val="auto"/>
        </w:rPr>
      </w:pPr>
      <w:r>
        <w:rPr>
          <w:rFonts w:ascii="Times New Roman" w:cs="Times New Roman" w:eastAsia="Times New Roman" w:hAnsi="Times New Roman"/>
          <w:sz w:val="19"/>
          <w:szCs w:val="19"/>
          <w:color w:val="auto"/>
        </w:rPr>
        <w:t>(r)except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44" w:lineRule="exact"/>
        <w:rPr>
          <w:sz w:val="20"/>
          <w:szCs w:val="20"/>
          <w:color w:val="auto"/>
        </w:rPr>
      </w:pPr>
    </w:p>
    <w:p>
      <w:pPr>
        <w:jc w:val="both"/>
        <w:ind w:left="1060" w:right="280" w:firstLine="864"/>
        <w:spacing w:after="0" w:line="262" w:lineRule="auto"/>
        <w:rPr>
          <w:sz w:val="20"/>
          <w:szCs w:val="20"/>
          <w:color w:val="auto"/>
        </w:rPr>
      </w:pPr>
      <w:r>
        <w:rPr>
          <w:rFonts w:ascii="Times New Roman" w:cs="Times New Roman" w:eastAsia="Times New Roman" w:hAnsi="Times New Roman"/>
          <w:sz w:val="19"/>
          <w:szCs w:val="19"/>
          <w:color w:val="auto"/>
        </w:rPr>
        <w:t xml:space="preserve">(s)the Obligors shall at any time, without the consent of the Required Lenders fail to comply with the covenant contained in </w:t>
      </w:r>
      <w:r>
        <w:rPr>
          <w:rFonts w:ascii="Times New Roman" w:cs="Times New Roman" w:eastAsia="Times New Roman" w:hAnsi="Times New Roman"/>
          <w:sz w:val="19"/>
          <w:szCs w:val="19"/>
          <w:u w:val="single" w:color="auto"/>
          <w:color w:val="auto"/>
        </w:rPr>
        <w:t>Section 5.11</w:t>
      </w:r>
      <w:r>
        <w:rPr>
          <w:rFonts w:ascii="Times New Roman" w:cs="Times New Roman" w:eastAsia="Times New Roman" w:hAnsi="Times New Roman"/>
          <w:sz w:val="19"/>
          <w:szCs w:val="19"/>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50" w:lineRule="exact"/>
        <w:rPr>
          <w:sz w:val="20"/>
          <w:szCs w:val="20"/>
          <w:color w:val="auto"/>
        </w:rPr>
      </w:pPr>
    </w:p>
    <w:p>
      <w:pPr>
        <w:ind w:left="1060" w:right="340" w:firstLine="864"/>
        <w:spacing w:after="0" w:line="286" w:lineRule="auto"/>
        <w:rPr>
          <w:sz w:val="20"/>
          <w:szCs w:val="20"/>
          <w:color w:val="auto"/>
        </w:rPr>
      </w:pPr>
      <w:r>
        <w:rPr>
          <w:rFonts w:ascii="Times New Roman" w:cs="Times New Roman" w:eastAsia="Times New Roman" w:hAnsi="Times New Roman"/>
          <w:sz w:val="19"/>
          <w:szCs w:val="19"/>
          <w:color w:val="auto"/>
        </w:rPr>
        <w:t>(t)the Borrower or any of its Subsidiaries shall cause or permit the occurrence of any condition or event that would result in any recourse to any Obligor under any Permitted SBIC Guarantee;</w:t>
      </w:r>
    </w:p>
    <w:p>
      <w:pPr>
        <w:spacing w:after="0" w:line="127" w:lineRule="exact"/>
        <w:rPr>
          <w:sz w:val="20"/>
          <w:szCs w:val="20"/>
          <w:color w:val="auto"/>
        </w:rPr>
      </w:pPr>
    </w:p>
    <w:p>
      <w:pPr>
        <w:ind w:left="1060" w:right="180"/>
        <w:spacing w:after="0" w:line="256" w:lineRule="auto"/>
        <w:rPr>
          <w:sz w:val="20"/>
          <w:szCs w:val="20"/>
          <w:color w:val="auto"/>
        </w:rPr>
      </w:pPr>
      <w:r>
        <w:rPr>
          <w:rFonts w:ascii="Times New Roman" w:cs="Times New Roman" w:eastAsia="Times New Roman" w:hAnsi="Times New Roman"/>
          <w:sz w:val="19"/>
          <w:szCs w:val="19"/>
          <w:color w:val="auto"/>
        </w:rPr>
        <w:t xml:space="preserve">then, and in every such event (other than an event with respect to the Borrower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w:t>
      </w:r>
    </w:p>
    <w:p>
      <w:pPr>
        <w:spacing w:after="0" w:line="2" w:lineRule="exact"/>
        <w:rPr>
          <w:sz w:val="20"/>
          <w:szCs w:val="20"/>
          <w:color w:val="auto"/>
        </w:rPr>
      </w:pPr>
    </w:p>
    <w:p>
      <w:pPr>
        <w:ind w:left="1060" w:right="140" w:hanging="10"/>
        <w:spacing w:after="0" w:line="250" w:lineRule="auto"/>
        <w:tabs>
          <w:tab w:leader="none" w:pos="128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w:t>
      </w:r>
    </w:p>
    <w:p>
      <w:pPr>
        <w:spacing w:after="0" w:line="3" w:lineRule="exact"/>
        <w:rPr>
          <w:rFonts w:ascii="Times New Roman" w:cs="Times New Roman" w:eastAsia="Times New Roman" w:hAnsi="Times New Roman"/>
          <w:sz w:val="19"/>
          <w:szCs w:val="19"/>
          <w:color w:val="auto"/>
        </w:rPr>
      </w:pPr>
    </w:p>
    <w:p>
      <w:pPr>
        <w:ind w:left="1060" w:right="300" w:hanging="10"/>
        <w:spacing w:after="0" w:line="254" w:lineRule="auto"/>
        <w:tabs>
          <w:tab w:leader="none" w:pos="1288" w:val="left"/>
        </w:tabs>
        <w:numPr>
          <w:ilvl w:val="0"/>
          <w:numId w:val="9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68" w:name="page269"/>
    <w:bookmarkEnd w:id="268"/>
    <w:p>
      <w:pPr>
        <w:spacing w:after="0" w:line="269" w:lineRule="exact"/>
        <w:rPr>
          <w:sz w:val="20"/>
          <w:szCs w:val="20"/>
          <w:color w:val="auto"/>
        </w:rPr>
      </w:pPr>
    </w:p>
    <w:p>
      <w:pPr>
        <w:ind w:left="1060" w:right="180" w:firstLine="1728"/>
        <w:spacing w:after="0" w:line="255" w:lineRule="auto"/>
        <w:rPr>
          <w:sz w:val="20"/>
          <w:szCs w:val="20"/>
          <w:color w:val="auto"/>
        </w:rPr>
      </w:pPr>
      <w:r>
        <w:rPr>
          <w:rFonts w:ascii="Times New Roman" w:cs="Times New Roman" w:eastAsia="Times New Roman" w:hAnsi="Times New Roman"/>
          <w:sz w:val="19"/>
          <w:szCs w:val="19"/>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accrued and unpaid interest thereon;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this Article.</w:t>
      </w:r>
    </w:p>
    <w:p>
      <w:pPr>
        <w:spacing w:after="0" w:line="160" w:lineRule="exact"/>
        <w:rPr>
          <w:sz w:val="20"/>
          <w:szCs w:val="20"/>
          <w:color w:val="auto"/>
        </w:rPr>
      </w:pPr>
    </w:p>
    <w:p>
      <w:pPr>
        <w:ind w:left="1060" w:right="120" w:firstLine="1728"/>
        <w:spacing w:after="0" w:line="252" w:lineRule="auto"/>
        <w:rPr>
          <w:sz w:val="20"/>
          <w:szCs w:val="20"/>
          <w:color w:val="auto"/>
        </w:rPr>
      </w:pPr>
      <w:r>
        <w:rPr>
          <w:rFonts w:ascii="Times New Roman" w:cs="Times New Roman" w:eastAsia="Times New Roman" w:hAnsi="Times New Roman"/>
          <w:sz w:val="19"/>
          <w:szCs w:val="19"/>
          <w:color w:val="007F00"/>
          <w:strike w:val="1"/>
        </w:rPr>
        <w:t>Notwithstanding anything to the contrary contained</w:t>
      </w:r>
      <w:r>
        <w:rPr>
          <w:rFonts w:ascii="Times New Roman" w:cs="Times New Roman" w:eastAsia="Times New Roman" w:hAnsi="Times New Roman"/>
          <w:sz w:val="19"/>
          <w:szCs w:val="19"/>
          <w:color w:val="007F00"/>
        </w:rPr>
        <w:t xml:space="preserve"> </w:t>
      </w:r>
      <w:r>
        <w:rPr>
          <w:rFonts w:ascii="Times New Roman" w:cs="Times New Roman" w:eastAsia="Times New Roman" w:hAnsi="Times New Roman"/>
          <w:sz w:val="19"/>
          <w:szCs w:val="19"/>
          <w:color w:val="FF0000"/>
          <w:strike w:val="1"/>
        </w:rPr>
        <w:t>herein, on the CAM</w:t>
      </w:r>
      <w:r>
        <w:rPr>
          <w:rFonts w:ascii="Times New Roman" w:cs="Times New Roman" w:eastAsia="Times New Roman" w:hAnsi="Times New Roman"/>
          <w:sz w:val="19"/>
          <w:szCs w:val="19"/>
          <w:color w:val="007F00"/>
        </w:rPr>
        <w:t xml:space="preserve"> </w:t>
      </w:r>
      <w:r>
        <w:rPr>
          <w:rFonts w:ascii="Times New Roman" w:cs="Times New Roman" w:eastAsia="Times New Roman" w:hAnsi="Times New Roman"/>
          <w:sz w:val="19"/>
          <w:szCs w:val="19"/>
          <w:color w:val="FF0000"/>
        </w:rPr>
        <w:t>Exchange Date,</w:t>
      </w:r>
      <w:r>
        <w:rPr>
          <w:rFonts w:ascii="Times New Roman" w:cs="Times New Roman" w:eastAsia="Times New Roman" w:hAnsi="Times New Roman"/>
          <w:sz w:val="19"/>
          <w:szCs w:val="19"/>
          <w:color w:val="007F00"/>
        </w:rPr>
        <w:t xml:space="preserve"> </w:t>
      </w:r>
      <w:r>
        <w:rPr>
          <w:rFonts w:ascii="Times New Roman" w:cs="Times New Roman" w:eastAsia="Times New Roman" w:hAnsi="Times New Roman"/>
          <w:sz w:val="19"/>
          <w:szCs w:val="19"/>
          <w:color w:val="FF0000"/>
        </w:rPr>
        <w:t xml:space="preserve">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Times New Roman" w:cs="Times New Roman" w:eastAsia="Times New Roman" w:hAnsi="Times New Roman"/>
          <w:sz w:val="19"/>
          <w:szCs w:val="19"/>
          <w:u w:val="single" w:color="auto"/>
          <w:color w:val="FF0000"/>
        </w:rPr>
        <w:t>clause (a)</w:t>
      </w:r>
      <w:r>
        <w:rPr>
          <w:rFonts w:ascii="Times New Roman" w:cs="Times New Roman" w:eastAsia="Times New Roman" w:hAnsi="Times New Roman"/>
          <w:sz w:val="19"/>
          <w:szCs w:val="19"/>
          <w:color w:val="FF0000"/>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Times New Roman" w:cs="Times New Roman" w:eastAsia="Times New Roman" w:hAnsi="Times New Roman"/>
          <w:sz w:val="19"/>
          <w:szCs w:val="19"/>
          <w:u w:val="single" w:color="auto"/>
          <w:color w:val="FF0000"/>
        </w:rPr>
        <w:t>Section</w:t>
      </w:r>
    </w:p>
    <w:p>
      <w:pPr>
        <w:spacing w:after="0" w:line="7" w:lineRule="exact"/>
        <w:rPr>
          <w:sz w:val="20"/>
          <w:szCs w:val="20"/>
          <w:color w:val="auto"/>
        </w:rPr>
      </w:pPr>
    </w:p>
    <w:p>
      <w:pPr>
        <w:ind w:left="1060" w:right="80"/>
        <w:spacing w:after="0" w:line="251" w:lineRule="auto"/>
        <w:rPr>
          <w:sz w:val="20"/>
          <w:szCs w:val="20"/>
          <w:color w:val="auto"/>
        </w:rPr>
      </w:pPr>
      <w:r>
        <w:rPr>
          <w:rFonts w:ascii="Times New Roman" w:cs="Times New Roman" w:eastAsia="Times New Roman" w:hAnsi="Times New Roman"/>
          <w:sz w:val="19"/>
          <w:szCs w:val="19"/>
          <w:u w:val="single" w:color="auto"/>
          <w:color w:val="FF0000"/>
        </w:rPr>
        <w:t>9.04</w:t>
      </w:r>
      <w:r>
        <w:rPr>
          <w:rFonts w:ascii="Times New Roman" w:cs="Times New Roman" w:eastAsia="Times New Roman" w:hAnsi="Times New Roman"/>
          <w:sz w:val="19"/>
          <w:szCs w:val="19"/>
          <w:color w:val="FF0000"/>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w:t>
      </w:r>
      <w:r>
        <w:rPr>
          <w:rFonts w:ascii="Times New Roman" w:cs="Times New Roman" w:eastAsia="Times New Roman" w:hAnsi="Times New Roman"/>
          <w:sz w:val="19"/>
          <w:szCs w:val="19"/>
          <w:color w:val="FF0000"/>
          <w:strike w:val="1"/>
        </w:rPr>
        <w:t>the CAM</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 xml:space="preserve">Exchange, on and after the CAM Exchange Date, each payment </w:t>
      </w:r>
      <w:r>
        <w:rPr>
          <w:rFonts w:ascii="Times New Roman" w:cs="Times New Roman" w:eastAsia="Times New Roman" w:hAnsi="Times New Roman"/>
          <w:sz w:val="19"/>
          <w:szCs w:val="19"/>
          <w:color w:val="007F00"/>
          <w:strike w:val="1"/>
        </w:rPr>
        <w:t>received by the Administrative Agent</w:t>
      </w:r>
      <w:r>
        <w:rPr>
          <w:rFonts w:ascii="Times New Roman" w:cs="Times New Roman" w:eastAsia="Times New Roman" w:hAnsi="Times New Roman"/>
          <w:sz w:val="19"/>
          <w:szCs w:val="19"/>
          <w:color w:val="FF0000"/>
          <w:strike w:val="1"/>
        </w:rPr>
        <w:t xml:space="preserve"> pursuant to any Loan Document in respect of the Designated Obligations shall be distributed to the Lenders pro rata in accordance with their respective CAM Percentages (to be redetermined as of each such date of payment).</w:t>
      </w:r>
    </w:p>
    <w:p>
      <w:pPr>
        <w:spacing w:after="0" w:line="16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color w:val="auto"/>
        </w:rPr>
        <w:t>ARTICLE VIII</w:t>
      </w:r>
    </w:p>
    <w:p>
      <w:pPr>
        <w:spacing w:after="0" w:line="23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u w:val="single" w:color="auto"/>
          <w:color w:val="auto"/>
        </w:rPr>
        <w:t>THE ADMINISTRATIVE AGENT</w:t>
      </w:r>
    </w:p>
    <w:p>
      <w:pPr>
        <w:spacing w:after="0" w:line="202" w:lineRule="exact"/>
        <w:rPr>
          <w:sz w:val="20"/>
          <w:szCs w:val="20"/>
          <w:color w:val="auto"/>
        </w:rPr>
      </w:pPr>
    </w:p>
    <w:p>
      <w:pPr>
        <w:ind w:left="1060" w:right="220" w:firstLine="864"/>
        <w:spacing w:after="0" w:line="259" w:lineRule="auto"/>
        <w:rPr>
          <w:sz w:val="20"/>
          <w:szCs w:val="20"/>
          <w:color w:val="auto"/>
        </w:rPr>
      </w:pPr>
      <w:r>
        <w:rPr>
          <w:rFonts w:ascii="Times New Roman" w:cs="Times New Roman" w:eastAsia="Times New Roman" w:hAnsi="Times New Roman"/>
          <w:sz w:val="19"/>
          <w:szCs w:val="19"/>
          <w:color w:val="auto"/>
        </w:rPr>
        <w:t xml:space="preserve">SECTION 8.01. </w:t>
      </w:r>
      <w:r>
        <w:rPr>
          <w:rFonts w:ascii="Times New Roman" w:cs="Times New Roman" w:eastAsia="Times New Roman" w:hAnsi="Times New Roman"/>
          <w:sz w:val="19"/>
          <w:szCs w:val="19"/>
          <w:u w:val="single" w:color="auto"/>
          <w:color w:val="auto"/>
        </w:rPr>
        <w:t>Appointment of the Administrative Agent</w:t>
      </w:r>
      <w:r>
        <w:rPr>
          <w:rFonts w:ascii="Times New Roman" w:cs="Times New Roman" w:eastAsia="Times New Roman" w:hAnsi="Times New Roman"/>
          <w:sz w:val="19"/>
          <w:szCs w:val="19"/>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69" w:name="page270"/>
    <w:bookmarkEnd w:id="269"/>
    <w:p>
      <w:pPr>
        <w:spacing w:after="0" w:line="269" w:lineRule="exact"/>
        <w:rPr>
          <w:sz w:val="20"/>
          <w:szCs w:val="20"/>
          <w:color w:val="auto"/>
        </w:rPr>
      </w:pPr>
    </w:p>
    <w:p>
      <w:pPr>
        <w:ind w:left="1060" w:right="240"/>
        <w:spacing w:after="0" w:line="256" w:lineRule="auto"/>
        <w:rPr>
          <w:sz w:val="20"/>
          <w:szCs w:val="20"/>
          <w:color w:val="auto"/>
        </w:rPr>
      </w:pPr>
      <w:r>
        <w:rPr>
          <w:rFonts w:ascii="Times New Roman" w:cs="Times New Roman" w:eastAsia="Times New Roman" w:hAnsi="Times New Roman"/>
          <w:sz w:val="19"/>
          <w:szCs w:val="19"/>
          <w:color w:val="auto"/>
        </w:rPr>
        <w:t xml:space="preserve">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w:t>
      </w:r>
      <w:r>
        <w:rPr>
          <w:rFonts w:ascii="Times New Roman" w:cs="Times New Roman" w:eastAsia="Times New Roman" w:hAnsi="Times New Roman"/>
          <w:sz w:val="19"/>
          <w:szCs w:val="19"/>
          <w:color w:val="0000FF"/>
        </w:rPr>
        <w:t>The Collateral Agent shall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be a third-party beneficiary of this Section 8.01 and shall have all of the rights, benefits and privileges of a third-party beneficiary, including an independent right of action to enforce such rights, benefits and privileges directly, without the consent or joinder of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4714240</wp:posOffset>
            </wp:positionH>
            <wp:positionV relativeFrom="paragraph">
              <wp:posOffset>-470535</wp:posOffset>
            </wp:positionV>
            <wp:extent cx="1318895"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spacing w:after="0" w:line="137" w:lineRule="exact"/>
        <w:rPr>
          <w:sz w:val="20"/>
          <w:szCs w:val="20"/>
          <w:color w:val="auto"/>
        </w:rPr>
      </w:pPr>
    </w:p>
    <w:p>
      <w:pPr>
        <w:ind w:left="1060" w:right="120" w:firstLine="864"/>
        <w:spacing w:after="0" w:line="259" w:lineRule="auto"/>
        <w:rPr>
          <w:sz w:val="20"/>
          <w:szCs w:val="20"/>
          <w:color w:val="auto"/>
        </w:rPr>
      </w:pPr>
      <w:r>
        <w:rPr>
          <w:rFonts w:ascii="Times New Roman" w:cs="Times New Roman" w:eastAsia="Times New Roman" w:hAnsi="Times New Roman"/>
          <w:sz w:val="19"/>
          <w:szCs w:val="19"/>
          <w:color w:val="auto"/>
        </w:rPr>
        <w:t xml:space="preserve">SECTION 8.02. </w:t>
      </w:r>
      <w:r>
        <w:rPr>
          <w:rFonts w:ascii="Times New Roman" w:cs="Times New Roman" w:eastAsia="Times New Roman" w:hAnsi="Times New Roman"/>
          <w:sz w:val="19"/>
          <w:szCs w:val="19"/>
          <w:u w:val="single" w:color="auto"/>
          <w:color w:val="auto"/>
        </w:rPr>
        <w:t>Capacity as Lender</w:t>
      </w:r>
      <w:r>
        <w:rPr>
          <w:rFonts w:ascii="Times New Roman" w:cs="Times New Roman" w:eastAsia="Times New Roman" w:hAnsi="Times New Roman"/>
          <w:sz w:val="19"/>
          <w:szCs w:val="19"/>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54" w:lineRule="exact"/>
        <w:rPr>
          <w:sz w:val="20"/>
          <w:szCs w:val="20"/>
          <w:color w:val="auto"/>
        </w:rPr>
      </w:pPr>
    </w:p>
    <w:p>
      <w:pPr>
        <w:ind w:left="1060" w:right="120" w:firstLine="864"/>
        <w:spacing w:after="0" w:line="252" w:lineRule="auto"/>
        <w:rPr>
          <w:sz w:val="20"/>
          <w:szCs w:val="20"/>
          <w:color w:val="auto"/>
        </w:rPr>
      </w:pPr>
      <w:r>
        <w:rPr>
          <w:rFonts w:ascii="Times New Roman" w:cs="Times New Roman" w:eastAsia="Times New Roman" w:hAnsi="Times New Roman"/>
          <w:sz w:val="19"/>
          <w:szCs w:val="19"/>
          <w:color w:val="auto"/>
        </w:rPr>
        <w:t xml:space="preserve">SECTION 8.03. </w:t>
      </w:r>
      <w:r>
        <w:rPr>
          <w:rFonts w:ascii="Times New Roman" w:cs="Times New Roman" w:eastAsia="Times New Roman" w:hAnsi="Times New Roman"/>
          <w:sz w:val="19"/>
          <w:szCs w:val="19"/>
          <w:u w:val="single" w:color="auto"/>
          <w:color w:val="auto"/>
        </w:rPr>
        <w:t>Limitation of Duties; Exculpation</w:t>
      </w:r>
      <w:r>
        <w:rPr>
          <w:rFonts w:ascii="Times New Roman" w:cs="Times New Roman" w:eastAsia="Times New Roman" w:hAnsi="Times New Roman"/>
          <w:sz w:val="19"/>
          <w:szCs w:val="19"/>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w:t>
      </w:r>
    </w:p>
    <w:p>
      <w:pPr>
        <w:spacing w:after="0" w:line="2" w:lineRule="exact"/>
        <w:rPr>
          <w:sz w:val="20"/>
          <w:szCs w:val="20"/>
          <w:color w:val="auto"/>
        </w:rPr>
      </w:pPr>
    </w:p>
    <w:p>
      <w:pPr>
        <w:ind w:left="1060" w:right="180" w:hanging="10"/>
        <w:spacing w:after="0" w:line="250" w:lineRule="auto"/>
        <w:tabs>
          <w:tab w:leader="none" w:pos="1289"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w:t>
      </w:r>
    </w:p>
    <w:p>
      <w:pPr>
        <w:spacing w:after="0" w:line="2" w:lineRule="exact"/>
        <w:rPr>
          <w:rFonts w:ascii="Times New Roman" w:cs="Times New Roman" w:eastAsia="Times New Roman" w:hAnsi="Times New Roman"/>
          <w:sz w:val="19"/>
          <w:szCs w:val="19"/>
          <w:color w:val="auto"/>
        </w:rPr>
      </w:pPr>
    </w:p>
    <w:p>
      <w:pPr>
        <w:ind w:left="1060" w:right="180" w:hanging="10"/>
        <w:spacing w:after="0" w:line="262" w:lineRule="auto"/>
        <w:tabs>
          <w:tab w:leader="none" w:pos="133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satisfaction of any condition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elsewhere herein or therein, other than to confirm receipt of items expressly required to be delivered to the Administrative Agent.</w:t>
      </w:r>
    </w:p>
    <w:p>
      <w:pPr>
        <w:spacing w:after="0" w:line="149" w:lineRule="exact"/>
        <w:rPr>
          <w:sz w:val="20"/>
          <w:szCs w:val="20"/>
          <w:color w:val="auto"/>
        </w:rPr>
      </w:pPr>
    </w:p>
    <w:p>
      <w:pPr>
        <w:ind w:left="1060" w:right="140" w:firstLine="864"/>
        <w:spacing w:after="0" w:line="259" w:lineRule="auto"/>
        <w:rPr>
          <w:sz w:val="20"/>
          <w:szCs w:val="20"/>
          <w:color w:val="auto"/>
        </w:rPr>
      </w:pPr>
      <w:r>
        <w:rPr>
          <w:rFonts w:ascii="Times New Roman" w:cs="Times New Roman" w:eastAsia="Times New Roman" w:hAnsi="Times New Roman"/>
          <w:sz w:val="19"/>
          <w:szCs w:val="19"/>
          <w:color w:val="auto"/>
        </w:rPr>
        <w:t xml:space="preserve">SECTION 8.04. </w:t>
      </w:r>
      <w:r>
        <w:rPr>
          <w:rFonts w:ascii="Times New Roman" w:cs="Times New Roman" w:eastAsia="Times New Roman" w:hAnsi="Times New Roman"/>
          <w:sz w:val="19"/>
          <w:szCs w:val="19"/>
          <w:u w:val="single" w:color="auto"/>
          <w:color w:val="auto"/>
        </w:rPr>
        <w:t>Reliance</w:t>
      </w:r>
      <w:r>
        <w:rPr>
          <w:rFonts w:ascii="Times New Roman" w:cs="Times New Roman" w:eastAsia="Times New Roman" w:hAnsi="Times New Roman"/>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70" w:name="page271"/>
    <w:bookmarkEnd w:id="270"/>
    <w:p>
      <w:pPr>
        <w:spacing w:after="0" w:line="269" w:lineRule="exact"/>
        <w:rPr>
          <w:sz w:val="20"/>
          <w:szCs w:val="20"/>
          <w:color w:val="auto"/>
        </w:rPr>
      </w:pPr>
    </w:p>
    <w:p>
      <w:pPr>
        <w:ind w:left="1060" w:right="120"/>
        <w:spacing w:after="0" w:line="262" w:lineRule="auto"/>
        <w:rPr>
          <w:sz w:val="20"/>
          <w:szCs w:val="20"/>
          <w:color w:val="auto"/>
        </w:rPr>
      </w:pPr>
      <w:r>
        <w:rPr>
          <w:rFonts w:ascii="Times New Roman" w:cs="Times New Roman" w:eastAsia="Times New Roman" w:hAnsi="Times New Roman"/>
          <w:sz w:val="19"/>
          <w:szCs w:val="19"/>
          <w:color w:val="auto"/>
        </w:rPr>
        <w:t>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0" w:lineRule="exact"/>
        <w:rPr>
          <w:sz w:val="20"/>
          <w:szCs w:val="20"/>
          <w:color w:val="auto"/>
        </w:rPr>
      </w:pPr>
    </w:p>
    <w:p>
      <w:pPr>
        <w:ind w:left="1060" w:right="60" w:firstLine="852"/>
        <w:spacing w:after="0" w:line="254" w:lineRule="auto"/>
        <w:rPr>
          <w:sz w:val="20"/>
          <w:szCs w:val="20"/>
          <w:color w:val="auto"/>
        </w:rPr>
      </w:pPr>
      <w:r>
        <w:rPr>
          <w:rFonts w:ascii="Times New Roman" w:cs="Times New Roman" w:eastAsia="Times New Roman" w:hAnsi="Times New Roman"/>
          <w:sz w:val="19"/>
          <w:szCs w:val="19"/>
          <w:color w:val="auto"/>
        </w:rPr>
        <w:t xml:space="preserve">SECTION 8.05. </w:t>
      </w:r>
      <w:r>
        <w:rPr>
          <w:rFonts w:ascii="Times New Roman" w:cs="Times New Roman" w:eastAsia="Times New Roman" w:hAnsi="Times New Roman"/>
          <w:sz w:val="19"/>
          <w:szCs w:val="19"/>
          <w:u w:val="single" w:color="auto"/>
          <w:color w:val="auto"/>
        </w:rPr>
        <w:t>Sub- Agents</w:t>
      </w:r>
      <w:r>
        <w:rPr>
          <w:rFonts w:ascii="Times New Roman" w:cs="Times New Roman" w:eastAsia="Times New Roman" w:hAnsi="Times New Roman"/>
          <w:sz w:val="19"/>
          <w:szCs w:val="19"/>
          <w:color w:val="auto"/>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fraud, gross negligence or willful misconduct in the selection of such sub-agents.</w:t>
      </w:r>
    </w:p>
    <w:p>
      <w:pPr>
        <w:spacing w:after="0" w:line="160" w:lineRule="exact"/>
        <w:rPr>
          <w:sz w:val="20"/>
          <w:szCs w:val="20"/>
          <w:color w:val="auto"/>
        </w:rPr>
      </w:pPr>
    </w:p>
    <w:p>
      <w:pPr>
        <w:ind w:left="1060" w:right="60" w:firstLine="864"/>
        <w:spacing w:after="0" w:line="252" w:lineRule="auto"/>
        <w:rPr>
          <w:sz w:val="20"/>
          <w:szCs w:val="20"/>
          <w:color w:val="auto"/>
        </w:rPr>
      </w:pPr>
      <w:r>
        <w:rPr>
          <w:rFonts w:ascii="Times New Roman" w:cs="Times New Roman" w:eastAsia="Times New Roman" w:hAnsi="Times New Roman"/>
          <w:sz w:val="19"/>
          <w:szCs w:val="19"/>
          <w:color w:val="auto"/>
        </w:rPr>
        <w:t xml:space="preserve">SECTION 8.06. </w:t>
      </w:r>
      <w:r>
        <w:rPr>
          <w:rFonts w:ascii="Times New Roman" w:cs="Times New Roman" w:eastAsia="Times New Roman" w:hAnsi="Times New Roman"/>
          <w:sz w:val="19"/>
          <w:szCs w:val="19"/>
          <w:u w:val="single" w:color="auto"/>
          <w:color w:val="auto"/>
        </w:rPr>
        <w:t>Resignation; Successor Administrative Agent</w:t>
      </w:r>
      <w:r>
        <w:rPr>
          <w:rFonts w:ascii="Times New Roman" w:cs="Times New Roman" w:eastAsia="Times New Roman" w:hAnsi="Times New Roman"/>
          <w:sz w:val="19"/>
          <w:szCs w:val="19"/>
          <w:color w:val="auto"/>
        </w:rPr>
        <w:t>. The Administrative Agent may resign by providing not less than thirty (30) days advance written notice to the Lenders, the Issuing Banks and the Borrower. Upon any such notice of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at the end of such thirty (30) day period (except that in the case of any collateral security held by the Administrative Agent on behalf of the Lenders or the Issuing Bank under any of the Loan Documents, the retiring or removed Administrative Agent shall continue to hold such collateral security until such time as a successor Administrative Agent is appointed)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its benefit in respect of any actions taken or omitted to be taken by it while it was acting as Administrative Agent.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71" w:name="page272"/>
    <w:bookmarkEnd w:id="271"/>
    <w:p>
      <w:pPr>
        <w:spacing w:after="0" w:line="269" w:lineRule="exact"/>
        <w:rPr>
          <w:sz w:val="20"/>
          <w:szCs w:val="20"/>
          <w:color w:val="auto"/>
        </w:rPr>
      </w:pPr>
    </w:p>
    <w:p>
      <w:pPr>
        <w:ind w:left="1060" w:right="140" w:firstLine="864"/>
        <w:spacing w:after="0" w:line="255" w:lineRule="auto"/>
        <w:rPr>
          <w:sz w:val="20"/>
          <w:szCs w:val="20"/>
          <w:color w:val="auto"/>
        </w:rPr>
      </w:pPr>
      <w:r>
        <w:rPr>
          <w:rFonts w:ascii="Times New Roman" w:cs="Times New Roman" w:eastAsia="Times New Roman" w:hAnsi="Times New Roman"/>
          <w:sz w:val="19"/>
          <w:szCs w:val="19"/>
          <w:color w:val="auto"/>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55" w:lineRule="exact"/>
        <w:rPr>
          <w:sz w:val="20"/>
          <w:szCs w:val="20"/>
          <w:color w:val="auto"/>
        </w:rPr>
      </w:pPr>
    </w:p>
    <w:p>
      <w:pPr>
        <w:ind w:left="1060" w:right="120" w:firstLine="864"/>
        <w:spacing w:after="0" w:line="253" w:lineRule="auto"/>
        <w:rPr>
          <w:sz w:val="20"/>
          <w:szCs w:val="20"/>
          <w:color w:val="auto"/>
        </w:rPr>
      </w:pPr>
      <w:r>
        <w:rPr>
          <w:rFonts w:ascii="Times New Roman" w:cs="Times New Roman" w:eastAsia="Times New Roman" w:hAnsi="Times New Roman"/>
          <w:sz w:val="19"/>
          <w:szCs w:val="19"/>
          <w:color w:val="auto"/>
        </w:rPr>
        <w:t xml:space="preserve">SECTION 8.07. </w:t>
      </w:r>
      <w:r>
        <w:rPr>
          <w:rFonts w:ascii="Times New Roman" w:cs="Times New Roman" w:eastAsia="Times New Roman" w:hAnsi="Times New Roman"/>
          <w:sz w:val="19"/>
          <w:szCs w:val="19"/>
          <w:u w:val="single" w:color="auto"/>
          <w:color w:val="auto"/>
        </w:rPr>
        <w:t>Reliance by Lenders</w:t>
      </w:r>
      <w:r>
        <w:rPr>
          <w:rFonts w:ascii="Times New Roman" w:cs="Times New Roman" w:eastAsia="Times New Roman" w:hAnsi="Times New Roman"/>
          <w:sz w:val="19"/>
          <w:szCs w:val="19"/>
          <w:color w:val="auto"/>
        </w:rPr>
        <w:t>. Each Lender acknowledges that it has, independently and without reliance upon the Administrative Agent</w:t>
      </w:r>
      <w:r>
        <w:rPr>
          <w:rFonts w:ascii="Times New Roman" w:cs="Times New Roman" w:eastAsia="Times New Roman" w:hAnsi="Times New Roman"/>
          <w:sz w:val="19"/>
          <w:szCs w:val="19"/>
          <w:u w:val="single" w:color="auto"/>
          <w:color w:val="0000FF"/>
        </w:rPr>
        <w:t>, any Joint Lead Arranger</w:t>
      </w:r>
      <w:r>
        <w:rPr>
          <w:rFonts w:ascii="Times New Roman" w:cs="Times New Roman" w:eastAsia="Times New Roman" w:hAnsi="Times New Roman"/>
          <w:sz w:val="19"/>
          <w:szCs w:val="19"/>
          <w:color w:val="auto"/>
        </w:rPr>
        <w:t xml:space="preserve"> or any other Lender and based on such documents and information as it has deemed appropriate, made its own credit analysis and decision to enter into this Agreement. Each Lender also acknowledges that it will, independently and without reliance upon the Administrative Agent</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any Joint Lead Arranger</w:t>
      </w:r>
      <w:r>
        <w:rPr>
          <w:rFonts w:ascii="Times New Roman" w:cs="Times New Roman" w:eastAsia="Times New Roman" w:hAnsi="Times New Roman"/>
          <w:sz w:val="19"/>
          <w:szCs w:val="19"/>
          <w:color w:val="auto"/>
        </w:rPr>
        <w:t xml:space="preserve">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63" w:lineRule="exact"/>
        <w:rPr>
          <w:sz w:val="20"/>
          <w:szCs w:val="20"/>
          <w:color w:val="auto"/>
        </w:rPr>
      </w:pPr>
    </w:p>
    <w:p>
      <w:pPr>
        <w:ind w:left="1060" w:right="120" w:firstLine="864"/>
        <w:spacing w:after="0" w:line="262" w:lineRule="auto"/>
        <w:rPr>
          <w:sz w:val="20"/>
          <w:szCs w:val="20"/>
          <w:color w:val="auto"/>
        </w:rPr>
      </w:pPr>
      <w:r>
        <w:rPr>
          <w:rFonts w:ascii="Times New Roman" w:cs="Times New Roman" w:eastAsia="Times New Roman" w:hAnsi="Times New Roman"/>
          <w:sz w:val="19"/>
          <w:szCs w:val="19"/>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5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SECTION 8.08. </w:t>
      </w:r>
      <w:r>
        <w:rPr>
          <w:rFonts w:ascii="Times New Roman" w:cs="Times New Roman" w:eastAsia="Times New Roman" w:hAnsi="Times New Roman"/>
          <w:sz w:val="19"/>
          <w:szCs w:val="19"/>
          <w:u w:val="single" w:color="auto"/>
          <w:color w:val="auto"/>
        </w:rPr>
        <w:t>Modifications to Loan Documents</w:t>
      </w:r>
      <w:r>
        <w:rPr>
          <w:rFonts w:ascii="Times New Roman" w:cs="Times New Roman" w:eastAsia="Times New Roman" w:hAnsi="Times New Roman"/>
          <w:sz w:val="19"/>
          <w:szCs w:val="19"/>
          <w:color w:val="auto"/>
        </w:rPr>
        <w:t xml:space="preserve">. Except as otherwise provided in </w:t>
      </w:r>
      <w:r>
        <w:rPr>
          <w:rFonts w:ascii="Times New Roman" w:cs="Times New Roman" w:eastAsia="Times New Roman" w:hAnsi="Times New Roman"/>
          <w:sz w:val="19"/>
          <w:szCs w:val="19"/>
          <w:u w:val="single" w:color="auto"/>
          <w:color w:val="auto"/>
        </w:rPr>
        <w:t>Section</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Section 9.02(b)</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(c)</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of this Agreement or the Security Documents with respect to this Agreement,</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the Administrative Agent may, with the prior consent of the Required Lenders (but not otherwise), consent to</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xml:space="preserve">any modification, supplement or waiver under any of the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without the prior</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consent of each Lender, the Administrative Agent shall not (except as provided herein or in the Security</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Documents) release all or substantially all of the Collateral or otherwise terminate all or substantially all of the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Liens under any Security Document providing for collateral security, agree to additional obligations being</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secured by all or substantially all of such collateral security (except in connection with securing additional</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obligations equally and ratably with the Loans and other obligations hereunder in accordance with the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Guarantee and Security Agreement), or alter the relative priorities of the obligations entitled to the benefits of</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the Liens created under the Security Documents with respect to all or substantially all of the Collateral, except</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that no such consent shall be required, and the Administrative Agent is hereby authorized, (v) to release any</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Subsidiary Guarantor (and any property of such Subsidiary Guarantor) from its guarantee obligations to the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extent it may be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72" w:name="page273"/>
    <w:bookmarkEnd w:id="272"/>
    <w:p>
      <w:pPr>
        <w:spacing w:after="0" w:line="269" w:lineRule="exact"/>
        <w:rPr>
          <w:sz w:val="20"/>
          <w:szCs w:val="20"/>
          <w:color w:val="auto"/>
        </w:rPr>
      </w:pPr>
    </w:p>
    <w:p>
      <w:pPr>
        <w:ind w:left="1060" w:right="100"/>
        <w:spacing w:after="0" w:line="253" w:lineRule="auto"/>
        <w:rPr>
          <w:sz w:val="20"/>
          <w:szCs w:val="20"/>
          <w:color w:val="auto"/>
        </w:rPr>
      </w:pPr>
      <w:r>
        <w:rPr>
          <w:rFonts w:ascii="Times New Roman" w:cs="Times New Roman" w:eastAsia="Times New Roman" w:hAnsi="Times New Roman"/>
          <w:sz w:val="19"/>
          <w:szCs w:val="19"/>
          <w:color w:val="auto"/>
        </w:rPr>
        <w:t>released in accordance with Section 10.03(f) of the Guarantee and Security Agreement, (w) to release any Lien covering property that is the subject of either a Disposition of property (including, without limitation, any property subject to a participation or repurchase transaction) permitted hereunder or a Disposition to which the Required Lenders have consented, (x) for the avoidance of doubt, execute and deliver agreements, instruments and other documents reasonably requested by the Borrower to implement collateral sharing with respect to Secured Longer-Term Indebtedness and Secured Shorter-Term Indebtedness, (y) following the (i) cancellation, expiration or termination of any commitment to extend credit or issue Letters of Credit under this Agreement or any other Loan Document, (ii) final payment in full of all principal of and interest on each Loan, any LC Disbursements, any fees and any other amounts then due and owing under this Agreement or any other Loan Document and (iii) termination of this Agreement, to release all Liens and guarantees by Obligors, and (z) to allocate the Liens created under the Security Documents to any Designated Indebtedness Obligations or Hedging Agreement Obligations (as such terms are defined in the Guarantee and Security agreement) in accordance with the Guarantee and Security Agreement.</w:t>
      </w:r>
    </w:p>
    <w:p>
      <w:pPr>
        <w:spacing w:after="0" w:line="16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8.09. </w:t>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80" w:firstLine="864"/>
        <w:spacing w:after="0" w:line="252" w:lineRule="auto"/>
        <w:rPr>
          <w:sz w:val="20"/>
          <w:szCs w:val="20"/>
          <w:color w:val="auto"/>
        </w:rPr>
      </w:pPr>
      <w:r>
        <w:rPr>
          <w:rFonts w:ascii="Times New Roman" w:cs="Times New Roman" w:eastAsia="Times New Roman" w:hAnsi="Times New Roman"/>
          <w:sz w:val="19"/>
          <w:szCs w:val="19"/>
          <w:color w:val="auto"/>
        </w:rPr>
        <w:t xml:space="preserve">(a)If the Administrative Agent notifies a Lender, an Issuing Bank or </w:t>
      </w:r>
      <w:r>
        <w:rPr>
          <w:rFonts w:ascii="Times New Roman" w:cs="Times New Roman" w:eastAsia="Times New Roman" w:hAnsi="Times New Roman"/>
          <w:sz w:val="19"/>
          <w:szCs w:val="19"/>
          <w:color w:val="FF0000"/>
          <w:strike w:val="1"/>
        </w:rPr>
        <w:t>an Indemnitee, or</w:t>
      </w:r>
      <w:r>
        <w:rPr>
          <w:rFonts w:ascii="Times New Roman" w:cs="Times New Roman" w:eastAsia="Times New Roman" w:hAnsi="Times New Roman"/>
          <w:sz w:val="19"/>
          <w:szCs w:val="19"/>
          <w:color w:val="auto"/>
        </w:rPr>
        <w:t xml:space="preserve"> any Person who has received funds on behalf of a Lender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w:t>
      </w:r>
      <w:r>
        <w:rPr>
          <w:rFonts w:ascii="Times New Roman" w:cs="Times New Roman" w:eastAsia="Times New Roman" w:hAnsi="Times New Roman"/>
          <w:sz w:val="19"/>
          <w:szCs w:val="19"/>
          <w:color w:val="auto"/>
        </w:rPr>
        <w:t xml:space="preserve"> an Issuing Bank </w:t>
      </w:r>
      <w:r>
        <w:rPr>
          <w:rFonts w:ascii="Times New Roman" w:cs="Times New Roman" w:eastAsia="Times New Roman" w:hAnsi="Times New Roman"/>
          <w:sz w:val="19"/>
          <w:szCs w:val="19"/>
          <w:color w:val="FF0000"/>
          <w:strike w:val="1"/>
        </w:rPr>
        <w:t>or an Indemnitee</w:t>
      </w:r>
      <w:r>
        <w:rPr>
          <w:rFonts w:ascii="Times New Roman" w:cs="Times New Roman" w:eastAsia="Times New Roman" w:hAnsi="Times New Roman"/>
          <w:sz w:val="19"/>
          <w:szCs w:val="19"/>
          <w:color w:val="auto"/>
        </w:rPr>
        <w:t xml:space="preserve"> (any such Lender, Issuing Bank</w:t>
      </w:r>
      <w:r>
        <w:rPr>
          <w:rFonts w:ascii="Times New Roman" w:cs="Times New Roman" w:eastAsia="Times New Roman" w:hAnsi="Times New Roman"/>
          <w:sz w:val="19"/>
          <w:szCs w:val="19"/>
          <w:color w:val="FF0000"/>
          <w:strike w:val="1"/>
        </w:rPr>
        <w:t>, Indemnitee</w:t>
      </w:r>
      <w:r>
        <w:rPr>
          <w:rFonts w:ascii="Times New Roman" w:cs="Times New Roman" w:eastAsia="Times New Roman" w:hAnsi="Times New Roman"/>
          <w:sz w:val="19"/>
          <w:szCs w:val="19"/>
          <w:color w:val="auto"/>
        </w:rPr>
        <w:t xml:space="preserve"> or other recipient,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w:t>
      </w:r>
      <w:r>
        <w:rPr>
          <w:rFonts w:ascii="Times New Roman" w:cs="Times New Roman" w:eastAsia="Times New Roman" w:hAnsi="Times New Roman"/>
          <w:sz w:val="19"/>
          <w:szCs w:val="19"/>
          <w:color w:val="FF0000"/>
          <w:strike w:val="1"/>
        </w:rPr>
        <w:t>, Indemnitee</w:t>
      </w:r>
      <w:r>
        <w:rPr>
          <w:rFonts w:ascii="Times New Roman" w:cs="Times New Roman" w:eastAsia="Times New Roman" w:hAnsi="Times New Roman"/>
          <w:sz w:val="19"/>
          <w:szCs w:val="19"/>
          <w:color w:val="auto"/>
        </w:rPr>
        <w:t xml:space="preserve">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and demands </w:t>
      </w:r>
      <w:r>
        <w:rPr>
          <w:rFonts w:ascii="Times New Roman" w:cs="Times New Roman" w:eastAsia="Times New Roman" w:hAnsi="Times New Roman"/>
          <w:sz w:val="19"/>
          <w:szCs w:val="19"/>
          <w:u w:val="single" w:color="auto"/>
          <w:color w:val="0000FF"/>
        </w:rPr>
        <w:t>in writing</w:t>
      </w:r>
      <w:r>
        <w:rPr>
          <w:rFonts w:ascii="Times New Roman" w:cs="Times New Roman" w:eastAsia="Times New Roman" w:hAnsi="Times New Roman"/>
          <w:sz w:val="19"/>
          <w:szCs w:val="19"/>
          <w:color w:val="auto"/>
        </w:rPr>
        <w:t xml:space="preserve"> the return of such Erroneous Payment (or a portion thereof), such Erroneous Payment shall at all times remain the property of the Administrative Agent and shall be segregated (or earmarked) by the Payment Recipient and held in trust for the benefit of the Administrative Agent, and such Lender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w:t>
      </w:r>
      <w:r>
        <w:rPr>
          <w:rFonts w:ascii="Times New Roman" w:cs="Times New Roman" w:eastAsia="Times New Roman" w:hAnsi="Times New Roman"/>
          <w:sz w:val="19"/>
          <w:szCs w:val="19"/>
          <w:color w:val="auto"/>
        </w:rPr>
        <w:t xml:space="preserve"> Issuing Bank </w:t>
      </w:r>
      <w:r>
        <w:rPr>
          <w:rFonts w:ascii="Times New Roman" w:cs="Times New Roman" w:eastAsia="Times New Roman" w:hAnsi="Times New Roman"/>
          <w:sz w:val="19"/>
          <w:szCs w:val="19"/>
          <w:color w:val="FF0000"/>
          <w:strike w:val="1"/>
        </w:rPr>
        <w:t>or Indemnitee</w:t>
      </w:r>
      <w:r>
        <w:rPr>
          <w:rFonts w:ascii="Times New Roman" w:cs="Times New Roman" w:eastAsia="Times New Roman" w:hAnsi="Times New Roman"/>
          <w:sz w:val="19"/>
          <w:szCs w:val="19"/>
          <w:color w:val="auto"/>
        </w:rPr>
        <w:t xml:space="preserve">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shall be conclusive, absent manifest error.</w:t>
      </w:r>
    </w:p>
    <w:p>
      <w:pPr>
        <w:spacing w:after="0" w:line="164" w:lineRule="exact"/>
        <w:rPr>
          <w:sz w:val="20"/>
          <w:szCs w:val="20"/>
          <w:color w:val="auto"/>
        </w:rPr>
      </w:pPr>
    </w:p>
    <w:p>
      <w:pPr>
        <w:ind w:left="1060" w:right="140" w:firstLine="864"/>
        <w:spacing w:after="0" w:line="262" w:lineRule="auto"/>
        <w:rPr>
          <w:sz w:val="20"/>
          <w:szCs w:val="20"/>
          <w:color w:val="auto"/>
        </w:rPr>
      </w:pPr>
      <w:r>
        <w:rPr>
          <w:rFonts w:ascii="Times New Roman" w:cs="Times New Roman" w:eastAsia="Times New Roman" w:hAnsi="Times New Roman"/>
          <w:sz w:val="19"/>
          <w:szCs w:val="19"/>
          <w:color w:val="auto"/>
        </w:rPr>
        <w:t xml:space="preserve">(b)Without limiting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each Lender, Issuing Bank or </w:t>
      </w:r>
      <w:r>
        <w:rPr>
          <w:rFonts w:ascii="Times New Roman" w:cs="Times New Roman" w:eastAsia="Times New Roman" w:hAnsi="Times New Roman"/>
          <w:sz w:val="19"/>
          <w:szCs w:val="19"/>
          <w:color w:val="FF0000"/>
          <w:strike w:val="1"/>
        </w:rPr>
        <w:t>Indemnitee, or</w:t>
      </w:r>
      <w:r>
        <w:rPr>
          <w:rFonts w:ascii="Times New Roman" w:cs="Times New Roman" w:eastAsia="Times New Roman" w:hAnsi="Times New Roman"/>
          <w:sz w:val="19"/>
          <w:szCs w:val="19"/>
          <w:color w:val="auto"/>
        </w:rPr>
        <w:t xml:space="preserve"> any Person who has received funds on behalf of a Lender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w:t>
      </w:r>
      <w:r>
        <w:rPr>
          <w:rFonts w:ascii="Times New Roman" w:cs="Times New Roman" w:eastAsia="Times New Roman" w:hAnsi="Times New Roman"/>
          <w:sz w:val="19"/>
          <w:szCs w:val="19"/>
          <w:color w:val="auto"/>
        </w:rPr>
        <w:t xml:space="preserve"> Issuing Bank </w:t>
      </w:r>
      <w:r>
        <w:rPr>
          <w:rFonts w:ascii="Times New Roman" w:cs="Times New Roman" w:eastAsia="Times New Roman" w:hAnsi="Times New Roman"/>
          <w:sz w:val="19"/>
          <w:szCs w:val="19"/>
          <w:color w:val="FF0000"/>
          <w:strike w:val="1"/>
        </w:rPr>
        <w:t>or Indemnitee,</w:t>
      </w:r>
      <w:r>
        <w:rPr>
          <w:rFonts w:ascii="Times New Roman" w:cs="Times New Roman" w:eastAsia="Times New Roman" w:hAnsi="Times New Roman"/>
          <w:sz w:val="19"/>
          <w:szCs w:val="19"/>
          <w:color w:val="auto"/>
        </w:rPr>
        <w:t xml:space="preserve"> hereby further agrees that if it receives a payment, prepayment or repayment (whether received as a payment, prepayment or repayment of principal, interest, fees, distribution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73" w:name="page274"/>
    <w:bookmarkEnd w:id="273"/>
    <w:p>
      <w:pPr>
        <w:spacing w:after="0" w:line="269" w:lineRule="exact"/>
        <w:rPr>
          <w:sz w:val="20"/>
          <w:szCs w:val="20"/>
          <w:color w:val="auto"/>
        </w:rPr>
      </w:pPr>
    </w:p>
    <w:p>
      <w:pPr>
        <w:ind w:left="1060" w:right="140"/>
        <w:spacing w:after="0" w:line="255" w:lineRule="auto"/>
        <w:rPr>
          <w:sz w:val="20"/>
          <w:szCs w:val="20"/>
          <w:color w:val="auto"/>
        </w:rPr>
      </w:pPr>
      <w:r>
        <w:rPr>
          <w:rFonts w:ascii="Times New Roman" w:cs="Times New Roman" w:eastAsia="Times New Roman" w:hAnsi="Times New Roman"/>
          <w:sz w:val="19"/>
          <w:szCs w:val="19"/>
          <w:color w:val="auto"/>
        </w:rPr>
        <w:t>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w:t>
      </w:r>
    </w:p>
    <w:p>
      <w:pPr>
        <w:spacing w:after="0" w:line="2" w:lineRule="exact"/>
        <w:rPr>
          <w:sz w:val="20"/>
          <w:szCs w:val="20"/>
          <w:color w:val="auto"/>
        </w:rPr>
      </w:pPr>
    </w:p>
    <w:p>
      <w:pPr>
        <w:ind w:left="1060" w:right="700" w:hanging="10"/>
        <w:spacing w:after="0" w:line="262" w:lineRule="auto"/>
        <w:tabs>
          <w:tab w:leader="none" w:pos="132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that such Lender, Issuing Bank or </w:t>
      </w:r>
      <w:r>
        <w:rPr>
          <w:rFonts w:ascii="Times New Roman" w:cs="Times New Roman" w:eastAsia="Times New Roman" w:hAnsi="Times New Roman"/>
          <w:sz w:val="19"/>
          <w:szCs w:val="19"/>
          <w:color w:val="FF0000"/>
          <w:strike w:val="1"/>
        </w:rPr>
        <w:t>Indemnitee, or</w:t>
      </w:r>
      <w:r>
        <w:rPr>
          <w:rFonts w:ascii="Times New Roman" w:cs="Times New Roman" w:eastAsia="Times New Roman" w:hAnsi="Times New Roman"/>
          <w:sz w:val="19"/>
          <w:szCs w:val="19"/>
          <w:color w:val="auto"/>
        </w:rPr>
        <w:t xml:space="preserve"> other such recipient, otherwise becomes aware was transmitted, or received, in error or by mistake (in whole or in part) in each case:</w:t>
      </w:r>
    </w:p>
    <w:p>
      <w:pPr>
        <w:spacing w:after="0" w:line="149" w:lineRule="exact"/>
        <w:rPr>
          <w:sz w:val="20"/>
          <w:szCs w:val="20"/>
          <w:color w:val="auto"/>
        </w:rPr>
      </w:pPr>
    </w:p>
    <w:p>
      <w:pPr>
        <w:jc w:val="both"/>
        <w:ind w:left="1760" w:right="160" w:firstLine="936"/>
        <w:spacing w:after="0" w:line="262" w:lineRule="auto"/>
        <w:rPr>
          <w:sz w:val="20"/>
          <w:szCs w:val="20"/>
          <w:color w:val="auto"/>
        </w:rPr>
      </w:pPr>
      <w:r>
        <w:rPr>
          <w:rFonts w:ascii="Times New Roman" w:cs="Times New Roman" w:eastAsia="Times New Roman" w:hAnsi="Times New Roman"/>
          <w:sz w:val="19"/>
          <w:szCs w:val="19"/>
          <w:color w:val="auto"/>
        </w:rPr>
        <w:t xml:space="preserve">(i)(A) in the case of immediately preceding </w:t>
      </w:r>
      <w:r>
        <w:rPr>
          <w:rFonts w:ascii="Times New Roman" w:cs="Times New Roman" w:eastAsia="Times New Roman" w:hAnsi="Times New Roman"/>
          <w:sz w:val="19"/>
          <w:szCs w:val="19"/>
          <w:u w:val="single" w:color="auto"/>
          <w:color w:val="auto"/>
        </w:rPr>
        <w:t>clauses (x)</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xml:space="preserve"> ,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9"/>
          <w:szCs w:val="19"/>
          <w:u w:val="single" w:color="auto"/>
          <w:color w:val="auto"/>
        </w:rPr>
        <w:t>clause (z)</w:t>
      </w:r>
      <w:r>
        <w:rPr>
          <w:rFonts w:ascii="Times New Roman" w:cs="Times New Roman" w:eastAsia="Times New Roman" w:hAnsi="Times New Roman"/>
          <w:sz w:val="19"/>
          <w:szCs w:val="19"/>
          <w:color w:val="auto"/>
        </w:rPr>
        <w:t>), in each case, with respect to such payment, prepayment or repayment; and</w:t>
      </w:r>
    </w:p>
    <w:p>
      <w:pPr>
        <w:spacing w:after="0" w:line="150" w:lineRule="exact"/>
        <w:rPr>
          <w:sz w:val="20"/>
          <w:szCs w:val="20"/>
          <w:color w:val="auto"/>
        </w:rPr>
      </w:pPr>
    </w:p>
    <w:p>
      <w:pPr>
        <w:ind w:left="1760" w:right="260" w:firstLine="936"/>
        <w:spacing w:after="0" w:line="259" w:lineRule="auto"/>
        <w:rPr>
          <w:sz w:val="20"/>
          <w:szCs w:val="20"/>
          <w:color w:val="auto"/>
        </w:rPr>
      </w:pPr>
      <w:r>
        <w:rPr>
          <w:rFonts w:ascii="Times New Roman" w:cs="Times New Roman" w:eastAsia="Times New Roman" w:hAnsi="Times New Roman"/>
          <w:sz w:val="19"/>
          <w:szCs w:val="19"/>
          <w:color w:val="auto"/>
        </w:rPr>
        <w:t>(ii)such Lender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w:t>
      </w:r>
      <w:r>
        <w:rPr>
          <w:rFonts w:ascii="Times New Roman" w:cs="Times New Roman" w:eastAsia="Times New Roman" w:hAnsi="Times New Roman"/>
          <w:sz w:val="19"/>
          <w:szCs w:val="19"/>
          <w:color w:val="auto"/>
        </w:rPr>
        <w:t xml:space="preserve"> Issuing Bank </w:t>
      </w:r>
      <w:r>
        <w:rPr>
          <w:rFonts w:ascii="Times New Roman" w:cs="Times New Roman" w:eastAsia="Times New Roman" w:hAnsi="Times New Roman"/>
          <w:sz w:val="19"/>
          <w:szCs w:val="19"/>
          <w:color w:val="FF0000"/>
          <w:strike w:val="1"/>
        </w:rPr>
        <w:t>or Indemnitee</w:t>
      </w:r>
      <w:r>
        <w:rPr>
          <w:rFonts w:ascii="Times New Roman" w:cs="Times New Roman" w:eastAsia="Times New Roman" w:hAnsi="Times New Roman"/>
          <w:sz w:val="19"/>
          <w:szCs w:val="19"/>
          <w:color w:val="auto"/>
        </w:rPr>
        <w:t xml:space="preserve">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9"/>
          <w:szCs w:val="19"/>
          <w:u w:val="single" w:color="auto"/>
          <w:color w:val="auto"/>
        </w:rPr>
        <w:t>Section 8.09(b)</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left="1060" w:right="220" w:firstLine="864"/>
        <w:spacing w:after="0" w:line="256" w:lineRule="auto"/>
        <w:rPr>
          <w:sz w:val="20"/>
          <w:szCs w:val="20"/>
          <w:color w:val="auto"/>
        </w:rPr>
      </w:pPr>
      <w:r>
        <w:rPr>
          <w:rFonts w:ascii="Times New Roman" w:cs="Times New Roman" w:eastAsia="Times New Roman" w:hAnsi="Times New Roman"/>
          <w:sz w:val="19"/>
          <w:szCs w:val="19"/>
          <w:color w:val="auto"/>
        </w:rPr>
        <w:t>(c)Each Lender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w:t>
      </w:r>
      <w:r>
        <w:rPr>
          <w:rFonts w:ascii="Times New Roman" w:cs="Times New Roman" w:eastAsia="Times New Roman" w:hAnsi="Times New Roman"/>
          <w:sz w:val="19"/>
          <w:szCs w:val="19"/>
          <w:color w:val="auto"/>
        </w:rPr>
        <w:t xml:space="preserve"> Issuing Bank </w:t>
      </w:r>
      <w:r>
        <w:rPr>
          <w:rFonts w:ascii="Times New Roman" w:cs="Times New Roman" w:eastAsia="Times New Roman" w:hAnsi="Times New Roman"/>
          <w:sz w:val="19"/>
          <w:szCs w:val="19"/>
          <w:color w:val="FF0000"/>
          <w:strike w:val="1"/>
        </w:rPr>
        <w:t>and Indemnitee</w:t>
      </w:r>
      <w:r>
        <w:rPr>
          <w:rFonts w:ascii="Times New Roman" w:cs="Times New Roman" w:eastAsia="Times New Roman" w:hAnsi="Times New Roman"/>
          <w:sz w:val="19"/>
          <w:szCs w:val="19"/>
          <w:color w:val="auto"/>
        </w:rPr>
        <w:t xml:space="preserve"> hereby authorizes the Administrative Agent to set off, net and apply any and all amounts at any time owing to such Lender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w:t>
      </w:r>
      <w:r>
        <w:rPr>
          <w:rFonts w:ascii="Times New Roman" w:cs="Times New Roman" w:eastAsia="Times New Roman" w:hAnsi="Times New Roman"/>
          <w:sz w:val="19"/>
          <w:szCs w:val="19"/>
          <w:color w:val="auto"/>
        </w:rPr>
        <w:t xml:space="preserve"> Issuing Bank </w:t>
      </w:r>
      <w:r>
        <w:rPr>
          <w:rFonts w:ascii="Times New Roman" w:cs="Times New Roman" w:eastAsia="Times New Roman" w:hAnsi="Times New Roman"/>
          <w:sz w:val="19"/>
          <w:szCs w:val="19"/>
          <w:color w:val="FF0000"/>
          <w:strike w:val="1"/>
        </w:rPr>
        <w:t>or Indemnitee</w:t>
      </w:r>
      <w:r>
        <w:rPr>
          <w:rFonts w:ascii="Times New Roman" w:cs="Times New Roman" w:eastAsia="Times New Roman" w:hAnsi="Times New Roman"/>
          <w:sz w:val="19"/>
          <w:szCs w:val="19"/>
          <w:color w:val="auto"/>
        </w:rPr>
        <w:t xml:space="preserve"> under any Loan Document, or otherwise payable or distributable by the Administrative Agent to such Lender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w:t>
      </w:r>
      <w:r>
        <w:rPr>
          <w:rFonts w:ascii="Times New Roman" w:cs="Times New Roman" w:eastAsia="Times New Roman" w:hAnsi="Times New Roman"/>
          <w:sz w:val="19"/>
          <w:szCs w:val="19"/>
          <w:color w:val="auto"/>
        </w:rPr>
        <w:t xml:space="preserve"> Issuing Bank </w:t>
      </w:r>
      <w:r>
        <w:rPr>
          <w:rFonts w:ascii="Times New Roman" w:cs="Times New Roman" w:eastAsia="Times New Roman" w:hAnsi="Times New Roman"/>
          <w:sz w:val="19"/>
          <w:szCs w:val="19"/>
          <w:color w:val="FF0000"/>
          <w:strike w:val="1"/>
        </w:rPr>
        <w:t>or Indemnitee from any source</w:t>
      </w:r>
      <w:r>
        <w:rPr>
          <w:rFonts w:ascii="Times New Roman" w:cs="Times New Roman" w:eastAsia="Times New Roman" w:hAnsi="Times New Roman"/>
          <w:sz w:val="19"/>
          <w:szCs w:val="19"/>
          <w:u w:val="single" w:color="auto"/>
          <w:color w:val="0000FF"/>
        </w:rPr>
        <w:t>under any Loan Document with respect to any payment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principal, interest, fees or other amounts</w:t>
      </w:r>
      <w:r>
        <w:rPr>
          <w:rFonts w:ascii="Times New Roman" w:cs="Times New Roman" w:eastAsia="Times New Roman" w:hAnsi="Times New Roman"/>
          <w:sz w:val="19"/>
          <w:szCs w:val="19"/>
          <w:color w:val="000000"/>
        </w:rPr>
        <w:t>, against any amount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due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that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Administrative Agent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has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demanded to be returned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under immediately preceding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clause (a)</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or under the indemnification provisions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this Agreement</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-226695</wp:posOffset>
            </wp:positionV>
            <wp:extent cx="208851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2088515" cy="7620"/>
                    </a:xfrm>
                    <a:prstGeom prst="rect">
                      <a:avLst/>
                    </a:prstGeom>
                    <a:noFill/>
                  </pic:spPr>
                </pic:pic>
              </a:graphicData>
            </a:graphic>
          </wp:anchor>
        </w:drawing>
      </w:r>
    </w:p>
    <w:p>
      <w:pPr>
        <w:spacing w:after="0" w:line="137" w:lineRule="exact"/>
        <w:rPr>
          <w:sz w:val="20"/>
          <w:szCs w:val="20"/>
          <w:color w:val="auto"/>
        </w:rPr>
      </w:pPr>
    </w:p>
    <w:p>
      <w:pPr>
        <w:ind w:left="1060" w:right="60" w:firstLine="864"/>
        <w:spacing w:after="0" w:line="253" w:lineRule="auto"/>
        <w:rPr>
          <w:sz w:val="20"/>
          <w:szCs w:val="20"/>
          <w:color w:val="auto"/>
        </w:rPr>
      </w:pPr>
      <w:r>
        <w:rPr>
          <w:rFonts w:ascii="Times New Roman" w:cs="Times New Roman" w:eastAsia="Times New Roman" w:hAnsi="Times New Roman"/>
          <w:sz w:val="19"/>
          <w:szCs w:val="19"/>
          <w:color w:val="auto"/>
        </w:rPr>
        <w:t xml:space="preserve">(d)In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xml:space="preserve"> ”)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9"/>
          <w:szCs w:val="19"/>
          <w:u w:val="single" w:color="auto"/>
          <w:color w:val="auto"/>
        </w:rPr>
        <w:t>Erroneous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Payment Deficiency Assignment</w:t>
      </w:r>
      <w:r>
        <w:rPr>
          <w:rFonts w:ascii="Times New Roman" w:cs="Times New Roman" w:eastAsia="Times New Roman" w:hAnsi="Times New Roman"/>
          <w:sz w:val="19"/>
          <w:szCs w:val="19"/>
          <w:color w:val="auto"/>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74" w:name="page275"/>
    <w:bookmarkEnd w:id="274"/>
    <w:p>
      <w:pPr>
        <w:spacing w:after="0" w:line="269" w:lineRule="exact"/>
        <w:rPr>
          <w:sz w:val="20"/>
          <w:szCs w:val="20"/>
          <w:color w:val="auto"/>
        </w:rPr>
      </w:pPr>
    </w:p>
    <w:p>
      <w:pPr>
        <w:ind w:left="1060" w:right="100"/>
        <w:spacing w:after="0" w:line="252" w:lineRule="auto"/>
        <w:rPr>
          <w:sz w:val="20"/>
          <w:szCs w:val="20"/>
          <w:color w:val="auto"/>
        </w:rPr>
      </w:pPr>
      <w:r>
        <w:rPr>
          <w:rFonts w:ascii="Times New Roman" w:cs="Times New Roman" w:eastAsia="Times New Roman" w:hAnsi="Times New Roman"/>
          <w:sz w:val="19"/>
          <w:szCs w:val="19"/>
          <w:color w:val="auto"/>
        </w:rPr>
        <w:t xml:space="preserve">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Times New Roman" w:cs="Times New Roman" w:eastAsia="Times New Roman" w:hAnsi="Times New Roman"/>
          <w:sz w:val="19"/>
          <w:szCs w:val="19"/>
          <w:u w:val="single" w:color="auto"/>
          <w:color w:val="auto"/>
        </w:rPr>
        <w:t>Section 9.04(b)</w:t>
      </w:r>
      <w:r>
        <w:rPr>
          <w:rFonts w:ascii="Times New Roman" w:cs="Times New Roman" w:eastAsia="Times New Roman" w:hAnsi="Times New Roman"/>
          <w:sz w:val="19"/>
          <w:szCs w:val="19"/>
          <w:color w:val="auto"/>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w:t>
      </w:r>
      <w:r>
        <w:rPr>
          <w:rFonts w:ascii="Times New Roman" w:cs="Times New Roman" w:eastAsia="Times New Roman" w:hAnsi="Times New Roman"/>
          <w:sz w:val="19"/>
          <w:szCs w:val="19"/>
          <w:color w:val="auto"/>
        </w:rPr>
        <w:t xml:space="preserve"> Issuing Bank </w:t>
      </w:r>
      <w:r>
        <w:rPr>
          <w:rFonts w:ascii="Times New Roman" w:cs="Times New Roman" w:eastAsia="Times New Roman" w:hAnsi="Times New Roman"/>
          <w:sz w:val="19"/>
          <w:szCs w:val="19"/>
          <w:color w:val="FF0000"/>
          <w:strike w:val="1"/>
        </w:rPr>
        <w:t>or Indemnitee</w:t>
      </w:r>
      <w:r>
        <w:rPr>
          <w:rFonts w:ascii="Times New Roman" w:cs="Times New Roman" w:eastAsia="Times New Roman" w:hAnsi="Times New Roman"/>
          <w:sz w:val="19"/>
          <w:szCs w:val="19"/>
          <w:color w:val="auto"/>
        </w:rPr>
        <w:t xml:space="preserve"> under the Loan Documents with respect to each Erroneous Payment Return Deficiency (the “</w:t>
      </w:r>
      <w:r>
        <w:rPr>
          <w:rFonts w:ascii="Times New Roman" w:cs="Times New Roman" w:eastAsia="Times New Roman" w:hAnsi="Times New Roman"/>
          <w:sz w:val="19"/>
          <w:szCs w:val="19"/>
          <w:u w:val="single" w:color="auto"/>
          <w:color w:val="auto"/>
        </w:rPr>
        <w:t>Erroneous Payment Subrogation Rights</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left="1060" w:right="120" w:firstLine="864"/>
        <w:spacing w:after="0" w:line="254" w:lineRule="auto"/>
        <w:rPr>
          <w:sz w:val="20"/>
          <w:szCs w:val="20"/>
          <w:color w:val="auto"/>
        </w:rPr>
      </w:pPr>
      <w:r>
        <w:rPr>
          <w:rFonts w:ascii="Times New Roman" w:cs="Times New Roman" w:eastAsia="Times New Roman" w:hAnsi="Times New Roman"/>
          <w:sz w:val="19"/>
          <w:szCs w:val="19"/>
          <w:color w:val="auto"/>
        </w:rPr>
        <w:t xml:space="preserve">(e)The parties hereto agree that an Erroneous Payment shall not pay, prepay, repay, discharge or otherwise satisfy any Revolving Credit Exposure or other obligations owed by the Borrower or any other Obligor;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Section 8.09(e)</w:t>
      </w:r>
      <w:r>
        <w:rPr>
          <w:rFonts w:ascii="Times New Roman" w:cs="Times New Roman" w:eastAsia="Times New Roman" w:hAnsi="Times New Roman"/>
          <w:sz w:val="19"/>
          <w:szCs w:val="19"/>
          <w:color w:val="auto"/>
        </w:rPr>
        <w:t xml:space="preserve"> shall not be interpreted to increase (or accelerate the due date for), or have the effect of increasing (or accelerating the due date for), the obligations of the Borrower or any other Obligor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that for the avoidance of doubt, immediately preceding clause shall not apply to the extent any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60" w:lineRule="exact"/>
        <w:rPr>
          <w:sz w:val="20"/>
          <w:szCs w:val="20"/>
          <w:color w:val="auto"/>
        </w:rPr>
      </w:pPr>
    </w:p>
    <w:p>
      <w:pPr>
        <w:ind w:left="1060" w:right="140" w:firstLine="864"/>
        <w:spacing w:after="0" w:line="259" w:lineRule="auto"/>
        <w:rPr>
          <w:sz w:val="20"/>
          <w:szCs w:val="20"/>
          <w:color w:val="auto"/>
        </w:rPr>
      </w:pPr>
      <w:r>
        <w:rPr>
          <w:rFonts w:ascii="Times New Roman" w:cs="Times New Roman" w:eastAsia="Times New Roman" w:hAnsi="Times New Roman"/>
          <w:sz w:val="19"/>
          <w:szCs w:val="19"/>
          <w:color w:val="auto"/>
        </w:rPr>
        <w:t>(f)To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(g)Each party’s obligations, agreements and waivers under this </w:t>
      </w:r>
      <w:r>
        <w:rPr>
          <w:rFonts w:ascii="Times New Roman" w:cs="Times New Roman" w:eastAsia="Times New Roman" w:hAnsi="Times New Roman"/>
          <w:sz w:val="19"/>
          <w:szCs w:val="19"/>
          <w:u w:val="single" w:color="auto"/>
          <w:color w:val="auto"/>
        </w:rPr>
        <w:t>Section 8.09</w:t>
      </w:r>
      <w:r>
        <w:rPr>
          <w:rFonts w:ascii="Times New Roman" w:cs="Times New Roman" w:eastAsia="Times New Roman" w:hAnsi="Times New Roman"/>
          <w:sz w:val="19"/>
          <w:szCs w:val="19"/>
          <w:color w:val="auto"/>
        </w:rPr>
        <w:t xml:space="preserve"> shall survive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75" w:name="page276"/>
    <w:bookmarkEnd w:id="275"/>
    <w:p>
      <w:pPr>
        <w:spacing w:after="0" w:line="269" w:lineRule="exact"/>
        <w:rPr>
          <w:sz w:val="20"/>
          <w:szCs w:val="20"/>
          <w:color w:val="auto"/>
        </w:rPr>
      </w:pPr>
    </w:p>
    <w:p>
      <w:pPr>
        <w:ind w:left="1060" w:right="560"/>
        <w:spacing w:after="0" w:line="268" w:lineRule="auto"/>
        <w:rPr>
          <w:sz w:val="20"/>
          <w:szCs w:val="20"/>
          <w:color w:val="auto"/>
        </w:rPr>
      </w:pPr>
      <w:r>
        <w:rPr>
          <w:rFonts w:ascii="Times New Roman" w:cs="Times New Roman" w:eastAsia="Times New Roman" w:hAnsi="Times New Roman"/>
          <w:sz w:val="19"/>
          <w:szCs w:val="19"/>
          <w:color w:val="auto"/>
        </w:rPr>
        <w:t>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76" w:name="page277"/>
    <w:bookmarkEnd w:id="276"/>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ARTICLE IX</w:t>
      </w:r>
    </w:p>
    <w:p>
      <w:pPr>
        <w:spacing w:after="0" w:line="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9"/>
          <w:szCs w:val="19"/>
          <w:u w:val="single" w:color="auto"/>
          <w:color w:val="auto"/>
        </w:rPr>
        <w:t>MISCELLANEOUS</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9.01. </w:t>
      </w:r>
      <w:r>
        <w:rPr>
          <w:rFonts w:ascii="Times New Roman" w:cs="Times New Roman" w:eastAsia="Times New Roman" w:hAnsi="Times New Roman"/>
          <w:sz w:val="19"/>
          <w:szCs w:val="19"/>
          <w:u w:val="single" w:color="auto"/>
          <w:color w:val="auto"/>
        </w:rPr>
        <w:t>Notices; Electronic Communications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180" w:lineRule="exact"/>
        <w:rPr>
          <w:sz w:val="20"/>
          <w:szCs w:val="20"/>
          <w:color w:val="auto"/>
        </w:rPr>
      </w:pPr>
    </w:p>
    <w:p>
      <w:pPr>
        <w:ind w:left="1060" w:right="300" w:firstLine="864"/>
        <w:spacing w:after="0" w:line="262" w:lineRule="auto"/>
        <w:rPr>
          <w:sz w:val="20"/>
          <w:szCs w:val="20"/>
          <w:color w:val="auto"/>
        </w:rPr>
      </w:pPr>
      <w:r>
        <w:rPr>
          <w:rFonts w:ascii="Times New Roman" w:cs="Times New Roman" w:eastAsia="Times New Roman" w:hAnsi="Times New Roman"/>
          <w:sz w:val="19"/>
          <w:szCs w:val="19"/>
          <w:u w:val="single" w:color="auto"/>
          <w:color w:val="auto"/>
        </w:rPr>
        <w:t>(a)Notices Generally</w:t>
      </w:r>
      <w:r>
        <w:rPr>
          <w:rFonts w:ascii="Times New Roman" w:cs="Times New Roman" w:eastAsia="Times New Roman" w:hAnsi="Times New Roman"/>
          <w:sz w:val="19"/>
          <w:szCs w:val="19"/>
          <w:color w:val="auto"/>
        </w:rPr>
        <w:t>. Except in the case of notices and other communications expressly permitted to be given by telephone or electronic communication, all notices and other communications provided for herein shall be in writing and shall be delivered by hand or overnight courier service, mailed by certified or registered mail or sent by telecopy, as follows:</w:t>
      </w:r>
    </w:p>
    <w:p>
      <w:pPr>
        <w:spacing w:after="0" w:line="1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u w:val="single" w:color="auto"/>
          <w:color w:val="0000FF"/>
        </w:rPr>
        <w:t>(i)</w:t>
      </w:r>
      <w:r>
        <w:rPr>
          <w:rFonts w:ascii="Times New Roman" w:cs="Times New Roman" w:eastAsia="Times New Roman" w:hAnsi="Times New Roman"/>
          <w:sz w:val="19"/>
          <w:szCs w:val="19"/>
          <w:color w:val="000000"/>
        </w:rPr>
        <w:t>if to the Borrower, to it at:</w:t>
      </w:r>
    </w:p>
    <w:p>
      <w:pPr>
        <w:spacing w:after="0" w:line="20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Sixth Street Specialty Lending, Inc.</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888 Seventh Avenue, 41st Floor</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New York, New York 10019</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Attention: Ian Simmonds</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Telecopy Number:</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Telephone:</w:t>
      </w:r>
    </w:p>
    <w:p>
      <w:pPr>
        <w:spacing w:after="0" w:line="180" w:lineRule="exact"/>
        <w:rPr>
          <w:sz w:val="20"/>
          <w:szCs w:val="20"/>
          <w:color w:val="auto"/>
        </w:rPr>
      </w:pPr>
    </w:p>
    <w:p>
      <w:pPr>
        <w:ind w:left="2940" w:hanging="245"/>
        <w:spacing w:after="0"/>
        <w:tabs>
          <w:tab w:leader="none" w:pos="2940" w:val="left"/>
        </w:tabs>
        <w:numPr>
          <w:ilvl w:val="0"/>
          <w:numId w:val="97"/>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color w:val="auto"/>
        </w:rPr>
        <w:t>if to the Administrative Agent or Truist, in its capacity as a Swingline Lender, to it at:</w:t>
      </w:r>
    </w:p>
    <w:p>
      <w:pPr>
        <w:spacing w:after="0" w:line="20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3333 Peachtree Road, 8th Floor</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Atlanta, Georgia 30326</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Attention: Hays Wood</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Telecopy Number:</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with a copy to:</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Truist Bank</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303 Peachtree Street, NE, 25th Floor</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Atlanta, GA 30308</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Attention: Karen Weich</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Email:</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Telecopy Number: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77" w:name="page278"/>
    <w:bookmarkEnd w:id="277"/>
    <w:p>
      <w:pPr>
        <w:spacing w:after="0" w:line="26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u w:val="single" w:color="auto"/>
          <w:color w:val="0000FF"/>
        </w:rPr>
        <w:t>(iii)</w:t>
      </w:r>
      <w:r>
        <w:rPr>
          <w:rFonts w:ascii="Times New Roman" w:cs="Times New Roman" w:eastAsia="Times New Roman" w:hAnsi="Times New Roman"/>
          <w:sz w:val="19"/>
          <w:szCs w:val="19"/>
          <w:color w:val="000000"/>
        </w:rPr>
        <w:t>if to Truist, in its capacity as Issuing Bank, to it at:</w:t>
      </w:r>
    </w:p>
    <w:p>
      <w:pPr>
        <w:spacing w:after="0" w:line="20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303 Peachtree Street, NE, 25th Floor</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Atlanta, GA 30308</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Attention: Karen Weich</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Email:</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Telecopy Number:</w:t>
      </w:r>
    </w:p>
    <w:p>
      <w:pPr>
        <w:spacing w:after="0" w:line="18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u w:val="single" w:color="auto"/>
          <w:color w:val="0000FF"/>
        </w:rPr>
        <w:t>(iv)</w:t>
      </w:r>
      <w:r>
        <w:rPr>
          <w:rFonts w:ascii="Times New Roman" w:cs="Times New Roman" w:eastAsia="Times New Roman" w:hAnsi="Times New Roman"/>
          <w:sz w:val="19"/>
          <w:szCs w:val="19"/>
          <w:color w:val="000000"/>
        </w:rPr>
        <w:t>if to JPMorgan Chase Bank, N.A., in its capacity as a Swingline Lender and an</w:t>
      </w:r>
    </w:p>
    <w:p>
      <w:pPr>
        <w:spacing w:after="0" w:line="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Issuing Bank:</w:t>
      </w:r>
    </w:p>
    <w:p>
      <w:pPr>
        <w:spacing w:after="0" w:line="18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32" w:lineRule="exact"/>
        <w:rPr>
          <w:sz w:val="20"/>
          <w:szCs w:val="20"/>
          <w:color w:val="auto"/>
        </w:rPr>
      </w:pPr>
    </w:p>
    <w:p>
      <w:pPr>
        <w:ind w:left="3880" w:right="140"/>
        <w:spacing w:after="0" w:line="250" w:lineRule="auto"/>
        <w:rPr>
          <w:sz w:val="20"/>
          <w:szCs w:val="20"/>
          <w:color w:val="auto"/>
        </w:rPr>
      </w:pPr>
      <w:r>
        <w:rPr>
          <w:rFonts w:ascii="Times New Roman" w:cs="Times New Roman" w:eastAsia="Times New Roman" w:hAnsi="Times New Roman"/>
          <w:sz w:val="19"/>
          <w:szCs w:val="19"/>
          <w:color w:val="auto"/>
        </w:rPr>
        <w:t>Ground floor, 1st to 6th floors, Platina 3, Kodbis, Floor 03 Bengaluru, 560 103, India</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Attention: Sneha Machani Telecopy</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Number:</w:t>
      </w:r>
    </w:p>
    <w:p>
      <w:pPr>
        <w:spacing w:after="0" w:line="204" w:lineRule="exact"/>
        <w:rPr>
          <w:sz w:val="20"/>
          <w:szCs w:val="20"/>
          <w:color w:val="auto"/>
        </w:rPr>
      </w:pPr>
    </w:p>
    <w:p>
      <w:pPr>
        <w:ind w:left="1760" w:right="920" w:firstLine="936"/>
        <w:spacing w:after="0" w:line="286" w:lineRule="auto"/>
        <w:rPr>
          <w:sz w:val="20"/>
          <w:szCs w:val="20"/>
          <w:color w:val="auto"/>
        </w:rPr>
      </w:pPr>
      <w:r>
        <w:rPr>
          <w:rFonts w:ascii="Times New Roman" w:cs="Times New Roman" w:eastAsia="Times New Roman" w:hAnsi="Times New Roman"/>
          <w:sz w:val="19"/>
          <w:szCs w:val="19"/>
          <w:u w:val="single" w:color="auto"/>
          <w:color w:val="0000FF"/>
        </w:rPr>
        <w:t>(v)</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if to any other Lender, to it at its address (or telecopy number) set forth in its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Administrative Questionnaire.</w:t>
      </w:r>
    </w:p>
    <w:p>
      <w:pPr>
        <w:spacing w:after="0" w:line="127" w:lineRule="exact"/>
        <w:rPr>
          <w:sz w:val="20"/>
          <w:szCs w:val="20"/>
          <w:color w:val="auto"/>
        </w:rPr>
      </w:pPr>
    </w:p>
    <w:p>
      <w:pPr>
        <w:ind w:left="1060" w:right="200" w:firstLine="1728"/>
        <w:spacing w:after="0" w:line="256" w:lineRule="auto"/>
        <w:rPr>
          <w:sz w:val="20"/>
          <w:szCs w:val="20"/>
          <w:color w:val="auto"/>
        </w:rPr>
      </w:pPr>
      <w:r>
        <w:rPr>
          <w:rFonts w:ascii="Times New Roman" w:cs="Times New Roman" w:eastAsia="Times New Roman" w:hAnsi="Times New Roman"/>
          <w:sz w:val="19"/>
          <w:szCs w:val="19"/>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cs="Times New Roman" w:eastAsia="Times New Roman" w:hAnsi="Times New Roman"/>
          <w:sz w:val="19"/>
          <w:szCs w:val="19"/>
          <w:u w:val="single" w:color="auto"/>
          <w:color w:val="auto"/>
        </w:rPr>
        <w:t>paragraph</w:t>
      </w:r>
    </w:p>
    <w:p>
      <w:pPr>
        <w:spacing w:after="0" w:line="2" w:lineRule="exact"/>
        <w:rPr>
          <w:sz w:val="20"/>
          <w:szCs w:val="20"/>
          <w:color w:val="auto"/>
        </w:rPr>
      </w:pPr>
    </w:p>
    <w:p>
      <w:pPr>
        <w:ind w:left="1320" w:hanging="270"/>
        <w:spacing w:after="0"/>
        <w:tabs>
          <w:tab w:leader="none" w:pos="1320" w:val="left"/>
        </w:tabs>
        <w:numPr>
          <w:ilvl w:val="0"/>
          <w:numId w:val="9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below, shall be effective as provided in said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060" w:right="10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(b)Electronic Communications</w:t>
      </w:r>
      <w:r>
        <w:rPr>
          <w:rFonts w:ascii="Times New Roman" w:cs="Times New Roman" w:eastAsia="Times New Roman" w:hAnsi="Times New Roman"/>
          <w:sz w:val="19"/>
          <w:szCs w:val="19"/>
          <w:color w:val="auto"/>
        </w:rPr>
        <w:t xml:space="preserve">. Notices and other communications to the Lenders and the Issuing Banks hereunder may be delivered or furnished by electronic communication (including e- 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any Lender or any Issuing Bank pursuant to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155" w:lineRule="exact"/>
        <w:rPr>
          <w:sz w:val="20"/>
          <w:szCs w:val="20"/>
          <w:color w:val="auto"/>
        </w:rPr>
      </w:pPr>
    </w:p>
    <w:p>
      <w:pPr>
        <w:ind w:left="1760" w:right="160" w:firstLine="936"/>
        <w:spacing w:after="0" w:line="255" w:lineRule="auto"/>
        <w:rPr>
          <w:sz w:val="20"/>
          <w:szCs w:val="20"/>
          <w:color w:val="auto"/>
        </w:rPr>
      </w:pPr>
      <w:r>
        <w:rPr>
          <w:rFonts w:ascii="Times New Roman" w:cs="Times New Roman" w:eastAsia="Times New Roman" w:hAnsi="Times New Roman"/>
          <w:sz w:val="19"/>
          <w:szCs w:val="19"/>
          <w:u w:val="single" w:color="auto"/>
          <w:color w:val="0000FF"/>
        </w:rPr>
        <w:t>(i)</w:t>
      </w:r>
      <w:r>
        <w:rPr>
          <w:rFonts w:ascii="Times New Roman" w:cs="Times New Roman" w:eastAsia="Times New Roman" w:hAnsi="Times New Roman"/>
          <w:sz w:val="19"/>
          <w:szCs w:val="19"/>
          <w:color w:val="FF0000"/>
          <w:strike w:val="1"/>
        </w:rPr>
        <w:t>(i)</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Notices and other communications sent to an e -mail address shall be deemed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78" w:name="page279"/>
    <w:bookmarkEnd w:id="278"/>
    <w:p>
      <w:pPr>
        <w:spacing w:after="0" w:line="269" w:lineRule="exact"/>
        <w:rPr>
          <w:sz w:val="20"/>
          <w:szCs w:val="20"/>
          <w:color w:val="auto"/>
        </w:rPr>
      </w:pPr>
    </w:p>
    <w:p>
      <w:pPr>
        <w:ind w:left="1760"/>
        <w:spacing w:after="0" w:line="286" w:lineRule="auto"/>
        <w:rPr>
          <w:sz w:val="20"/>
          <w:szCs w:val="20"/>
          <w:color w:val="auto"/>
        </w:rPr>
      </w:pPr>
      <w:r>
        <w:rPr>
          <w:rFonts w:ascii="Times New Roman" w:cs="Times New Roman" w:eastAsia="Times New Roman" w:hAnsi="Times New Roman"/>
          <w:sz w:val="19"/>
          <w:szCs w:val="19"/>
          <w:color w:val="auto"/>
        </w:rPr>
        <w:t xml:space="preserve">e-mail address as described in the foregoing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notification that such notice or communication is available and identifying the website address therefor.</w:t>
      </w:r>
    </w:p>
    <w:p>
      <w:pPr>
        <w:spacing w:after="0" w:line="127" w:lineRule="exact"/>
        <w:rPr>
          <w:sz w:val="20"/>
          <w:szCs w:val="20"/>
          <w:color w:val="auto"/>
        </w:rPr>
      </w:pPr>
    </w:p>
    <w:p>
      <w:pPr>
        <w:ind w:left="1060" w:right="280" w:firstLine="1728"/>
        <w:spacing w:after="0" w:line="253" w:lineRule="auto"/>
        <w:rPr>
          <w:sz w:val="20"/>
          <w:szCs w:val="20"/>
          <w:color w:val="auto"/>
        </w:rPr>
      </w:pPr>
      <w:r>
        <w:rPr>
          <w:rFonts w:ascii="Times New Roman" w:cs="Times New Roman" w:eastAsia="Times New Roman" w:hAnsi="Times New Roman"/>
          <w:sz w:val="19"/>
          <w:szCs w:val="19"/>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such media or the Platform and each expressly disclaims liability for errors or omissions in the Platform and such media. No warranty of any kind, express, implied or statutory, including any warranty of merchantability, fitness for a particular purpose, non -infringement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63" w:lineRule="exact"/>
        <w:rPr>
          <w:sz w:val="20"/>
          <w:szCs w:val="20"/>
          <w:color w:val="auto"/>
        </w:rPr>
      </w:pPr>
    </w:p>
    <w:p>
      <w:pPr>
        <w:ind w:left="1060" w:right="32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(c)Private Side Information Contacts</w:t>
      </w:r>
      <w:r>
        <w:rPr>
          <w:rFonts w:ascii="Times New Roman" w:cs="Times New Roman" w:eastAsia="Times New Roman" w:hAnsi="Times New Roman"/>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w:t>
      </w:r>
    </w:p>
    <w:p>
      <w:pPr>
        <w:spacing w:after="0" w:line="2" w:lineRule="exact"/>
        <w:rPr>
          <w:sz w:val="20"/>
          <w:szCs w:val="20"/>
          <w:color w:val="auto"/>
        </w:rPr>
      </w:pPr>
    </w:p>
    <w:p>
      <w:pPr>
        <w:ind w:left="1060" w:right="980" w:hanging="10"/>
        <w:spacing w:after="0" w:line="256" w:lineRule="auto"/>
        <w:tabs>
          <w:tab w:leader="none" w:pos="128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55" w:lineRule="exact"/>
        <w:rPr>
          <w:sz w:val="20"/>
          <w:szCs w:val="20"/>
          <w:color w:val="auto"/>
        </w:rPr>
      </w:pPr>
    </w:p>
    <w:p>
      <w:pPr>
        <w:ind w:left="1060" w:right="50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(d)Documents to be Delivered under Sections 5.01 and 5.12(a)</w:t>
      </w:r>
      <w:r>
        <w:rPr>
          <w:rFonts w:ascii="Times New Roman" w:cs="Times New Roman" w:eastAsia="Times New Roman" w:hAnsi="Times New Roman"/>
          <w:sz w:val="19"/>
          <w:szCs w:val="19"/>
          <w:color w:val="auto"/>
        </w:rPr>
        <w:t xml:space="preserve">. For so long as an Intralinks™ or equivalent website is available to each of the Lenders hereunder, the Borrower may satisfy its obligation to deliver documents to the Administrative Agent or the Lenders under </w:t>
      </w:r>
      <w:r>
        <w:rPr>
          <w:rFonts w:ascii="Times New Roman" w:cs="Times New Roman" w:eastAsia="Times New Roman" w:hAnsi="Times New Roman"/>
          <w:sz w:val="19"/>
          <w:szCs w:val="19"/>
          <w:u w:val="single" w:color="auto"/>
          <w:color w:val="auto"/>
        </w:rPr>
        <w:t>Sections 5.01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5.12(a)</w:t>
      </w:r>
      <w:r>
        <w:rPr>
          <w:rFonts w:ascii="Times New Roman" w:cs="Times New Roman" w:eastAsia="Times New Roman" w:hAnsi="Times New Roman"/>
          <w:sz w:val="19"/>
          <w:szCs w:val="19"/>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have no responsibility to maintain access to Intralinks™ or an equivalent website.</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9.02. </w:t>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600" w:firstLine="864"/>
        <w:spacing w:after="0" w:line="286" w:lineRule="auto"/>
        <w:rPr>
          <w:sz w:val="20"/>
          <w:szCs w:val="20"/>
          <w:color w:val="auto"/>
        </w:rPr>
      </w:pPr>
      <w:r>
        <w:rPr>
          <w:rFonts w:ascii="Times New Roman" w:cs="Times New Roman" w:eastAsia="Times New Roman" w:hAnsi="Times New Roman"/>
          <w:sz w:val="19"/>
          <w:szCs w:val="19"/>
          <w:u w:val="single" w:color="auto"/>
          <w:color w:val="auto"/>
        </w:rPr>
        <w:t>(a)No Deemed Waivers Remedies Cumulative</w:t>
      </w:r>
      <w:r>
        <w:rPr>
          <w:rFonts w:ascii="Times New Roman" w:cs="Times New Roman" w:eastAsia="Times New Roman" w:hAnsi="Times New Roman"/>
          <w:sz w:val="19"/>
          <w:szCs w:val="19"/>
          <w:color w:val="auto"/>
        </w:rPr>
        <w:t>. No failure or delay by the Administrative Agent, any Issuing Bank, any Swingline Lender or any Lender in exercising 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20"/>
          </w:cols>
          <w:pgMar w:left="720" w:top="1440" w:right="1260" w:bottom="1440" w:gutter="0" w:footer="0" w:header="0"/>
        </w:sectPr>
      </w:pPr>
    </w:p>
    <w:bookmarkStart w:id="279" w:name="page280"/>
    <w:bookmarkEnd w:id="279"/>
    <w:p>
      <w:pPr>
        <w:spacing w:after="0" w:line="269" w:lineRule="exact"/>
        <w:rPr>
          <w:sz w:val="20"/>
          <w:szCs w:val="20"/>
          <w:color w:val="auto"/>
        </w:rPr>
      </w:pPr>
    </w:p>
    <w:p>
      <w:pPr>
        <w:ind w:left="1060" w:right="100"/>
        <w:spacing w:after="0" w:line="254" w:lineRule="auto"/>
        <w:rPr>
          <w:sz w:val="20"/>
          <w:szCs w:val="20"/>
          <w:color w:val="auto"/>
        </w:rPr>
      </w:pPr>
      <w:r>
        <w:rPr>
          <w:rFonts w:ascii="Times New Roman" w:cs="Times New Roman" w:eastAsia="Times New Roman" w:hAnsi="Times New Roman"/>
          <w:sz w:val="19"/>
          <w:szCs w:val="19"/>
          <w:color w:val="auto"/>
        </w:rPr>
        <w:t xml:space="preserve">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57" w:lineRule="exact"/>
        <w:rPr>
          <w:sz w:val="20"/>
          <w:szCs w:val="20"/>
          <w:color w:val="auto"/>
        </w:rPr>
      </w:pPr>
    </w:p>
    <w:p>
      <w:pPr>
        <w:ind w:left="1060" w:right="180" w:firstLine="864"/>
        <w:spacing w:after="0" w:line="262" w:lineRule="auto"/>
        <w:rPr>
          <w:sz w:val="20"/>
          <w:szCs w:val="20"/>
          <w:color w:val="auto"/>
        </w:rPr>
      </w:pPr>
      <w:r>
        <w:rPr>
          <w:rFonts w:ascii="Times New Roman" w:cs="Times New Roman" w:eastAsia="Times New Roman" w:hAnsi="Times New Roman"/>
          <w:sz w:val="19"/>
          <w:szCs w:val="19"/>
          <w:u w:val="single" w:color="auto"/>
          <w:color w:val="auto"/>
        </w:rPr>
        <w:t>(b)Amendments to this Agreement</w:t>
      </w:r>
      <w:r>
        <w:rPr>
          <w:rFonts w:ascii="Times New Roman" w:cs="Times New Roman" w:eastAsia="Times New Roman" w:hAnsi="Times New Roman"/>
          <w:sz w:val="19"/>
          <w:szCs w:val="19"/>
          <w:color w:val="auto"/>
        </w:rPr>
        <w:t xml:space="preserve">. Except as provided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2.21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2.22</w:t>
      </w:r>
      <w:r>
        <w:rPr>
          <w:rFonts w:ascii="Times New Roman" w:cs="Times New Roman" w:eastAsia="Times New Roman" w:hAnsi="Times New Roman"/>
          <w:sz w:val="19"/>
          <w:szCs w:val="19"/>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agreement shall:</w:t>
      </w:r>
    </w:p>
    <w:p>
      <w:pPr>
        <w:spacing w:after="0" w:line="15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(i)increase the Commitment of any Lender without the written consent of such Lender,</w:t>
      </w:r>
    </w:p>
    <w:p>
      <w:pPr>
        <w:spacing w:after="0" w:line="202" w:lineRule="exact"/>
        <w:rPr>
          <w:sz w:val="20"/>
          <w:szCs w:val="20"/>
          <w:color w:val="auto"/>
        </w:rPr>
      </w:pPr>
    </w:p>
    <w:p>
      <w:pPr>
        <w:jc w:val="both"/>
        <w:ind w:left="1760" w:right="440" w:firstLine="936"/>
        <w:spacing w:after="0" w:line="268" w:lineRule="auto"/>
        <w:rPr>
          <w:sz w:val="20"/>
          <w:szCs w:val="20"/>
          <w:color w:val="auto"/>
        </w:rPr>
      </w:pPr>
      <w:r>
        <w:rPr>
          <w:rFonts w:ascii="Times New Roman" w:cs="Times New Roman" w:eastAsia="Times New Roman" w:hAnsi="Times New Roman"/>
          <w:sz w:val="19"/>
          <w:szCs w:val="19"/>
          <w:color w:val="auto"/>
        </w:rPr>
        <w:t>(ii)reduce the principal amount of any Loan or LC Disbursement or reduce the rate of interest thereon, or reduce any fees payable hereunder, without the written consent of each Lender affected thereby,</w:t>
      </w:r>
    </w:p>
    <w:p>
      <w:pPr>
        <w:spacing w:after="0" w:line="144" w:lineRule="exact"/>
        <w:rPr>
          <w:sz w:val="20"/>
          <w:szCs w:val="20"/>
          <w:color w:val="auto"/>
        </w:rPr>
      </w:pPr>
    </w:p>
    <w:p>
      <w:pPr>
        <w:ind w:left="1760" w:right="260" w:firstLine="936"/>
        <w:spacing w:after="0" w:line="262" w:lineRule="auto"/>
        <w:rPr>
          <w:sz w:val="20"/>
          <w:szCs w:val="20"/>
          <w:color w:val="auto"/>
        </w:rPr>
      </w:pPr>
      <w:r>
        <w:rPr>
          <w:rFonts w:ascii="Times New Roman" w:cs="Times New Roman" w:eastAsia="Times New Roman" w:hAnsi="Times New Roman"/>
          <w:sz w:val="19"/>
          <w:szCs w:val="19"/>
          <w:color w:val="auto"/>
        </w:rPr>
        <w:t>(iii)postpone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50" w:lineRule="exact"/>
        <w:rPr>
          <w:sz w:val="20"/>
          <w:szCs w:val="20"/>
          <w:color w:val="auto"/>
        </w:rPr>
      </w:pPr>
    </w:p>
    <w:p>
      <w:pPr>
        <w:ind w:left="1760" w:right="260" w:firstLine="936"/>
        <w:spacing w:after="0" w:line="286" w:lineRule="auto"/>
        <w:rPr>
          <w:sz w:val="20"/>
          <w:szCs w:val="20"/>
          <w:color w:val="auto"/>
        </w:rPr>
      </w:pPr>
      <w:r>
        <w:rPr>
          <w:rFonts w:ascii="Times New Roman" w:cs="Times New Roman" w:eastAsia="Times New Roman" w:hAnsi="Times New Roman"/>
          <w:sz w:val="19"/>
          <w:szCs w:val="19"/>
          <w:color w:val="auto"/>
        </w:rPr>
        <w:t xml:space="preserve">(iv)change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in a manner that would alter the pro rata sharing of payments required thereby without the written consent of each Lender affected thereby, or</w:t>
      </w:r>
    </w:p>
    <w:p>
      <w:pPr>
        <w:spacing w:after="0" w:line="127" w:lineRule="exact"/>
        <w:rPr>
          <w:sz w:val="20"/>
          <w:szCs w:val="20"/>
          <w:color w:val="auto"/>
        </w:rPr>
      </w:pPr>
    </w:p>
    <w:p>
      <w:pPr>
        <w:ind w:left="1760" w:right="380" w:firstLine="936"/>
        <w:spacing w:after="0" w:line="262" w:lineRule="auto"/>
        <w:rPr>
          <w:sz w:val="20"/>
          <w:szCs w:val="20"/>
          <w:color w:val="auto"/>
        </w:rPr>
      </w:pPr>
      <w:r>
        <w:rPr>
          <w:rFonts w:ascii="Times New Roman" w:cs="Times New Roman" w:eastAsia="Times New Roman" w:hAnsi="Times New Roman"/>
          <w:sz w:val="19"/>
          <w:szCs w:val="19"/>
          <w:color w:val="auto"/>
        </w:rPr>
        <w:t>(v)change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50" w:lineRule="exact"/>
        <w:rPr>
          <w:sz w:val="20"/>
          <w:szCs w:val="20"/>
          <w:color w:val="auto"/>
        </w:rPr>
      </w:pPr>
    </w:p>
    <w:p>
      <w:pPr>
        <w:ind w:left="1060" w:right="200"/>
        <w:spacing w:after="0" w:line="262"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80" w:name="page281"/>
    <w:bookmarkEnd w:id="280"/>
    <w:p>
      <w:pPr>
        <w:spacing w:after="0" w:line="269" w:lineRule="exact"/>
        <w:rPr>
          <w:sz w:val="20"/>
          <w:szCs w:val="20"/>
          <w:color w:val="auto"/>
        </w:rPr>
      </w:pPr>
    </w:p>
    <w:p>
      <w:pPr>
        <w:ind w:left="1060" w:right="220"/>
        <w:spacing w:after="0" w:line="257" w:lineRule="auto"/>
        <w:rPr>
          <w:sz w:val="20"/>
          <w:szCs w:val="20"/>
          <w:color w:val="auto"/>
        </w:rPr>
      </w:pPr>
      <w:r>
        <w:rPr>
          <w:rFonts w:ascii="Times New Roman" w:cs="Times New Roman" w:eastAsia="Times New Roman" w:hAnsi="Times New Roman"/>
          <w:sz w:val="19"/>
          <w:szCs w:val="19"/>
          <w:color w:val="auto"/>
        </w:rPr>
        <w:t xml:space="preserve">two-thirds of the Revolving Credit Exposure and unused Commitments will be required (A) for any adverse change affecting the provisions of this Agreement relating to the determination of the Borrowing Base (excluding changes to the provisions of </w:t>
      </w:r>
      <w:r>
        <w:rPr>
          <w:rFonts w:ascii="Times New Roman" w:cs="Times New Roman" w:eastAsia="Times New Roman" w:hAnsi="Times New Roman"/>
          <w:sz w:val="19"/>
          <w:szCs w:val="19"/>
          <w:u w:val="single" w:color="auto"/>
          <w:color w:val="auto"/>
        </w:rPr>
        <w:t>Section 5.12(b)(ii)(E)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but including changes to the provisions of </w:t>
      </w:r>
      <w:r>
        <w:rPr>
          <w:rFonts w:ascii="Times New Roman" w:cs="Times New Roman" w:eastAsia="Times New Roman" w:hAnsi="Times New Roman"/>
          <w:sz w:val="19"/>
          <w:szCs w:val="19"/>
          <w:u w:val="single" w:color="auto"/>
          <w:color w:val="auto"/>
        </w:rPr>
        <w:t>Section 5.12(c)(ii)</w:t>
      </w:r>
      <w:r>
        <w:rPr>
          <w:rFonts w:ascii="Times New Roman" w:cs="Times New Roman" w:eastAsia="Times New Roman" w:hAnsi="Times New Roman"/>
          <w:sz w:val="19"/>
          <w:szCs w:val="19"/>
          <w:color w:val="auto"/>
        </w:rPr>
        <w:t xml:space="preserve"> and the definitions set forth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for any release of any material portion of the Collateral other than for fair value or as otherwise permitted hereunder or under the other Loan Documents.</w:t>
      </w:r>
    </w:p>
    <w:p>
      <w:pPr>
        <w:spacing w:after="0" w:line="157" w:lineRule="exact"/>
        <w:rPr>
          <w:sz w:val="20"/>
          <w:szCs w:val="20"/>
          <w:color w:val="auto"/>
        </w:rPr>
      </w:pPr>
    </w:p>
    <w:p>
      <w:pPr>
        <w:ind w:left="1060" w:right="100" w:firstLine="1728"/>
        <w:spacing w:after="0" w:line="255" w:lineRule="auto"/>
        <w:rPr>
          <w:sz w:val="20"/>
          <w:szCs w:val="20"/>
          <w:color w:val="auto"/>
        </w:rPr>
      </w:pPr>
      <w:r>
        <w:rPr>
          <w:rFonts w:ascii="Times New Roman" w:cs="Times New Roman" w:eastAsia="Times New Roman" w:hAnsi="Times New Roman"/>
          <w:sz w:val="19"/>
          <w:szCs w:val="19"/>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160" w:lineRule="exact"/>
        <w:rPr>
          <w:sz w:val="20"/>
          <w:szCs w:val="20"/>
          <w:color w:val="auto"/>
        </w:rPr>
      </w:pPr>
    </w:p>
    <w:p>
      <w:pPr>
        <w:ind w:left="1060" w:right="30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(c)Amendments to Security Documents</w:t>
      </w:r>
      <w:r>
        <w:rPr>
          <w:rFonts w:ascii="Times New Roman" w:cs="Times New Roman" w:eastAsia="Times New Roman" w:hAnsi="Times New Roman"/>
          <w:sz w:val="19"/>
          <w:szCs w:val="19"/>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cs="Times New Roman" w:eastAsia="Times New Roman" w:hAnsi="Times New Roman"/>
          <w:sz w:val="19"/>
          <w:szCs w:val="19"/>
          <w:u w:val="single" w:color="auto"/>
          <w:color w:val="auto"/>
        </w:rPr>
        <w:t>Section 2.08(e)</w:t>
      </w:r>
      <w:r>
        <w:rPr>
          <w:rFonts w:ascii="Times New Roman" w:cs="Times New Roman" w:eastAsia="Times New Roman" w:hAnsi="Times New Roman"/>
          <w:sz w:val="19"/>
          <w:szCs w:val="19"/>
          <w:color w:val="auto"/>
        </w:rPr>
        <w:t xml:space="preserve"> to an amount not greater than</w:t>
      </w:r>
    </w:p>
    <w:p>
      <w:pPr>
        <w:spacing w:after="0" w:line="2" w:lineRule="exact"/>
        <w:rPr>
          <w:sz w:val="20"/>
          <w:szCs w:val="20"/>
          <w:color w:val="auto"/>
        </w:rPr>
      </w:pPr>
    </w:p>
    <w:p>
      <w:pPr>
        <w:ind w:left="1060" w:right="320"/>
        <w:spacing w:after="0" w:line="250" w:lineRule="auto"/>
        <w:rPr>
          <w:sz w:val="20"/>
          <w:szCs w:val="20"/>
          <w:color w:val="auto"/>
        </w:rPr>
      </w:pPr>
      <w:r>
        <w:rPr>
          <w:rFonts w:ascii="Times New Roman" w:cs="Times New Roman" w:eastAsia="Times New Roman" w:hAnsi="Times New Roman"/>
          <w:sz w:val="19"/>
          <w:szCs w:val="19"/>
          <w:color w:val="auto"/>
        </w:rPr>
        <w:t xml:space="preserve">$2,000,000,000) except pursuant to an agreement or agreements in writing entered into by the Borrower, and by the Collateral Agent with the consent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 w:lineRule="exact"/>
        <w:rPr>
          <w:sz w:val="20"/>
          <w:szCs w:val="20"/>
          <w:color w:val="auto"/>
        </w:rPr>
      </w:pPr>
    </w:p>
    <w:p>
      <w:pPr>
        <w:ind w:left="1060" w:right="140" w:hanging="10"/>
        <w:spacing w:after="0" w:line="251" w:lineRule="auto"/>
        <w:tabs>
          <w:tab w:leader="none" w:pos="1289"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w:t>
      </w:r>
    </w:p>
    <w:p>
      <w:pPr>
        <w:spacing w:after="0" w:line="164" w:lineRule="exact"/>
        <w:rPr>
          <w:sz w:val="20"/>
          <w:szCs w:val="20"/>
          <w:color w:val="auto"/>
        </w:rPr>
      </w:pPr>
    </w:p>
    <w:p>
      <w:pPr>
        <w:ind w:left="1060" w:right="32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(d)Replacement of Non-Consenting Lender</w:t>
      </w:r>
      <w:r>
        <w:rPr>
          <w:rFonts w:ascii="Times New Roman" w:cs="Times New Roman" w:eastAsia="Times New Roman" w:hAnsi="Times New Roman"/>
          <w:sz w:val="19"/>
          <w:szCs w:val="19"/>
          <w:color w:val="auto"/>
        </w:rPr>
        <w:t xml:space="preserve">. If, in connection with any proposed change, waiver, discharge or termination to any of the provisions of this Agreement as contemplated by this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the consent of the Required Lenders shall have been obtained but the consent of one or more Lenders (each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whose consent is required for such proposed change, waiver, discharge or termination is not obtained, then (so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81" w:name="page282"/>
    <w:bookmarkEnd w:id="281"/>
    <w:p>
      <w:pPr>
        <w:spacing w:after="0" w:line="269" w:lineRule="exact"/>
        <w:rPr>
          <w:sz w:val="20"/>
          <w:szCs w:val="20"/>
          <w:color w:val="auto"/>
        </w:rPr>
      </w:pPr>
    </w:p>
    <w:p>
      <w:pPr>
        <w:ind w:left="1060" w:right="180"/>
        <w:spacing w:after="0" w:line="262" w:lineRule="auto"/>
        <w:rPr>
          <w:sz w:val="20"/>
          <w:szCs w:val="20"/>
          <w:color w:val="auto"/>
        </w:rPr>
      </w:pPr>
      <w:r>
        <w:rPr>
          <w:rFonts w:ascii="Times New Roman" w:cs="Times New Roman" w:eastAsia="Times New Roman" w:hAnsi="Times New Roman"/>
          <w:sz w:val="19"/>
          <w:szCs w:val="19"/>
          <w:color w:val="auto"/>
        </w:rPr>
        <w:t xml:space="preserve">long as no Event of Default has occurred and is continuing) the Borrower shall have the right, at its sole cost and expense, to replace each such Non-Consenting Lender or Lenders with one or more replacement Lenders pursuant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so long as at the time of such replacement, each such replacement Lender consents to the proposed change, waiver, discharge or termination.</w:t>
      </w:r>
    </w:p>
    <w:p>
      <w:pPr>
        <w:spacing w:after="0" w:line="15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9.03. </w:t>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10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(a)Costs and Expenses</w:t>
      </w:r>
      <w:r>
        <w:rPr>
          <w:rFonts w:ascii="Times New Roman" w:cs="Times New Roman" w:eastAsia="Times New Roman" w:hAnsi="Times New Roman"/>
          <w:sz w:val="19"/>
          <w:szCs w:val="19"/>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 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67" w:lineRule="exact"/>
        <w:rPr>
          <w:sz w:val="20"/>
          <w:szCs w:val="20"/>
          <w:color w:val="auto"/>
        </w:rPr>
      </w:pPr>
    </w:p>
    <w:p>
      <w:pPr>
        <w:ind w:left="1060" w:right="100" w:firstLine="864"/>
        <w:spacing w:after="0" w:line="253" w:lineRule="auto"/>
        <w:rPr>
          <w:sz w:val="20"/>
          <w:szCs w:val="20"/>
          <w:color w:val="auto"/>
        </w:rPr>
      </w:pPr>
      <w:r>
        <w:rPr>
          <w:rFonts w:ascii="Times New Roman" w:cs="Times New Roman" w:eastAsia="Times New Roman" w:hAnsi="Times New Roman"/>
          <w:sz w:val="19"/>
          <w:szCs w:val="19"/>
          <w:u w:val="single" w:color="auto"/>
          <w:color w:val="auto"/>
        </w:rPr>
        <w:t>(b)Indemnification by the Borrower</w:t>
      </w:r>
      <w:r>
        <w:rPr>
          <w:rFonts w:ascii="Times New Roman" w:cs="Times New Roman" w:eastAsia="Times New Roman" w:hAnsi="Times New Roman"/>
          <w:sz w:val="19"/>
          <w:szCs w:val="19"/>
          <w:color w:val="auto"/>
        </w:rPr>
        <w:t>. The Borrower shall indemnify the Administrative Agent, each Joint Lead Arranger, each Issuing Bank, each Swingline Lender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82" w:name="page283"/>
    <w:bookmarkEnd w:id="282"/>
    <w:p>
      <w:pPr>
        <w:spacing w:after="0" w:line="269" w:lineRule="exact"/>
        <w:rPr>
          <w:sz w:val="20"/>
          <w:szCs w:val="20"/>
          <w:color w:val="auto"/>
        </w:rPr>
      </w:pPr>
    </w:p>
    <w:p>
      <w:pPr>
        <w:ind w:left="1060" w:right="160"/>
        <w:spacing w:after="0" w:line="256" w:lineRule="auto"/>
        <w:rPr>
          <w:sz w:val="20"/>
          <w:szCs w:val="20"/>
          <w:color w:val="auto"/>
        </w:rPr>
      </w:pPr>
      <w:r>
        <w:rPr>
          <w:rFonts w:ascii="Times New Roman" w:cs="Times New Roman" w:eastAsia="Times New Roman" w:hAnsi="Times New Roman"/>
          <w:sz w:val="19"/>
          <w:szCs w:val="19"/>
          <w:color w:val="auto"/>
        </w:rPr>
        <w:t xml:space="preserve">cause or on contract or otherwise and related expenses or disbursements of any kind (other than Taxes or Other Taxes which shall only be indemnified by the Borrower to the extent provided in </w:t>
      </w:r>
      <w:r>
        <w:rPr>
          <w:rFonts w:ascii="Times New Roman" w:cs="Times New Roman" w:eastAsia="Times New Roman" w:hAnsi="Times New Roman"/>
          <w:sz w:val="19"/>
          <w:szCs w:val="19"/>
          <w:u w:val="single" w:color="auto"/>
          <w:color w:val="auto"/>
        </w:rPr>
        <w:t>Section 2. 16</w:t>
      </w:r>
      <w:r>
        <w:rPr>
          <w:rFonts w:ascii="Times New Roman" w:cs="Times New Roman" w:eastAsia="Times New Roman" w:hAnsi="Times New Roman"/>
          <w:sz w:val="19"/>
          <w:szCs w:val="19"/>
          <w:color w:val="auto"/>
        </w:rPr>
        <w:t>), including the fees, charges and disbursements of any counsel for any Indemnitee, incurred by or asserted against any Indemnitee arising out of; in connection with, or as a result of</w:t>
      </w:r>
    </w:p>
    <w:p>
      <w:pPr>
        <w:spacing w:after="0" w:line="2" w:lineRule="exact"/>
        <w:rPr>
          <w:sz w:val="20"/>
          <w:szCs w:val="20"/>
          <w:color w:val="auto"/>
        </w:rPr>
      </w:pPr>
    </w:p>
    <w:p>
      <w:pPr>
        <w:ind w:left="1060" w:right="80" w:hanging="10"/>
        <w:spacing w:after="0" w:line="251" w:lineRule="auto"/>
        <w:tabs>
          <w:tab w:leader="none" w:pos="1289"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fraud, willful misconduct or gross negligence of such Indemnitee or its Related Parties, (B) result from the settlement of any such claim, investigation, litigation or other proceedings described in clause (iii) above unless the Borrower has consented to such settlement (which consent shall not be unreasonably withheld, delayed or conditioned (provided that nothing in this clause (B) shall restrict the right of any person to settle any claim for which it has waived its right of indemnity by the Borrower)) or (C) result from disputes solely among Indemnitees and not involving any act or omission of an Obligor or any of its Affiliates (other than any dispute against the Administrative Agent in its capacity as such). Notwithstanding the foregoing, it is understood and agreed that indemnification for Taxes is subject to the provisions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w:t>
      </w:r>
    </w:p>
    <w:p>
      <w:pPr>
        <w:spacing w:after="0" w:line="390" w:lineRule="exact"/>
        <w:rPr>
          <w:sz w:val="20"/>
          <w:szCs w:val="20"/>
          <w:color w:val="auto"/>
        </w:rPr>
      </w:pPr>
    </w:p>
    <w:p>
      <w:pPr>
        <w:ind w:left="1060" w:right="140" w:firstLine="1728"/>
        <w:spacing w:after="0" w:line="262" w:lineRule="auto"/>
        <w:rPr>
          <w:sz w:val="20"/>
          <w:szCs w:val="20"/>
          <w:color w:val="auto"/>
        </w:rPr>
      </w:pPr>
      <w:r>
        <w:rPr>
          <w:rFonts w:ascii="Times New Roman" w:cs="Times New Roman" w:eastAsia="Times New Roman" w:hAnsi="Times New Roman"/>
          <w:sz w:val="19"/>
          <w:szCs w:val="19"/>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limitation shall not be deemed to impair or affect the obligations of the Borrower under the preceding provisions of this subsection.</w:t>
      </w:r>
    </w:p>
    <w:p>
      <w:pPr>
        <w:spacing w:after="0" w:line="150" w:lineRule="exact"/>
        <w:rPr>
          <w:sz w:val="20"/>
          <w:szCs w:val="20"/>
          <w:color w:val="auto"/>
        </w:rPr>
      </w:pPr>
    </w:p>
    <w:p>
      <w:pPr>
        <w:ind w:left="1060" w:right="120" w:firstLine="864"/>
        <w:spacing w:after="0" w:line="255" w:lineRule="auto"/>
        <w:rPr>
          <w:sz w:val="20"/>
          <w:szCs w:val="20"/>
          <w:color w:val="auto"/>
        </w:rPr>
      </w:pPr>
      <w:r>
        <w:rPr>
          <w:rFonts w:ascii="Times New Roman" w:cs="Times New Roman" w:eastAsia="Times New Roman" w:hAnsi="Times New Roman"/>
          <w:sz w:val="19"/>
          <w:szCs w:val="19"/>
          <w:u w:val="single" w:color="auto"/>
          <w:color w:val="auto"/>
        </w:rPr>
        <w:t>(c)Reimbursement by Lenders</w:t>
      </w:r>
      <w:r>
        <w:rPr>
          <w:rFonts w:ascii="Times New Roman" w:cs="Times New Roman" w:eastAsia="Times New Roman" w:hAnsi="Times New Roman"/>
          <w:sz w:val="19"/>
          <w:szCs w:val="19"/>
          <w:color w:val="auto"/>
        </w:rPr>
        <w:t xml:space="preserve"> . To the extent that the Borrower fails to pay any amount required to be paid by it to the Administrative Agent, any Issuing Bank or any Swingline Lender under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60" w:lineRule="exact"/>
        <w:rPr>
          <w:sz w:val="20"/>
          <w:szCs w:val="20"/>
          <w:color w:val="auto"/>
        </w:rPr>
      </w:pPr>
    </w:p>
    <w:p>
      <w:pPr>
        <w:ind w:left="1060" w:right="16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(d)Waiver of Consequential Damages, Etc</w:t>
      </w:r>
      <w:r>
        <w:rPr>
          <w:rFonts w:ascii="Times New Roman" w:cs="Times New Roman" w:eastAsia="Times New Roman" w:hAnsi="Times New Roman"/>
          <w:sz w:val="19"/>
          <w:szCs w:val="19"/>
          <w:color w:val="auto"/>
        </w:rPr>
        <w:t xml:space="preserve"> .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83" w:name="page284"/>
    <w:bookmarkEnd w:id="283"/>
    <w:p>
      <w:pPr>
        <w:spacing w:after="0" w:line="269" w:lineRule="exact"/>
        <w:rPr>
          <w:sz w:val="20"/>
          <w:szCs w:val="20"/>
          <w:color w:val="auto"/>
        </w:rPr>
      </w:pPr>
    </w:p>
    <w:p>
      <w:pPr>
        <w:ind w:left="1060" w:right="120"/>
        <w:spacing w:after="0" w:line="257" w:lineRule="auto"/>
        <w:rPr>
          <w:sz w:val="20"/>
          <w:szCs w:val="20"/>
          <w:color w:val="auto"/>
        </w:rPr>
      </w:pPr>
      <w:r>
        <w:rPr>
          <w:rFonts w:ascii="Times New Roman" w:cs="Times New Roman" w:eastAsia="Times New Roman" w:hAnsi="Times New Roman"/>
          <w:sz w:val="19"/>
          <w:szCs w:val="19"/>
          <w:color w:val="auto"/>
        </w:rPr>
        <w:t>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5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u w:val="single" w:color="auto"/>
          <w:color w:val="auto"/>
        </w:rPr>
        <w:t>(e)Payments</w:t>
      </w:r>
      <w:r>
        <w:rPr>
          <w:rFonts w:ascii="Times New Roman" w:cs="Times New Roman" w:eastAsia="Times New Roman" w:hAnsi="Times New Roman"/>
          <w:sz w:val="19"/>
          <w:szCs w:val="19"/>
          <w:color w:val="auto"/>
        </w:rPr>
        <w:t>. All amounts due under this Section shall be payable promptly after written demand</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therefor.</w:t>
      </w:r>
    </w:p>
    <w:p>
      <w:pPr>
        <w:spacing w:after="0" w:line="18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9.04.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12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(a)Assignments Generally</w:t>
      </w:r>
      <w:r>
        <w:rPr>
          <w:rFonts w:ascii="Times New Roman" w:cs="Times New Roman" w:eastAsia="Times New Roman" w:hAnsi="Times New Roman"/>
          <w:sz w:val="19"/>
          <w:szCs w:val="19"/>
          <w:color w:val="auto"/>
        </w:rPr>
        <w:t xml:space="preserve"> .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u w:val="single" w:color="auto"/>
          <w:color w:val="auto"/>
        </w:rPr>
        <w:t>(b)Assignments by Lenders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u w:val="single" w:color="auto"/>
          <w:color w:val="auto"/>
        </w:rPr>
        <w:t>(i)Assignments Generally</w:t>
      </w:r>
      <w:r>
        <w:rPr>
          <w:rFonts w:ascii="Times New Roman" w:cs="Times New Roman" w:eastAsia="Times New Roman" w:hAnsi="Times New Roman"/>
          <w:sz w:val="19"/>
          <w:szCs w:val="19"/>
          <w:color w:val="auto"/>
        </w:rPr>
        <w:t xml:space="preserve">. Subject to the conditions set forth in </w:t>
      </w:r>
      <w:r>
        <w:rPr>
          <w:rFonts w:ascii="Times New Roman" w:cs="Times New Roman" w:eastAsia="Times New Roman" w:hAnsi="Times New Roman"/>
          <w:sz w:val="19"/>
          <w:szCs w:val="19"/>
          <w:u w:val="single" w:color="auto"/>
          <w:color w:val="auto"/>
        </w:rPr>
        <w:t>clause</w:t>
      </w:r>
    </w:p>
    <w:p>
      <w:pPr>
        <w:spacing w:after="0" w:line="32" w:lineRule="exact"/>
        <w:rPr>
          <w:sz w:val="20"/>
          <w:szCs w:val="20"/>
          <w:color w:val="auto"/>
        </w:rPr>
      </w:pPr>
    </w:p>
    <w:p>
      <w:pPr>
        <w:ind w:left="1760" w:right="80"/>
        <w:spacing w:after="0" w:line="252" w:lineRule="auto"/>
        <w:rPr>
          <w:sz w:val="20"/>
          <w:szCs w:val="20"/>
          <w:color w:val="auto"/>
        </w:rPr>
      </w:pP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below, any Lender may assign to one or more assignees (other than natural persons (or a holding company, investments vehicle, investment vehicle or trust for, or owned and operated by or for the primary benefit of a natural Person)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62" w:lineRule="exact"/>
        <w:rPr>
          <w:sz w:val="20"/>
          <w:szCs w:val="20"/>
          <w:color w:val="auto"/>
        </w:rPr>
      </w:pPr>
    </w:p>
    <w:p>
      <w:pPr>
        <w:ind w:left="2460" w:right="220" w:firstLine="1032"/>
        <w:spacing w:after="0" w:line="257" w:lineRule="auto"/>
        <w:rPr>
          <w:sz w:val="20"/>
          <w:szCs w:val="20"/>
          <w:color w:val="auto"/>
        </w:rPr>
      </w:pPr>
      <w:r>
        <w:rPr>
          <w:rFonts w:ascii="Times New Roman" w:cs="Times New Roman" w:eastAsia="Times New Roman" w:hAnsi="Times New Roman"/>
          <w:sz w:val="19"/>
          <w:szCs w:val="19"/>
          <w:color w:val="auto"/>
        </w:rPr>
        <w:t xml:space="preserve">(A)the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Borrower shall be required for an assignment to a Lender, an Affiliate of a Lender, or, if any Event of Default has occurred and is continuing, any other assignee;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 that the Borrower shall be deemed to have consented to any such assignment unless it shall have objected thereto by written notice to the Administrative Agent within ten (10) Business Days after having received notice thereof; and</w:t>
      </w:r>
    </w:p>
    <w:p>
      <w:pPr>
        <w:spacing w:after="0" w:line="15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color w:val="auto"/>
        </w:rPr>
        <w:t>(B)the Administrative Agent</w:t>
      </w:r>
      <w:r>
        <w:rPr>
          <w:rFonts w:ascii="Times New Roman" w:cs="Times New Roman" w:eastAsia="Times New Roman" w:hAnsi="Times New Roman"/>
          <w:sz w:val="19"/>
          <w:szCs w:val="19"/>
          <w:u w:val="single" w:color="auto"/>
          <w:color w:val="0000FF"/>
        </w:rPr>
        <w:t>, each Swingline Lender</w:t>
      </w:r>
      <w:r>
        <w:rPr>
          <w:rFonts w:ascii="Times New Roman" w:cs="Times New Roman" w:eastAsia="Times New Roman" w:hAnsi="Times New Roman"/>
          <w:sz w:val="19"/>
          <w:szCs w:val="19"/>
          <w:color w:val="auto"/>
        </w:rPr>
        <w:t xml:space="preserve"> and each Issuing Bank:</w:t>
      </w:r>
    </w:p>
    <w:p>
      <w:pPr>
        <w:spacing w:after="0" w:line="3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Administrative Agent</w:t>
      </w:r>
      <w:r>
        <w:rPr>
          <w:rFonts w:ascii="Times New Roman" w:cs="Times New Roman" w:eastAsia="Times New Roman" w:hAnsi="Times New Roman"/>
          <w:sz w:val="19"/>
          <w:szCs w:val="19"/>
          <w:u w:val="single" w:color="auto"/>
          <w:color w:val="0000FF"/>
        </w:rPr>
        <w:t>, the Swingline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84" w:name="page285"/>
    <w:bookmarkEnd w:id="284"/>
    <w:p>
      <w:pPr>
        <w:spacing w:after="0" w:line="269" w:lineRule="exact"/>
        <w:rPr>
          <w:sz w:val="20"/>
          <w:szCs w:val="20"/>
          <w:color w:val="auto"/>
        </w:rPr>
      </w:pPr>
    </w:p>
    <w:p>
      <w:pPr>
        <w:ind w:left="2460" w:right="200"/>
        <w:spacing w:after="0" w:line="286" w:lineRule="auto"/>
        <w:rPr>
          <w:sz w:val="20"/>
          <w:szCs w:val="20"/>
          <w:color w:val="auto"/>
        </w:rPr>
      </w:pPr>
      <w:r>
        <w:rPr>
          <w:rFonts w:ascii="Times New Roman" w:cs="Times New Roman" w:eastAsia="Times New Roman" w:hAnsi="Times New Roman"/>
          <w:sz w:val="19"/>
          <w:szCs w:val="19"/>
          <w:u w:val="single" w:color="auto"/>
          <w:color w:val="0000FF"/>
        </w:rPr>
        <w:t>Lenders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the Issuing Banks shall be required for an assignment by a Lender to an Affiliate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of such Lender.</w:t>
      </w:r>
    </w:p>
    <w:p>
      <w:pPr>
        <w:spacing w:after="0" w:line="127" w:lineRule="exact"/>
        <w:rPr>
          <w:sz w:val="20"/>
          <w:szCs w:val="20"/>
          <w:color w:val="auto"/>
        </w:rPr>
      </w:pPr>
    </w:p>
    <w:p>
      <w:pPr>
        <w:ind w:left="1760" w:right="520" w:firstLine="948"/>
        <w:spacing w:after="0" w:line="286" w:lineRule="auto"/>
        <w:rPr>
          <w:sz w:val="20"/>
          <w:szCs w:val="20"/>
          <w:color w:val="auto"/>
        </w:rPr>
      </w:pPr>
      <w:r>
        <w:rPr>
          <w:rFonts w:ascii="Times New Roman" w:cs="Times New Roman" w:eastAsia="Times New Roman" w:hAnsi="Times New Roman"/>
          <w:sz w:val="19"/>
          <w:szCs w:val="19"/>
          <w:u w:val="single" w:color="auto"/>
          <w:color w:val="auto"/>
        </w:rPr>
        <w:t>(ii)Certain Conditions to Assignments</w:t>
      </w:r>
      <w:r>
        <w:rPr>
          <w:rFonts w:ascii="Times New Roman" w:cs="Times New Roman" w:eastAsia="Times New Roman" w:hAnsi="Times New Roman"/>
          <w:sz w:val="19"/>
          <w:szCs w:val="19"/>
          <w:color w:val="auto"/>
        </w:rPr>
        <w:t>. Assignments shall be subject to the following additional conditions:</w:t>
      </w:r>
    </w:p>
    <w:p>
      <w:pPr>
        <w:spacing w:after="0" w:line="127" w:lineRule="exact"/>
        <w:rPr>
          <w:sz w:val="20"/>
          <w:szCs w:val="20"/>
          <w:color w:val="auto"/>
        </w:rPr>
      </w:pPr>
    </w:p>
    <w:p>
      <w:pPr>
        <w:ind w:left="2460" w:right="80" w:firstLine="1032"/>
        <w:spacing w:after="0" w:line="255" w:lineRule="auto"/>
        <w:rPr>
          <w:sz w:val="20"/>
          <w:szCs w:val="20"/>
          <w:color w:val="auto"/>
        </w:rPr>
      </w:pPr>
      <w:r>
        <w:rPr>
          <w:rFonts w:ascii="Times New Roman" w:cs="Times New Roman" w:eastAsia="Times New Roman" w:hAnsi="Times New Roman"/>
          <w:sz w:val="19"/>
          <w:szCs w:val="19"/>
          <w:color w:val="auto"/>
        </w:rPr>
        <w:t xml:space="preserve">(A)except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 Borrower shall be required if an Event of Default has occurred and is continuing;</w:t>
      </w:r>
    </w:p>
    <w:p>
      <w:pPr>
        <w:spacing w:after="0" w:line="160" w:lineRule="exact"/>
        <w:rPr>
          <w:sz w:val="20"/>
          <w:szCs w:val="20"/>
          <w:color w:val="auto"/>
        </w:rPr>
      </w:pPr>
    </w:p>
    <w:p>
      <w:pPr>
        <w:ind w:left="2460" w:right="100" w:firstLine="1032"/>
        <w:spacing w:after="0" w:line="262" w:lineRule="auto"/>
        <w:rPr>
          <w:sz w:val="20"/>
          <w:szCs w:val="20"/>
          <w:color w:val="auto"/>
        </w:rPr>
      </w:pPr>
      <w:r>
        <w:rPr>
          <w:rFonts w:ascii="Times New Roman" w:cs="Times New Roman" w:eastAsia="Times New Roman" w:hAnsi="Times New Roman"/>
          <w:sz w:val="19"/>
          <w:szCs w:val="19"/>
          <w:color w:val="auto"/>
        </w:rPr>
        <w:t>(B)each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50" w:lineRule="exact"/>
        <w:rPr>
          <w:sz w:val="20"/>
          <w:szCs w:val="20"/>
          <w:color w:val="auto"/>
        </w:rPr>
      </w:pPr>
    </w:p>
    <w:p>
      <w:pPr>
        <w:ind w:left="2460" w:right="180" w:firstLine="1032"/>
        <w:spacing w:after="0" w:line="259" w:lineRule="auto"/>
        <w:rPr>
          <w:sz w:val="20"/>
          <w:szCs w:val="20"/>
          <w:color w:val="auto"/>
        </w:rPr>
      </w:pPr>
      <w:r>
        <w:rPr>
          <w:rFonts w:ascii="Times New Roman" w:cs="Times New Roman" w:eastAsia="Times New Roman" w:hAnsi="Times New Roman"/>
          <w:sz w:val="19"/>
          <w:szCs w:val="19"/>
          <w:color w:val="auto"/>
        </w:rPr>
        <w:t xml:space="preserve">(C)the parties to each assignment shall execute and deliver to the Administrative Agent an Assignment and Assumption in substantially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together with a processing and recordation fee of U.S. $3,500 (which fee shall not be payable in connection with an assignment to a Lender or to an Affiliate of a Lender), for which the Borrower and the Subsidiary Guarantors shall not be obligated;</w:t>
      </w:r>
    </w:p>
    <w:p>
      <w:pPr>
        <w:spacing w:after="0" w:line="154" w:lineRule="exact"/>
        <w:rPr>
          <w:sz w:val="20"/>
          <w:szCs w:val="20"/>
          <w:color w:val="auto"/>
        </w:rPr>
      </w:pPr>
    </w:p>
    <w:p>
      <w:pPr>
        <w:ind w:left="2460" w:right="160" w:firstLine="1032"/>
        <w:spacing w:after="0" w:line="286" w:lineRule="auto"/>
        <w:rPr>
          <w:sz w:val="20"/>
          <w:szCs w:val="20"/>
          <w:color w:val="auto"/>
        </w:rPr>
      </w:pPr>
      <w:r>
        <w:rPr>
          <w:rFonts w:ascii="Times New Roman" w:cs="Times New Roman" w:eastAsia="Times New Roman" w:hAnsi="Times New Roman"/>
          <w:sz w:val="19"/>
          <w:szCs w:val="19"/>
          <w:color w:val="auto"/>
        </w:rPr>
        <w:t>(D)the assignee, if it shall not already be a Lender of the applicable Class, shall deliver to the Administrative Agent an Administrative Questionnaire; and</w:t>
      </w:r>
    </w:p>
    <w:p>
      <w:pPr>
        <w:spacing w:after="0" w:line="127" w:lineRule="exact"/>
        <w:rPr>
          <w:sz w:val="20"/>
          <w:szCs w:val="20"/>
          <w:color w:val="auto"/>
        </w:rPr>
      </w:pPr>
    </w:p>
    <w:p>
      <w:pPr>
        <w:ind w:left="2460" w:right="480" w:firstLine="1032"/>
        <w:spacing w:after="0" w:line="286" w:lineRule="auto"/>
        <w:rPr>
          <w:sz w:val="20"/>
          <w:szCs w:val="20"/>
          <w:color w:val="auto"/>
        </w:rPr>
      </w:pPr>
      <w:r>
        <w:rPr>
          <w:rFonts w:ascii="Times New Roman" w:cs="Times New Roman" w:eastAsia="Times New Roman" w:hAnsi="Times New Roman"/>
          <w:sz w:val="19"/>
          <w:szCs w:val="19"/>
          <w:color w:val="auto"/>
        </w:rPr>
        <w:t>(E)the assignee shall deliver to the Borrower and the Administrative Agent those documents specified in Section 2.16(f).</w:t>
      </w:r>
    </w:p>
    <w:p>
      <w:pPr>
        <w:spacing w:after="0" w:line="127" w:lineRule="exact"/>
        <w:rPr>
          <w:sz w:val="20"/>
          <w:szCs w:val="20"/>
          <w:color w:val="auto"/>
        </w:rPr>
      </w:pPr>
    </w:p>
    <w:p>
      <w:pPr>
        <w:ind w:left="1760" w:right="120" w:firstLine="936"/>
        <w:spacing w:after="0" w:line="254" w:lineRule="auto"/>
        <w:rPr>
          <w:sz w:val="20"/>
          <w:szCs w:val="20"/>
          <w:color w:val="auto"/>
        </w:rPr>
      </w:pPr>
      <w:r>
        <w:rPr>
          <w:rFonts w:ascii="Times New Roman" w:cs="Times New Roman" w:eastAsia="Times New Roman" w:hAnsi="Times New Roman"/>
          <w:sz w:val="19"/>
          <w:szCs w:val="19"/>
          <w:u w:val="single" w:color="auto"/>
          <w:color w:val="auto"/>
        </w:rPr>
        <w:t>(iii)Effectiveness of Assignments</w:t>
      </w:r>
      <w:r>
        <w:rPr>
          <w:rFonts w:ascii="Times New Roman" w:cs="Times New Roman" w:eastAsia="Times New Roman" w:hAnsi="Times New Roman"/>
          <w:sz w:val="19"/>
          <w:szCs w:val="19"/>
          <w:color w:val="auto"/>
        </w:rPr>
        <w:t xml:space="preserve">. Subject to acceptance and recording thereof pursuant to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2. 15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with respect to facts and circumstances occurring prior to the effective date of such assignment). Any assignment or transfer by a Lender of rights or obligations under this Agreement that does not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85" w:name="page286"/>
    <w:bookmarkEnd w:id="285"/>
    <w:p>
      <w:pPr>
        <w:spacing w:after="0" w:line="269" w:lineRule="exact"/>
        <w:rPr>
          <w:sz w:val="20"/>
          <w:szCs w:val="20"/>
          <w:color w:val="auto"/>
        </w:rPr>
      </w:pPr>
    </w:p>
    <w:p>
      <w:pPr>
        <w:ind w:left="1760" w:right="120"/>
        <w:spacing w:after="0" w:line="252" w:lineRule="auto"/>
        <w:rPr>
          <w:sz w:val="20"/>
          <w:szCs w:val="20"/>
          <w:color w:val="auto"/>
        </w:rPr>
      </w:pPr>
      <w:r>
        <w:rPr>
          <w:rFonts w:ascii="Times New Roman" w:cs="Times New Roman" w:eastAsia="Times New Roman" w:hAnsi="Times New Roman"/>
          <w:sz w:val="19"/>
          <w:szCs w:val="19"/>
          <w:color w:val="auto"/>
        </w:rPr>
        <w:t xml:space="preserve">comply with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cs="Times New Roman" w:eastAsia="Times New Roman" w:hAnsi="Times New Roman"/>
          <w:sz w:val="19"/>
          <w:szCs w:val="19"/>
          <w:u w:val="single" w:color="auto"/>
          <w:color w:val="auto"/>
        </w:rPr>
        <w:t>Section 9.04(b)(ii)</w:t>
      </w:r>
      <w:r>
        <w:rPr>
          <w:rFonts w:ascii="Times New Roman" w:cs="Times New Roman" w:eastAsia="Times New Roman" w:hAnsi="Times New Roman"/>
          <w:sz w:val="19"/>
          <w:szCs w:val="19"/>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8" w:lineRule="exact"/>
        <w:rPr>
          <w:sz w:val="20"/>
          <w:szCs w:val="20"/>
          <w:color w:val="auto"/>
        </w:rPr>
      </w:pPr>
    </w:p>
    <w:p>
      <w:pPr>
        <w:ind w:left="1060" w:right="180" w:firstLine="864"/>
        <w:spacing w:after="0" w:line="254" w:lineRule="auto"/>
        <w:rPr>
          <w:sz w:val="20"/>
          <w:szCs w:val="20"/>
          <w:color w:val="auto"/>
        </w:rPr>
      </w:pPr>
      <w:r>
        <w:rPr>
          <w:rFonts w:ascii="Times New Roman" w:cs="Times New Roman" w:eastAsia="Times New Roman" w:hAnsi="Times New Roman"/>
          <w:sz w:val="19"/>
          <w:szCs w:val="19"/>
          <w:u w:val="single" w:color="auto"/>
          <w:color w:val="auto"/>
        </w:rPr>
        <w:t>(c)Maintenance of Registers by Administrative Agent</w:t>
      </w:r>
      <w:r>
        <w:rPr>
          <w:rFonts w:ascii="Times New Roman" w:cs="Times New Roman" w:eastAsia="Times New Roman" w:hAnsi="Times New Roman"/>
          <w:sz w:val="19"/>
          <w:szCs w:val="19"/>
          <w:color w:val="auto"/>
        </w:rPr>
        <w:t xml:space="preserve">.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 </w:t>
      </w:r>
      <w:r>
        <w:rPr>
          <w:rFonts w:ascii="Times New Roman" w:cs="Times New Roman" w:eastAsia="Times New Roman" w:hAnsi="Times New Roman"/>
          <w:sz w:val="19"/>
          <w:szCs w:val="19"/>
          <w:u w:val="single" w:color="auto"/>
          <w:color w:val="auto"/>
        </w:rPr>
        <w:t>Registers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57" w:lineRule="exact"/>
        <w:rPr>
          <w:sz w:val="20"/>
          <w:szCs w:val="20"/>
          <w:color w:val="auto"/>
        </w:rPr>
      </w:pPr>
    </w:p>
    <w:p>
      <w:pPr>
        <w:ind w:left="1060" w:right="16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(d)Acceptance of Assignments by Administrative Agent</w:t>
      </w:r>
      <w:r>
        <w:rPr>
          <w:rFonts w:ascii="Times New Roman" w:cs="Times New Roman" w:eastAsia="Times New Roman" w:hAnsi="Times New Roman"/>
          <w:sz w:val="19"/>
          <w:szCs w:val="19"/>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and any written consent to such assignment required by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7" w:lineRule="exact"/>
        <w:rPr>
          <w:sz w:val="20"/>
          <w:szCs w:val="20"/>
          <w:color w:val="auto"/>
        </w:rPr>
      </w:pPr>
    </w:p>
    <w:p>
      <w:pPr>
        <w:ind w:left="1060" w:right="62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(e)Special Purposes Vehicles</w:t>
      </w:r>
      <w:r>
        <w:rPr>
          <w:rFonts w:ascii="Times New Roman" w:cs="Times New Roman" w:eastAsia="Times New Roman" w:hAnsi="Times New Roman"/>
          <w:sz w:val="19"/>
          <w:szCs w:val="19"/>
          <w:color w:val="auto"/>
        </w:rPr>
        <w:t>. Notwithstanding anything to the contrary contained herein, any Lender (a “</w:t>
      </w:r>
      <w:r>
        <w:rPr>
          <w:rFonts w:ascii="Times New Roman" w:cs="Times New Roman" w:eastAsia="Times New Roman" w:hAnsi="Times New Roman"/>
          <w:sz w:val="19"/>
          <w:szCs w:val="19"/>
          <w:u w:val="single" w:color="auto"/>
          <w:color w:val="auto"/>
        </w:rPr>
        <w:t>Granting Lender</w:t>
      </w:r>
      <w:r>
        <w:rPr>
          <w:rFonts w:ascii="Times New Roman" w:cs="Times New Roman" w:eastAsia="Times New Roman" w:hAnsi="Times New Roman"/>
          <w:sz w:val="19"/>
          <w:szCs w:val="19"/>
          <w:color w:val="auto"/>
        </w:rPr>
        <w:t>”) may grant to a special purpose funding vehicle (an “</w:t>
      </w:r>
      <w:r>
        <w:rPr>
          <w:rFonts w:ascii="Times New Roman" w:cs="Times New Roman" w:eastAsia="Times New Roman" w:hAnsi="Times New Roman"/>
          <w:sz w:val="19"/>
          <w:szCs w:val="19"/>
          <w:u w:val="single" w:color="auto"/>
          <w:color w:val="auto"/>
        </w:rPr>
        <w:t>SPC</w:t>
      </w:r>
      <w:r>
        <w:rPr>
          <w:rFonts w:ascii="Times New Roman" w:cs="Times New Roman" w:eastAsia="Times New Roman" w:hAnsi="Times New Roman"/>
          <w:sz w:val="19"/>
          <w:szCs w:val="19"/>
          <w:color w:val="auto"/>
        </w:rPr>
        <w:t>”) owned or administered by such Granting Lender, identified as such in writing from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86" w:name="page287"/>
    <w:bookmarkEnd w:id="286"/>
    <w:p>
      <w:pPr>
        <w:spacing w:after="0" w:line="269" w:lineRule="exact"/>
        <w:rPr>
          <w:sz w:val="20"/>
          <w:szCs w:val="20"/>
          <w:color w:val="auto"/>
        </w:rPr>
      </w:pPr>
    </w:p>
    <w:p>
      <w:pPr>
        <w:ind w:left="1060" w:right="60"/>
        <w:spacing w:after="0" w:line="253" w:lineRule="auto"/>
        <w:rPr>
          <w:sz w:val="20"/>
          <w:szCs w:val="20"/>
          <w:color w:val="auto"/>
        </w:rPr>
      </w:pPr>
      <w:r>
        <w:rPr>
          <w:rFonts w:ascii="Times New Roman" w:cs="Times New Roman" w:eastAsia="Times New Roman" w:hAnsi="Times New Roman"/>
          <w:sz w:val="19"/>
          <w:szCs w:val="19"/>
          <w:color w:val="auto"/>
        </w:rPr>
        <w:t xml:space="preserve">to time by the Granting Lender to the Administrative Agent and the Borrower, the option to provide all or any part of any Loan that such Granting Lender would otherwise be obligated to make;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391" w:lineRule="exact"/>
        <w:rPr>
          <w:sz w:val="20"/>
          <w:szCs w:val="20"/>
          <w:color w:val="auto"/>
        </w:rPr>
      </w:pPr>
    </w:p>
    <w:p>
      <w:pPr>
        <w:ind w:left="1060" w:right="60" w:firstLine="1188"/>
        <w:spacing w:after="0" w:line="252" w:lineRule="auto"/>
        <w:rPr>
          <w:sz w:val="20"/>
          <w:szCs w:val="20"/>
          <w:color w:val="auto"/>
        </w:rPr>
      </w:pPr>
      <w:r>
        <w:rPr>
          <w:rFonts w:ascii="Times New Roman" w:cs="Times New Roman" w:eastAsia="Times New Roman" w:hAnsi="Times New Roman"/>
          <w:sz w:val="19"/>
          <w:szCs w:val="19"/>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consent of the SPC or of any such assignee shall be required for amendments or waivers hereunder except for those amendments or waivers for which the consent of participants is required under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below, and (ii) disclose on a confidential basis (in the same manner described in </w:t>
      </w:r>
      <w:r>
        <w:rPr>
          <w:rFonts w:ascii="Times New Roman" w:cs="Times New Roman" w:eastAsia="Times New Roman" w:hAnsi="Times New Roman"/>
          <w:sz w:val="19"/>
          <w:szCs w:val="19"/>
          <w:u w:val="single" w:color="auto"/>
          <w:color w:val="auto"/>
        </w:rPr>
        <w:t>Section 9.13(b)</w:t>
      </w:r>
      <w:r>
        <w:rPr>
          <w:rFonts w:ascii="Times New Roman" w:cs="Times New Roman" w:eastAsia="Times New Roman" w:hAnsi="Times New Roman"/>
          <w:sz w:val="19"/>
          <w:szCs w:val="19"/>
          <w:color w:val="auto"/>
        </w:rPr>
        <w:t>) any non-public information relating to its Loans to any rating agency, commercial paper dealer or provider of a surety, guarantee or credit or liquidity enhancement to such SPC.</w:t>
      </w:r>
    </w:p>
    <w:p>
      <w:pPr>
        <w:spacing w:after="0" w:line="168" w:lineRule="exact"/>
        <w:rPr>
          <w:sz w:val="20"/>
          <w:szCs w:val="20"/>
          <w:color w:val="auto"/>
        </w:rPr>
      </w:pPr>
    </w:p>
    <w:p>
      <w:pPr>
        <w:ind w:left="1060" w:right="18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(f)Participations</w:t>
      </w:r>
      <w:r>
        <w:rPr>
          <w:rFonts w:ascii="Times New Roman" w:cs="Times New Roman" w:eastAsia="Times New Roman" w:hAnsi="Times New Roman"/>
          <w:sz w:val="19"/>
          <w:szCs w:val="19"/>
          <w:color w:val="auto"/>
        </w:rPr>
        <w:t>. Any Lender may, with the consent of the Borrower (such consent not to be unreasonably withheld or delayed), sell participations to one or more banks or other entities (other than natural persons (or a holding company, investments vehicle, investment vehicle or trust for, or owned and operated by or for the primary benefit of a natural Person))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and the other Loan Documents (including all or a portion of its Commitments and the Loans and LC Disbursements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consent of the Borrower shall not be required if such Participant does not have the right to receive any non-public information that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87" w:name="page288"/>
    <w:bookmarkEnd w:id="287"/>
    <w:p>
      <w:pPr>
        <w:spacing w:after="0" w:line="269" w:lineRule="exact"/>
        <w:rPr>
          <w:sz w:val="20"/>
          <w:szCs w:val="20"/>
          <w:color w:val="auto"/>
        </w:rPr>
      </w:pPr>
    </w:p>
    <w:p>
      <w:pPr>
        <w:ind w:left="1060" w:right="80"/>
        <w:spacing w:after="0" w:line="252" w:lineRule="auto"/>
        <w:rPr>
          <w:sz w:val="20"/>
          <w:szCs w:val="20"/>
          <w:color w:val="auto"/>
        </w:rPr>
      </w:pPr>
      <w:r>
        <w:rPr>
          <w:rFonts w:ascii="Times New Roman" w:cs="Times New Roman" w:eastAsia="Times New Roman" w:hAnsi="Times New Roman"/>
          <w:sz w:val="19"/>
          <w:szCs w:val="19"/>
          <w:color w:val="auto"/>
        </w:rPr>
        <w:t xml:space="preserve">may be provided pursuant to this Agreement (and the Lender selling such participation agrees with the Borrower at the time of the sale of such participation that it will not deliver such non -public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that affects such Participant. Subject to </w:t>
      </w:r>
      <w:r>
        <w:rPr>
          <w:rFonts w:ascii="Times New Roman" w:cs="Times New Roman" w:eastAsia="Times New Roman" w:hAnsi="Times New Roman"/>
          <w:sz w:val="19"/>
          <w:szCs w:val="19"/>
          <w:u w:val="single" w:color="auto"/>
          <w:color w:val="auto"/>
        </w:rPr>
        <w:t>paragraph (g)</w:t>
      </w:r>
      <w:r>
        <w:rPr>
          <w:rFonts w:ascii="Times New Roman" w:cs="Times New Roman" w:eastAsia="Times New Roman" w:hAnsi="Times New Roman"/>
          <w:sz w:val="19"/>
          <w:szCs w:val="19"/>
          <w:color w:val="auto"/>
        </w:rPr>
        <w:t xml:space="preserve"> of this Section, the Borrower agrees that each Participant shall be entitled to the benefits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paragraph</w:t>
      </w:r>
    </w:p>
    <w:p>
      <w:pPr>
        <w:spacing w:after="0" w:line="3" w:lineRule="exact"/>
        <w:rPr>
          <w:sz w:val="20"/>
          <w:szCs w:val="20"/>
          <w:color w:val="auto"/>
        </w:rPr>
      </w:pPr>
    </w:p>
    <w:p>
      <w:pPr>
        <w:ind w:left="1060" w:right="140" w:hanging="10"/>
        <w:spacing w:after="0" w:line="250" w:lineRule="auto"/>
        <w:tabs>
          <w:tab w:leader="none" w:pos="1336" w:val="left"/>
        </w:tabs>
        <w:numPr>
          <w:ilvl w:val="0"/>
          <w:numId w:val="10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shall not be entitled to receive any greater payment under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Participant shall be entitled to the benefits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unless the Borrower is notified of the participation granted to such Participant and such Participant shall have complied with the requirements of </w:t>
      </w:r>
      <w:r>
        <w:rPr>
          <w:rFonts w:ascii="Times New Roman" w:cs="Times New Roman" w:eastAsia="Times New Roman" w:hAnsi="Times New Roman"/>
          <w:sz w:val="19"/>
          <w:szCs w:val="19"/>
          <w:u w:val="single" w:color="auto"/>
          <w:color w:val="auto"/>
        </w:rPr>
        <w:t>Section</w:t>
      </w:r>
    </w:p>
    <w:p>
      <w:pPr>
        <w:spacing w:after="0" w:line="2" w:lineRule="exact"/>
        <w:rPr>
          <w:rFonts w:ascii="Times New Roman" w:cs="Times New Roman" w:eastAsia="Times New Roman" w:hAnsi="Times New Roman"/>
          <w:sz w:val="19"/>
          <w:szCs w:val="19"/>
          <w:u w:val="single" w:color="auto"/>
          <w:color w:val="auto"/>
        </w:rPr>
      </w:pPr>
    </w:p>
    <w:p>
      <w:pPr>
        <w:ind w:left="1060" w:right="100"/>
        <w:spacing w:after="0" w:line="251" w:lineRule="auto"/>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as if such Participant is a Lender.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9.08</w:t>
      </w:r>
      <w:r>
        <w:rPr>
          <w:rFonts w:ascii="Times New Roman" w:cs="Times New Roman" w:eastAsia="Times New Roman" w:hAnsi="Times New Roman"/>
          <w:sz w:val="19"/>
          <w:szCs w:val="19"/>
          <w:color w:val="auto"/>
        </w:rPr>
        <w:t xml:space="preserve"> as though it were a Lender; provided such Participant agrees to be subject to </w:t>
      </w:r>
      <w:r>
        <w:rPr>
          <w:rFonts w:ascii="Times New Roman" w:cs="Times New Roman" w:eastAsia="Times New Roman" w:hAnsi="Times New Roman"/>
          <w:sz w:val="19"/>
          <w:szCs w:val="19"/>
          <w:u w:val="single" w:color="auto"/>
          <w:color w:val="auto"/>
        </w:rPr>
        <w:t>Section 2.17(d)</w:t>
      </w:r>
      <w:r>
        <w:rPr>
          <w:rFonts w:ascii="Times New Roman" w:cs="Times New Roman" w:eastAsia="Times New Roman" w:hAnsi="Times New Roman"/>
          <w:sz w:val="19"/>
          <w:szCs w:val="19"/>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4" w:lineRule="exact"/>
        <w:rPr>
          <w:sz w:val="20"/>
          <w:szCs w:val="20"/>
          <w:color w:val="auto"/>
        </w:rPr>
      </w:pPr>
    </w:p>
    <w:p>
      <w:pPr>
        <w:ind w:left="1060" w:right="28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(g)Limitations on Rights of Participants</w:t>
      </w:r>
      <w:r>
        <w:rPr>
          <w:rFonts w:ascii="Times New Roman" w:cs="Times New Roman" w:eastAsia="Times New Roman" w:hAnsi="Times New Roman"/>
          <w:sz w:val="19"/>
          <w:szCs w:val="19"/>
          <w:color w:val="auto"/>
        </w:rPr>
        <w:t xml:space="preserve">. A Participant shall not be entitled to receive any greater payment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88" w:name="page289"/>
    <w:bookmarkEnd w:id="288"/>
    <w:p>
      <w:pPr>
        <w:spacing w:after="0" w:line="269" w:lineRule="exact"/>
        <w:rPr>
          <w:sz w:val="20"/>
          <w:szCs w:val="20"/>
          <w:color w:val="auto"/>
        </w:rPr>
      </w:pPr>
    </w:p>
    <w:p>
      <w:pPr>
        <w:ind w:left="1060" w:right="160"/>
        <w:spacing w:after="0" w:line="257" w:lineRule="auto"/>
        <w:rPr>
          <w:sz w:val="20"/>
          <w:szCs w:val="20"/>
          <w:color w:val="auto"/>
        </w:rPr>
      </w:pPr>
      <w:r>
        <w:rPr>
          <w:rFonts w:ascii="Times New Roman" w:cs="Times New Roman" w:eastAsia="Times New Roman" w:hAnsi="Times New Roman"/>
          <w:sz w:val="19"/>
          <w:szCs w:val="19"/>
          <w:color w:val="auto"/>
        </w:rPr>
        <w:t xml:space="preserve">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9"/>
          <w:szCs w:val="19"/>
          <w:u w:val="single" w:color="auto"/>
          <w:color w:val="auto"/>
        </w:rPr>
        <w:t>paragraphs (e)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57" w:lineRule="exact"/>
        <w:rPr>
          <w:sz w:val="20"/>
          <w:szCs w:val="20"/>
          <w:color w:val="auto"/>
        </w:rPr>
      </w:pPr>
    </w:p>
    <w:p>
      <w:pPr>
        <w:ind w:left="1060" w:right="200" w:firstLine="864"/>
        <w:spacing w:after="0" w:line="257" w:lineRule="auto"/>
        <w:rPr>
          <w:sz w:val="20"/>
          <w:szCs w:val="20"/>
          <w:color w:val="auto"/>
        </w:rPr>
      </w:pPr>
      <w:r>
        <w:rPr>
          <w:rFonts w:ascii="Times New Roman" w:cs="Times New Roman" w:eastAsia="Times New Roman" w:hAnsi="Times New Roman"/>
          <w:sz w:val="19"/>
          <w:szCs w:val="19"/>
          <w:u w:val="single" w:color="auto"/>
          <w:color w:val="auto"/>
        </w:rPr>
        <w:t>(h)Certain Pledges</w:t>
      </w:r>
      <w:r>
        <w:rPr>
          <w:rFonts w:ascii="Times New Roman" w:cs="Times New Roman" w:eastAsia="Times New Roman" w:hAnsi="Times New Roman"/>
          <w:sz w:val="19"/>
          <w:szCs w:val="19"/>
          <w:color w:val="auto"/>
        </w:rPr>
        <w:t xml:space="preserve"> .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of a security interest shall release a Lender from any of its obligations hereunder or substitute any such assignee for such Lender as a party hereto.</w:t>
      </w:r>
    </w:p>
    <w:p>
      <w:pPr>
        <w:spacing w:after="0" w:line="157" w:lineRule="exact"/>
        <w:rPr>
          <w:sz w:val="20"/>
          <w:szCs w:val="20"/>
          <w:color w:val="auto"/>
        </w:rPr>
      </w:pPr>
    </w:p>
    <w:p>
      <w:pPr>
        <w:ind w:left="1060" w:right="50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(i)No Assignments to the Borrower or Affiliates</w:t>
      </w:r>
      <w:r>
        <w:rPr>
          <w:rFonts w:ascii="Times New Roman" w:cs="Times New Roman" w:eastAsia="Times New Roman" w:hAnsi="Times New Roman"/>
          <w:sz w:val="19"/>
          <w:szCs w:val="19"/>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44" w:lineRule="exact"/>
        <w:rPr>
          <w:sz w:val="20"/>
          <w:szCs w:val="20"/>
          <w:color w:val="auto"/>
        </w:rPr>
      </w:pPr>
    </w:p>
    <w:p>
      <w:pPr>
        <w:ind w:left="1060" w:right="140" w:firstLine="864"/>
        <w:spacing w:after="0" w:line="253" w:lineRule="auto"/>
        <w:rPr>
          <w:sz w:val="20"/>
          <w:szCs w:val="20"/>
          <w:color w:val="auto"/>
        </w:rPr>
      </w:pPr>
      <w:r>
        <w:rPr>
          <w:rFonts w:ascii="Times New Roman" w:cs="Times New Roman" w:eastAsia="Times New Roman" w:hAnsi="Times New Roman"/>
          <w:sz w:val="19"/>
          <w:szCs w:val="19"/>
          <w:color w:val="auto"/>
        </w:rPr>
        <w:t xml:space="preserve">SECTION 9.05.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6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 xml:space="preserve">SECTION 9.06. </w:t>
      </w:r>
      <w:r>
        <w:rPr>
          <w:rFonts w:ascii="Times New Roman" w:cs="Times New Roman" w:eastAsia="Times New Roman" w:hAnsi="Times New Roman"/>
          <w:sz w:val="19"/>
          <w:szCs w:val="19"/>
          <w:u w:val="single" w:color="auto"/>
          <w:color w:val="auto"/>
        </w:rPr>
        <w:t>Counterparts; Integration; Effectiveness; Electronic Execution</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10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(a)Counterparts; Integration; Effectiveness</w:t>
      </w:r>
      <w:r>
        <w:rPr>
          <w:rFonts w:ascii="Times New Roman" w:cs="Times New Roman" w:eastAsia="Times New Roman" w:hAnsi="Times New Roman"/>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this Agreement shall become effective when it shall have been executed by the Administrative Agent and when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89" w:name="page290"/>
    <w:bookmarkEnd w:id="289"/>
    <w:p>
      <w:pPr>
        <w:spacing w:after="0" w:line="269" w:lineRule="exact"/>
        <w:rPr>
          <w:sz w:val="20"/>
          <w:szCs w:val="20"/>
          <w:color w:val="auto"/>
        </w:rPr>
      </w:pPr>
    </w:p>
    <w:p>
      <w:pPr>
        <w:ind w:left="1060" w:right="380"/>
        <w:spacing w:after="0" w:line="259" w:lineRule="auto"/>
        <w:rPr>
          <w:sz w:val="20"/>
          <w:szCs w:val="20"/>
          <w:color w:val="auto"/>
        </w:rPr>
      </w:pPr>
      <w:r>
        <w:rPr>
          <w:rFonts w:ascii="Times New Roman" w:cs="Times New Roman" w:eastAsia="Times New Roman" w:hAnsi="Times New Roman"/>
          <w:sz w:val="19"/>
          <w:szCs w:val="19"/>
          <w:color w:val="auto"/>
        </w:rPr>
        <w:t>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54" w:lineRule="exact"/>
        <w:rPr>
          <w:sz w:val="20"/>
          <w:szCs w:val="20"/>
          <w:color w:val="auto"/>
        </w:rPr>
      </w:pPr>
    </w:p>
    <w:p>
      <w:pPr>
        <w:ind w:left="1060" w:right="180" w:firstLine="864"/>
        <w:spacing w:after="0" w:line="256" w:lineRule="auto"/>
        <w:rPr>
          <w:sz w:val="20"/>
          <w:szCs w:val="20"/>
          <w:color w:val="auto"/>
        </w:rPr>
      </w:pPr>
      <w:r>
        <w:rPr>
          <w:rFonts w:ascii="Times New Roman" w:cs="Times New Roman" w:eastAsia="Times New Roman" w:hAnsi="Times New Roman"/>
          <w:sz w:val="19"/>
          <w:szCs w:val="19"/>
          <w:u w:val="single" w:color="auto"/>
          <w:color w:val="auto"/>
        </w:rPr>
        <w:t>(b)Electronic Execution of Assignments</w:t>
      </w:r>
      <w:r>
        <w:rPr>
          <w:rFonts w:ascii="Times New Roman" w:cs="Times New Roman" w:eastAsia="Times New Roman" w:hAnsi="Times New Roman"/>
          <w:sz w:val="19"/>
          <w:szCs w:val="19"/>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7" w:lineRule="exact"/>
        <w:rPr>
          <w:sz w:val="20"/>
          <w:szCs w:val="20"/>
          <w:color w:val="auto"/>
        </w:rPr>
      </w:pPr>
    </w:p>
    <w:p>
      <w:pPr>
        <w:ind w:left="1060" w:right="60" w:firstLine="864"/>
        <w:spacing w:after="0" w:line="259" w:lineRule="auto"/>
        <w:rPr>
          <w:sz w:val="20"/>
          <w:szCs w:val="20"/>
          <w:color w:val="auto"/>
        </w:rPr>
      </w:pPr>
      <w:r>
        <w:rPr>
          <w:rFonts w:ascii="Times New Roman" w:cs="Times New Roman" w:eastAsia="Times New Roman" w:hAnsi="Times New Roman"/>
          <w:sz w:val="19"/>
          <w:szCs w:val="19"/>
          <w:color w:val="auto"/>
        </w:rPr>
        <w:t xml:space="preserve">SECTION 9.07.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54" w:lineRule="exact"/>
        <w:rPr>
          <w:sz w:val="20"/>
          <w:szCs w:val="20"/>
          <w:color w:val="auto"/>
        </w:rPr>
      </w:pPr>
    </w:p>
    <w:p>
      <w:pPr>
        <w:ind w:left="1060" w:right="100" w:firstLine="864"/>
        <w:spacing w:after="0" w:line="253" w:lineRule="auto"/>
        <w:rPr>
          <w:sz w:val="20"/>
          <w:szCs w:val="20"/>
          <w:color w:val="auto"/>
        </w:rPr>
      </w:pPr>
      <w:r>
        <w:rPr>
          <w:rFonts w:ascii="Times New Roman" w:cs="Times New Roman" w:eastAsia="Times New Roman" w:hAnsi="Times New Roman"/>
          <w:sz w:val="19"/>
          <w:szCs w:val="19"/>
          <w:color w:val="auto"/>
        </w:rPr>
        <w:t xml:space="preserve">SECTION 9.08. </w:t>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Times New Roman" w:cs="Times New Roman" w:eastAsia="Times New Roman" w:hAnsi="Times New Roman"/>
          <w:sz w:val="19"/>
          <w:szCs w:val="19"/>
          <w:u w:val="single" w:color="auto"/>
          <w:color w:val="auto"/>
        </w:rPr>
        <w:t>Sections</w:t>
      </w:r>
    </w:p>
    <w:p>
      <w:pPr>
        <w:spacing w:after="0" w:line="2" w:lineRule="exact"/>
        <w:rPr>
          <w:sz w:val="20"/>
          <w:szCs w:val="20"/>
          <w:color w:val="auto"/>
        </w:rPr>
      </w:pPr>
    </w:p>
    <w:p>
      <w:pPr>
        <w:ind w:left="1060" w:right="120"/>
        <w:spacing w:after="0" w:line="252" w:lineRule="auto"/>
        <w:rPr>
          <w:sz w:val="20"/>
          <w:szCs w:val="20"/>
          <w:color w:val="auto"/>
        </w:rPr>
      </w:pPr>
      <w:r>
        <w:rPr>
          <w:rFonts w:ascii="Times New Roman" w:cs="Times New Roman" w:eastAsia="Times New Roman" w:hAnsi="Times New Roman"/>
          <w:sz w:val="19"/>
          <w:szCs w:val="19"/>
          <w:u w:val="single" w:color="auto"/>
          <w:color w:val="auto"/>
        </w:rPr>
        <w:t>2.17(d)</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59" w:lineRule="exact"/>
        <w:rPr>
          <w:sz w:val="20"/>
          <w:szCs w:val="20"/>
          <w:color w:val="auto"/>
        </w:rPr>
      </w:pPr>
    </w:p>
    <w:p>
      <w:pPr>
        <w:ind w:left="1060" w:right="740" w:firstLine="864"/>
        <w:spacing w:after="0" w:line="286" w:lineRule="auto"/>
        <w:rPr>
          <w:sz w:val="20"/>
          <w:szCs w:val="20"/>
          <w:color w:val="auto"/>
        </w:rPr>
      </w:pPr>
      <w:r>
        <w:rPr>
          <w:rFonts w:ascii="Times New Roman" w:cs="Times New Roman" w:eastAsia="Times New Roman" w:hAnsi="Times New Roman"/>
          <w:sz w:val="19"/>
          <w:szCs w:val="19"/>
          <w:color w:val="auto"/>
        </w:rPr>
        <w:t xml:space="preserve">SECTION 9.09. </w:t>
      </w:r>
      <w:r>
        <w:rPr>
          <w:rFonts w:ascii="Times New Roman" w:cs="Times New Roman" w:eastAsia="Times New Roman" w:hAnsi="Times New Roman"/>
          <w:sz w:val="19"/>
          <w:szCs w:val="19"/>
          <w:u w:val="single" w:color="auto"/>
          <w:color w:val="auto"/>
        </w:rPr>
        <w:t>Governing Law; Jurisdiction; Etc.Governing Law</w:t>
      </w:r>
      <w:r>
        <w:rPr>
          <w:rFonts w:ascii="Times New Roman" w:cs="Times New Roman" w:eastAsia="Times New Roman" w:hAnsi="Times New Roman"/>
          <w:sz w:val="19"/>
          <w:szCs w:val="19"/>
          <w:color w:val="auto"/>
        </w:rPr>
        <w:t>. This Agreement shall be construed in accordance with and governed by the law of the State of New York.</w:t>
      </w:r>
    </w:p>
    <w:p>
      <w:pPr>
        <w:spacing w:after="0" w:line="127" w:lineRule="exact"/>
        <w:rPr>
          <w:sz w:val="20"/>
          <w:szCs w:val="20"/>
          <w:color w:val="auto"/>
        </w:rPr>
      </w:pPr>
    </w:p>
    <w:p>
      <w:pPr>
        <w:jc w:val="both"/>
        <w:ind w:left="1060" w:right="340" w:firstLine="864"/>
        <w:spacing w:after="0" w:line="268" w:lineRule="auto"/>
        <w:rPr>
          <w:sz w:val="20"/>
          <w:szCs w:val="20"/>
          <w:color w:val="auto"/>
        </w:rPr>
      </w:pPr>
      <w:r>
        <w:rPr>
          <w:rFonts w:ascii="Times New Roman" w:cs="Times New Roman" w:eastAsia="Times New Roman" w:hAnsi="Times New Roman"/>
          <w:sz w:val="19"/>
          <w:szCs w:val="19"/>
          <w:u w:val="single" w:color="auto"/>
          <w:color w:val="auto"/>
        </w:rPr>
        <w:t>(b)Submission to Jurisdiction</w:t>
      </w:r>
      <w:r>
        <w:rPr>
          <w:rFonts w:ascii="Times New Roman" w:cs="Times New Roman" w:eastAsia="Times New Roman" w:hAnsi="Times New Roman"/>
          <w:sz w:val="19"/>
          <w:szCs w:val="19"/>
          <w:color w:val="auto"/>
        </w:rPr>
        <w:t>. The Borrower hereby irrevocably and unconditionally submits, for itself and its property, to the exclusive jurisdiction of the Supreme Court of the State of New York sitting in New York County and of the United States District Court of the Southern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90" w:name="page291"/>
    <w:bookmarkEnd w:id="290"/>
    <w:p>
      <w:pPr>
        <w:spacing w:after="0" w:line="269" w:lineRule="exact"/>
        <w:rPr>
          <w:sz w:val="20"/>
          <w:szCs w:val="20"/>
          <w:color w:val="auto"/>
        </w:rPr>
      </w:pPr>
    </w:p>
    <w:p>
      <w:pPr>
        <w:ind w:left="1060" w:right="120"/>
        <w:spacing w:after="0" w:line="255" w:lineRule="auto"/>
        <w:rPr>
          <w:sz w:val="20"/>
          <w:szCs w:val="20"/>
          <w:color w:val="auto"/>
        </w:rPr>
      </w:pPr>
      <w:r>
        <w:rPr>
          <w:rFonts w:ascii="Times New Roman" w:cs="Times New Roman" w:eastAsia="Times New Roman" w:hAnsi="Times New Roman"/>
          <w:sz w:val="19"/>
          <w:szCs w:val="19"/>
          <w:color w:val="auto"/>
        </w:rPr>
        <w:t>District of New York sitting in New York County,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55" w:lineRule="exact"/>
        <w:rPr>
          <w:sz w:val="20"/>
          <w:szCs w:val="20"/>
          <w:color w:val="auto"/>
        </w:rPr>
      </w:pPr>
    </w:p>
    <w:p>
      <w:pPr>
        <w:ind w:left="1060" w:right="180" w:firstLine="864"/>
        <w:spacing w:after="0" w:line="257" w:lineRule="auto"/>
        <w:rPr>
          <w:sz w:val="20"/>
          <w:szCs w:val="20"/>
          <w:color w:val="auto"/>
        </w:rPr>
      </w:pPr>
      <w:r>
        <w:rPr>
          <w:rFonts w:ascii="Times New Roman" w:cs="Times New Roman" w:eastAsia="Times New Roman" w:hAnsi="Times New Roman"/>
          <w:sz w:val="19"/>
          <w:szCs w:val="19"/>
          <w:u w:val="single" w:color="auto"/>
          <w:color w:val="auto"/>
        </w:rPr>
        <w:t>(c)Waiver of Venue</w:t>
      </w:r>
      <w:r>
        <w:rPr>
          <w:rFonts w:ascii="Times New Roman" w:cs="Times New Roman" w:eastAsia="Times New Roman" w:hAnsi="Times New Roman"/>
          <w:sz w:val="19"/>
          <w:szCs w:val="19"/>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57" w:lineRule="exact"/>
        <w:rPr>
          <w:sz w:val="20"/>
          <w:szCs w:val="20"/>
          <w:color w:val="auto"/>
        </w:rPr>
      </w:pPr>
    </w:p>
    <w:p>
      <w:pPr>
        <w:ind w:left="1060" w:right="160" w:firstLine="864"/>
        <w:spacing w:after="0" w:line="259" w:lineRule="auto"/>
        <w:rPr>
          <w:sz w:val="20"/>
          <w:szCs w:val="20"/>
          <w:color w:val="auto"/>
        </w:rPr>
      </w:pPr>
      <w:r>
        <w:rPr>
          <w:rFonts w:ascii="Times New Roman" w:cs="Times New Roman" w:eastAsia="Times New Roman" w:hAnsi="Times New Roman"/>
          <w:sz w:val="19"/>
          <w:szCs w:val="19"/>
          <w:u w:val="single" w:color="auto"/>
          <w:color w:val="auto"/>
        </w:rPr>
        <w:t>(d)Service of Process</w:t>
      </w:r>
      <w:r>
        <w:rPr>
          <w:rFonts w:ascii="Times New Roman" w:cs="Times New Roman" w:eastAsia="Times New Roman" w:hAnsi="Times New Roman"/>
          <w:sz w:val="19"/>
          <w:szCs w:val="19"/>
          <w:color w:val="auto"/>
        </w:rPr>
        <w:t xml:space="preserve">. Each party to this Agreement (i) irrevocably consents to service of process in the manner provided for notices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and (ii) agrees that service as provided in the manner provided for notices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54" w:lineRule="exact"/>
        <w:rPr>
          <w:sz w:val="20"/>
          <w:szCs w:val="20"/>
          <w:color w:val="auto"/>
        </w:rPr>
      </w:pPr>
    </w:p>
    <w:p>
      <w:pPr>
        <w:ind w:left="1060" w:right="240" w:firstLine="864"/>
        <w:spacing w:after="0" w:line="254" w:lineRule="auto"/>
        <w:rPr>
          <w:sz w:val="20"/>
          <w:szCs w:val="20"/>
          <w:color w:val="auto"/>
        </w:rPr>
      </w:pPr>
      <w:r>
        <w:rPr>
          <w:rFonts w:ascii="Times New Roman" w:cs="Times New Roman" w:eastAsia="Times New Roman" w:hAnsi="Times New Roman"/>
          <w:sz w:val="19"/>
          <w:szCs w:val="19"/>
          <w:color w:val="auto"/>
        </w:rPr>
        <w:t xml:space="preserve">SECTION 9.10.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w:t>
      </w:r>
    </w:p>
    <w:p>
      <w:pPr>
        <w:spacing w:after="0" w:line="3" w:lineRule="exact"/>
        <w:rPr>
          <w:sz w:val="20"/>
          <w:szCs w:val="20"/>
          <w:color w:val="auto"/>
        </w:rPr>
      </w:pPr>
    </w:p>
    <w:p>
      <w:pPr>
        <w:ind w:left="1060" w:right="140" w:hanging="10"/>
        <w:spacing w:after="0" w:line="252" w:lineRule="auto"/>
        <w:tabs>
          <w:tab w:leader="none" w:pos="1374"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62" w:lineRule="exact"/>
        <w:rPr>
          <w:sz w:val="20"/>
          <w:szCs w:val="20"/>
          <w:color w:val="auto"/>
        </w:rPr>
      </w:pPr>
    </w:p>
    <w:p>
      <w:pPr>
        <w:ind w:left="1060" w:right="200" w:firstLine="864"/>
        <w:spacing w:after="0" w:line="256" w:lineRule="auto"/>
        <w:rPr>
          <w:sz w:val="20"/>
          <w:szCs w:val="20"/>
          <w:color w:val="auto"/>
        </w:rPr>
      </w:pPr>
      <w:r>
        <w:rPr>
          <w:rFonts w:ascii="Times New Roman" w:cs="Times New Roman" w:eastAsia="Times New Roman" w:hAnsi="Times New Roman"/>
          <w:sz w:val="19"/>
          <w:szCs w:val="19"/>
          <w:color w:val="auto"/>
        </w:rPr>
        <w:t xml:space="preserve">SECTION 9.11.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This is an international loan transaction in which the specification of Dollars or any Foreign Currency, as the case may be (the “</w:t>
      </w:r>
      <w:r>
        <w:rPr>
          <w:rFonts w:ascii="Times New Roman" w:cs="Times New Roman" w:eastAsia="Times New Roman" w:hAnsi="Times New Roman"/>
          <w:sz w:val="19"/>
          <w:szCs w:val="19"/>
          <w:u w:val="single" w:color="auto"/>
          <w:color w:val="auto"/>
        </w:rPr>
        <w:t>Specified Currency</w:t>
      </w:r>
      <w:r>
        <w:rPr>
          <w:rFonts w:ascii="Times New Roman" w:cs="Times New Roman" w:eastAsia="Times New Roman" w:hAnsi="Times New Roman"/>
          <w:sz w:val="19"/>
          <w:szCs w:val="19"/>
          <w:color w:val="auto"/>
        </w:rPr>
        <w:t>”), and payment in New York City or the country of the Specified Currency, as the case may be (the “</w:t>
      </w:r>
      <w:r>
        <w:rPr>
          <w:rFonts w:ascii="Times New Roman" w:cs="Times New Roman" w:eastAsia="Times New Roman" w:hAnsi="Times New Roman"/>
          <w:sz w:val="19"/>
          <w:szCs w:val="19"/>
          <w:u w:val="single" w:color="auto"/>
          <w:color w:val="auto"/>
        </w:rPr>
        <w:t>Specified Place</w:t>
      </w:r>
      <w:r>
        <w:rPr>
          <w:rFonts w:ascii="Times New Roman" w:cs="Times New Roman" w:eastAsia="Times New Roman" w:hAnsi="Times New Roman"/>
          <w:sz w:val="19"/>
          <w:szCs w:val="19"/>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91" w:name="page292"/>
    <w:bookmarkEnd w:id="291"/>
    <w:p>
      <w:pPr>
        <w:spacing w:after="0" w:line="269" w:lineRule="exact"/>
        <w:rPr>
          <w:sz w:val="20"/>
          <w:szCs w:val="20"/>
          <w:color w:val="auto"/>
        </w:rPr>
      </w:pPr>
    </w:p>
    <w:p>
      <w:pPr>
        <w:ind w:left="1060" w:right="120"/>
        <w:spacing w:after="0" w:line="252" w:lineRule="auto"/>
        <w:rPr>
          <w:sz w:val="20"/>
          <w:szCs w:val="20"/>
          <w:color w:val="auto"/>
        </w:rPr>
      </w:pPr>
      <w:r>
        <w:rPr>
          <w:rFonts w:ascii="Times New Roman" w:cs="Times New Roman" w:eastAsia="Times New Roman" w:hAnsi="Times New Roman"/>
          <w:sz w:val="19"/>
          <w:szCs w:val="19"/>
          <w:color w:val="auto"/>
        </w:rPr>
        <w:t>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19"/>
          <w:szCs w:val="19"/>
          <w:u w:val="single" w:color="auto"/>
          <w:color w:val="auto"/>
        </w:rPr>
        <w:t>Second Currency</w:t>
      </w:r>
      <w:r>
        <w:rPr>
          <w:rFonts w:ascii="Times New Roman" w:cs="Times New Roman" w:eastAsia="Times New Roman" w:hAnsi="Times New Roman"/>
          <w:sz w:val="19"/>
          <w:szCs w:val="19"/>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 w:cs="Times New Roman" w:eastAsia="Times New Roman" w:hAnsi="Times New Roman"/>
          <w:sz w:val="19"/>
          <w:szCs w:val="19"/>
          <w:u w:val="single" w:color="auto"/>
          <w:color w:val="auto"/>
        </w:rPr>
        <w:t>Entitled Person</w:t>
      </w:r>
      <w:r>
        <w:rPr>
          <w:rFonts w:ascii="Times New Roman" w:cs="Times New Roman" w:eastAsia="Times New Roman" w:hAnsi="Times New Roman"/>
          <w:sz w:val="19"/>
          <w:szCs w:val="19"/>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69" w:lineRule="exact"/>
        <w:rPr>
          <w:sz w:val="20"/>
          <w:szCs w:val="20"/>
          <w:color w:val="auto"/>
        </w:rPr>
      </w:pPr>
    </w:p>
    <w:p>
      <w:pPr>
        <w:jc w:val="both"/>
        <w:ind w:left="1060" w:right="220" w:firstLine="864"/>
        <w:spacing w:after="0" w:line="268" w:lineRule="auto"/>
        <w:rPr>
          <w:sz w:val="20"/>
          <w:szCs w:val="20"/>
          <w:color w:val="auto"/>
        </w:rPr>
      </w:pPr>
      <w:r>
        <w:rPr>
          <w:rFonts w:ascii="Times New Roman" w:cs="Times New Roman" w:eastAsia="Times New Roman" w:hAnsi="Times New Roman"/>
          <w:sz w:val="19"/>
          <w:szCs w:val="19"/>
          <w:color w:val="auto"/>
        </w:rPr>
        <w:t xml:space="preserve">SECTION 9.12.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9.13. </w:t>
      </w:r>
      <w:r>
        <w:rPr>
          <w:rFonts w:ascii="Times New Roman" w:cs="Times New Roman" w:eastAsia="Times New Roman" w:hAnsi="Times New Roman"/>
          <w:sz w:val="19"/>
          <w:szCs w:val="19"/>
          <w:u w:val="single" w:color="auto"/>
          <w:color w:val="auto"/>
        </w:rPr>
        <w:t>Treatment of Certain Information; No Fiduciary Duty; Confidentiality</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202" w:lineRule="exact"/>
        <w:rPr>
          <w:sz w:val="20"/>
          <w:szCs w:val="20"/>
          <w:color w:val="auto"/>
        </w:rPr>
      </w:pPr>
    </w:p>
    <w:p>
      <w:pPr>
        <w:ind w:left="1060" w:right="60" w:firstLine="864"/>
        <w:spacing w:after="0" w:line="252" w:lineRule="auto"/>
        <w:rPr>
          <w:sz w:val="20"/>
          <w:szCs w:val="20"/>
          <w:color w:val="auto"/>
        </w:rPr>
      </w:pPr>
      <w:r>
        <w:rPr>
          <w:rFonts w:ascii="Times New Roman" w:cs="Times New Roman" w:eastAsia="Times New Roman" w:hAnsi="Times New Roman"/>
          <w:sz w:val="19"/>
          <w:szCs w:val="19"/>
          <w:u w:val="single" w:color="auto"/>
          <w:color w:val="auto"/>
        </w:rPr>
        <w:t>(a)Treatment of Certain Information; No Fiduciary Duty; No Conflicts</w:t>
      </w:r>
      <w:r>
        <w:rPr>
          <w:rFonts w:ascii="Times New Roman" w:cs="Times New Roman" w:eastAsia="Times New Roman" w:hAnsi="Times New Roman"/>
          <w:sz w:val="19"/>
          <w:szCs w:val="19"/>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92" w:name="page293"/>
    <w:bookmarkEnd w:id="292"/>
    <w:p>
      <w:pPr>
        <w:spacing w:after="0" w:line="269" w:lineRule="exact"/>
        <w:rPr>
          <w:sz w:val="20"/>
          <w:szCs w:val="20"/>
          <w:color w:val="auto"/>
        </w:rPr>
      </w:pPr>
    </w:p>
    <w:p>
      <w:pPr>
        <w:ind w:left="1060" w:right="100"/>
        <w:spacing w:after="0" w:line="252" w:lineRule="auto"/>
        <w:rPr>
          <w:sz w:val="20"/>
          <w:szCs w:val="20"/>
          <w:color w:val="auto"/>
        </w:rPr>
      </w:pPr>
      <w:r>
        <w:rPr>
          <w:rFonts w:ascii="Times New Roman" w:cs="Times New Roman" w:eastAsia="Times New Roman" w:hAnsi="Times New Roman"/>
          <w:sz w:val="19"/>
          <w:szCs w:val="19"/>
          <w:color w:val="auto"/>
        </w:rPr>
        <w:t>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69" w:lineRule="exact"/>
        <w:rPr>
          <w:sz w:val="20"/>
          <w:szCs w:val="20"/>
          <w:color w:val="auto"/>
        </w:rPr>
      </w:pPr>
    </w:p>
    <w:p>
      <w:pPr>
        <w:ind w:left="1060" w:right="80" w:firstLine="864"/>
        <w:spacing w:after="0" w:line="251" w:lineRule="auto"/>
        <w:rPr>
          <w:sz w:val="20"/>
          <w:szCs w:val="20"/>
          <w:color w:val="auto"/>
        </w:rPr>
      </w:pPr>
      <w:r>
        <w:rPr>
          <w:rFonts w:ascii="Times New Roman" w:cs="Times New Roman" w:eastAsia="Times New Roman" w:hAnsi="Times New Roman"/>
          <w:sz w:val="19"/>
          <w:szCs w:val="19"/>
          <w:u w:val="single" w:color="auto"/>
          <w:color w:val="auto"/>
        </w:rPr>
        <w:t>(b)Confidentiality</w:t>
      </w:r>
      <w:r>
        <w:rPr>
          <w:rFonts w:ascii="Times New Roman" w:cs="Times New Roman" w:eastAsia="Times New Roman" w:hAnsi="Times New Roman"/>
          <w:sz w:val="19"/>
          <w:szCs w:val="19"/>
          <w:color w:val="auto"/>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w:t>
      </w:r>
    </w:p>
    <w:p>
      <w:pPr>
        <w:spacing w:after="0" w:line="14" w:lineRule="exact"/>
        <w:rPr>
          <w:sz w:val="20"/>
          <w:szCs w:val="20"/>
          <w:color w:val="auto"/>
        </w:rPr>
      </w:pPr>
    </w:p>
    <w:p>
      <w:pPr>
        <w:ind w:left="1060" w:right="120" w:hanging="10"/>
        <w:spacing w:after="0" w:line="253" w:lineRule="auto"/>
        <w:tabs>
          <w:tab w:leader="none" w:pos="1332"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CUSIP Service Bureau or any similar agency in connection with the issuance and monitoring of CUSIP numbers with respect to the credit facilities provided hereunder. In addition, subject to an agreement containing provisions substantially the same as those of this </w:t>
      </w:r>
      <w:r>
        <w:rPr>
          <w:rFonts w:ascii="Times New Roman" w:cs="Times New Roman" w:eastAsia="Times New Roman" w:hAnsi="Times New Roman"/>
          <w:sz w:val="19"/>
          <w:szCs w:val="19"/>
          <w:u w:val="single" w:color="auto"/>
          <w:color w:val="auto"/>
        </w:rPr>
        <w:t>Section 9.13(b)</w:t>
      </w:r>
      <w:r>
        <w:rPr>
          <w:rFonts w:ascii="Times New Roman" w:cs="Times New Roman" w:eastAsia="Times New Roman" w:hAnsi="Times New Roman"/>
          <w:sz w:val="19"/>
          <w:szCs w:val="19"/>
          <w:color w:val="auto"/>
        </w:rPr>
        <w:t>, the Administrative Agent and each Lender may disclose the existence of this Agreement and information about this Agreement to market data collectors, similar service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93" w:name="page294"/>
    <w:bookmarkEnd w:id="293"/>
    <w:p>
      <w:pPr>
        <w:spacing w:after="0" w:line="269" w:lineRule="exact"/>
        <w:rPr>
          <w:sz w:val="20"/>
          <w:szCs w:val="20"/>
          <w:color w:val="auto"/>
        </w:rPr>
      </w:pPr>
    </w:p>
    <w:p>
      <w:pPr>
        <w:ind w:left="1060" w:right="80"/>
        <w:spacing w:after="0" w:line="286" w:lineRule="auto"/>
        <w:rPr>
          <w:sz w:val="20"/>
          <w:szCs w:val="20"/>
          <w:color w:val="auto"/>
        </w:rPr>
      </w:pPr>
      <w:r>
        <w:rPr>
          <w:rFonts w:ascii="Times New Roman" w:cs="Times New Roman" w:eastAsia="Times New Roman" w:hAnsi="Times New Roman"/>
          <w:sz w:val="19"/>
          <w:szCs w:val="19"/>
          <w:color w:val="auto"/>
        </w:rPr>
        <w:t>providers to the lending industry and service providers to the Administrative Agent or any Lender in connection with the administration or servicing of this Agreement, the other Loan Documents and the Commitments.</w:t>
      </w:r>
    </w:p>
    <w:p>
      <w:pPr>
        <w:spacing w:after="0" w:line="127" w:lineRule="exact"/>
        <w:rPr>
          <w:sz w:val="20"/>
          <w:szCs w:val="20"/>
          <w:color w:val="auto"/>
        </w:rPr>
      </w:pPr>
    </w:p>
    <w:p>
      <w:pPr>
        <w:ind w:left="1060" w:right="140" w:firstLine="1728"/>
        <w:spacing w:after="0" w:line="255" w:lineRule="auto"/>
        <w:rPr>
          <w:sz w:val="20"/>
          <w:szCs w:val="20"/>
          <w:color w:val="auto"/>
        </w:rPr>
      </w:pPr>
      <w:r>
        <w:rPr>
          <w:rFonts w:ascii="Times New Roman" w:cs="Times New Roman" w:eastAsia="Times New Roman" w:hAnsi="Times New Roman"/>
          <w:sz w:val="19"/>
          <w:szCs w:val="19"/>
          <w:color w:val="auto"/>
        </w:rPr>
        <w:t>For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55" w:lineRule="exact"/>
        <w:rPr>
          <w:sz w:val="20"/>
          <w:szCs w:val="20"/>
          <w:color w:val="auto"/>
        </w:rPr>
      </w:pPr>
    </w:p>
    <w:p>
      <w:pPr>
        <w:ind w:left="1060" w:right="180" w:firstLine="864"/>
        <w:spacing w:after="0" w:line="257" w:lineRule="auto"/>
        <w:rPr>
          <w:sz w:val="20"/>
          <w:szCs w:val="20"/>
          <w:color w:val="auto"/>
        </w:rPr>
      </w:pPr>
      <w:r>
        <w:rPr>
          <w:rFonts w:ascii="Times New Roman" w:cs="Times New Roman" w:eastAsia="Times New Roman" w:hAnsi="Times New Roman"/>
          <w:sz w:val="19"/>
          <w:szCs w:val="19"/>
          <w:color w:val="auto"/>
        </w:rPr>
        <w:t xml:space="preserve">SECTION 9.14. </w:t>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Each Lender hereby notifies the Borrower that pursuant to the requirements of the USA PATRIOT Act (Title III of Pub. L. 107- 56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57" w:lineRule="exact"/>
        <w:rPr>
          <w:sz w:val="20"/>
          <w:szCs w:val="20"/>
          <w:color w:val="auto"/>
        </w:rPr>
      </w:pPr>
    </w:p>
    <w:p>
      <w:pPr>
        <w:ind w:left="1060" w:right="100" w:firstLine="864"/>
        <w:spacing w:after="0" w:line="254" w:lineRule="auto"/>
        <w:rPr>
          <w:sz w:val="20"/>
          <w:szCs w:val="20"/>
          <w:color w:val="auto"/>
        </w:rPr>
      </w:pPr>
      <w:r>
        <w:rPr>
          <w:rFonts w:ascii="Times New Roman" w:cs="Times New Roman" w:eastAsia="Times New Roman" w:hAnsi="Times New Roman"/>
          <w:sz w:val="19"/>
          <w:szCs w:val="19"/>
          <w:color w:val="auto"/>
        </w:rPr>
        <w:t xml:space="preserve">SECTION 9.15. </w:t>
      </w:r>
      <w:r>
        <w:rPr>
          <w:rFonts w:ascii="Times New Roman" w:cs="Times New Roman" w:eastAsia="Times New Roman" w:hAnsi="Times New Roman"/>
          <w:sz w:val="19"/>
          <w:szCs w:val="19"/>
          <w:u w:val="single" w:color="auto"/>
          <w:color w:val="auto"/>
        </w:rPr>
        <w:t>Effect of Amendment and Restatement of the Existing Credit Agreement</w:t>
      </w:r>
      <w:r>
        <w:rPr>
          <w:rFonts w:ascii="Times New Roman" w:cs="Times New Roman" w:eastAsia="Times New Roman" w:hAnsi="Times New Roman"/>
          <w:sz w:val="19"/>
          <w:szCs w:val="19"/>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6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SECTION 9.16. [</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60" w:right="100" w:firstLine="864"/>
        <w:spacing w:after="0" w:line="257" w:lineRule="auto"/>
        <w:rPr>
          <w:sz w:val="20"/>
          <w:szCs w:val="20"/>
          <w:color w:val="auto"/>
        </w:rPr>
      </w:pPr>
      <w:r>
        <w:rPr>
          <w:rFonts w:ascii="Times New Roman" w:cs="Times New Roman" w:eastAsia="Times New Roman" w:hAnsi="Times New Roman"/>
          <w:sz w:val="19"/>
          <w:szCs w:val="19"/>
          <w:color w:val="auto"/>
        </w:rPr>
        <w:t xml:space="preserve">SECTION 9.17. </w:t>
      </w:r>
      <w:r>
        <w:rPr>
          <w:rFonts w:ascii="Times New Roman" w:cs="Times New Roman" w:eastAsia="Times New Roman" w:hAnsi="Times New Roman"/>
          <w:sz w:val="19"/>
          <w:szCs w:val="19"/>
          <w:u w:val="single" w:color="auto"/>
          <w:color w:val="auto"/>
        </w:rPr>
        <w:t>Acknowledgement and Consent to Bail- In of Affected Financial Institutions</w:t>
      </w:r>
      <w:r>
        <w:rPr>
          <w:rFonts w:ascii="Times New Roman" w:cs="Times New Roman" w:eastAsia="Times New Roman" w:hAnsi="Times New Roman"/>
          <w:sz w:val="19"/>
          <w:szCs w:val="19"/>
          <w:color w:val="auto"/>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94" w:name="page295"/>
    <w:bookmarkEnd w:id="294"/>
    <w:p>
      <w:pPr>
        <w:spacing w:after="0" w:line="269" w:lineRule="exact"/>
        <w:rPr>
          <w:sz w:val="20"/>
          <w:szCs w:val="20"/>
          <w:color w:val="auto"/>
        </w:rPr>
      </w:pPr>
    </w:p>
    <w:p>
      <w:pPr>
        <w:ind w:left="1060"/>
        <w:spacing w:after="0" w:line="286" w:lineRule="auto"/>
        <w:rPr>
          <w:sz w:val="20"/>
          <w:szCs w:val="20"/>
          <w:color w:val="auto"/>
        </w:rPr>
      </w:pPr>
      <w:r>
        <w:rPr>
          <w:rFonts w:ascii="Times New Roman" w:cs="Times New Roman" w:eastAsia="Times New Roman" w:hAnsi="Times New Roman"/>
          <w:sz w:val="19"/>
          <w:szCs w:val="19"/>
          <w:color w:val="auto"/>
        </w:rPr>
        <w:t>Conversion Powers of the applicable Resolution Authority and agrees and consents to, and acknowledges and agrees to be bound by:</w:t>
      </w:r>
    </w:p>
    <w:p>
      <w:pPr>
        <w:spacing w:after="0" w:line="127" w:lineRule="exact"/>
        <w:rPr>
          <w:sz w:val="20"/>
          <w:szCs w:val="20"/>
          <w:color w:val="auto"/>
        </w:rPr>
      </w:pPr>
    </w:p>
    <w:p>
      <w:pPr>
        <w:ind w:left="1060" w:right="840" w:firstLine="864"/>
        <w:spacing w:after="0" w:line="268" w:lineRule="auto"/>
        <w:rPr>
          <w:sz w:val="20"/>
          <w:szCs w:val="20"/>
          <w:color w:val="auto"/>
        </w:rPr>
      </w:pPr>
      <w:r>
        <w:rPr>
          <w:rFonts w:ascii="Times New Roman" w:cs="Times New Roman" w:eastAsia="Times New Roman" w:hAnsi="Times New Roman"/>
          <w:sz w:val="19"/>
          <w:szCs w:val="19"/>
          <w:color w:val="auto"/>
        </w:rPr>
        <w:t>(a)the application of any Write-Down and Conversion Powers by the applicable Resolution Authority to any such liabilities arising hereunder which may be payable to it by any Lender that is an Affected Financial Institution; and</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(b)the effects of any Bail-In Action on any such liability, including, if applicable:</w:t>
      </w:r>
    </w:p>
    <w:p>
      <w:pPr>
        <w:spacing w:after="0" w:line="20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(i)a reduction in full or in part or cancellation of any such liability;</w:t>
      </w:r>
    </w:p>
    <w:p>
      <w:pPr>
        <w:spacing w:after="0" w:line="202" w:lineRule="exact"/>
        <w:rPr>
          <w:sz w:val="20"/>
          <w:szCs w:val="20"/>
          <w:color w:val="auto"/>
        </w:rPr>
      </w:pPr>
    </w:p>
    <w:p>
      <w:pPr>
        <w:ind w:left="1760" w:right="780" w:firstLine="936"/>
        <w:spacing w:after="0" w:line="259" w:lineRule="auto"/>
        <w:rPr>
          <w:sz w:val="20"/>
          <w:szCs w:val="20"/>
          <w:color w:val="auto"/>
        </w:rPr>
      </w:pPr>
      <w:r>
        <w:rPr>
          <w:rFonts w:ascii="Times New Roman" w:cs="Times New Roman" w:eastAsia="Times New Roman" w:hAnsi="Times New Roman"/>
          <w:sz w:val="19"/>
          <w:szCs w:val="19"/>
          <w:color w:val="auto"/>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4" w:lineRule="exact"/>
        <w:rPr>
          <w:sz w:val="20"/>
          <w:szCs w:val="20"/>
          <w:color w:val="auto"/>
        </w:rPr>
      </w:pPr>
    </w:p>
    <w:p>
      <w:pPr>
        <w:ind w:left="1760" w:right="1340" w:firstLine="936"/>
        <w:spacing w:after="0" w:line="286" w:lineRule="auto"/>
        <w:rPr>
          <w:sz w:val="20"/>
          <w:szCs w:val="20"/>
          <w:color w:val="auto"/>
        </w:rPr>
      </w:pPr>
      <w:r>
        <w:rPr>
          <w:rFonts w:ascii="Times New Roman" w:cs="Times New Roman" w:eastAsia="Times New Roman" w:hAnsi="Times New Roman"/>
          <w:sz w:val="19"/>
          <w:szCs w:val="19"/>
          <w:color w:val="auto"/>
        </w:rPr>
        <w:t>(iii)the variation of the terms of such liability in connection with the exercise of the Write-Down and Conversion Powers of the applicable Resolution Authority.</w:t>
      </w:r>
    </w:p>
    <w:p>
      <w:pPr>
        <w:spacing w:after="0" w:line="1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 xml:space="preserve">SECTION 9.18. </w:t>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60" w:right="820" w:firstLine="864"/>
        <w:spacing w:after="0" w:line="259" w:lineRule="auto"/>
        <w:rPr>
          <w:sz w:val="20"/>
          <w:szCs w:val="20"/>
          <w:color w:val="auto"/>
        </w:rPr>
      </w:pP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color w:val="000000"/>
        </w:rPr>
        <w:t>Each Lender (x) represents and warrants, as of the date such Person became a Lender party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pacing w:after="0" w:line="154" w:lineRule="exact"/>
        <w:rPr>
          <w:sz w:val="20"/>
          <w:szCs w:val="20"/>
          <w:color w:val="auto"/>
        </w:rPr>
      </w:pPr>
    </w:p>
    <w:p>
      <w:pPr>
        <w:ind w:left="1760" w:right="860" w:firstLine="948"/>
        <w:spacing w:after="0" w:line="262" w:lineRule="auto"/>
        <w:rPr>
          <w:sz w:val="20"/>
          <w:szCs w:val="20"/>
          <w:color w:val="auto"/>
        </w:rPr>
      </w:pPr>
      <w:r>
        <w:rPr>
          <w:rFonts w:ascii="Times New Roman" w:cs="Times New Roman" w:eastAsia="Times New Roman" w:hAnsi="Times New Roman"/>
          <w:sz w:val="19"/>
          <w:szCs w:val="19"/>
          <w:color w:val="auto"/>
        </w:rPr>
        <w:t>(i)such Lender is not using “plan assets” (within the meaning of Section 3(42) of ERISA) of one or more Benefit Plans with respect to such Lender’s entrance into, participation in, administration of and performance of the Loans, the Letters of Credit, the Commitments or this Agreement,</w:t>
      </w:r>
    </w:p>
    <w:p>
      <w:pPr>
        <w:spacing w:after="0" w:line="150" w:lineRule="exact"/>
        <w:rPr>
          <w:sz w:val="20"/>
          <w:szCs w:val="20"/>
          <w:color w:val="auto"/>
        </w:rPr>
      </w:pPr>
    </w:p>
    <w:p>
      <w:pPr>
        <w:ind w:left="1760" w:right="800" w:firstLine="936"/>
        <w:spacing w:after="0" w:line="255" w:lineRule="auto"/>
        <w:rPr>
          <w:sz w:val="20"/>
          <w:szCs w:val="20"/>
          <w:color w:val="auto"/>
        </w:rPr>
      </w:pPr>
      <w:r>
        <w:rPr>
          <w:rFonts w:ascii="Times New Roman" w:cs="Times New Roman" w:eastAsia="Times New Roman" w:hAnsi="Times New Roman"/>
          <w:sz w:val="19"/>
          <w:szCs w:val="19"/>
          <w:color w:val="auto"/>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 participation in, administration of and performance of the Loans, the Letters of Credit, the Commitments and this Agreement,</w:t>
      </w:r>
    </w:p>
    <w:p>
      <w:pPr>
        <w:spacing w:after="0" w:line="155" w:lineRule="exact"/>
        <w:rPr>
          <w:sz w:val="20"/>
          <w:szCs w:val="20"/>
          <w:color w:val="auto"/>
        </w:rPr>
      </w:pPr>
    </w:p>
    <w:p>
      <w:pPr>
        <w:ind w:left="1760" w:right="1060" w:firstLine="936"/>
        <w:spacing w:after="0" w:line="286" w:lineRule="auto"/>
        <w:rPr>
          <w:sz w:val="20"/>
          <w:szCs w:val="20"/>
          <w:color w:val="auto"/>
        </w:rPr>
      </w:pPr>
      <w:r>
        <w:rPr>
          <w:rFonts w:ascii="Times New Roman" w:cs="Times New Roman" w:eastAsia="Times New Roman" w:hAnsi="Times New Roman"/>
          <w:sz w:val="19"/>
          <w:szCs w:val="19"/>
          <w:color w:val="auto"/>
        </w:rPr>
        <w:t>(iii)(A) such Lender is an investment fund managed by a “Qualified Professional Asset Manager” (within the meaning of Part VI of PTE 84-14), (B) such Qualified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1440" w:right="740" w:bottom="1440" w:gutter="0" w:footer="0" w:header="0"/>
        </w:sectPr>
      </w:pPr>
    </w:p>
    <w:bookmarkStart w:id="295" w:name="page296"/>
    <w:bookmarkEnd w:id="295"/>
    <w:p>
      <w:pPr>
        <w:spacing w:after="0" w:line="200" w:lineRule="exact"/>
        <w:rPr>
          <w:sz w:val="20"/>
          <w:szCs w:val="20"/>
          <w:color w:val="auto"/>
        </w:rPr>
      </w:pPr>
    </w:p>
    <w:p>
      <w:pPr>
        <w:spacing w:after="0" w:line="213"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9"/>
          <w:szCs w:val="19"/>
          <w:color w:val="auto"/>
        </w:rPr>
        <w:t>Professional Asset Manager made the investment decision on behalf of such</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96" w:name="page297"/>
    <w:bookmarkEnd w:id="296"/>
    <w:p>
      <w:pPr>
        <w:spacing w:after="0" w:line="269" w:lineRule="exact"/>
        <w:rPr>
          <w:sz w:val="20"/>
          <w:szCs w:val="20"/>
          <w:color w:val="auto"/>
        </w:rPr>
      </w:pPr>
    </w:p>
    <w:p>
      <w:pPr>
        <w:ind w:left="1760" w:right="240"/>
        <w:spacing w:after="0" w:line="255" w:lineRule="auto"/>
        <w:rPr>
          <w:sz w:val="20"/>
          <w:szCs w:val="20"/>
          <w:color w:val="auto"/>
        </w:rPr>
      </w:pPr>
      <w:r>
        <w:rPr>
          <w:rFonts w:ascii="Times New Roman" w:cs="Times New Roman" w:eastAsia="Times New Roman" w:hAnsi="Times New Roman"/>
          <w:sz w:val="19"/>
          <w:szCs w:val="19"/>
          <w:color w:val="auto"/>
        </w:rPr>
        <w:t>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w:t>
      </w:r>
    </w:p>
    <w:p>
      <w:pPr>
        <w:spacing w:after="0" w:line="2" w:lineRule="exact"/>
        <w:rPr>
          <w:sz w:val="20"/>
          <w:szCs w:val="20"/>
          <w:color w:val="auto"/>
        </w:rPr>
      </w:pPr>
    </w:p>
    <w:p>
      <w:pPr>
        <w:ind w:left="1760" w:right="420"/>
        <w:spacing w:after="0" w:line="256" w:lineRule="auto"/>
        <w:rPr>
          <w:sz w:val="20"/>
          <w:szCs w:val="20"/>
          <w:color w:val="auto"/>
        </w:rPr>
      </w:pPr>
      <w:r>
        <w:rPr>
          <w:rFonts w:ascii="Times New Roman" w:cs="Times New Roman" w:eastAsia="Times New Roman" w:hAnsi="Times New Roman"/>
          <w:sz w:val="19"/>
          <w:szCs w:val="19"/>
          <w:color w:val="auto"/>
        </w:rPr>
        <w:t>(a)of Part I of PTE 84 -14 are satisfied with respect to such Lender’s entrance into, participation in, administration of and performance of the Loans, the Letters of Credit, the Commitments and this Agreement, or</w:t>
      </w:r>
    </w:p>
    <w:p>
      <w:pPr>
        <w:spacing w:after="0" w:line="155" w:lineRule="exact"/>
        <w:rPr>
          <w:sz w:val="20"/>
          <w:szCs w:val="20"/>
          <w:color w:val="auto"/>
        </w:rPr>
      </w:pPr>
    </w:p>
    <w:p>
      <w:pPr>
        <w:ind w:left="1760" w:right="800" w:firstLine="948"/>
        <w:spacing w:after="0" w:line="286" w:lineRule="auto"/>
        <w:rPr>
          <w:sz w:val="20"/>
          <w:szCs w:val="20"/>
          <w:color w:val="auto"/>
        </w:rPr>
      </w:pPr>
      <w:r>
        <w:rPr>
          <w:rFonts w:ascii="Times New Roman" w:cs="Times New Roman" w:eastAsia="Times New Roman" w:hAnsi="Times New Roman"/>
          <w:sz w:val="19"/>
          <w:szCs w:val="19"/>
          <w:color w:val="auto"/>
        </w:rPr>
        <w:t>(iv)such other representation, warranty and covenant as may be agreed in writing between the Administrative Agent, in its sole discretion, and such Lender.</w:t>
      </w:r>
    </w:p>
    <w:p>
      <w:pPr>
        <w:spacing w:after="0" w:line="127" w:lineRule="exact"/>
        <w:rPr>
          <w:sz w:val="20"/>
          <w:szCs w:val="20"/>
          <w:color w:val="auto"/>
        </w:rPr>
      </w:pPr>
    </w:p>
    <w:p>
      <w:pPr>
        <w:ind w:left="1060" w:right="80" w:firstLine="864"/>
        <w:spacing w:after="0" w:line="253" w:lineRule="auto"/>
        <w:rPr>
          <w:sz w:val="20"/>
          <w:szCs w:val="20"/>
          <w:color w:val="auto"/>
        </w:rPr>
      </w:pPr>
      <w:r>
        <w:rPr>
          <w:rFonts w:ascii="Times New Roman" w:cs="Times New Roman" w:eastAsia="Times New Roman" w:hAnsi="Times New Roman"/>
          <w:sz w:val="19"/>
          <w:szCs w:val="19"/>
          <w:color w:val="auto"/>
        </w:rPr>
        <w:t xml:space="preserve">(b)In addition, unless either (1)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none of the Administrative Agent, the Joint Lead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65" w:lineRule="exact"/>
        <w:rPr>
          <w:sz w:val="20"/>
          <w:szCs w:val="20"/>
          <w:color w:val="auto"/>
        </w:rPr>
      </w:pPr>
    </w:p>
    <w:p>
      <w:pPr>
        <w:ind w:left="1060" w:right="80" w:firstLine="852"/>
        <w:spacing w:after="0" w:line="255" w:lineRule="auto"/>
        <w:rPr>
          <w:sz w:val="20"/>
          <w:szCs w:val="20"/>
          <w:color w:val="auto"/>
        </w:rPr>
      </w:pPr>
      <w:r>
        <w:rPr>
          <w:rFonts w:ascii="Times New Roman" w:cs="Times New Roman" w:eastAsia="Times New Roman" w:hAnsi="Times New Roman"/>
          <w:sz w:val="19"/>
          <w:szCs w:val="19"/>
          <w:color w:val="auto"/>
        </w:rPr>
        <w:t xml:space="preserve">SECTION 9.19.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5" w:lineRule="exact"/>
        <w:rPr>
          <w:sz w:val="20"/>
          <w:szCs w:val="20"/>
          <w:color w:val="auto"/>
        </w:rPr>
      </w:pPr>
    </w:p>
    <w:p>
      <w:pPr>
        <w:ind w:left="1060" w:right="120" w:firstLine="864"/>
        <w:spacing w:after="0" w:line="255" w:lineRule="auto"/>
        <w:rPr>
          <w:sz w:val="20"/>
          <w:szCs w:val="20"/>
          <w:color w:val="auto"/>
        </w:rPr>
      </w:pPr>
      <w:r>
        <w:rPr>
          <w:rFonts w:ascii="Times New Roman" w:cs="Times New Roman" w:eastAsia="Times New Roman" w:hAnsi="Times New Roman"/>
          <w:sz w:val="19"/>
          <w:szCs w:val="19"/>
          <w:color w:val="auto"/>
        </w:rPr>
        <w:t>(a)In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672465</wp:posOffset>
            </wp:positionV>
            <wp:extent cx="6732905" cy="406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297" w:name="page298"/>
    <w:bookmarkEnd w:id="297"/>
    <w:p>
      <w:pPr>
        <w:ind w:left="340" w:right="180"/>
        <w:spacing w:after="0" w:line="256" w:lineRule="auto"/>
        <w:rPr>
          <w:sz w:val="20"/>
          <w:szCs w:val="20"/>
          <w:color w:val="auto"/>
        </w:rPr>
      </w:pPr>
      <w:r>
        <w:rPr>
          <w:rFonts w:ascii="Times New Roman" w:cs="Times New Roman" w:eastAsia="Times New Roman" w:hAnsi="Times New Roman"/>
          <w:sz w:val="19"/>
          <w:szCs w:val="19"/>
          <w:color w:val="auto"/>
        </w:rPr>
        <w:t>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 xml:space="preserve">(b)As used in this </w:t>
      </w:r>
      <w:r>
        <w:rPr>
          <w:rFonts w:ascii="Times New Roman" w:cs="Times New Roman" w:eastAsia="Times New Roman" w:hAnsi="Times New Roman"/>
          <w:sz w:val="19"/>
          <w:szCs w:val="19"/>
          <w:u w:val="single" w:color="auto"/>
          <w:color w:val="auto"/>
        </w:rPr>
        <w:t>Section 9.19</w:t>
      </w:r>
      <w:r>
        <w:rPr>
          <w:rFonts w:ascii="Times New Roman" w:cs="Times New Roman" w:eastAsia="Times New Roman" w:hAnsi="Times New Roman"/>
          <w:sz w:val="19"/>
          <w:szCs w:val="19"/>
          <w:color w:val="auto"/>
        </w:rPr>
        <w:t>, the following terms have the following meanings:</w:t>
      </w:r>
    </w:p>
    <w:p>
      <w:pPr>
        <w:spacing w:after="0" w:line="202" w:lineRule="exact"/>
        <w:rPr>
          <w:sz w:val="20"/>
          <w:szCs w:val="20"/>
          <w:color w:val="auto"/>
        </w:rPr>
      </w:pPr>
    </w:p>
    <w:p>
      <w:pPr>
        <w:ind w:left="1040" w:right="180" w:firstLine="948"/>
        <w:spacing w:after="0" w:line="286" w:lineRule="auto"/>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 1841(k)) of such party.</w:t>
      </w:r>
    </w:p>
    <w:p>
      <w:pPr>
        <w:spacing w:after="0" w:line="1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(ii)(ii) “</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the following:</w:t>
      </w:r>
    </w:p>
    <w:p>
      <w:pPr>
        <w:spacing w:after="0" w:line="142" w:lineRule="exact"/>
        <w:rPr>
          <w:sz w:val="20"/>
          <w:szCs w:val="20"/>
          <w:color w:val="auto"/>
        </w:rPr>
      </w:pPr>
    </w:p>
    <w:p>
      <w:pPr>
        <w:ind w:left="1740" w:right="880" w:firstLine="1032"/>
        <w:spacing w:after="0" w:line="286" w:lineRule="auto"/>
        <w:rPr>
          <w:sz w:val="20"/>
          <w:szCs w:val="20"/>
          <w:color w:val="auto"/>
        </w:rPr>
      </w:pPr>
      <w:r>
        <w:rPr>
          <w:rFonts w:ascii="Times New Roman" w:cs="Times New Roman" w:eastAsia="Times New Roman" w:hAnsi="Times New Roman"/>
          <w:sz w:val="19"/>
          <w:szCs w:val="19"/>
          <w:u w:val="single" w:color="auto"/>
          <w:color w:val="FF0000"/>
        </w:rPr>
        <w:t>(A)</w:t>
      </w:r>
      <w:r>
        <w:rPr>
          <w:rFonts w:ascii="Times New Roman" w:cs="Times New Roman" w:eastAsia="Times New Roman" w:hAnsi="Times New Roman"/>
          <w:sz w:val="19"/>
          <w:szCs w:val="19"/>
          <w:color w:val="FF0000"/>
        </w:rPr>
        <w:t xml:space="preserve">(A) </w:t>
      </w:r>
      <w:r>
        <w:rPr>
          <w:rFonts w:ascii="Times New Roman" w:cs="Times New Roman" w:eastAsia="Times New Roman" w:hAnsi="Times New Roman"/>
          <w:sz w:val="19"/>
          <w:szCs w:val="19"/>
          <w:color w:val="000000"/>
        </w:rPr>
        <w:t>a “covered entity” as that term is defined in, and interpreted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accordance with, 12 C.F.R. § 252.82(b);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-245745</wp:posOffset>
            </wp:positionV>
            <wp:extent cx="33528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335280" cy="7620"/>
                    </a:xfrm>
                    <a:prstGeom prst="rect">
                      <a:avLst/>
                    </a:prstGeom>
                    <a:noFill/>
                  </pic:spPr>
                </pic:pic>
              </a:graphicData>
            </a:graphic>
          </wp:anchor>
        </w:drawing>
      </w:r>
    </w:p>
    <w:p>
      <w:pPr>
        <w:spacing w:after="0" w:line="107" w:lineRule="exact"/>
        <w:rPr>
          <w:sz w:val="20"/>
          <w:szCs w:val="20"/>
          <w:color w:val="auto"/>
        </w:rPr>
      </w:pPr>
    </w:p>
    <w:p>
      <w:pPr>
        <w:ind w:left="1740" w:right="960" w:firstLine="1032"/>
        <w:spacing w:after="0" w:line="286" w:lineRule="auto"/>
        <w:rPr>
          <w:sz w:val="20"/>
          <w:szCs w:val="20"/>
          <w:color w:val="auto"/>
        </w:rPr>
      </w:pPr>
      <w:r>
        <w:rPr>
          <w:rFonts w:ascii="Times New Roman" w:cs="Times New Roman" w:eastAsia="Times New Roman" w:hAnsi="Times New Roman"/>
          <w:sz w:val="19"/>
          <w:szCs w:val="19"/>
          <w:u w:val="single" w:color="auto"/>
          <w:color w:val="FF0000"/>
        </w:rPr>
        <w:t>(B)</w:t>
      </w:r>
      <w:r>
        <w:rPr>
          <w:rFonts w:ascii="Times New Roman" w:cs="Times New Roman" w:eastAsia="Times New Roman" w:hAnsi="Times New Roman"/>
          <w:sz w:val="19"/>
          <w:szCs w:val="19"/>
          <w:color w:val="FF0000"/>
        </w:rPr>
        <w:t xml:space="preserve">(B) </w:t>
      </w:r>
      <w:r>
        <w:rPr>
          <w:rFonts w:ascii="Times New Roman" w:cs="Times New Roman" w:eastAsia="Times New Roman" w:hAnsi="Times New Roman"/>
          <w:sz w:val="19"/>
          <w:szCs w:val="19"/>
          <w:color w:val="000000"/>
        </w:rPr>
        <w:t>a “covered bank” as that term is defined in, and interpreted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accordance with, 12 C.F.R. § 47.3(b);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-245745</wp:posOffset>
            </wp:positionV>
            <wp:extent cx="32004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320040" cy="7620"/>
                    </a:xfrm>
                    <a:prstGeom prst="rect">
                      <a:avLst/>
                    </a:prstGeom>
                    <a:noFill/>
                  </pic:spPr>
                </pic:pic>
              </a:graphicData>
            </a:graphic>
          </wp:anchor>
        </w:drawing>
      </w:r>
    </w:p>
    <w:p>
      <w:pPr>
        <w:spacing w:after="0" w:line="107" w:lineRule="exact"/>
        <w:rPr>
          <w:sz w:val="20"/>
          <w:szCs w:val="20"/>
          <w:color w:val="auto"/>
        </w:rPr>
      </w:pPr>
    </w:p>
    <w:p>
      <w:pPr>
        <w:ind w:left="1740" w:right="160" w:firstLine="1032"/>
        <w:spacing w:after="0" w:line="286" w:lineRule="auto"/>
        <w:rPr>
          <w:sz w:val="20"/>
          <w:szCs w:val="20"/>
          <w:color w:val="auto"/>
        </w:rPr>
      </w:pPr>
      <w:r>
        <w:rPr>
          <w:rFonts w:ascii="Times New Roman" w:cs="Times New Roman" w:eastAsia="Times New Roman" w:hAnsi="Times New Roman"/>
          <w:sz w:val="19"/>
          <w:szCs w:val="19"/>
          <w:u w:val="single" w:color="auto"/>
          <w:color w:val="FF0000"/>
        </w:rPr>
        <w:t>(C)</w:t>
      </w:r>
      <w:r>
        <w:rPr>
          <w:rFonts w:ascii="Times New Roman" w:cs="Times New Roman" w:eastAsia="Times New Roman" w:hAnsi="Times New Roman"/>
          <w:sz w:val="19"/>
          <w:szCs w:val="19"/>
          <w:color w:val="FF0000"/>
        </w:rPr>
        <w:t xml:space="preserve">(C) </w:t>
      </w:r>
      <w:r>
        <w:rPr>
          <w:rFonts w:ascii="Times New Roman" w:cs="Times New Roman" w:eastAsia="Times New Roman" w:hAnsi="Times New Roman"/>
          <w:sz w:val="19"/>
          <w:szCs w:val="19"/>
          <w:color w:val="000000"/>
        </w:rPr>
        <w:t>a “covered FSI” as that term is defined in, and interpreted in accordance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with, 12 C.F.R. § 382.2(b).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-245745</wp:posOffset>
            </wp:positionV>
            <wp:extent cx="35052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350520" cy="7620"/>
                    </a:xfrm>
                    <a:prstGeom prst="rect">
                      <a:avLst/>
                    </a:prstGeom>
                    <a:noFill/>
                  </pic:spPr>
                </pic:pic>
              </a:graphicData>
            </a:graphic>
          </wp:anchor>
        </w:drawing>
      </w:r>
    </w:p>
    <w:p>
      <w:pPr>
        <w:spacing w:after="0" w:line="107" w:lineRule="exact"/>
        <w:rPr>
          <w:sz w:val="20"/>
          <w:szCs w:val="20"/>
          <w:color w:val="auto"/>
        </w:rPr>
      </w:pPr>
    </w:p>
    <w:p>
      <w:pPr>
        <w:ind w:left="1040" w:right="180" w:firstLine="936"/>
        <w:spacing w:after="0" w:line="286" w:lineRule="auto"/>
        <w:rPr>
          <w:sz w:val="20"/>
          <w:szCs w:val="20"/>
          <w:color w:val="auto"/>
        </w:rPr>
      </w:pPr>
      <w:r>
        <w:rPr>
          <w:rFonts w:ascii="Times New Roman" w:cs="Times New Roman" w:eastAsia="Times New Roman" w:hAnsi="Times New Roman"/>
          <w:sz w:val="19"/>
          <w:szCs w:val="19"/>
          <w:color w:val="FF0000"/>
          <w:strike w:val="1"/>
        </w:rPr>
        <w:t>(iii)(iii)</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u w:val="single" w:color="auto"/>
          <w:color w:val="000000"/>
        </w:rPr>
        <w:t>Default Right</w:t>
      </w:r>
      <w:r>
        <w:rPr>
          <w:rFonts w:ascii="Times New Roman" w:cs="Times New Roman" w:eastAsia="Times New Roman" w:hAnsi="Times New Roman"/>
          <w:sz w:val="19"/>
          <w:szCs w:val="19"/>
          <w:color w:val="000000"/>
        </w:rPr>
        <w:t>” has the meaning assigned to that term in, and shall be interpreted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 accordance with, 12 C.F.R. §§ 252.81, 47.2 or 382.1, as applicable.</w:t>
      </w:r>
    </w:p>
    <w:p>
      <w:pPr>
        <w:spacing w:after="0" w:line="127" w:lineRule="exact"/>
        <w:rPr>
          <w:sz w:val="20"/>
          <w:szCs w:val="20"/>
          <w:color w:val="auto"/>
        </w:rPr>
      </w:pPr>
    </w:p>
    <w:p>
      <w:pPr>
        <w:ind w:left="1040" w:right="160" w:firstLine="948"/>
        <w:spacing w:after="0" w:line="286" w:lineRule="auto"/>
        <w:rPr>
          <w:sz w:val="20"/>
          <w:szCs w:val="20"/>
          <w:color w:val="auto"/>
        </w:rPr>
      </w:pPr>
      <w:r>
        <w:rPr>
          <w:rFonts w:ascii="Times New Roman" w:cs="Times New Roman" w:eastAsia="Times New Roman" w:hAnsi="Times New Roman"/>
          <w:sz w:val="19"/>
          <w:szCs w:val="19"/>
          <w:color w:val="FF0000"/>
          <w:strike w:val="1"/>
        </w:rPr>
        <w:t>(iv)(iv)</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u w:val="single" w:color="auto"/>
          <w:color w:val="000000"/>
        </w:rPr>
        <w:t>QFC</w:t>
      </w:r>
      <w:r>
        <w:rPr>
          <w:rFonts w:ascii="Times New Roman" w:cs="Times New Roman" w:eastAsia="Times New Roman" w:hAnsi="Times New Roman"/>
          <w:sz w:val="19"/>
          <w:szCs w:val="19"/>
          <w:color w:val="000000"/>
        </w:rPr>
        <w:t>” has the meaning assigned to the term “qualified financial contract” in, and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shall be interpreted in accordance with, 12 U.S.C. 5390(c)(8)(D).</w:t>
      </w:r>
    </w:p>
    <w:p>
      <w:pPr>
        <w:spacing w:after="0" w:line="127" w:lineRule="exact"/>
        <w:rPr>
          <w:sz w:val="20"/>
          <w:szCs w:val="20"/>
          <w:color w:val="auto"/>
        </w:rPr>
      </w:pPr>
    </w:p>
    <w:p>
      <w:pPr>
        <w:ind w:left="340" w:right="160" w:firstLine="864"/>
        <w:spacing w:after="0" w:line="255" w:lineRule="auto"/>
        <w:rPr>
          <w:sz w:val="20"/>
          <w:szCs w:val="20"/>
          <w:color w:val="auto"/>
        </w:rPr>
      </w:pPr>
      <w:r>
        <w:rPr>
          <w:rFonts w:ascii="Times New Roman" w:cs="Times New Roman" w:eastAsia="Times New Roman" w:hAnsi="Times New Roman"/>
          <w:sz w:val="19"/>
          <w:szCs w:val="19"/>
          <w:color w:val="auto"/>
        </w:rPr>
        <w:t>SECTION 9.20.</w:t>
      </w:r>
      <w:r>
        <w:rPr>
          <w:rFonts w:ascii="Times New Roman" w:cs="Times New Roman" w:eastAsia="Times New Roman" w:hAnsi="Times New Roman"/>
          <w:sz w:val="19"/>
          <w:szCs w:val="19"/>
          <w:u w:val="single" w:color="auto"/>
          <w:color w:val="0000FF"/>
        </w:rPr>
        <w:t>Interest Rate Limitation.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7F00"/>
        </w:rPr>
        <w:t>Notwithstanding anything to the contrary contained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in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 xml:space="preserve">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w:t>
      </w:r>
      <w:r>
        <w:rPr>
          <w:rFonts w:ascii="Times New Roman" w:cs="Times New Roman" w:eastAsia="Times New Roman" w:hAnsi="Times New Roman"/>
          <w:sz w:val="19"/>
          <w:szCs w:val="19"/>
          <w:u w:val="single" w:color="auto"/>
          <w:color w:val="007F00"/>
        </w:rPr>
        <w:t>received by the Administrative Agent</w:t>
      </w:r>
      <w:r>
        <w:rPr>
          <w:rFonts w:ascii="Times New Roman" w:cs="Times New Roman" w:eastAsia="Times New Roman" w:hAnsi="Times New Roman"/>
          <w:sz w:val="19"/>
          <w:szCs w:val="19"/>
          <w:u w:val="single" w:color="auto"/>
          <w:color w:val="0000FF"/>
        </w:rPr>
        <w:t xml:space="preserve"> or a Lender exceeds the Maximum Rate, such Person may, to the extent permitted by applicable law, (a) characterize any payment that is not principal as an expense, fee, or premium rather than interest,</w:t>
      </w:r>
    </w:p>
    <w:p>
      <w:pPr>
        <w:spacing w:after="0" w:line="196" w:lineRule="exact"/>
        <w:rPr>
          <w:sz w:val="20"/>
          <w:szCs w:val="20"/>
          <w:color w:val="auto"/>
        </w:rPr>
      </w:pPr>
    </w:p>
    <w:p>
      <w:pPr>
        <w:ind w:left="340" w:right="440" w:hanging="10"/>
        <w:spacing w:after="0" w:line="268" w:lineRule="auto"/>
        <w:tabs>
          <w:tab w:leader="none" w:pos="616" w:val="left"/>
        </w:tabs>
        <w:numPr>
          <w:ilvl w:val="0"/>
          <w:numId w:val="105"/>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exclude voluntary prepayments and the effects thereof, and (c) amortize, prorate, allocate, and spread in equal or unequal parts the total amount of interest throughout the contemplated term of the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163195</wp:posOffset>
            </wp:positionV>
            <wp:extent cx="6732905" cy="406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893" w:right="1440"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CEO 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Joshua Easterly, certify that:</w:t>
      </w:r>
    </w:p>
    <w:p>
      <w:pPr>
        <w:spacing w:after="0" w:line="92" w:lineRule="exact"/>
        <w:rPr>
          <w:sz w:val="20"/>
          <w:szCs w:val="20"/>
          <w:color w:val="auto"/>
        </w:rPr>
      </w:pPr>
    </w:p>
    <w:p>
      <w:pPr>
        <w:ind w:left="420" w:hanging="222"/>
        <w:spacing w:after="0"/>
        <w:tabs>
          <w:tab w:leader="none" w:pos="4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Sixth Street Specialty Lending, Inc.;</w:t>
      </w:r>
    </w:p>
    <w:p>
      <w:pPr>
        <w:spacing w:after="0" w:line="92" w:lineRule="exact"/>
        <w:rPr>
          <w:rFonts w:ascii="Times New Roman" w:cs="Times New Roman" w:eastAsia="Times New Roman" w:hAnsi="Times New Roman"/>
          <w:sz w:val="16"/>
          <w:szCs w:val="16"/>
          <w:color w:val="auto"/>
        </w:rPr>
      </w:pPr>
    </w:p>
    <w:p>
      <w:pPr>
        <w:ind w:left="700" w:right="400" w:hanging="502"/>
        <w:spacing w:after="0" w:line="331" w:lineRule="auto"/>
        <w:tabs>
          <w:tab w:leader="none" w:pos="417"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Times New Roman" w:cs="Times New Roman" w:eastAsia="Times New Roman" w:hAnsi="Times New Roman"/>
          <w:sz w:val="14"/>
          <w:szCs w:val="14"/>
          <w:color w:val="auto"/>
        </w:rPr>
      </w:pPr>
    </w:p>
    <w:p>
      <w:pPr>
        <w:ind w:left="700" w:right="480" w:hanging="502"/>
        <w:spacing w:after="0" w:line="259" w:lineRule="auto"/>
        <w:tabs>
          <w:tab w:leader="none" w:pos="41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700" w:right="20" w:hanging="502"/>
        <w:spacing w:after="0" w:line="247" w:lineRule="auto"/>
        <w:tabs>
          <w:tab w:leader="none" w:pos="41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ind w:left="1180" w:right="60" w:hanging="526"/>
        <w:spacing w:after="0" w:line="247" w:lineRule="auto"/>
        <w:tabs>
          <w:tab w:leader="none" w:pos="799"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6"/>
          <w:szCs w:val="16"/>
          <w:color w:val="auto"/>
        </w:rPr>
      </w:pPr>
    </w:p>
    <w:p>
      <w:pPr>
        <w:ind w:left="1180" w:right="300" w:hanging="526"/>
        <w:spacing w:after="0" w:line="247" w:lineRule="auto"/>
        <w:tabs>
          <w:tab w:leader="none" w:pos="808"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6"/>
          <w:szCs w:val="16"/>
          <w:color w:val="auto"/>
        </w:rPr>
      </w:pPr>
    </w:p>
    <w:p>
      <w:pPr>
        <w:ind w:left="1180" w:right="100" w:hanging="526"/>
        <w:spacing w:after="0" w:line="259" w:lineRule="auto"/>
        <w:tabs>
          <w:tab w:leader="none" w:pos="799"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16"/>
          <w:szCs w:val="16"/>
          <w:color w:val="auto"/>
        </w:rPr>
      </w:pPr>
    </w:p>
    <w:p>
      <w:pPr>
        <w:ind w:left="1180" w:right="40" w:hanging="526"/>
        <w:spacing w:after="0" w:line="259" w:lineRule="auto"/>
        <w:tabs>
          <w:tab w:leader="none" w:pos="808"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6"/>
          <w:szCs w:val="16"/>
          <w:color w:val="auto"/>
        </w:rPr>
      </w:pPr>
    </w:p>
    <w:p>
      <w:pPr>
        <w:ind w:left="700" w:right="240" w:hanging="502"/>
        <w:spacing w:after="0" w:line="259" w:lineRule="auto"/>
        <w:tabs>
          <w:tab w:leader="none" w:pos="41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6"/>
          <w:szCs w:val="16"/>
          <w:color w:val="auto"/>
        </w:rPr>
      </w:pPr>
    </w:p>
    <w:p>
      <w:pPr>
        <w:ind w:left="1180" w:right="280" w:hanging="526"/>
        <w:spacing w:after="0" w:line="259" w:lineRule="auto"/>
        <w:tabs>
          <w:tab w:leader="none" w:pos="799"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1180" w:right="480" w:hanging="526"/>
        <w:spacing w:after="0" w:line="259" w:lineRule="auto"/>
        <w:tabs>
          <w:tab w:leader="none" w:pos="808"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6340" w:val="left"/>
          <w:tab w:leader="none" w:pos="6760" w:val="left"/>
        </w:tabs>
        <w:rPr>
          <w:sz w:val="20"/>
          <w:szCs w:val="20"/>
          <w:color w:val="auto"/>
        </w:rPr>
      </w:pPr>
      <w:r>
        <w:rPr>
          <w:rFonts w:ascii="Times New Roman" w:cs="Times New Roman" w:eastAsia="Times New Roman" w:hAnsi="Times New Roman"/>
          <w:sz w:val="16"/>
          <w:szCs w:val="16"/>
          <w:color w:val="auto"/>
        </w:rPr>
        <w:t>Date: July 31,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13335</wp:posOffset>
            </wp:positionV>
            <wp:extent cx="2408555"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Joshua Easterly</w:t>
      </w:r>
    </w:p>
    <w:p>
      <w:pPr>
        <w:spacing w:after="0" w:line="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5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686435</wp:posOffset>
            </wp:positionV>
            <wp:extent cx="6732905" cy="406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59" w:right="660"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CFO 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Ian Simmonds, certify that:</w:t>
      </w:r>
    </w:p>
    <w:p>
      <w:pPr>
        <w:spacing w:after="0" w:line="92" w:lineRule="exact"/>
        <w:rPr>
          <w:sz w:val="20"/>
          <w:szCs w:val="20"/>
          <w:color w:val="auto"/>
        </w:rPr>
      </w:pPr>
    </w:p>
    <w:p>
      <w:pPr>
        <w:ind w:left="420" w:hanging="222"/>
        <w:spacing w:after="0"/>
        <w:tabs>
          <w:tab w:leader="none" w:pos="4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Sixth Street Specialty Lending, Inc.;</w:t>
      </w:r>
    </w:p>
    <w:p>
      <w:pPr>
        <w:spacing w:after="0" w:line="92" w:lineRule="exact"/>
        <w:rPr>
          <w:rFonts w:ascii="Times New Roman" w:cs="Times New Roman" w:eastAsia="Times New Roman" w:hAnsi="Times New Roman"/>
          <w:sz w:val="16"/>
          <w:szCs w:val="16"/>
          <w:color w:val="auto"/>
        </w:rPr>
      </w:pPr>
    </w:p>
    <w:p>
      <w:pPr>
        <w:ind w:left="700" w:right="400" w:hanging="502"/>
        <w:spacing w:after="0" w:line="331" w:lineRule="auto"/>
        <w:tabs>
          <w:tab w:leader="none" w:pos="41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Times New Roman" w:cs="Times New Roman" w:eastAsia="Times New Roman" w:hAnsi="Times New Roman"/>
          <w:sz w:val="14"/>
          <w:szCs w:val="14"/>
          <w:color w:val="auto"/>
        </w:rPr>
      </w:pPr>
    </w:p>
    <w:p>
      <w:pPr>
        <w:ind w:left="700" w:right="480" w:hanging="502"/>
        <w:spacing w:after="0" w:line="259" w:lineRule="auto"/>
        <w:tabs>
          <w:tab w:leader="none" w:pos="41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700" w:right="20" w:hanging="502"/>
        <w:spacing w:after="0" w:line="247" w:lineRule="auto"/>
        <w:tabs>
          <w:tab w:leader="none" w:pos="41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ind w:left="1180" w:right="60" w:hanging="526"/>
        <w:spacing w:after="0" w:line="247" w:lineRule="auto"/>
        <w:tabs>
          <w:tab w:leader="none" w:pos="799"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6"/>
          <w:szCs w:val="16"/>
          <w:color w:val="auto"/>
        </w:rPr>
      </w:pPr>
    </w:p>
    <w:p>
      <w:pPr>
        <w:ind w:left="1180" w:right="300" w:hanging="526"/>
        <w:spacing w:after="0" w:line="247" w:lineRule="auto"/>
        <w:tabs>
          <w:tab w:leader="none" w:pos="808"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6"/>
          <w:szCs w:val="16"/>
          <w:color w:val="auto"/>
        </w:rPr>
      </w:pPr>
    </w:p>
    <w:p>
      <w:pPr>
        <w:ind w:left="1180" w:right="100" w:hanging="526"/>
        <w:spacing w:after="0" w:line="259" w:lineRule="auto"/>
        <w:tabs>
          <w:tab w:leader="none" w:pos="799"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16"/>
          <w:szCs w:val="16"/>
          <w:color w:val="auto"/>
        </w:rPr>
      </w:pPr>
    </w:p>
    <w:p>
      <w:pPr>
        <w:ind w:left="1180" w:right="40" w:hanging="526"/>
        <w:spacing w:after="0" w:line="259" w:lineRule="auto"/>
        <w:tabs>
          <w:tab w:leader="none" w:pos="808"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6"/>
          <w:szCs w:val="16"/>
          <w:color w:val="auto"/>
        </w:rPr>
      </w:pPr>
    </w:p>
    <w:p>
      <w:pPr>
        <w:ind w:left="700" w:right="240" w:hanging="502"/>
        <w:spacing w:after="0" w:line="259" w:lineRule="auto"/>
        <w:tabs>
          <w:tab w:leader="none" w:pos="41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6"/>
          <w:szCs w:val="16"/>
          <w:color w:val="auto"/>
        </w:rPr>
      </w:pPr>
    </w:p>
    <w:p>
      <w:pPr>
        <w:ind w:left="1180" w:right="280" w:hanging="526"/>
        <w:spacing w:after="0" w:line="259" w:lineRule="auto"/>
        <w:tabs>
          <w:tab w:leader="none" w:pos="799"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1180" w:right="480" w:hanging="526"/>
        <w:spacing w:after="0" w:line="259" w:lineRule="auto"/>
        <w:tabs>
          <w:tab w:leader="none" w:pos="808"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6340" w:val="left"/>
          <w:tab w:leader="none" w:pos="6760" w:val="left"/>
        </w:tabs>
        <w:rPr>
          <w:sz w:val="20"/>
          <w:szCs w:val="20"/>
          <w:color w:val="auto"/>
        </w:rPr>
      </w:pPr>
      <w:r>
        <w:rPr>
          <w:rFonts w:ascii="Times New Roman" w:cs="Times New Roman" w:eastAsia="Times New Roman" w:hAnsi="Times New Roman"/>
          <w:sz w:val="16"/>
          <w:szCs w:val="16"/>
          <w:color w:val="auto"/>
        </w:rPr>
        <w:t>Date: July 31,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13335</wp:posOffset>
            </wp:positionV>
            <wp:extent cx="2408555"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Ian Simmonds</w:t>
      </w:r>
    </w:p>
    <w:p>
      <w:pPr>
        <w:spacing w:after="0" w:line="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655955</wp:posOffset>
            </wp:positionV>
            <wp:extent cx="6732905" cy="406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300" w:name="page301"/>
    <w:bookmarkEnd w:id="300"/>
    <w:p>
      <w:pPr>
        <w:ind w:left="988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of CEO and CFO Pursuant to</w:t>
      </w:r>
    </w:p>
    <w:p>
      <w:pPr>
        <w:spacing w:after="0" w:line="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ind w:left="4500"/>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In connection with the quarterly report on Form 10-Q of Sixth Street Specialty Lending, Inc. (the “Company”) for the quarterly period ended June 30, 2024,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1" w:lineRule="exact"/>
        <w:rPr>
          <w:sz w:val="20"/>
          <w:szCs w:val="20"/>
          <w:color w:val="auto"/>
        </w:rPr>
      </w:pPr>
    </w:p>
    <w:p>
      <w:pPr>
        <w:ind w:left="700" w:hanging="226"/>
        <w:spacing w:after="0"/>
        <w:tabs>
          <w:tab w:leader="none" w:pos="7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92" w:lineRule="exact"/>
        <w:rPr>
          <w:rFonts w:ascii="Times New Roman" w:cs="Times New Roman" w:eastAsia="Times New Roman" w:hAnsi="Times New Roman"/>
          <w:sz w:val="16"/>
          <w:szCs w:val="16"/>
          <w:color w:val="auto"/>
        </w:rPr>
      </w:pPr>
    </w:p>
    <w:p>
      <w:pPr>
        <w:ind w:left="700" w:hanging="226"/>
        <w:spacing w:after="0"/>
        <w:tabs>
          <w:tab w:leader="none" w:pos="7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Joshua Easterly</w:t>
      </w:r>
    </w:p>
    <w:p>
      <w:pPr>
        <w:sectPr>
          <w:pgSz w:w="11900" w:h="16840" w:orient="portrait"/>
          <w:cols w:equalWidth="0" w:num="1">
            <w:col w:w="10600"/>
          </w:cols>
          <w:pgMar w:left="660" w:top="1131" w:right="640" w:bottom="1440" w:gutter="0" w:footer="0" w:header="0"/>
        </w:sectPr>
      </w:pP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Joshua Easterly</w:t>
      </w:r>
    </w:p>
    <w:p>
      <w:pPr>
        <w:spacing w:after="0" w:line="43" w:lineRule="exact"/>
        <w:rPr>
          <w:sz w:val="20"/>
          <w:szCs w:val="20"/>
          <w:color w:val="auto"/>
        </w:rPr>
      </w:pPr>
    </w:p>
    <w:p>
      <w:pPr>
        <w:sectPr>
          <w:pgSz w:w="11900" w:h="16840" w:orient="portrait"/>
          <w:cols w:equalWidth="0" w:num="2">
            <w:col w:w="440" w:space="220"/>
            <w:col w:w="9940"/>
          </w:cols>
          <w:pgMar w:left="660" w:top="1131" w:right="64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3" w:lineRule="exact"/>
        <w:rPr>
          <w:sz w:val="20"/>
          <w:szCs w:val="20"/>
          <w:color w:val="auto"/>
        </w:rPr>
      </w:pPr>
    </w:p>
    <w:p>
      <w:pPr>
        <w:sectPr>
          <w:pgSz w:w="11900" w:h="16840" w:orient="portrait"/>
          <w:cols w:equalWidth="0" w:num="2">
            <w:col w:w="360" w:space="300"/>
            <w:col w:w="9940"/>
          </w:cols>
          <w:pgMar w:left="660" w:top="1131" w:right="640"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40" w:orient="portrait"/>
          <w:cols w:equalWidth="0" w:num="1">
            <w:col w:w="10600"/>
          </w:cols>
          <w:pgMar w:left="660" w:top="1131" w:right="640"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31, 2024</w:t>
      </w:r>
    </w:p>
    <w:p>
      <w:pPr>
        <w:spacing w:after="0" w:line="200" w:lineRule="exact"/>
        <w:rPr>
          <w:sz w:val="20"/>
          <w:szCs w:val="20"/>
          <w:color w:val="auto"/>
        </w:rPr>
      </w:pPr>
    </w:p>
    <w:p>
      <w:pPr>
        <w:sectPr>
          <w:pgSz w:w="11900" w:h="16840" w:orient="portrait"/>
          <w:cols w:equalWidth="0" w:num="2">
            <w:col w:w="360" w:space="300"/>
            <w:col w:w="9940"/>
          </w:cols>
          <w:pgMar w:left="660" w:top="1131" w:right="640"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Ian Simmonds</w:t>
      </w:r>
    </w:p>
    <w:p>
      <w:pPr>
        <w:sectPr>
          <w:pgSz w:w="11900" w:h="16840" w:orient="portrait"/>
          <w:cols w:equalWidth="0" w:num="1">
            <w:col w:w="10600"/>
          </w:cols>
          <w:pgMar w:left="660" w:top="1131" w:right="640"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Ian Simmonds</w:t>
      </w:r>
    </w:p>
    <w:p>
      <w:pPr>
        <w:spacing w:after="0" w:line="43" w:lineRule="exact"/>
        <w:rPr>
          <w:sz w:val="20"/>
          <w:szCs w:val="20"/>
          <w:color w:val="auto"/>
        </w:rPr>
      </w:pPr>
    </w:p>
    <w:p>
      <w:pPr>
        <w:sectPr>
          <w:pgSz w:w="11900" w:h="16840" w:orient="portrait"/>
          <w:cols w:equalWidth="0" w:num="2">
            <w:col w:w="440" w:space="220"/>
            <w:col w:w="9940"/>
          </w:cols>
          <w:pgMar w:left="660" w:top="1131" w:right="64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3" w:lineRule="exact"/>
        <w:rPr>
          <w:sz w:val="20"/>
          <w:szCs w:val="20"/>
          <w:color w:val="auto"/>
        </w:rPr>
      </w:pPr>
    </w:p>
    <w:p>
      <w:pPr>
        <w:sectPr>
          <w:pgSz w:w="11900" w:h="16840" w:orient="portrait"/>
          <w:cols w:equalWidth="0" w:num="2">
            <w:col w:w="360" w:space="300"/>
            <w:col w:w="9940"/>
          </w:cols>
          <w:pgMar w:left="660" w:top="1131" w:right="640"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40" w:orient="portrait"/>
          <w:cols w:equalWidth="0" w:num="1">
            <w:col w:w="10600"/>
          </w:cols>
          <w:pgMar w:left="660" w:top="1131" w:right="640"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31, 2024</w:t>
      </w:r>
    </w:p>
    <w:p>
      <w:pPr>
        <w:spacing w:after="0" w:line="200" w:lineRule="exact"/>
        <w:rPr>
          <w:sz w:val="20"/>
          <w:szCs w:val="20"/>
          <w:color w:val="auto"/>
        </w:rPr>
      </w:pPr>
    </w:p>
    <w:p>
      <w:pPr>
        <w:sectPr>
          <w:pgSz w:w="11900" w:h="16840" w:orient="portrait"/>
          <w:cols w:equalWidth="0" w:num="2">
            <w:col w:w="360" w:space="300"/>
            <w:col w:w="9940"/>
          </w:cols>
          <w:pgMar w:left="660" w:top="1131" w:right="640" w:bottom="1440" w:gutter="0" w:footer="0" w:header="0"/>
          <w:type w:val="continuous"/>
        </w:sectPr>
      </w:pP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579120</wp:posOffset>
            </wp:positionV>
            <wp:extent cx="6732905" cy="406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type w:val="continuous"/>
        </w:sectPr>
      </w:pPr>
    </w:p>
    <w:bookmarkStart w:id="301" w:name="page302"/>
    <w:bookmarkEnd w:id="30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1."/>
      <w:numFmt w:val="decimal"/>
      <w:start w:val="1"/>
    </w:lvl>
  </w:abstractNum>
  <w:abstractNum w:abstractNumId="3">
    <w:nsid w:val="275AC794"/>
    <w:multiLevelType w:val="hybridMultilevel"/>
    <w:lvl w:ilvl="0">
      <w:lvlJc w:val="left"/>
      <w:lvlText w:val="%1."/>
      <w:numFmt w:val="decimal"/>
      <w:start w:val="2"/>
    </w:lvl>
  </w:abstractNum>
  <w:abstractNum w:abstractNumId="4">
    <w:nsid w:val="39386575"/>
    <w:multiLevelType w:val="hybridMultilevel"/>
    <w:lvl w:ilvl="0">
      <w:lvlJc w:val="left"/>
      <w:lvlText w:val="%1."/>
      <w:numFmt w:val="decimal"/>
      <w:start w:val="3"/>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1."/>
      <w:numFmt w:val="decimal"/>
      <w:start w:val="6"/>
    </w:lvl>
  </w:abstractNum>
  <w:abstractNum w:abstractNumId="8">
    <w:nsid w:val="47398C89"/>
    <w:multiLevelType w:val="hybridMultilevel"/>
    <w:lvl w:ilvl="0">
      <w:lvlJc w:val="left"/>
      <w:lvlText w:val="%1."/>
      <w:numFmt w:val="decimal"/>
      <w:start w:val="8"/>
    </w:lvl>
  </w:abstractNum>
  <w:abstractNum w:abstractNumId="9">
    <w:nsid w:val="354FE9F9"/>
    <w:multiLevelType w:val="hybridMultilevel"/>
    <w:lvl w:ilvl="0">
      <w:lvlJc w:val="left"/>
      <w:lvlText w:val="%1."/>
      <w:numFmt w:val="decimal"/>
      <w:start w:val="10"/>
    </w:lvl>
  </w:abstractNum>
  <w:abstractNum w:abstractNumId="10">
    <w:nsid w:val="15B5AF5C"/>
    <w:multiLevelType w:val="hybridMultilevel"/>
    <w:lvl w:ilvl="0">
      <w:lvlJc w:val="left"/>
      <w:lvlText w:val="%1"/>
      <w:numFmt w:val="decimal"/>
      <w:start w:val="32"/>
    </w:lvl>
  </w:abstractNum>
  <w:abstractNum w:abstractNumId="11">
    <w:nsid w:val="741226BB"/>
    <w:multiLevelType w:val="hybridMultilevel"/>
    <w:lvl w:ilvl="0">
      <w:lvlJc w:val="left"/>
      <w:lvlText w:val="%1"/>
      <w:numFmt w:val="decimal"/>
      <w:start w:val="104"/>
    </w:lvl>
  </w:abstractNum>
  <w:abstractNum w:abstractNumId="12">
    <w:nsid w:val="D34B6A8"/>
    <w:multiLevelType w:val="hybridMultilevel"/>
    <w:lvl w:ilvl="0">
      <w:lvlJc w:val="left"/>
      <w:lvlText w:val="(%1)"/>
      <w:numFmt w:val="lowerLetter"/>
      <w:start w:val="2"/>
    </w:lvl>
  </w:abstractNum>
  <w:abstractNum w:abstractNumId="13">
    <w:nsid w:val="10233C99"/>
    <w:multiLevelType w:val="hybridMultilevel"/>
    <w:lvl w:ilvl="0">
      <w:lvlJc w:val="left"/>
      <w:lvlText w:val="(%1)"/>
      <w:numFmt w:val="upperLetter"/>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1)"/>
      <w:numFmt w:val="lowerLetter"/>
      <w:start w:val="1"/>
    </w:lvl>
  </w:abstractNum>
  <w:abstractNum w:abstractNumId="16">
    <w:nsid w:val="7E0C57B1"/>
    <w:multiLevelType w:val="hybridMultilevel"/>
    <w:lvl w:ilvl="0">
      <w:lvlJc w:val="left"/>
      <w:lvlText w:val="(%1)"/>
      <w:numFmt w:val="lowerRoman"/>
      <w:start w:val="3"/>
    </w:lvl>
  </w:abstractNum>
  <w:abstractNum w:abstractNumId="17">
    <w:nsid w:val="77AE35EB"/>
    <w:multiLevelType w:val="hybridMultilevel"/>
    <w:lvl w:ilvl="0">
      <w:lvlJc w:val="left"/>
      <w:lvlText w:val="(%1)"/>
      <w:numFmt w:val="lowerRoman"/>
      <w:start w:val="10"/>
    </w:lvl>
  </w:abstractNum>
  <w:abstractNum w:abstractNumId="18">
    <w:nsid w:val="579BE4F1"/>
    <w:multiLevelType w:val="hybridMultilevel"/>
    <w:lvl w:ilvl="0">
      <w:lvlJc w:val="left"/>
      <w:lvlText w:val="(%1)"/>
      <w:numFmt w:val="lowerRoman"/>
      <w:start w:val="2"/>
    </w:lvl>
  </w:abstractNum>
  <w:abstractNum w:abstractNumId="19">
    <w:nsid w:val="310C50B3"/>
    <w:multiLevelType w:val="hybridMultilevel"/>
    <w:lvl w:ilvl="0">
      <w:lvlJc w:val="left"/>
      <w:lvlText w:val="(%1)"/>
      <w:numFmt w:val="lowerRoman"/>
      <w:start w:val="2"/>
    </w:lvl>
  </w:abstractNum>
  <w:abstractNum w:abstractNumId="20">
    <w:nsid w:val="5FF87E05"/>
    <w:multiLevelType w:val="hybridMultilevel"/>
    <w:lvl w:ilvl="0">
      <w:lvlJc w:val="left"/>
      <w:lvlText w:val="(%1)"/>
      <w:numFmt w:val="decimal"/>
      <w:start w:val="5"/>
    </w:lvl>
  </w:abstractNum>
  <w:abstractNum w:abstractNumId="21">
    <w:nsid w:val="2F305DEF"/>
    <w:multiLevelType w:val="hybridMultilevel"/>
    <w:lvl w:ilvl="0">
      <w:lvlJc w:val="left"/>
      <w:lvlText w:val="(%1)"/>
      <w:numFmt w:val="lowerLetter"/>
      <w:start w:val="2"/>
    </w:lvl>
  </w:abstractNum>
  <w:abstractNum w:abstractNumId="22">
    <w:nsid w:val="25A70BF7"/>
    <w:multiLevelType w:val="hybridMultilevel"/>
    <w:lvl w:ilvl="0">
      <w:lvlJc w:val="left"/>
      <w:lvlText w:val="(%1)"/>
      <w:numFmt w:val="lowerLetter"/>
      <w:start w:val="2"/>
    </w:lvl>
  </w:abstractNum>
  <w:abstractNum w:abstractNumId="23">
    <w:nsid w:val="1DBABF00"/>
    <w:multiLevelType w:val="hybridMultilevel"/>
    <w:lvl w:ilvl="0">
      <w:lvlJc w:val="left"/>
      <w:lvlText w:val="(%1)"/>
      <w:numFmt w:val="lowerLetter"/>
      <w:start w:val="5"/>
    </w:lvl>
  </w:abstractNum>
  <w:abstractNum w:abstractNumId="24">
    <w:nsid w:val="4AD084E9"/>
    <w:multiLevelType w:val="hybridMultilevel"/>
    <w:lvl w:ilvl="0">
      <w:lvlJc w:val="left"/>
      <w:lvlText w:val="(%1)"/>
      <w:numFmt w:val="lowerLetter"/>
      <w:start w:val="2"/>
    </w:lvl>
  </w:abstractNum>
  <w:abstractNum w:abstractNumId="25">
    <w:nsid w:val="1F48EAA1"/>
    <w:multiLevelType w:val="hybridMultilevel"/>
    <w:lvl w:ilvl="0">
      <w:lvlJc w:val="left"/>
      <w:lvlText w:val="(%1)"/>
      <w:numFmt w:val="lowerLetter"/>
      <w:start w:val="2"/>
    </w:lvl>
  </w:abstractNum>
  <w:abstractNum w:abstractNumId="26">
    <w:nsid w:val="1381823A"/>
    <w:multiLevelType w:val="hybridMultilevel"/>
    <w:lvl w:ilvl="0">
      <w:lvlJc w:val="left"/>
      <w:lvlText w:val="(%1)"/>
      <w:numFmt w:val="lowerRoman"/>
      <w:start w:val="2"/>
    </w:lvl>
  </w:abstractNum>
  <w:abstractNum w:abstractNumId="27">
    <w:nsid w:val="5DB70AE5"/>
    <w:multiLevelType w:val="hybridMultilevel"/>
    <w:lvl w:ilvl="0">
      <w:lvlJc w:val="left"/>
      <w:lvlText w:val="(%1)"/>
      <w:numFmt w:val="lowerLetter"/>
      <w:start w:val="24"/>
    </w:lvl>
  </w:abstractNum>
  <w:abstractNum w:abstractNumId="28">
    <w:nsid w:val="100F8FCA"/>
    <w:multiLevelType w:val="hybridMultilevel"/>
    <w:lvl w:ilvl="0">
      <w:lvlJc w:val="left"/>
      <w:lvlText w:val="(%1)"/>
      <w:numFmt w:val="lowerLetter"/>
      <w:start w:val="3"/>
    </w:lvl>
  </w:abstractNum>
  <w:abstractNum w:abstractNumId="29">
    <w:nsid w:val="6590700B"/>
    <w:multiLevelType w:val="hybridMultilevel"/>
    <w:lvl w:ilvl="0">
      <w:lvlJc w:val="left"/>
      <w:lvlText w:val="(%1)"/>
      <w:numFmt w:val="lowerLetter"/>
      <w:start w:val="2"/>
    </w:lvl>
  </w:abstractNum>
  <w:abstractNum w:abstractNumId="30">
    <w:nsid w:val="15014ACB"/>
    <w:multiLevelType w:val="hybridMultilevel"/>
    <w:lvl w:ilvl="0">
      <w:lvlJc w:val="left"/>
      <w:lvlText w:val="(%1)"/>
      <w:numFmt w:val="lowerRoman"/>
      <w:start w:val="2"/>
    </w:lvl>
  </w:abstractNum>
  <w:abstractNum w:abstractNumId="31">
    <w:nsid w:val="5F5E7FD0"/>
    <w:multiLevelType w:val="hybridMultilevel"/>
    <w:lvl w:ilvl="0">
      <w:lvlJc w:val="left"/>
      <w:lvlText w:val="(%1)"/>
      <w:numFmt w:val="lowerRoman"/>
      <w:start w:val="2"/>
    </w:lvl>
  </w:abstractNum>
  <w:abstractNum w:abstractNumId="32">
    <w:nsid w:val="98A3148"/>
    <w:multiLevelType w:val="hybridMultilevel"/>
    <w:lvl w:ilvl="0">
      <w:lvlJc w:val="left"/>
      <w:lvlText w:val="(%1)"/>
      <w:numFmt w:val="lowerLetter"/>
      <w:start w:val="2"/>
    </w:lvl>
  </w:abstractNum>
  <w:abstractNum w:abstractNumId="33">
    <w:nsid w:val="799D0247"/>
    <w:multiLevelType w:val="hybridMultilevel"/>
    <w:lvl w:ilvl="0">
      <w:lvlJc w:val="left"/>
      <w:lvlText w:val="(%1)"/>
      <w:numFmt w:val="upperLetter"/>
      <w:start w:val="2"/>
    </w:lvl>
  </w:abstractNum>
  <w:abstractNum w:abstractNumId="34">
    <w:nsid w:val="6B94764"/>
    <w:multiLevelType w:val="hybridMultilevel"/>
    <w:lvl w:ilvl="0">
      <w:lvlJc w:val="left"/>
      <w:lvlText w:val="(%1)"/>
      <w:numFmt w:val="lowerRoman"/>
      <w:start w:val="10"/>
    </w:lvl>
  </w:abstractNum>
  <w:abstractNum w:abstractNumId="35">
    <w:nsid w:val="42C296BD"/>
    <w:multiLevelType w:val="hybridMultilevel"/>
    <w:lvl w:ilvl="0">
      <w:lvlJc w:val="left"/>
      <w:lvlText w:val="(%1)"/>
      <w:numFmt w:val="lowerLetter"/>
      <w:start w:val="2"/>
    </w:lvl>
  </w:abstractNum>
  <w:abstractNum w:abstractNumId="36">
    <w:nsid w:val="168E121F"/>
    <w:multiLevelType w:val="hybridMultilevel"/>
    <w:lvl w:ilvl="0">
      <w:lvlJc w:val="left"/>
      <w:lvlText w:val="(%1)"/>
      <w:numFmt w:val="lowerLetter"/>
      <w:start w:val="24"/>
    </w:lvl>
  </w:abstractNum>
  <w:abstractNum w:abstractNumId="37">
    <w:nsid w:val="1EBA5D23"/>
    <w:multiLevelType w:val="hybridMultilevel"/>
    <w:lvl w:ilvl="0">
      <w:lvlJc w:val="left"/>
      <w:lvlText w:val="(%1)"/>
      <w:numFmt w:val="lowerRoman"/>
      <w:start w:val="3"/>
    </w:lvl>
  </w:abstractNum>
  <w:abstractNum w:abstractNumId="38">
    <w:nsid w:val="661E3F1E"/>
    <w:multiLevelType w:val="hybridMultilevel"/>
    <w:lvl w:ilvl="0">
      <w:lvlJc w:val="left"/>
      <w:lvlText w:val="(%1)"/>
      <w:numFmt w:val="lowerLetter"/>
      <w:start w:val="9"/>
    </w:lvl>
  </w:abstractNum>
  <w:abstractNum w:abstractNumId="39">
    <w:nsid w:val="5DC79EA8"/>
    <w:multiLevelType w:val="hybridMultilevel"/>
    <w:lvl w:ilvl="0">
      <w:lvlJc w:val="left"/>
      <w:lvlText w:val="(%1)"/>
      <w:numFmt w:val="lowerLetter"/>
      <w:start w:val="3"/>
    </w:lvl>
  </w:abstractNum>
  <w:abstractNum w:abstractNumId="40">
    <w:nsid w:val="540A471C"/>
    <w:multiLevelType w:val="hybridMultilevel"/>
    <w:lvl w:ilvl="0">
      <w:lvlJc w:val="left"/>
      <w:lvlText w:val="(%1)"/>
      <w:numFmt w:val="lowerLetter"/>
      <w:start w:val="25"/>
    </w:lvl>
  </w:abstractNum>
  <w:abstractNum w:abstractNumId="41">
    <w:nsid w:val="7BD3EE7B"/>
    <w:multiLevelType w:val="hybridMultilevel"/>
    <w:lvl w:ilvl="0">
      <w:lvlJc w:val="left"/>
      <w:lvlText w:val="(%1)"/>
      <w:numFmt w:val="lowerLetter"/>
      <w:start w:val="2"/>
    </w:lvl>
  </w:abstractNum>
  <w:abstractNum w:abstractNumId="42">
    <w:nsid w:val="51D9C564"/>
    <w:multiLevelType w:val="hybridMultilevel"/>
    <w:lvl w:ilvl="0">
      <w:lvlJc w:val="left"/>
      <w:lvlText w:val="(%1)"/>
      <w:numFmt w:val="lowerLetter"/>
      <w:start w:val="2"/>
    </w:lvl>
  </w:abstractNum>
  <w:abstractNum w:abstractNumId="43">
    <w:nsid w:val="613EFDC5"/>
    <w:multiLevelType w:val="hybridMultilevel"/>
    <w:lvl w:ilvl="0">
      <w:lvlJc w:val="left"/>
      <w:lvlText w:val="(%1)"/>
      <w:numFmt w:val="lowerRoman"/>
      <w:start w:val="1"/>
    </w:lvl>
  </w:abstractNum>
  <w:abstractNum w:abstractNumId="44">
    <w:nsid w:val="BF72B14"/>
    <w:multiLevelType w:val="hybridMultilevel"/>
    <w:lvl w:ilvl="0">
      <w:lvlJc w:val="left"/>
      <w:lvlText w:val="(%1)"/>
      <w:numFmt w:val="lowerRoman"/>
      <w:start w:val="2"/>
    </w:lvl>
  </w:abstractNum>
  <w:abstractNum w:abstractNumId="45">
    <w:nsid w:val="11447B73"/>
    <w:multiLevelType w:val="hybridMultilevel"/>
    <w:lvl w:ilvl="0">
      <w:lvlJc w:val="left"/>
      <w:lvlText w:val="(%1)"/>
      <w:numFmt w:val="lowerRoman"/>
      <w:start w:val="10"/>
    </w:lvl>
  </w:abstractNum>
  <w:abstractNum w:abstractNumId="46">
    <w:nsid w:val="42963E5A"/>
    <w:multiLevelType w:val="hybridMultilevel"/>
    <w:lvl w:ilvl="0">
      <w:lvlJc w:val="left"/>
      <w:lvlText w:val="(%1)"/>
      <w:numFmt w:val="lowerRoman"/>
      <w:start w:val="2"/>
    </w:lvl>
  </w:abstractNum>
  <w:abstractNum w:abstractNumId="47">
    <w:nsid w:val="A0382C5"/>
    <w:multiLevelType w:val="hybridMultilevel"/>
    <w:lvl w:ilvl="0">
      <w:lvlJc w:val="left"/>
      <w:lvlText w:val="(%1)"/>
      <w:numFmt w:val="lowerRoman"/>
      <w:start w:val="10"/>
    </w:lvl>
  </w:abstractNum>
  <w:abstractNum w:abstractNumId="48">
    <w:nsid w:val="8F2B15E"/>
    <w:multiLevelType w:val="hybridMultilevel"/>
    <w:lvl w:ilvl="0">
      <w:lvlJc w:val="left"/>
      <w:lvlText w:val="(%1)"/>
      <w:numFmt w:val="decimal"/>
      <w:start w:val="5"/>
    </w:lvl>
  </w:abstractNum>
  <w:abstractNum w:abstractNumId="49">
    <w:nsid w:val="1A32234B"/>
    <w:multiLevelType w:val="hybridMultilevel"/>
    <w:lvl w:ilvl="0">
      <w:lvlJc w:val="left"/>
      <w:lvlText w:val="(%1)"/>
      <w:numFmt w:val="lowerLetter"/>
      <w:start w:val="25"/>
    </w:lvl>
  </w:abstractNum>
  <w:abstractNum w:abstractNumId="50">
    <w:nsid w:val="3B0FD379"/>
    <w:multiLevelType w:val="hybridMultilevel"/>
    <w:lvl w:ilvl="0">
      <w:lvlJc w:val="left"/>
      <w:lvlText w:val="(%1)"/>
      <w:numFmt w:val="lowerRoman"/>
      <w:start w:val="1"/>
    </w:lvl>
  </w:abstractNum>
  <w:abstractNum w:abstractNumId="51">
    <w:nsid w:val="68EB2F63"/>
    <w:multiLevelType w:val="hybridMultilevel"/>
    <w:lvl w:ilvl="0">
      <w:lvlJc w:val="left"/>
      <w:lvlText w:val="(%1)"/>
      <w:numFmt w:val="lowerRoman"/>
      <w:start w:val="4"/>
    </w:lvl>
  </w:abstractNum>
  <w:abstractNum w:abstractNumId="52">
    <w:nsid w:val="4962813B"/>
    <w:multiLevelType w:val="hybridMultilevel"/>
    <w:lvl w:ilvl="0">
      <w:lvlJc w:val="left"/>
      <w:lvlText w:val="(%1)"/>
      <w:numFmt w:val="lowerRoman"/>
      <w:start w:val="2"/>
    </w:lvl>
  </w:abstractNum>
  <w:abstractNum w:abstractNumId="53">
    <w:nsid w:val="60B6DF70"/>
    <w:multiLevelType w:val="hybridMultilevel"/>
    <w:lvl w:ilvl="0">
      <w:lvlJc w:val="left"/>
      <w:lvlText w:val="(%1)"/>
      <w:numFmt w:val="lowerLetter"/>
      <w:start w:val="2"/>
    </w:lvl>
  </w:abstractNum>
  <w:abstractNum w:abstractNumId="54">
    <w:nsid w:val="6A5EE64"/>
    <w:multiLevelType w:val="hybridMultilevel"/>
    <w:lvl w:ilvl="0">
      <w:lvlJc w:val="left"/>
      <w:lvlText w:val="a"/>
      <w:numFmt w:val="bullet"/>
      <w:start w:val="1"/>
    </w:lvl>
  </w:abstractNum>
  <w:abstractNum w:abstractNumId="55">
    <w:nsid w:val="14330624"/>
    <w:multiLevelType w:val="hybridMultilevel"/>
    <w:lvl w:ilvl="0">
      <w:lvlJc w:val="left"/>
      <w:lvlText w:val="(%1)"/>
      <w:numFmt w:val="lowerRoman"/>
      <w:start w:val="3"/>
    </w:lvl>
  </w:abstractNum>
  <w:abstractNum w:abstractNumId="56">
    <w:nsid w:val="7FFFCA11"/>
    <w:multiLevelType w:val="hybridMultilevel"/>
    <w:lvl w:ilvl="0">
      <w:lvlJc w:val="left"/>
      <w:lvlText w:val="(%1)"/>
      <w:numFmt w:val="lowerRoman"/>
      <w:start w:val="1"/>
    </w:lvl>
  </w:abstractNum>
  <w:abstractNum w:abstractNumId="57">
    <w:nsid w:val="1A27709E"/>
    <w:multiLevelType w:val="hybridMultilevel"/>
    <w:lvl w:ilvl="0">
      <w:lvlJc w:val="left"/>
      <w:lvlText w:val="(%1)"/>
      <w:numFmt w:val="lowerRoman"/>
      <w:start w:val="2"/>
    </w:lvl>
  </w:abstractNum>
  <w:abstractNum w:abstractNumId="58">
    <w:nsid w:val="71EA1109"/>
    <w:multiLevelType w:val="hybridMultilevel"/>
    <w:lvl w:ilvl="0">
      <w:lvlJc w:val="left"/>
      <w:lvlText w:val="(%1)"/>
      <w:numFmt w:val="lowerRoman"/>
      <w:start w:val="2"/>
    </w:lvl>
  </w:abstractNum>
  <w:abstractNum w:abstractNumId="59">
    <w:nsid w:val="100F59DC"/>
    <w:multiLevelType w:val="hybridMultilevel"/>
    <w:lvl w:ilvl="0">
      <w:lvlJc w:val="left"/>
      <w:lvlText w:val="(%1)"/>
      <w:numFmt w:val="lowerLetter"/>
      <w:start w:val="4"/>
    </w:lvl>
  </w:abstractNum>
  <w:abstractNum w:abstractNumId="60">
    <w:nsid w:val="7FB7E0AA"/>
    <w:multiLevelType w:val="hybridMultilevel"/>
    <w:lvl w:ilvl="0">
      <w:lvlJc w:val="left"/>
      <w:lvlText w:val="(%1)"/>
      <w:numFmt w:val="lowerRoman"/>
      <w:start w:val="2"/>
    </w:lvl>
  </w:abstractNum>
  <w:abstractNum w:abstractNumId="61">
    <w:nsid w:val="6EB5BD4"/>
    <w:multiLevelType w:val="hybridMultilevel"/>
    <w:lvl w:ilvl="0">
      <w:lvlJc w:val="left"/>
      <w:lvlText w:val="(%1)"/>
      <w:numFmt w:val="lowerLetter"/>
      <w:start w:val="25"/>
    </w:lvl>
  </w:abstractNum>
  <w:abstractNum w:abstractNumId="62">
    <w:nsid w:val="6F6DD9AC"/>
    <w:multiLevelType w:val="hybridMultilevel"/>
    <w:lvl w:ilvl="0">
      <w:lvlJc w:val="left"/>
      <w:lvlText w:val="(%1)"/>
      <w:numFmt w:val="upperLetter"/>
      <w:start w:val="61"/>
    </w:lvl>
  </w:abstractNum>
  <w:abstractNum w:abstractNumId="63">
    <w:nsid w:val="94211F2"/>
    <w:multiLevelType w:val="hybridMultilevel"/>
    <w:lvl w:ilvl="0">
      <w:lvlJc w:val="left"/>
      <w:lvlText w:val="(%1)"/>
      <w:numFmt w:val="decimal"/>
      <w:start w:val="2"/>
    </w:lvl>
  </w:abstractNum>
  <w:abstractNum w:abstractNumId="64">
    <w:nsid w:val="885E1B"/>
    <w:multiLevelType w:val="hybridMultilevel"/>
    <w:lvl w:ilvl="0">
      <w:lvlJc w:val="left"/>
      <w:lvlText w:val="(%1)"/>
      <w:numFmt w:val="decimal"/>
      <w:start w:val="2"/>
    </w:lvl>
  </w:abstractNum>
  <w:abstractNum w:abstractNumId="65">
    <w:nsid w:val="76272110"/>
    <w:multiLevelType w:val="hybridMultilevel"/>
    <w:lvl w:ilvl="0">
      <w:lvlJc w:val="left"/>
      <w:lvlText w:val="%1"/>
      <w:numFmt w:val="upperLetter"/>
      <w:start w:val="61"/>
    </w:lvl>
  </w:abstractNum>
  <w:abstractNum w:abstractNumId="66">
    <w:nsid w:val="4C04A8AF"/>
    <w:multiLevelType w:val="hybridMultilevel"/>
    <w:lvl w:ilvl="0">
      <w:lvlJc w:val="left"/>
      <w:lvlText w:val="(%1)"/>
      <w:numFmt w:val="lowerRoman"/>
      <w:start w:val="1"/>
    </w:lvl>
  </w:abstractNum>
  <w:abstractNum w:abstractNumId="67">
    <w:nsid w:val="1716703B"/>
    <w:multiLevelType w:val="hybridMultilevel"/>
    <w:lvl w:ilvl="0">
      <w:lvlJc w:val="left"/>
      <w:lvlText w:val="(%1)"/>
      <w:numFmt w:val="lowerRoman"/>
      <w:start w:val="2"/>
    </w:lvl>
  </w:abstractNum>
  <w:abstractNum w:abstractNumId="68">
    <w:nsid w:val="14E17E33"/>
    <w:multiLevelType w:val="hybridMultilevel"/>
    <w:lvl w:ilvl="0">
      <w:lvlJc w:val="left"/>
      <w:lvlText w:val="(%1)"/>
      <w:numFmt w:val="lowerLetter"/>
      <w:start w:val="17"/>
    </w:lvl>
  </w:abstractNum>
  <w:abstractNum w:abstractNumId="69">
    <w:nsid w:val="3222E7CD"/>
    <w:multiLevelType w:val="hybridMultilevel"/>
    <w:lvl w:ilvl="0">
      <w:lvlJc w:val="left"/>
      <w:lvlText w:val="(%1)"/>
      <w:numFmt w:val="upperLetter"/>
      <w:start w:val="1"/>
    </w:lvl>
  </w:abstractNum>
  <w:abstractNum w:abstractNumId="70">
    <w:nsid w:val="74DE0EE3"/>
    <w:multiLevelType w:val="hybridMultilevel"/>
    <w:lvl w:ilvl="0">
      <w:lvlJc w:val="left"/>
      <w:lvlText w:val="V"/>
      <w:numFmt w:val="bullet"/>
      <w:start w:val="1"/>
    </w:lvl>
  </w:abstractNum>
  <w:abstractNum w:abstractNumId="71">
    <w:nsid w:val="68EBC550"/>
    <w:multiLevelType w:val="hybridMultilevel"/>
    <w:lvl w:ilvl="0">
      <w:lvlJc w:val="left"/>
      <w:lvlText w:val="(%1)"/>
      <w:numFmt w:val="lowerLetter"/>
      <w:start w:val="1"/>
    </w:lvl>
  </w:abstractNum>
  <w:abstractNum w:abstractNumId="72">
    <w:nsid w:val="2DF6D648"/>
    <w:multiLevelType w:val="hybridMultilevel"/>
    <w:lvl w:ilvl="0">
      <w:lvlJc w:val="left"/>
      <w:lvlText w:val="(%1)"/>
      <w:numFmt w:val="lowerLetter"/>
      <w:start w:val="1"/>
    </w:lvl>
  </w:abstractNum>
  <w:abstractNum w:abstractNumId="73">
    <w:nsid w:val="46B7D447"/>
    <w:multiLevelType w:val="hybridMultilevel"/>
    <w:lvl w:ilvl="0">
      <w:lvlJc w:val="left"/>
      <w:lvlText w:val="(%1)"/>
      <w:numFmt w:val="lowerLetter"/>
      <w:start w:val="2"/>
    </w:lvl>
  </w:abstractNum>
  <w:abstractNum w:abstractNumId="74">
    <w:nsid w:val="4A2AC315"/>
    <w:multiLevelType w:val="hybridMultilevel"/>
    <w:lvl w:ilvl="0">
      <w:lvlJc w:val="left"/>
      <w:lvlText w:val="(%1)"/>
      <w:numFmt w:val="lowerLetter"/>
      <w:start w:val="9"/>
    </w:lvl>
  </w:abstractNum>
  <w:abstractNum w:abstractNumId="75">
    <w:nsid w:val="39EE015C"/>
    <w:multiLevelType w:val="hybridMultilevel"/>
    <w:lvl w:ilvl="0">
      <w:lvlJc w:val="left"/>
      <w:lvlText w:val="(%1)"/>
      <w:numFmt w:val="lowerLetter"/>
      <w:start w:val="25"/>
    </w:lvl>
  </w:abstractNum>
  <w:abstractNum w:abstractNumId="76">
    <w:nsid w:val="57FC4FBB"/>
    <w:multiLevelType w:val="hybridMultilevel"/>
    <w:lvl w:ilvl="0">
      <w:lvlJc w:val="left"/>
      <w:lvlText w:val="(%1)"/>
      <w:numFmt w:val="upperLetter"/>
      <w:start w:val="2"/>
    </w:lvl>
  </w:abstractNum>
  <w:abstractNum w:abstractNumId="77">
    <w:nsid w:val="CC1016F"/>
    <w:multiLevelType w:val="hybridMultilevel"/>
    <w:lvl w:ilvl="0">
      <w:lvlJc w:val="left"/>
      <w:lvlText w:val="(%1)"/>
      <w:numFmt w:val="upperLetter"/>
      <w:start w:val="2"/>
    </w:lvl>
  </w:abstractNum>
  <w:abstractNum w:abstractNumId="78">
    <w:nsid w:val="43F18422"/>
    <w:multiLevelType w:val="hybridMultilevel"/>
    <w:lvl w:ilvl="0">
      <w:lvlJc w:val="left"/>
      <w:lvlText w:val="(%1)"/>
      <w:numFmt w:val="lowerLetter"/>
      <w:start w:val="1"/>
    </w:lvl>
  </w:abstractNum>
  <w:abstractNum w:abstractNumId="79">
    <w:nsid w:val="60EF0119"/>
    <w:multiLevelType w:val="hybridMultilevel"/>
    <w:lvl w:ilvl="0">
      <w:lvlJc w:val="left"/>
      <w:lvlText w:val="(%1)"/>
      <w:numFmt w:val="lowerLetter"/>
      <w:start w:val="1"/>
    </w:lvl>
  </w:abstractNum>
  <w:abstractNum w:abstractNumId="80">
    <w:nsid w:val="26F324BA"/>
    <w:multiLevelType w:val="hybridMultilevel"/>
    <w:lvl w:ilvl="0">
      <w:lvlJc w:val="left"/>
      <w:lvlText w:val="(%1)"/>
      <w:numFmt w:val="lowerRoman"/>
      <w:start w:val="1"/>
    </w:lvl>
  </w:abstractNum>
  <w:abstractNum w:abstractNumId="81">
    <w:nsid w:val="7F01579B"/>
    <w:multiLevelType w:val="hybridMultilevel"/>
    <w:lvl w:ilvl="0">
      <w:lvlJc w:val="left"/>
      <w:lvlText w:val="(%1)"/>
      <w:numFmt w:val="lowerRoman"/>
      <w:start w:val="1"/>
    </w:lvl>
  </w:abstractNum>
  <w:abstractNum w:abstractNumId="82">
    <w:nsid w:val="49DA307D"/>
    <w:multiLevelType w:val="hybridMultilevel"/>
    <w:lvl w:ilvl="0">
      <w:lvlJc w:val="left"/>
      <w:lvlText w:val="(%1)"/>
      <w:numFmt w:val="lowerRoman"/>
      <w:start w:val="10"/>
    </w:lvl>
  </w:abstractNum>
  <w:abstractNum w:abstractNumId="83">
    <w:nsid w:val="7055A5F5"/>
    <w:multiLevelType w:val="hybridMultilevel"/>
    <w:lvl w:ilvl="0">
      <w:lvlJc w:val="left"/>
      <w:lvlText w:val="(%1)"/>
      <w:numFmt w:val="lowerRoman"/>
      <w:start w:val="1"/>
    </w:lvl>
  </w:abstractNum>
  <w:abstractNum w:abstractNumId="84">
    <w:nsid w:val="5FB8370B"/>
    <w:multiLevelType w:val="hybridMultilevel"/>
    <w:lvl w:ilvl="0">
      <w:lvlJc w:val="left"/>
      <w:lvlText w:val="(%1)"/>
      <w:numFmt w:val="lowerLetter"/>
      <w:start w:val="1"/>
    </w:lvl>
  </w:abstractNum>
  <w:abstractNum w:abstractNumId="85">
    <w:nsid w:val="50801EE1"/>
    <w:multiLevelType w:val="hybridMultilevel"/>
    <w:lvl w:ilvl="0">
      <w:lvlJc w:val="left"/>
      <w:lvlText w:val="%1"/>
      <w:numFmt w:val="lowerLetter"/>
      <w:start w:val="1"/>
    </w:lvl>
    <w:lvl w:ilvl="1">
      <w:lvlJc w:val="left"/>
      <w:lvlText w:val="(%2)"/>
      <w:numFmt w:val="lowerLetter"/>
      <w:start w:val="1"/>
    </w:lvl>
  </w:abstractNum>
  <w:abstractNum w:abstractNumId="86">
    <w:nsid w:val="488AC1A"/>
    <w:multiLevelType w:val="hybridMultilevel"/>
    <w:lvl w:ilvl="0">
      <w:lvlJc w:val="left"/>
      <w:lvlText w:val="(%1)"/>
      <w:numFmt w:val="lowerLetter"/>
      <w:start w:val="23"/>
    </w:lvl>
    <w:lvl w:ilvl="1">
      <w:lvlJc w:val="left"/>
      <w:lvlText w:val="(%2)"/>
      <w:numFmt w:val="lowerLetter"/>
      <w:start w:val="2"/>
    </w:lvl>
  </w:abstractNum>
  <w:abstractNum w:abstractNumId="87">
    <w:nsid w:val="5FB8011C"/>
    <w:multiLevelType w:val="hybridMultilevel"/>
    <w:lvl w:ilvl="0">
      <w:lvlJc w:val="left"/>
      <w:lvlText w:val="(%1)"/>
      <w:numFmt w:val="lowerLetter"/>
      <w:start w:val="35"/>
    </w:lvl>
    <w:lvl w:ilvl="1">
      <w:lvlJc w:val="left"/>
      <w:lvlText w:val="(%2)"/>
      <w:numFmt w:val="lowerLetter"/>
      <w:start w:val="4"/>
    </w:lvl>
  </w:abstractNum>
  <w:abstractNum w:abstractNumId="88">
    <w:nsid w:val="6AA78F7F"/>
    <w:multiLevelType w:val="hybridMultilevel"/>
    <w:lvl w:ilvl="0">
      <w:lvlJc w:val="left"/>
      <w:lvlText w:val="(%1)"/>
      <w:numFmt w:val="lowerLetter"/>
      <w:start w:val="5"/>
    </w:lvl>
  </w:abstractNum>
  <w:abstractNum w:abstractNumId="89">
    <w:nsid w:val="7672BD23"/>
    <w:multiLevelType w:val="hybridMultilevel"/>
    <w:lvl w:ilvl="0">
      <w:lvlJc w:val="left"/>
      <w:lvlText w:val="(%1)"/>
      <w:numFmt w:val="lowerRoman"/>
      <w:start w:val="2"/>
    </w:lvl>
  </w:abstractNum>
  <w:abstractNum w:abstractNumId="90">
    <w:nsid w:val="6FC75AF8"/>
    <w:multiLevelType w:val="hybridMultilevel"/>
    <w:lvl w:ilvl="0">
      <w:lvlJc w:val="left"/>
      <w:lvlText w:val="(%1)"/>
      <w:numFmt w:val="lowerRoman"/>
      <w:start w:val="1"/>
    </w:lvl>
  </w:abstractNum>
  <w:abstractNum w:abstractNumId="91">
    <w:nsid w:val="6A5F7029"/>
    <w:multiLevelType w:val="hybridMultilevel"/>
    <w:lvl w:ilvl="0">
      <w:lvlJc w:val="left"/>
      <w:lvlText w:val="(%1)"/>
      <w:numFmt w:val="lowerRoman"/>
      <w:start w:val="1"/>
    </w:lvl>
  </w:abstractNum>
  <w:abstractNum w:abstractNumId="92">
    <w:nsid w:val="7D5E18F8"/>
    <w:multiLevelType w:val="hybridMultilevel"/>
    <w:lvl w:ilvl="0">
      <w:lvlJc w:val="left"/>
      <w:lvlText w:val="(%1)"/>
      <w:numFmt w:val="lowerLetter"/>
      <w:start w:val="9"/>
    </w:lvl>
  </w:abstractNum>
  <w:abstractNum w:abstractNumId="93">
    <w:nsid w:val="5F3534A4"/>
    <w:multiLevelType w:val="hybridMultilevel"/>
    <w:lvl w:ilvl="0">
      <w:lvlJc w:val="left"/>
      <w:lvlText w:val="(%1)"/>
      <w:numFmt w:val="lowerRoman"/>
      <w:start w:val="1"/>
    </w:lvl>
  </w:abstractNum>
  <w:abstractNum w:abstractNumId="94">
    <w:nsid w:val="73A1821B"/>
    <w:multiLevelType w:val="hybridMultilevel"/>
    <w:lvl w:ilvl="0">
      <w:lvlJc w:val="left"/>
      <w:lvlText w:val="(%1)"/>
      <w:numFmt w:val="lowerRoman"/>
      <w:start w:val="5"/>
    </w:lvl>
  </w:abstractNum>
  <w:abstractNum w:abstractNumId="95">
    <w:nsid w:val="7DE67713"/>
    <w:multiLevelType w:val="hybridMultilevel"/>
    <w:lvl w:ilvl="0">
      <w:lvlJc w:val="left"/>
      <w:lvlText w:val="(%1)"/>
      <w:numFmt w:val="lowerLetter"/>
      <w:start w:val="26"/>
    </w:lvl>
  </w:abstractNum>
  <w:abstractNum w:abstractNumId="96">
    <w:nsid w:val="555C55B5"/>
    <w:multiLevelType w:val="hybridMultilevel"/>
    <w:lvl w:ilvl="0">
      <w:lvlJc w:val="left"/>
      <w:lvlText w:val="(%1)"/>
      <w:numFmt w:val="lowerRoman"/>
      <w:start w:val="2"/>
    </w:lvl>
  </w:abstractNum>
  <w:abstractNum w:abstractNumId="97">
    <w:nsid w:val="3FA62ACA"/>
    <w:multiLevelType w:val="hybridMultilevel"/>
    <w:lvl w:ilvl="0">
      <w:lvlJc w:val="left"/>
      <w:lvlText w:val="(%1)"/>
      <w:numFmt w:val="lowerLetter"/>
      <w:start w:val="2"/>
    </w:lvl>
  </w:abstractNum>
  <w:abstractNum w:abstractNumId="98">
    <w:nsid w:val="14FCE74E"/>
    <w:multiLevelType w:val="hybridMultilevel"/>
    <w:lvl w:ilvl="0">
      <w:lvlJc w:val="left"/>
      <w:lvlText w:val="(%1)"/>
      <w:numFmt w:val="lowerRoman"/>
      <w:start w:val="1"/>
    </w:lvl>
  </w:abstractNum>
  <w:abstractNum w:abstractNumId="99">
    <w:nsid w:val="6A3DD3E8"/>
    <w:multiLevelType w:val="hybridMultilevel"/>
    <w:lvl w:ilvl="0">
      <w:lvlJc w:val="left"/>
      <w:lvlText w:val="(%1)"/>
      <w:numFmt w:val="lowerRoman"/>
      <w:start w:val="1"/>
    </w:lvl>
  </w:abstractNum>
  <w:abstractNum w:abstractNumId="100">
    <w:nsid w:val="71C91298"/>
    <w:multiLevelType w:val="hybridMultilevel"/>
    <w:lvl w:ilvl="0">
      <w:lvlJc w:val="left"/>
      <w:lvlText w:val="(%1)"/>
      <w:numFmt w:val="lowerRoman"/>
      <w:start w:val="1"/>
    </w:lvl>
  </w:abstractNum>
  <w:abstractNum w:abstractNumId="101">
    <w:nsid w:val="9DAF632"/>
    <w:multiLevelType w:val="hybridMultilevel"/>
    <w:lvl w:ilvl="0">
      <w:lvlJc w:val="left"/>
      <w:lvlText w:val="(%1)"/>
      <w:numFmt w:val="lowerLetter"/>
      <w:start w:val="2"/>
    </w:lvl>
  </w:abstractNum>
  <w:abstractNum w:abstractNumId="102">
    <w:nsid w:val="53299938"/>
    <w:multiLevelType w:val="hybridMultilevel"/>
    <w:lvl w:ilvl="0">
      <w:lvlJc w:val="left"/>
      <w:lvlText w:val="(%1)"/>
      <w:numFmt w:val="upperLetter"/>
      <w:start w:val="1"/>
    </w:lvl>
  </w:abstractNum>
  <w:abstractNum w:abstractNumId="103">
    <w:nsid w:val="1FBFE8E0"/>
    <w:multiLevelType w:val="hybridMultilevel"/>
    <w:lvl w:ilvl="0">
      <w:lvlJc w:val="left"/>
      <w:lvlText w:val="(%1)"/>
      <w:numFmt w:val="lowerLetter"/>
      <w:start w:val="25"/>
    </w:lvl>
  </w:abstractNum>
  <w:abstractNum w:abstractNumId="104">
    <w:nsid w:val="5092CA79"/>
    <w:multiLevelType w:val="hybridMultilevel"/>
    <w:lvl w:ilvl="0">
      <w:lvlJc w:val="left"/>
      <w:lvlText w:val="(%1)"/>
      <w:numFmt w:val="lowerLetter"/>
      <w:start w:val="2"/>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147" Type="http://schemas.openxmlformats.org/officeDocument/2006/relationships/hyperlink" Target="https://www.sec.gov/Archives/edgar/data/1508655/000119312520174009/d936084dex32.htm" TargetMode="External"/><Relationship Id="rId148" Type="http://schemas.openxmlformats.org/officeDocument/2006/relationships/hyperlink" Target="https://www.sec.gov/Archives/edgar/data/1508655/000119312523188221/d53456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2024-07-31T15:24:48Z</dcterms:created>
  <dcterms:modified xsi:type="dcterms:W3CDTF">2024-07-31T15:24:48Z</dcterms:modified>
</cp:coreProperties>
</file>