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February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148590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4" w:lineRule="exact"/>
        <w:rPr>
          <w:sz w:val="24"/>
          <w:szCs w:val="24"/>
          <w:color w:val="auto"/>
        </w:rPr>
      </w:pPr>
    </w:p>
    <w:tbl>
      <w:tblPr>
        <w:tblLayout w:type="fixed"/>
        <w:tblInd w:w="600" w:type="dxa"/>
        <w:tblCellMar>
          <w:top w:w="0" w:type="dxa"/>
          <w:left w:w="0" w:type="dxa"/>
          <w:bottom w:w="0" w:type="dxa"/>
          <w:right w:w="0" w:type="dxa"/>
        </w:tblCellMar>
      </w:tblPr>
      <w:tr>
        <w:trPr>
          <w:trHeight w:val="212"/>
        </w:trPr>
        <w:tc>
          <w:tcPr>
            <w:tcW w:w="3760" w:type="dxa"/>
            <w:vAlign w:val="bottom"/>
          </w:tcPr>
          <w:p>
            <w:pPr>
              <w:jc w:val="center"/>
              <w:ind w:right="999"/>
              <w:spacing w:after="0"/>
              <w:rPr>
                <w:sz w:val="20"/>
                <w:szCs w:val="20"/>
                <w:color w:val="auto"/>
              </w:rPr>
            </w:pPr>
            <w:r>
              <w:rPr>
                <w:rFonts w:ascii="Arial" w:cs="Arial" w:eastAsia="Arial" w:hAnsi="Arial"/>
                <w:sz w:val="18"/>
                <w:szCs w:val="18"/>
                <w:b w:val="1"/>
                <w:bCs w:val="1"/>
                <w:color w:val="auto"/>
                <w:w w:val="91"/>
              </w:rPr>
              <w:t>Delaware</w:t>
            </w:r>
          </w:p>
        </w:tc>
        <w:tc>
          <w:tcPr>
            <w:tcW w:w="3280" w:type="dxa"/>
            <w:vAlign w:val="bottom"/>
          </w:tcPr>
          <w:p>
            <w:pPr>
              <w:ind w:left="11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760" w:type="dxa"/>
            <w:vAlign w:val="bottom"/>
          </w:tcPr>
          <w:p>
            <w:pPr>
              <w:jc w:val="center"/>
              <w:ind w:right="9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80" w:type="dxa"/>
            <w:vAlign w:val="bottom"/>
          </w:tcPr>
          <w:p>
            <w:pPr>
              <w:ind w:left="10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60" w:type="dxa"/>
            <w:vAlign w:val="bottom"/>
          </w:tcPr>
          <w:p>
            <w:pPr>
              <w:jc w:val="center"/>
              <w:ind w:right="979"/>
              <w:spacing w:after="0"/>
              <w:rPr>
                <w:sz w:val="20"/>
                <w:szCs w:val="20"/>
                <w:color w:val="auto"/>
              </w:rPr>
            </w:pPr>
            <w:r>
              <w:rPr>
                <w:rFonts w:ascii="Arial" w:cs="Arial" w:eastAsia="Arial" w:hAnsi="Arial"/>
                <w:sz w:val="14"/>
                <w:szCs w:val="14"/>
                <w:b w:val="1"/>
                <w:bCs w:val="1"/>
                <w:color w:val="auto"/>
                <w:w w:val="94"/>
              </w:rPr>
              <w:t>of Incorporation)</w:t>
            </w:r>
          </w:p>
        </w:tc>
        <w:tc>
          <w:tcPr>
            <w:tcW w:w="3280" w:type="dxa"/>
            <w:vAlign w:val="bottom"/>
          </w:tcPr>
          <w:p>
            <w:pPr>
              <w:ind w:left="10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3760" w:type="dxa"/>
            <w:vAlign w:val="bottom"/>
          </w:tcPr>
          <w:p>
            <w:pPr>
              <w:jc w:val="center"/>
              <w:ind w:right="979"/>
              <w:spacing w:after="0"/>
              <w:rPr>
                <w:sz w:val="20"/>
                <w:szCs w:val="20"/>
                <w:color w:val="auto"/>
              </w:rPr>
            </w:pPr>
            <w:r>
              <w:rPr>
                <w:rFonts w:ascii="Arial" w:cs="Arial" w:eastAsia="Arial" w:hAnsi="Arial"/>
                <w:sz w:val="18"/>
                <w:szCs w:val="18"/>
                <w:b w:val="1"/>
                <w:bCs w:val="1"/>
                <w:color w:val="auto"/>
                <w:w w:val="90"/>
              </w:rPr>
              <w:t>2100 McKinney Avenue, Suite 1500</w:t>
            </w:r>
          </w:p>
        </w:tc>
        <w:tc>
          <w:tcPr>
            <w:tcW w:w="32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760" w:type="dxa"/>
            <w:vAlign w:val="bottom"/>
          </w:tcPr>
          <w:p>
            <w:pPr>
              <w:jc w:val="center"/>
              <w:ind w:right="979"/>
              <w:spacing w:after="0"/>
              <w:rPr>
                <w:sz w:val="20"/>
                <w:szCs w:val="20"/>
                <w:color w:val="auto"/>
              </w:rPr>
            </w:pPr>
            <w:r>
              <w:rPr>
                <w:rFonts w:ascii="Arial" w:cs="Arial" w:eastAsia="Arial" w:hAnsi="Arial"/>
                <w:sz w:val="18"/>
                <w:szCs w:val="18"/>
                <w:b w:val="1"/>
                <w:bCs w:val="1"/>
                <w:color w:val="auto"/>
                <w:w w:val="95"/>
              </w:rPr>
              <w:t>Dallas, TX</w:t>
            </w:r>
          </w:p>
        </w:tc>
        <w:tc>
          <w:tcPr>
            <w:tcW w:w="328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760" w:type="dxa"/>
            <w:vAlign w:val="bottom"/>
          </w:tcPr>
          <w:p>
            <w:pPr>
              <w:jc w:val="center"/>
              <w:ind w:right="9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51435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70" w:lineRule="exact"/>
        <w:rPr>
          <w:sz w:val="24"/>
          <w:szCs w:val="24"/>
          <w:color w:val="auto"/>
        </w:rPr>
      </w:pPr>
    </w:p>
    <w:tbl>
      <w:tblPr>
        <w:tblLayout w:type="fixed"/>
        <w:tblInd w:w="640" w:type="dxa"/>
        <w:tblCellMar>
          <w:top w:w="0" w:type="dxa"/>
          <w:left w:w="0" w:type="dxa"/>
          <w:bottom w:w="0" w:type="dxa"/>
          <w:right w:w="0" w:type="dxa"/>
        </w:tblCellMar>
      </w:tblPr>
      <w:tr>
        <w:trPr>
          <w:trHeight w:val="162"/>
        </w:trPr>
        <w:tc>
          <w:tcPr>
            <w:tcW w:w="3540" w:type="dxa"/>
            <w:vAlign w:val="bottom"/>
          </w:tcPr>
          <w:p>
            <w:pPr>
              <w:jc w:val="center"/>
              <w:ind w:right="908"/>
              <w:spacing w:after="0"/>
              <w:rPr>
                <w:sz w:val="20"/>
                <w:szCs w:val="20"/>
                <w:color w:val="auto"/>
              </w:rPr>
            </w:pPr>
            <w:r>
              <w:rPr>
                <w:rFonts w:ascii="Arial" w:cs="Arial" w:eastAsia="Arial" w:hAnsi="Arial"/>
                <w:sz w:val="14"/>
                <w:szCs w:val="14"/>
                <w:b w:val="1"/>
                <w:bCs w:val="1"/>
                <w:color w:val="auto"/>
                <w:w w:val="89"/>
              </w:rPr>
              <w:t>Title of each class</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3620" w:type="dxa"/>
            <w:vAlign w:val="bottom"/>
          </w:tcPr>
          <w:p>
            <w:pPr>
              <w:jc w:val="center"/>
              <w:ind w:left="86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6"/>
        </w:trPr>
        <w:tc>
          <w:tcPr>
            <w:tcW w:w="3540" w:type="dxa"/>
            <w:vAlign w:val="bottom"/>
          </w:tcPr>
          <w:p>
            <w:pPr>
              <w:jc w:val="center"/>
              <w:ind w:right="90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62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466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14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274955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2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19, 2020, the registrant issued a press release announcing its financial results for the quarter and year ended December 31, 2019. The text of the press release is included as Exhibit 99.1 to this Form 8-K.</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February 19, 2020, the registrant issued a press release, included herewith as Exhibit 99.1, announcing the declaration of aggregate special cash dividends per share of $0.50 that will be paid to shareholders during the second quarter of 2020. Specifically, $0.25 per share will be payable on April 30, 2020 to shareholders of record as of April 15, 2020, and $0.25 per share will be payable on June 30, 2020 to shareholders of record as of June 15, 2020. The registrant also announced the declaration of a first quarter 2020 base dividend per share of $0.41 to shareholders of record as of March 13, 2020, payable on April 15, 2020, and a fourth quarter 2019 supplemental dividend per share of $0.06 to shareholders of record as of February 28, 2020, payable on March 31, 2020.</w:t>
      </w:r>
    </w:p>
    <w:p>
      <w:pPr>
        <w:spacing w:after="0" w:line="15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8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7840" w:type="dxa"/>
            <w:vAlign w:val="bottom"/>
            <w:gridSpan w:val="2"/>
          </w:tcPr>
          <w:p>
            <w:pPr>
              <w:jc w:val="center"/>
              <w:ind w:right="1450"/>
              <w:spacing w:after="0"/>
              <w:rPr>
                <w:sz w:val="20"/>
                <w:szCs w:val="20"/>
                <w:color w:val="auto"/>
              </w:rPr>
            </w:pPr>
            <w:r>
              <w:rPr>
                <w:rFonts w:ascii="Arial" w:cs="Arial" w:eastAsia="Arial" w:hAnsi="Arial"/>
                <w:sz w:val="18"/>
                <w:szCs w:val="18"/>
                <w:color w:val="auto"/>
                <w:w w:val="96"/>
              </w:rPr>
              <w:t>TPG SPECIALTY LENDING, INC.</w:t>
            </w:r>
          </w:p>
        </w:tc>
      </w:tr>
      <w:tr>
        <w:trPr>
          <w:trHeight w:val="230"/>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80" w:type="dxa"/>
            <w:vAlign w:val="bottom"/>
          </w:tcPr>
          <w:p>
            <w:pPr>
              <w:jc w:val="center"/>
              <w:ind w:right="3690"/>
              <w:spacing w:after="0"/>
              <w:rPr>
                <w:sz w:val="20"/>
                <w:szCs w:val="20"/>
                <w:color w:val="auto"/>
              </w:rPr>
            </w:pPr>
            <w:r>
              <w:rPr>
                <w:rFonts w:ascii="Arial" w:cs="Arial" w:eastAsia="Arial" w:hAnsi="Arial"/>
                <w:sz w:val="18"/>
                <w:szCs w:val="18"/>
                <w:color w:val="auto"/>
                <w:w w:val="89"/>
              </w:rPr>
              <w:t>(Registrant)</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 February 19, 2020</w:t>
            </w:r>
          </w:p>
        </w:tc>
        <w:tc>
          <w:tcPr>
            <w:tcW w:w="7840" w:type="dxa"/>
            <w:vAlign w:val="bottom"/>
            <w:gridSpan w:val="2"/>
          </w:tcPr>
          <w:p>
            <w:pPr>
              <w:ind w:left="1840"/>
              <w:spacing w:after="0"/>
              <w:rPr>
                <w:sz w:val="20"/>
                <w:szCs w:val="20"/>
                <w:color w:val="auto"/>
              </w:rPr>
            </w:pPr>
            <w:r>
              <w:rPr>
                <w:rFonts w:ascii="Arial" w:cs="Arial" w:eastAsia="Arial" w:hAnsi="Arial"/>
                <w:sz w:val="18"/>
                <w:szCs w:val="18"/>
                <w:color w:val="auto"/>
              </w:rPr>
              <w:t>By:   /s/ Ian Simmonds</w:t>
            </w:r>
          </w:p>
        </w:tc>
      </w:tr>
      <w:tr>
        <w:trPr>
          <w:trHeight w:val="195"/>
        </w:trPr>
        <w:tc>
          <w:tcPr>
            <w:tcW w:w="3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58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580" w:type="dxa"/>
            <w:vAlign w:val="bottom"/>
          </w:tcPr>
          <w:p>
            <w:pPr>
              <w:jc w:val="center"/>
              <w:ind w:right="3730"/>
              <w:spacing w:after="0"/>
              <w:rPr>
                <w:sz w:val="20"/>
                <w:szCs w:val="20"/>
                <w:color w:val="auto"/>
              </w:rPr>
            </w:pPr>
            <w:r>
              <w:rPr>
                <w:rFonts w:ascii="Arial" w:cs="Arial" w:eastAsia="Arial" w:hAnsi="Arial"/>
                <w:sz w:val="18"/>
                <w:szCs w:val="18"/>
                <w:color w:val="auto"/>
                <w:w w:val="94"/>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92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92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33"/>
          <w:szCs w:val="33"/>
          <w:b w:val="1"/>
          <w:bCs w:val="1"/>
          <w:color w:val="FFFFFF"/>
        </w:rPr>
        <w:t>Full Year and Fourth Quarter 2019 Earnings Results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420"/>
        <w:spacing w:after="0" w:line="314" w:lineRule="auto"/>
        <w:rPr>
          <w:sz w:val="20"/>
          <w:szCs w:val="20"/>
          <w:color w:val="auto"/>
        </w:rPr>
      </w:pPr>
      <w:r>
        <w:rPr>
          <w:rFonts w:ascii="Arial" w:cs="Arial" w:eastAsia="Arial" w:hAnsi="Arial"/>
          <w:sz w:val="16"/>
          <w:szCs w:val="16"/>
          <w:b w:val="1"/>
          <w:bCs w:val="1"/>
          <w:color w:val="auto"/>
        </w:rPr>
        <w:t>TPG Specialty Lending, Inc. Reports Full Year and Fourth Quarter 2019 Earnings Results; Declares Aggregate Special Dividends Per Share of $0.50, a 5% Increase in First Quarter Base Dividend Per Share to $0.41, and a Fourth Quarter Supplemental Dividend Per Share of $0.06</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NEW YORK—February 19, 2020— TPG Specialty Lending, Inc. (NYSE: TSLX, or the “Company”) today reported net investment income of $128.3 million, or $1.94 per share, and net income of $154.6 million, or $2.34 per share, for the year ended December 31, 2019. For the quarter ended December 31, 2019, net investment income was $33.8 million, or $0.51 per share, and net income was $37.7 million, or $0.57 per share. Reported net asset value per share was $16.83 at December 31, 2019 as compared to $16.72 at September 30, 2019.</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Return on equity (ROE) for the full year 2019 was 12.0% and 14.5% on a net investment income and a net income basis, respectively. Annualized ROE for the fourth quarter 2019 was 12.2% and 13.6% on a net investment income and a net income basis, respectively.</w:t>
      </w:r>
    </w:p>
    <w:p>
      <w:pPr>
        <w:spacing w:after="0" w:line="1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announced that its Board of Directors (the “Board”) has declared aggregate special cash dividends per share of $0.50 that will be paid to shareholders during Q2 2020. Specifically, $0.25 per share will be payable on April 30 to shareholders of record as of April 15, and $0.25 per share will be payable on June 30 to shareholders of record as of June 15. The Company’s Board also announced a 5% increase to its quarterly base dividend per share from $0.39 to $0.41 to shareholders of record as of March 13, payable on April 15, and a Q4 supplemental dividend per share of $0.06 to shareholders of record as of February 28, payable on March 31.</w:t>
      </w:r>
    </w:p>
    <w:p>
      <w:pPr>
        <w:spacing w:after="0" w:line="11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January 31, 2020, the Company completed an amendment to the Revolving Credit Facility, which increased the aggregate commitments under the facility from $1.245 billion to $1.315 billion, increased the accordion to allow for commitments of up to $1.75 billion from $1.50 billion, and extended the stated maturity date to January 31, 2025. Other key terms of the Revolving Credit Facility remain unchanged.</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5, 2020, the Company issued $50.0 million aggregate principal amount of unsecured notes that mature on November 1, 2024 (the “Reopened 2024 Notes”) at a price to the public of 102.075% of their principal amount and spread to 5-year Treasury of 195 basis points. The Reopened 2024 Notes are a further issuance of, fungible with, rank equally in right of payment with and have the same terms (other than the issue date and the public offering price) as the initial issuance on November 1, 2019 of unsecured notes that mature on November 1, 2024. The Company used the net proceeds of the Reopened 2024 Notes to repay outstanding indebtedness under the Revolving Credit Facility. In connection with the issuance of the Reopened 2024 Notes, the Company entered into an interest rate swap to continue to align the interest rates of its liabilities with its investment portfolio, which consists of predominantly floating rate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2169795" cy="840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840740"/>
                    </a:xfrm>
                    <a:prstGeom prst="rect">
                      <a:avLst/>
                    </a:prstGeom>
                    <a:noFill/>
                  </pic:spPr>
                </pic:pic>
              </a:graphicData>
            </a:graphic>
          </wp:anchor>
        </w:drawing>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420" w:type="dxa"/>
            <w:vAlign w:val="bottom"/>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$128.3</w:t>
            </w:r>
          </w:p>
        </w:tc>
      </w:tr>
      <w:tr>
        <w:trPr>
          <w:trHeight w:val="210"/>
        </w:trPr>
        <w:tc>
          <w:tcPr>
            <w:tcW w:w="46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$33.8</w:t>
            </w:r>
          </w:p>
        </w:tc>
      </w:tr>
      <w:tr>
        <w:trPr>
          <w:trHeight w:val="249"/>
        </w:trPr>
        <w:tc>
          <w:tcPr>
            <w:tcW w:w="420" w:type="dxa"/>
            <w:vAlign w:val="bottom"/>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$1.94</w:t>
            </w:r>
          </w:p>
        </w:tc>
      </w:tr>
      <w:tr>
        <w:trPr>
          <w:trHeight w:val="210"/>
        </w:trPr>
        <w:tc>
          <w:tcPr>
            <w:tcW w:w="460" w:type="dxa"/>
            <w:vAlign w:val="bottom"/>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$0.51</w:t>
            </w:r>
          </w:p>
        </w:tc>
      </w:tr>
      <w:tr>
        <w:trPr>
          <w:trHeight w:val="33"/>
        </w:trPr>
        <w:tc>
          <w:tcPr>
            <w:tcW w:w="420" w:type="dxa"/>
            <w:vAlign w:val="bottom"/>
            <w:tcBorders>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tcBorders>
          </w:tcPr>
          <w:p>
            <w:pPr>
              <w:spacing w:after="0"/>
              <w:rPr>
                <w:sz w:val="2"/>
                <w:szCs w:val="2"/>
                <w:color w:val="auto"/>
              </w:rPr>
            </w:pPr>
          </w:p>
        </w:tc>
      </w:t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w w:val="90"/>
              </w:rPr>
              <w:t>Net Income</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20" w:type="dxa"/>
            <w:vAlign w:val="bottom"/>
            <w:tcBorders>
              <w:left w:val="single" w:sz="8" w:color="003767"/>
            </w:tcBorders>
            <w:shd w:val="clear" w:color="auto" w:fill="003767"/>
          </w:tcPr>
          <w:p>
            <w:pPr>
              <w:spacing w:after="0"/>
              <w:rPr>
                <w:sz w:val="8"/>
                <w:szCs w:val="8"/>
                <w:color w:val="auto"/>
              </w:rPr>
            </w:pPr>
          </w:p>
        </w:tc>
        <w:tc>
          <w:tcPr>
            <w:tcW w:w="2180" w:type="dxa"/>
            <w:vAlign w:val="bottom"/>
            <w:gridSpan w:val="2"/>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16"/>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$154.6</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$37.7</w:t>
            </w:r>
          </w:p>
        </w:tc>
      </w:tr>
      <w:tr>
        <w:trPr>
          <w:trHeight w:val="249"/>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$2.34</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$0.57</w:t>
            </w:r>
          </w:p>
        </w:tc>
      </w:tr>
      <w:tr>
        <w:trPr>
          <w:trHeight w:val="33"/>
        </w:trPr>
        <w:tc>
          <w:tcPr>
            <w:tcW w:w="420" w:type="dxa"/>
            <w:vAlign w:val="bottom"/>
            <w:tcBorders>
              <w:left w:val="single" w:sz="8" w:color="003767"/>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right w:val="single" w:sz="8" w:color="003767"/>
            </w:tcBorders>
          </w:tcPr>
          <w:p>
            <w:pPr>
              <w:spacing w:after="0"/>
              <w:rPr>
                <w:sz w:val="2"/>
                <w:szCs w:val="2"/>
                <w:color w:val="auto"/>
              </w:rPr>
            </w:pPr>
          </w:p>
        </w:tc>
      </w:t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rPr>
              <w:t>NAV</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60" w:type="dxa"/>
            <w:vAlign w:val="bottom"/>
            <w:tcBorders>
              <w:left w:val="single" w:sz="8" w:color="003767"/>
            </w:tcBorders>
            <w:gridSpan w:val="2"/>
            <w:shd w:val="clear" w:color="auto" w:fill="003767"/>
          </w:tcPr>
          <w:p>
            <w:pPr>
              <w:spacing w:after="0"/>
              <w:rPr>
                <w:sz w:val="8"/>
                <w:szCs w:val="8"/>
                <w:color w:val="auto"/>
              </w:rPr>
            </w:pPr>
          </w:p>
        </w:tc>
        <w:tc>
          <w:tcPr>
            <w:tcW w:w="2140" w:type="dxa"/>
            <w:vAlign w:val="bottom"/>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24"/>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($MM):</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$1,119.3</w:t>
            </w:r>
          </w:p>
        </w:tc>
      </w:tr>
      <w:tr>
        <w:trPr>
          <w:trHeight w:val="257"/>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$16.83</w:t>
            </w:r>
          </w:p>
        </w:tc>
      </w:tr>
      <w:tr>
        <w:trPr>
          <w:trHeight w:val="257"/>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(per share, PF):</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$16.77</w:t>
            </w:r>
          </w:p>
        </w:tc>
      </w:tr>
      <w:tr>
        <w:trPr>
          <w:trHeight w:val="33"/>
        </w:trPr>
        <w:tc>
          <w:tcPr>
            <w:tcW w:w="420" w:type="dxa"/>
            <w:vAlign w:val="bottom"/>
            <w:tcBorders>
              <w:left w:val="single" w:sz="8" w:color="003767"/>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right w:val="single" w:sz="8" w:color="003767"/>
            </w:tcBorders>
          </w:tcPr>
          <w:p>
            <w:pPr>
              <w:spacing w:after="0"/>
              <w:rPr>
                <w:sz w:val="2"/>
                <w:szCs w:val="2"/>
                <w:color w:val="auto"/>
              </w:rPr>
            </w:pPr>
          </w:p>
        </w:tc>
      </w:tr>
      <w:tr>
        <w:trPr>
          <w:trHeight w:val="210"/>
        </w:trPr>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w w:val="97"/>
              </w:rPr>
              <w:t>ROE</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20" w:type="dxa"/>
            <w:vAlign w:val="bottom"/>
            <w:tcBorders>
              <w:left w:val="single" w:sz="8" w:color="003767"/>
            </w:tcBorders>
            <w:shd w:val="clear" w:color="auto" w:fill="003767"/>
          </w:tcPr>
          <w:p>
            <w:pPr>
              <w:spacing w:after="0"/>
              <w:rPr>
                <w:sz w:val="8"/>
                <w:szCs w:val="8"/>
                <w:color w:val="auto"/>
              </w:rPr>
            </w:pPr>
          </w:p>
        </w:tc>
        <w:tc>
          <w:tcPr>
            <w:tcW w:w="2180" w:type="dxa"/>
            <w:vAlign w:val="bottom"/>
            <w:gridSpan w:val="2"/>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43"/>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(NII):</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12.0%</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(NII, annualized):</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12.2%</w:t>
            </w:r>
          </w:p>
        </w:tc>
      </w:tr>
      <w:tr>
        <w:trPr>
          <w:trHeight w:val="343"/>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(NI):</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14.5%</w:t>
            </w:r>
          </w:p>
        </w:tc>
      </w:tr>
      <w:tr>
        <w:trPr>
          <w:trHeight w:val="210"/>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(NI, annualized):</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13.6%</w:t>
            </w:r>
          </w:p>
        </w:tc>
      </w:tr>
      <w:tr>
        <w:trPr>
          <w:trHeight w:val="101"/>
        </w:trPr>
        <w:tc>
          <w:tcPr>
            <w:tcW w:w="420" w:type="dxa"/>
            <w:vAlign w:val="bottom"/>
            <w:tcBorders>
              <w:left w:val="single" w:sz="8" w:color="003767"/>
              <w:bottom w:val="single" w:sz="8" w:color="003767"/>
            </w:tcBorders>
          </w:tcPr>
          <w:p>
            <w:pPr>
              <w:spacing w:after="0"/>
              <w:rPr>
                <w:sz w:val="8"/>
                <w:szCs w:val="8"/>
                <w:color w:val="auto"/>
              </w:rPr>
            </w:pPr>
          </w:p>
        </w:tc>
        <w:tc>
          <w:tcPr>
            <w:tcW w:w="40" w:type="dxa"/>
            <w:vAlign w:val="bottom"/>
            <w:tcBorders>
              <w:bottom w:val="single" w:sz="8" w:color="003767"/>
            </w:tcBorders>
          </w:tcPr>
          <w:p>
            <w:pPr>
              <w:spacing w:after="0"/>
              <w:rPr>
                <w:sz w:val="8"/>
                <w:szCs w:val="8"/>
                <w:color w:val="auto"/>
              </w:rPr>
            </w:pPr>
          </w:p>
        </w:tc>
        <w:tc>
          <w:tcPr>
            <w:tcW w:w="2140" w:type="dxa"/>
            <w:vAlign w:val="bottom"/>
            <w:tcBorders>
              <w:bottom w:val="single" w:sz="8" w:color="003767"/>
            </w:tcBorders>
          </w:tcPr>
          <w:p>
            <w:pPr>
              <w:spacing w:after="0"/>
              <w:rPr>
                <w:sz w:val="8"/>
                <w:szCs w:val="8"/>
                <w:color w:val="auto"/>
              </w:rPr>
            </w:pPr>
          </w:p>
        </w:tc>
        <w:tc>
          <w:tcPr>
            <w:tcW w:w="820" w:type="dxa"/>
            <w:vAlign w:val="bottom"/>
            <w:tcBorders>
              <w:bottom w:val="single" w:sz="8" w:color="003767"/>
              <w:right w:val="single" w:sz="8" w:color="003767"/>
            </w:tcBorders>
          </w:tcPr>
          <w:p>
            <w:pPr>
              <w:spacing w:after="0"/>
              <w:rPr>
                <w:sz w:val="8"/>
                <w:szCs w:val="8"/>
                <w:color w:val="auto"/>
              </w:rPr>
            </w:pPr>
          </w:p>
        </w:tc>
      </w:tr>
      <w:tr>
        <w:trPr>
          <w:trHeight w:val="426"/>
        </w:trPr>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1"/>
        </w:trPr>
        <w:tc>
          <w:tcPr>
            <w:tcW w:w="420" w:type="dxa"/>
            <w:vAlign w:val="bottom"/>
            <w:tcBorders>
              <w:left w:val="single" w:sz="8" w:color="003767"/>
            </w:tcBorders>
            <w:shd w:val="clear" w:color="auto" w:fill="003767"/>
          </w:tcPr>
          <w:p>
            <w:pPr>
              <w:spacing w:after="0"/>
              <w:rPr>
                <w:sz w:val="24"/>
                <w:szCs w:val="24"/>
                <w:color w:val="auto"/>
              </w:rPr>
            </w:pPr>
          </w:p>
        </w:tc>
        <w:tc>
          <w:tcPr>
            <w:tcW w:w="40" w:type="dxa"/>
            <w:vAlign w:val="bottom"/>
            <w:shd w:val="clear" w:color="auto" w:fill="003767"/>
          </w:tcPr>
          <w:p>
            <w:pPr>
              <w:spacing w:after="0"/>
              <w:rPr>
                <w:sz w:val="24"/>
                <w:szCs w:val="24"/>
                <w:color w:val="auto"/>
              </w:rPr>
            </w:pPr>
          </w:p>
        </w:tc>
        <w:tc>
          <w:tcPr>
            <w:tcW w:w="2140" w:type="dxa"/>
            <w:vAlign w:val="bottom"/>
            <w:shd w:val="clear" w:color="auto" w:fill="003767"/>
          </w:tcPr>
          <w:p>
            <w:pPr>
              <w:jc w:val="center"/>
              <w:ind w:left="279"/>
              <w:spacing w:after="0"/>
              <w:rPr>
                <w:sz w:val="20"/>
                <w:szCs w:val="20"/>
                <w:color w:val="auto"/>
              </w:rPr>
            </w:pPr>
            <w:r>
              <w:rPr>
                <w:rFonts w:ascii="Arial" w:cs="Arial" w:eastAsia="Arial" w:hAnsi="Arial"/>
                <w:sz w:val="16"/>
                <w:szCs w:val="16"/>
                <w:b w:val="1"/>
                <w:bCs w:val="1"/>
                <w:color w:val="FFFFFF"/>
                <w:w w:val="91"/>
              </w:rPr>
              <w:t>Dividend (per share)</w:t>
            </w:r>
          </w:p>
        </w:tc>
        <w:tc>
          <w:tcPr>
            <w:tcW w:w="820" w:type="dxa"/>
            <w:vAlign w:val="bottom"/>
            <w:tcBorders>
              <w:right w:val="single" w:sz="8" w:color="003767"/>
            </w:tcBorders>
            <w:shd w:val="clear" w:color="auto" w:fill="003767"/>
          </w:tcPr>
          <w:p>
            <w:pPr>
              <w:spacing w:after="0"/>
              <w:rPr>
                <w:sz w:val="24"/>
                <w:szCs w:val="24"/>
                <w:color w:val="auto"/>
              </w:rPr>
            </w:pPr>
          </w:p>
        </w:tc>
      </w:tr>
      <w:tr>
        <w:trPr>
          <w:trHeight w:val="101"/>
        </w:trPr>
        <w:tc>
          <w:tcPr>
            <w:tcW w:w="460" w:type="dxa"/>
            <w:vAlign w:val="bottom"/>
            <w:tcBorders>
              <w:left w:val="single" w:sz="8" w:color="003767"/>
            </w:tcBorders>
            <w:gridSpan w:val="2"/>
            <w:shd w:val="clear" w:color="auto" w:fill="003767"/>
          </w:tcPr>
          <w:p>
            <w:pPr>
              <w:spacing w:after="0"/>
              <w:rPr>
                <w:sz w:val="8"/>
                <w:szCs w:val="8"/>
                <w:color w:val="auto"/>
              </w:rPr>
            </w:pPr>
          </w:p>
        </w:tc>
        <w:tc>
          <w:tcPr>
            <w:tcW w:w="2140" w:type="dxa"/>
            <w:vAlign w:val="bottom"/>
            <w:shd w:val="clear" w:color="auto" w:fill="003767"/>
          </w:tcPr>
          <w:p>
            <w:pPr>
              <w:spacing w:after="0"/>
              <w:rPr>
                <w:sz w:val="8"/>
                <w:szCs w:val="8"/>
                <w:color w:val="auto"/>
              </w:rPr>
            </w:pPr>
          </w:p>
        </w:tc>
        <w:tc>
          <w:tcPr>
            <w:tcW w:w="820" w:type="dxa"/>
            <w:vAlign w:val="bottom"/>
            <w:tcBorders>
              <w:right w:val="single" w:sz="8" w:color="003767"/>
            </w:tcBorders>
            <w:shd w:val="clear" w:color="auto" w:fill="003767"/>
          </w:tcPr>
          <w:p>
            <w:pPr>
              <w:spacing w:after="0"/>
              <w:rPr>
                <w:sz w:val="8"/>
                <w:szCs w:val="8"/>
                <w:color w:val="auto"/>
              </w:rPr>
            </w:pPr>
          </w:p>
        </w:tc>
      </w:tr>
      <w:tr>
        <w:trPr>
          <w:trHeight w:val="237"/>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4Q19</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(Supp.):</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$0.06</w:t>
            </w:r>
          </w:p>
        </w:tc>
      </w:tr>
      <w:tr>
        <w:trPr>
          <w:trHeight w:val="284"/>
        </w:trPr>
        <w:tc>
          <w:tcPr>
            <w:tcW w:w="4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1"/>
              </w:rPr>
              <w:t>1Q20</w:t>
            </w:r>
          </w:p>
        </w:tc>
        <w:tc>
          <w:tcPr>
            <w:tcW w:w="2140" w:type="dxa"/>
            <w:vAlign w:val="bottom"/>
          </w:tcPr>
          <w:p>
            <w:pPr>
              <w:ind w:left="20"/>
              <w:spacing w:after="0"/>
              <w:rPr>
                <w:sz w:val="20"/>
                <w:szCs w:val="20"/>
                <w:color w:val="auto"/>
              </w:rPr>
            </w:pPr>
            <w:r>
              <w:rPr>
                <w:rFonts w:ascii="Arial" w:cs="Arial" w:eastAsia="Arial" w:hAnsi="Arial"/>
                <w:sz w:val="16"/>
                <w:szCs w:val="16"/>
                <w:b w:val="1"/>
                <w:bCs w:val="1"/>
                <w:color w:val="auto"/>
              </w:rPr>
              <w:t>(Base):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$0.41</w:t>
            </w:r>
          </w:p>
        </w:tc>
      </w:tr>
      <w:tr>
        <w:trPr>
          <w:trHeight w:val="249"/>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(Base):</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$1.56</w:t>
            </w:r>
          </w:p>
        </w:tc>
      </w:tr>
      <w:tr>
        <w:trPr>
          <w:trHeight w:val="203"/>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$0.19</w:t>
            </w:r>
          </w:p>
        </w:tc>
      </w:tr>
      <w:tr>
        <w:trPr>
          <w:trHeight w:val="210"/>
        </w:trPr>
        <w:tc>
          <w:tcPr>
            <w:tcW w:w="4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89"/>
              </w:rPr>
              <w:t>2019</w:t>
            </w:r>
          </w:p>
        </w:tc>
        <w:tc>
          <w:tcPr>
            <w:tcW w:w="21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82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$1.75</w:t>
            </w:r>
          </w:p>
        </w:tc>
      </w:tr>
      <w:tr>
        <w:trPr>
          <w:trHeight w:val="33"/>
        </w:trPr>
        <w:tc>
          <w:tcPr>
            <w:tcW w:w="420" w:type="dxa"/>
            <w:vAlign w:val="bottom"/>
            <w:tcBorders>
              <w:left w:val="single" w:sz="8" w:color="003767"/>
              <w:bottom w:val="single" w:sz="8" w:color="003767"/>
            </w:tcBorders>
          </w:tcPr>
          <w:p>
            <w:pPr>
              <w:spacing w:after="0"/>
              <w:rPr>
                <w:sz w:val="2"/>
                <w:szCs w:val="2"/>
                <w:color w:val="auto"/>
              </w:rPr>
            </w:pPr>
          </w:p>
        </w:tc>
        <w:tc>
          <w:tcPr>
            <w:tcW w:w="40" w:type="dxa"/>
            <w:vAlign w:val="bottom"/>
            <w:tcBorders>
              <w:bottom w:val="single" w:sz="8" w:color="003767"/>
            </w:tcBorders>
          </w:tcPr>
          <w:p>
            <w:pPr>
              <w:spacing w:after="0"/>
              <w:rPr>
                <w:sz w:val="2"/>
                <w:szCs w:val="2"/>
                <w:color w:val="auto"/>
              </w:rPr>
            </w:pPr>
          </w:p>
        </w:tc>
        <w:tc>
          <w:tcPr>
            <w:tcW w:w="2140" w:type="dxa"/>
            <w:vAlign w:val="bottom"/>
            <w:tcBorders>
              <w:bottom w:val="single" w:sz="8" w:color="003767"/>
            </w:tcBorders>
          </w:tcPr>
          <w:p>
            <w:pPr>
              <w:spacing w:after="0"/>
              <w:rPr>
                <w:sz w:val="2"/>
                <w:szCs w:val="2"/>
                <w:color w:val="auto"/>
              </w:rPr>
            </w:pPr>
          </w:p>
        </w:tc>
        <w:tc>
          <w:tcPr>
            <w:tcW w:w="820" w:type="dxa"/>
            <w:vAlign w:val="bottom"/>
            <w:tcBorders>
              <w:bottom w:val="single" w:sz="8" w:color="003767"/>
              <w:right w:val="single" w:sz="8" w:color="00376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-1311275</wp:posOffset>
            </wp:positionV>
            <wp:extent cx="889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-1311275</wp:posOffset>
            </wp:positionV>
            <wp:extent cx="889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60" w:space="340"/>
            <w:col w:w="3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2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92175"/>
                    </a:xfrm>
                    <a:prstGeom prst="rect">
                      <a:avLst/>
                    </a:prstGeom>
                    <a:noFill/>
                  </pic:spPr>
                </pic:pic>
              </a:graphicData>
            </a:graphic>
          </wp:anchor>
        </w:drawing>
        <w:t>Portfolio and Investment Activity</w:t>
      </w:r>
    </w:p>
    <w:p>
      <w:pPr>
        <w:sectPr>
          <w:pgSz w:w="11900" w:h="16838" w:orient="portrait"/>
          <w:cols w:equalWidth="0" w:num="1">
            <w:col w:w="11420"/>
          </w:cols>
          <w:pgMar w:left="240" w:top="9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year ended December 31, 2019, new investment commitments totaled $1,233.5 million. This compares to $908.2 million for the year ended December 31, 2018.</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2019, the principal amount of new investments funded was $1,087.6 million in 32 new portfolio companies and 14 existing portfolio companies. For this period, the Company had $575.2 million aggregate principal amount in exits and repayments.</w:t>
      </w:r>
    </w:p>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 ended December 31, 2018, the principal amount of new investments funded was $816.9 million in 19 new portfolio companies and 14 existing portfolio companies. For this period, the Company had $790.3 million aggregate principal amount in exits and repayments.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December 31, 2019, new investment commitments totaled $329.3 million. This compares to $169.3 million for the quarter ended December 31, 2018.</w:t>
      </w:r>
    </w:p>
    <w:p>
      <w:pPr>
        <w:spacing w:after="0" w:line="10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quarter ended December 31, 2019, the principal amount of new investments funded was $289.1 million in 9 new portfolio companies and 4 existing portfolio companies. For this period, the Company had $104.1 million aggregate principal amount in exits and repayments.</w:t>
      </w:r>
    </w:p>
    <w:p>
      <w:pPr>
        <w:spacing w:after="0" w:line="1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quarter ended December 31, 2018, the principal amount of new investments funded was $147.7 million in 4 new portfolio companies and 6 existing portfolio companies. For this period, the Company had $382.6 million aggregate principal amount in exits and repayments.</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2019 and December 31, 2018, the Company had investments in 63 and 46 portfolio companies, respectively, with an aggregate fair value of $2,245.9 million and $1,706.0 million, respectively. As of December 31, 2019, the average investment size in each portfolio company was $35.7 million based on fair value.</w:t>
      </w:r>
    </w:p>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2019, the Company’s portfolio based on fair value consisted of 96.5% first-lien debt investments, 0.6% second-lien debt investments, 0.1% mezzanine investments, and 2.8% equity and other investments.</w:t>
      </w:r>
    </w:p>
    <w:p>
      <w:pPr>
        <w:spacing w:after="0" w:line="10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December 31, 2018, the Company’s portfolio based on fair value consisted of 96.9% first-lien debt investments, 0.2% second-lien debt investments, 0.2% mezzanine investments, and 2.7% equity and other investments.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both December 31, 2019 and December 31, 2018, approximately 97.1% of the portfolio was invested in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1"/>
        </w:trPr>
        <w:tc>
          <w:tcPr>
            <w:tcW w:w="1320" w:type="dxa"/>
            <w:vAlign w:val="bottom"/>
            <w:tcBorders>
              <w:left w:val="single" w:sz="8" w:color="003767"/>
            </w:tcBorders>
            <w:shd w:val="clear" w:color="auto" w:fill="003767"/>
          </w:tcPr>
          <w:p>
            <w:pPr>
              <w:spacing w:after="0"/>
              <w:rPr>
                <w:sz w:val="24"/>
                <w:szCs w:val="24"/>
                <w:color w:val="auto"/>
              </w:rPr>
            </w:pPr>
          </w:p>
        </w:tc>
        <w:tc>
          <w:tcPr>
            <w:tcW w:w="2100" w:type="dxa"/>
            <w:vAlign w:val="bottom"/>
            <w:tcBorders>
              <w:right w:val="single" w:sz="8" w:color="003767"/>
            </w:tcBorders>
            <w:shd w:val="clear" w:color="auto" w:fill="003767"/>
          </w:tcPr>
          <w:p>
            <w:pPr>
              <w:jc w:val="right"/>
              <w:ind w:right="1459"/>
              <w:spacing w:after="0"/>
              <w:rPr>
                <w:sz w:val="20"/>
                <w:szCs w:val="20"/>
                <w:color w:val="auto"/>
              </w:rPr>
            </w:pPr>
            <w:r>
              <w:rPr>
                <w:rFonts w:ascii="Arial" w:cs="Arial" w:eastAsia="Arial" w:hAnsi="Arial"/>
                <w:sz w:val="16"/>
                <w:szCs w:val="16"/>
                <w:b w:val="1"/>
                <w:bCs w:val="1"/>
                <w:color w:val="FFFFFF"/>
              </w:rPr>
              <w:t>2019</w:t>
            </w:r>
          </w:p>
        </w:tc>
      </w:tr>
      <w:tr>
        <w:trPr>
          <w:trHeight w:val="101"/>
        </w:trPr>
        <w:tc>
          <w:tcPr>
            <w:tcW w:w="1320" w:type="dxa"/>
            <w:vAlign w:val="bottom"/>
            <w:tcBorders>
              <w:left w:val="single" w:sz="8" w:color="003767"/>
            </w:tcBorders>
            <w:shd w:val="clear" w:color="auto" w:fill="003767"/>
          </w:tcPr>
          <w:p>
            <w:pPr>
              <w:spacing w:after="0"/>
              <w:rPr>
                <w:sz w:val="8"/>
                <w:szCs w:val="8"/>
                <w:color w:val="auto"/>
              </w:rPr>
            </w:pPr>
          </w:p>
        </w:tc>
        <w:tc>
          <w:tcPr>
            <w:tcW w:w="2100" w:type="dxa"/>
            <w:vAlign w:val="bottom"/>
            <w:tcBorders>
              <w:right w:val="single" w:sz="8" w:color="003767"/>
            </w:tcBorders>
            <w:shd w:val="clear" w:color="auto" w:fill="003767"/>
          </w:tcPr>
          <w:p>
            <w:pPr>
              <w:spacing w:after="0"/>
              <w:rPr>
                <w:sz w:val="8"/>
                <w:szCs w:val="8"/>
                <w:color w:val="auto"/>
              </w:rPr>
            </w:pPr>
          </w:p>
        </w:tc>
      </w:tr>
      <w:tr>
        <w:trPr>
          <w:trHeight w:val="216"/>
        </w:trPr>
        <w:tc>
          <w:tcPr>
            <w:tcW w:w="13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Commitments:</w:t>
            </w:r>
          </w:p>
        </w:tc>
        <w:tc>
          <w:tcPr>
            <w:tcW w:w="2100" w:type="dxa"/>
            <w:vAlign w:val="bottom"/>
            <w:tcBorders>
              <w:right w:val="single" w:sz="8" w:color="003767"/>
            </w:tcBorders>
          </w:tcPr>
          <w:p>
            <w:pPr>
              <w:jc w:val="right"/>
              <w:ind w:right="699"/>
              <w:spacing w:after="0"/>
              <w:rPr>
                <w:sz w:val="20"/>
                <w:szCs w:val="20"/>
                <w:color w:val="auto"/>
              </w:rPr>
            </w:pPr>
            <w:r>
              <w:rPr>
                <w:rFonts w:ascii="Arial" w:cs="Arial" w:eastAsia="Arial" w:hAnsi="Arial"/>
                <w:sz w:val="16"/>
                <w:szCs w:val="16"/>
                <w:b w:val="1"/>
                <w:bCs w:val="1"/>
                <w:color w:val="auto"/>
              </w:rPr>
              <w:t>$1,233.5MM</w:t>
            </w:r>
          </w:p>
        </w:tc>
      </w:tr>
      <w:tr>
        <w:trPr>
          <w:trHeight w:val="203"/>
        </w:trPr>
        <w:tc>
          <w:tcPr>
            <w:tcW w:w="13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Fundings:</w:t>
            </w:r>
          </w:p>
        </w:tc>
        <w:tc>
          <w:tcPr>
            <w:tcW w:w="2100" w:type="dxa"/>
            <w:vAlign w:val="bottom"/>
            <w:tcBorders>
              <w:right w:val="single" w:sz="8" w:color="003767"/>
            </w:tcBorders>
          </w:tcPr>
          <w:p>
            <w:pPr>
              <w:jc w:val="right"/>
              <w:ind w:right="719"/>
              <w:spacing w:after="0"/>
              <w:rPr>
                <w:sz w:val="20"/>
                <w:szCs w:val="20"/>
                <w:color w:val="auto"/>
              </w:rPr>
            </w:pPr>
            <w:r>
              <w:rPr>
                <w:rFonts w:ascii="Arial" w:cs="Arial" w:eastAsia="Arial" w:hAnsi="Arial"/>
                <w:sz w:val="16"/>
                <w:szCs w:val="16"/>
                <w:b w:val="1"/>
                <w:bCs w:val="1"/>
                <w:color w:val="auto"/>
              </w:rPr>
              <w:t>$1,087.6MM</w:t>
            </w:r>
          </w:p>
        </w:tc>
      </w:tr>
      <w:tr>
        <w:trPr>
          <w:trHeight w:val="210"/>
        </w:trPr>
        <w:tc>
          <w:tcPr>
            <w:tcW w:w="13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Fundings:</w:t>
            </w:r>
          </w:p>
        </w:tc>
        <w:tc>
          <w:tcPr>
            <w:tcW w:w="2100" w:type="dxa"/>
            <w:vAlign w:val="bottom"/>
            <w:tcBorders>
              <w:right w:val="single" w:sz="8" w:color="003767"/>
            </w:tcBorders>
          </w:tcPr>
          <w:p>
            <w:pPr>
              <w:jc w:val="right"/>
              <w:ind w:right="719"/>
              <w:spacing w:after="0"/>
              <w:rPr>
                <w:sz w:val="20"/>
                <w:szCs w:val="20"/>
                <w:color w:val="auto"/>
              </w:rPr>
            </w:pPr>
            <w:r>
              <w:rPr>
                <w:rFonts w:ascii="Arial" w:cs="Arial" w:eastAsia="Arial" w:hAnsi="Arial"/>
                <w:sz w:val="16"/>
                <w:szCs w:val="16"/>
                <w:b w:val="1"/>
                <w:bCs w:val="1"/>
                <w:color w:val="auto"/>
              </w:rPr>
              <w:t>$512.3MM</w:t>
            </w:r>
          </w:p>
        </w:tc>
      </w:tr>
      <w:tr>
        <w:trPr>
          <w:trHeight w:val="33"/>
        </w:trPr>
        <w:tc>
          <w:tcPr>
            <w:tcW w:w="1320" w:type="dxa"/>
            <w:vAlign w:val="bottom"/>
            <w:tcBorders>
              <w:left w:val="single" w:sz="8" w:color="003767"/>
              <w:bottom w:val="single" w:sz="8" w:color="003767"/>
            </w:tcBorders>
          </w:tcPr>
          <w:p>
            <w:pPr>
              <w:spacing w:after="0"/>
              <w:rPr>
                <w:sz w:val="2"/>
                <w:szCs w:val="2"/>
                <w:color w:val="auto"/>
              </w:rPr>
            </w:pPr>
          </w:p>
        </w:tc>
        <w:tc>
          <w:tcPr>
            <w:tcW w:w="2100" w:type="dxa"/>
            <w:vAlign w:val="bottom"/>
            <w:tcBorders>
              <w:bottom w:val="single" w:sz="8" w:color="003767"/>
              <w:right w:val="single" w:sz="8" w:color="003767"/>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320" w:type="dxa"/>
            <w:vAlign w:val="bottom"/>
            <w:tcBorders>
              <w:left w:val="single" w:sz="8" w:color="003767"/>
            </w:tcBorders>
            <w:shd w:val="clear" w:color="auto" w:fill="003767"/>
          </w:tcPr>
          <w:p>
            <w:pPr>
              <w:spacing w:after="0"/>
              <w:rPr>
                <w:sz w:val="24"/>
                <w:szCs w:val="24"/>
                <w:color w:val="auto"/>
              </w:rPr>
            </w:pPr>
          </w:p>
        </w:tc>
        <w:tc>
          <w:tcPr>
            <w:tcW w:w="2100" w:type="dxa"/>
            <w:vAlign w:val="bottom"/>
            <w:tcBorders>
              <w:right w:val="single" w:sz="8" w:color="003767"/>
            </w:tcBorders>
            <w:shd w:val="clear" w:color="auto" w:fill="003767"/>
          </w:tcPr>
          <w:p>
            <w:pPr>
              <w:ind w:left="200"/>
              <w:spacing w:after="0"/>
              <w:rPr>
                <w:sz w:val="20"/>
                <w:szCs w:val="20"/>
                <w:color w:val="auto"/>
              </w:rPr>
            </w:pPr>
            <w:r>
              <w:rPr>
                <w:rFonts w:ascii="Arial" w:cs="Arial" w:eastAsia="Arial" w:hAnsi="Arial"/>
                <w:sz w:val="16"/>
                <w:szCs w:val="16"/>
                <w:b w:val="1"/>
                <w:bCs w:val="1"/>
                <w:color w:val="FFFFFF"/>
              </w:rPr>
              <w:t>4Q19</w:t>
            </w:r>
          </w:p>
        </w:tc>
      </w:tr>
      <w:tr>
        <w:trPr>
          <w:trHeight w:val="101"/>
        </w:trPr>
        <w:tc>
          <w:tcPr>
            <w:tcW w:w="1320" w:type="dxa"/>
            <w:vAlign w:val="bottom"/>
            <w:tcBorders>
              <w:left w:val="single" w:sz="8" w:color="003767"/>
            </w:tcBorders>
            <w:shd w:val="clear" w:color="auto" w:fill="003767"/>
          </w:tcPr>
          <w:p>
            <w:pPr>
              <w:spacing w:after="0"/>
              <w:rPr>
                <w:sz w:val="8"/>
                <w:szCs w:val="8"/>
                <w:color w:val="auto"/>
              </w:rPr>
            </w:pPr>
          </w:p>
        </w:tc>
        <w:tc>
          <w:tcPr>
            <w:tcW w:w="2100" w:type="dxa"/>
            <w:vAlign w:val="bottom"/>
            <w:tcBorders>
              <w:right w:val="single" w:sz="8" w:color="003767"/>
            </w:tcBorders>
            <w:shd w:val="clear" w:color="auto" w:fill="003767"/>
          </w:tcPr>
          <w:p>
            <w:pPr>
              <w:spacing w:after="0"/>
              <w:rPr>
                <w:sz w:val="8"/>
                <w:szCs w:val="8"/>
                <w:color w:val="auto"/>
              </w:rPr>
            </w:pPr>
          </w:p>
        </w:tc>
      </w:tr>
      <w:tr>
        <w:trPr>
          <w:trHeight w:val="216"/>
        </w:trPr>
        <w:tc>
          <w:tcPr>
            <w:tcW w:w="13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Commitments:</w:t>
            </w:r>
          </w:p>
        </w:tc>
        <w:tc>
          <w:tcPr>
            <w:tcW w:w="2100" w:type="dxa"/>
            <w:vAlign w:val="bottom"/>
            <w:tcBorders>
              <w:right w:val="single" w:sz="8" w:color="003767"/>
            </w:tcBorders>
          </w:tcPr>
          <w:p>
            <w:pPr>
              <w:ind w:left="560"/>
              <w:spacing w:after="0"/>
              <w:rPr>
                <w:sz w:val="20"/>
                <w:szCs w:val="20"/>
                <w:color w:val="auto"/>
              </w:rPr>
            </w:pPr>
            <w:r>
              <w:rPr>
                <w:rFonts w:ascii="Arial" w:cs="Arial" w:eastAsia="Arial" w:hAnsi="Arial"/>
                <w:sz w:val="16"/>
                <w:szCs w:val="16"/>
                <w:b w:val="1"/>
                <w:bCs w:val="1"/>
                <w:color w:val="auto"/>
              </w:rPr>
              <w:t>$329.3MM</w:t>
            </w:r>
          </w:p>
        </w:tc>
      </w:tr>
      <w:tr>
        <w:trPr>
          <w:trHeight w:val="203"/>
        </w:trPr>
        <w:tc>
          <w:tcPr>
            <w:tcW w:w="13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Fundings:</w:t>
            </w:r>
          </w:p>
        </w:tc>
        <w:tc>
          <w:tcPr>
            <w:tcW w:w="2100" w:type="dxa"/>
            <w:vAlign w:val="bottom"/>
            <w:tcBorders>
              <w:right w:val="single" w:sz="8" w:color="003767"/>
            </w:tcBorders>
          </w:tcPr>
          <w:p>
            <w:pPr>
              <w:ind w:left="560"/>
              <w:spacing w:after="0"/>
              <w:rPr>
                <w:sz w:val="20"/>
                <w:szCs w:val="20"/>
                <w:color w:val="auto"/>
              </w:rPr>
            </w:pPr>
            <w:r>
              <w:rPr>
                <w:rFonts w:ascii="Arial" w:cs="Arial" w:eastAsia="Arial" w:hAnsi="Arial"/>
                <w:sz w:val="16"/>
                <w:szCs w:val="16"/>
                <w:b w:val="1"/>
                <w:bCs w:val="1"/>
                <w:color w:val="auto"/>
              </w:rPr>
              <w:t>$289.1MM</w:t>
            </w:r>
          </w:p>
        </w:tc>
      </w:tr>
      <w:tr>
        <w:trPr>
          <w:trHeight w:val="210"/>
        </w:trPr>
        <w:tc>
          <w:tcPr>
            <w:tcW w:w="13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Fundings:</w:t>
            </w:r>
          </w:p>
        </w:tc>
        <w:tc>
          <w:tcPr>
            <w:tcW w:w="2100" w:type="dxa"/>
            <w:vAlign w:val="bottom"/>
            <w:tcBorders>
              <w:right w:val="single" w:sz="8" w:color="003767"/>
            </w:tcBorders>
          </w:tcPr>
          <w:p>
            <w:pPr>
              <w:ind w:left="560"/>
              <w:spacing w:after="0"/>
              <w:rPr>
                <w:sz w:val="20"/>
                <w:szCs w:val="20"/>
                <w:color w:val="auto"/>
              </w:rPr>
            </w:pPr>
            <w:r>
              <w:rPr>
                <w:rFonts w:ascii="Arial" w:cs="Arial" w:eastAsia="Arial" w:hAnsi="Arial"/>
                <w:sz w:val="16"/>
                <w:szCs w:val="16"/>
                <w:b w:val="1"/>
                <w:bCs w:val="1"/>
                <w:color w:val="auto"/>
              </w:rPr>
              <w:t>$185.0MM</w:t>
            </w:r>
          </w:p>
        </w:tc>
      </w:tr>
      <w:tr>
        <w:trPr>
          <w:trHeight w:val="33"/>
        </w:trPr>
        <w:tc>
          <w:tcPr>
            <w:tcW w:w="1320" w:type="dxa"/>
            <w:vAlign w:val="bottom"/>
            <w:tcBorders>
              <w:left w:val="single" w:sz="8" w:color="003767"/>
              <w:bottom w:val="single" w:sz="8" w:color="003767"/>
            </w:tcBorders>
          </w:tcPr>
          <w:p>
            <w:pPr>
              <w:spacing w:after="0"/>
              <w:rPr>
                <w:sz w:val="2"/>
                <w:szCs w:val="2"/>
                <w:color w:val="auto"/>
              </w:rPr>
            </w:pPr>
          </w:p>
        </w:tc>
        <w:tc>
          <w:tcPr>
            <w:tcW w:w="2100" w:type="dxa"/>
            <w:vAlign w:val="bottom"/>
            <w:tcBorders>
              <w:bottom w:val="single" w:sz="8" w:color="003767"/>
              <w:right w:val="single" w:sz="8" w:color="00376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1080770</wp:posOffset>
            </wp:positionV>
            <wp:extent cx="2169795" cy="548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Average Investment Size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$35.7MM</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(1.6%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187325</wp:posOffset>
            </wp:positionV>
            <wp:extent cx="216979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First Lien Debt Investments (% FV)</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217805</wp:posOffset>
            </wp:positionV>
            <wp:extent cx="216979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Secured Debt Investments (% FV)</w:t>
      </w:r>
    </w:p>
    <w:p>
      <w:pPr>
        <w:spacing w:after="0" w:line="167" w:lineRule="exact"/>
        <w:rPr>
          <w:sz w:val="20"/>
          <w:szCs w:val="20"/>
          <w:color w:val="auto"/>
        </w:rPr>
      </w:pPr>
    </w:p>
    <w:p>
      <w:pPr>
        <w:ind w:left="1480"/>
        <w:spacing w:after="0"/>
        <w:rPr>
          <w:sz w:val="20"/>
          <w:szCs w:val="20"/>
          <w:color w:val="auto"/>
        </w:rPr>
      </w:pPr>
      <w:r>
        <w:rPr>
          <w:rFonts w:ascii="Arial" w:cs="Arial" w:eastAsia="Arial" w:hAnsi="Arial"/>
          <w:sz w:val="16"/>
          <w:szCs w:val="16"/>
          <w:b w:val="1"/>
          <w:bCs w:val="1"/>
          <w:color w:val="auto"/>
        </w:rPr>
        <w:t>97.1%</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60" w:space="340"/>
            <w:col w:w="3420"/>
          </w:cols>
          <w:pgMar w:left="240" w:top="965" w:right="239" w:bottom="1440" w:gutter="0" w:footer="0" w:header="0"/>
          <w:type w:val="continuous"/>
        </w:sectPr>
      </w:pPr>
    </w:p>
    <w:bookmarkStart w:id="5" w:name="page6"/>
    <w:bookmarkEnd w:id="5"/>
    <w:p>
      <w:pPr>
        <w:ind w:right="39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As of December 31, 2019, 99.2% of debt investments based on fair value in the portfolio bore interest at floating rates (when including investment specific hedges), with 93.5% of these subject to interest rate floors. The Company’s credit facilities also bear interest at floating rates. In connection with the Company’s Convertible Notes and other Notes, which bear interest at fixed rates, the Company entered into fixed-to-floating interest rate swaps in order to align the nature of the interest rates of its liabilities with its investment portfolio.</w:t>
      </w:r>
    </w:p>
    <w:p>
      <w:pPr>
        <w:spacing w:after="0" w:line="126" w:lineRule="exact"/>
        <w:rPr>
          <w:sz w:val="20"/>
          <w:szCs w:val="20"/>
          <w:color w:val="auto"/>
        </w:rPr>
      </w:pPr>
    </w:p>
    <w:p>
      <w:pPr>
        <w:ind w:right="3840"/>
        <w:spacing w:after="0" w:line="257" w:lineRule="auto"/>
        <w:rPr>
          <w:sz w:val="20"/>
          <w:szCs w:val="20"/>
          <w:color w:val="auto"/>
        </w:rPr>
      </w:pPr>
      <w:r>
        <w:rPr>
          <w:rFonts w:ascii="Arial" w:cs="Arial" w:eastAsia="Arial" w:hAnsi="Arial"/>
          <w:sz w:val="18"/>
          <w:szCs w:val="18"/>
          <w:color w:val="auto"/>
        </w:rPr>
        <w:t>As of December 31, 2019 and September 30, 2019, the weighted average total yield of debt and income-producing securities at fair value (which includes interest income and amortization of fees and discounts) was 10.5% and 10.7%, respectively, and the weighted average total yield of debt and income-producing securities at amortized cost (which includes interest income and amortization of fees and discounts) was 10.7% and 10.8%, respectively.</w:t>
      </w:r>
    </w:p>
    <w:p>
      <w:pPr>
        <w:spacing w:after="0" w:line="107" w:lineRule="exact"/>
        <w:rPr>
          <w:sz w:val="20"/>
          <w:szCs w:val="20"/>
          <w:color w:val="auto"/>
        </w:rPr>
      </w:pPr>
    </w:p>
    <w:p>
      <w:pPr>
        <w:ind w:right="4160"/>
        <w:spacing w:after="0" w:line="277" w:lineRule="auto"/>
        <w:rPr>
          <w:sz w:val="20"/>
          <w:szCs w:val="20"/>
          <w:color w:val="auto"/>
        </w:rPr>
      </w:pPr>
      <w:r>
        <w:rPr>
          <w:rFonts w:ascii="Arial" w:cs="Arial" w:eastAsia="Arial" w:hAnsi="Arial"/>
          <w:sz w:val="18"/>
          <w:szCs w:val="18"/>
          <w:color w:val="auto"/>
        </w:rPr>
        <w:t>As of December 31, 2019, 100% of the portfolio at fair value was meeting all payment and covenant requirements, and no investments were on non-accrual status.</w:t>
      </w:r>
    </w:p>
    <w:p>
      <w:pPr>
        <w:spacing w:after="0" w:line="117" w:lineRule="exact"/>
        <w:rPr>
          <w:sz w:val="20"/>
          <w:szCs w:val="20"/>
          <w:color w:val="auto"/>
        </w:rPr>
      </w:pPr>
    </w:p>
    <w:tbl>
      <w:tblPr>
        <w:tblLayout w:type="fixed"/>
        <w:tblInd w:w="10" w:type="dxa"/>
        <w:tblCellMar>
          <w:top w:w="0" w:type="dxa"/>
          <w:left w:w="0" w:type="dxa"/>
          <w:bottom w:w="0" w:type="dxa"/>
          <w:right w:w="0" w:type="dxa"/>
        </w:tblCellMar>
      </w:tblPr>
      <w:tr>
        <w:trPr>
          <w:trHeight w:val="1168"/>
        </w:trPr>
        <w:tc>
          <w:tcPr>
            <w:tcW w:w="2220" w:type="dxa"/>
            <w:vAlign w:val="bottom"/>
            <w:tcBorders>
              <w:left w:val="single" w:sz="8" w:color="003767"/>
              <w:bottom w:val="single" w:sz="8" w:color="003767"/>
            </w:tcBorders>
            <w:shd w:val="clear" w:color="auto" w:fill="003767"/>
          </w:tcPr>
          <w:p>
            <w:pPr>
              <w:spacing w:after="0"/>
              <w:rPr>
                <w:sz w:val="24"/>
                <w:szCs w:val="24"/>
                <w:color w:val="auto"/>
              </w:rPr>
            </w:pPr>
          </w:p>
        </w:tc>
        <w:tc>
          <w:tcPr>
            <w:tcW w:w="5440" w:type="dxa"/>
            <w:vAlign w:val="bottom"/>
            <w:tcBorders>
              <w:bottom w:val="single" w:sz="8" w:color="003767"/>
              <w:right w:val="single" w:sz="8" w:color="003767"/>
            </w:tcBorders>
            <w:shd w:val="clear" w:color="auto" w:fill="003767"/>
          </w:tcPr>
          <w:p>
            <w:pPr>
              <w:jc w:val="right"/>
              <w:ind w:right="2559"/>
              <w:spacing w:after="0"/>
              <w:rPr>
                <w:sz w:val="20"/>
                <w:szCs w:val="20"/>
                <w:color w:val="auto"/>
              </w:rPr>
            </w:pPr>
            <w:r>
              <w:rPr>
                <w:rFonts w:ascii="Arial" w:cs="Arial" w:eastAsia="Arial" w:hAnsi="Arial"/>
                <w:sz w:val="16"/>
                <w:szCs w:val="16"/>
                <w:b w:val="1"/>
                <w:bCs w:val="1"/>
                <w:color w:val="FFFFFF"/>
              </w:rPr>
              <w:t>Weighted Average Portfolio Yields</w:t>
            </w:r>
          </w:p>
        </w:tc>
      </w:tr>
      <w:tr>
        <w:trPr>
          <w:trHeight w:val="251"/>
        </w:trPr>
        <w:tc>
          <w:tcPr>
            <w:tcW w:w="22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Yield at Fair Value:</w:t>
            </w:r>
          </w:p>
        </w:tc>
        <w:tc>
          <w:tcPr>
            <w:tcW w:w="544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10.5%</w:t>
            </w:r>
          </w:p>
        </w:tc>
      </w:tr>
      <w:tr>
        <w:trPr>
          <w:trHeight w:val="324"/>
        </w:trPr>
        <w:tc>
          <w:tcPr>
            <w:tcW w:w="222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Yield at Amortized Cost:</w:t>
            </w:r>
          </w:p>
        </w:tc>
        <w:tc>
          <w:tcPr>
            <w:tcW w:w="544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10.7%</w:t>
            </w:r>
          </w:p>
        </w:tc>
      </w:tr>
      <w:tr>
        <w:trPr>
          <w:trHeight w:val="74"/>
        </w:trPr>
        <w:tc>
          <w:tcPr>
            <w:tcW w:w="2220" w:type="dxa"/>
            <w:vAlign w:val="bottom"/>
            <w:tcBorders>
              <w:left w:val="single" w:sz="8" w:color="003767"/>
              <w:bottom w:val="single" w:sz="8" w:color="003767"/>
            </w:tcBorders>
          </w:tcPr>
          <w:p>
            <w:pPr>
              <w:spacing w:after="0"/>
              <w:rPr>
                <w:sz w:val="6"/>
                <w:szCs w:val="6"/>
                <w:color w:val="auto"/>
              </w:rPr>
            </w:pPr>
          </w:p>
        </w:tc>
        <w:tc>
          <w:tcPr>
            <w:tcW w:w="5440" w:type="dxa"/>
            <w:vAlign w:val="bottom"/>
            <w:tcBorders>
              <w:bottom w:val="single" w:sz="8" w:color="003767"/>
              <w:right w:val="single" w:sz="8" w:color="003767"/>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-1148715</wp:posOffset>
            </wp:positionV>
            <wp:extent cx="1132205" cy="4718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32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6" w:name="page7"/>
    <w:bookmarkEnd w:id="6"/>
    <w:p>
      <w:pPr>
        <w:spacing w:after="0"/>
        <w:rPr>
          <w:sz w:val="20"/>
          <w:szCs w:val="20"/>
          <w:color w:val="auto"/>
        </w:rPr>
      </w:pPr>
      <w:r>
        <w:rPr>
          <w:rFonts w:ascii="Arial" w:cs="Arial" w:eastAsia="Arial" w:hAnsi="Arial"/>
          <w:sz w:val="32"/>
          <w:szCs w:val="32"/>
          <w:b w:val="1"/>
          <w:bCs w:val="1"/>
          <w:color w:val="FFFFFF"/>
        </w:rPr>
        <w:drawing>
          <wp:anchor simplePos="0" relativeHeight="251657728" behindDoc="1" locked="0" layoutInCell="0" allowOverlap="1">
            <wp:simplePos x="0" y="0"/>
            <wp:positionH relativeFrom="page">
              <wp:posOffset>157480</wp:posOffset>
            </wp:positionH>
            <wp:positionV relativeFrom="page">
              <wp:posOffset>715010</wp:posOffset>
            </wp:positionV>
            <wp:extent cx="7246620" cy="6172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61722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Results of Operations</w:t>
      </w:r>
    </w:p>
    <w:p>
      <w:pPr>
        <w:spacing w:after="0" w:line="33" w:lineRule="exact"/>
        <w:rPr>
          <w:sz w:val="20"/>
          <w:szCs w:val="20"/>
          <w:color w:val="auto"/>
        </w:rPr>
      </w:pPr>
    </w:p>
    <w:p>
      <w:pPr>
        <w:spacing w:after="0"/>
        <w:rPr>
          <w:sz w:val="20"/>
          <w:szCs w:val="20"/>
          <w:color w:val="auto"/>
        </w:rPr>
      </w:pPr>
      <w:r>
        <w:rPr>
          <w:rFonts w:ascii="Arial" w:cs="Arial" w:eastAsia="Arial" w:hAnsi="Arial"/>
          <w:sz w:val="29"/>
          <w:szCs w:val="29"/>
          <w:b w:val="1"/>
          <w:bCs w:val="1"/>
          <w:color w:val="FFFFFF"/>
        </w:rPr>
        <w:t>For the Full Year and Quarter Ended December 31, 2019</w:t>
      </w:r>
    </w:p>
    <w:p>
      <w:pPr>
        <w:sectPr>
          <w:pgSz w:w="11900" w:h="16838" w:orient="portrait"/>
          <w:cols w:equalWidth="0" w:num="1">
            <w:col w:w="11420"/>
          </w:cols>
          <w:pgMar w:left="240" w:top="1206" w:right="2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Full Year</w:t>
      </w:r>
    </w:p>
    <w:p>
      <w:pPr>
        <w:spacing w:after="0" w:line="1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the years ended December 31, 2019 and 2018, investment income totaled $251.5 million and $261.9 million, respectively. The decrease in investment income was primarily driven by a decrease in accelerated amortization of upfront fees and prepayment fees due to fewer paydowns, which was partially offset by an increase in the average portfolio size for the year ended December 31, 2019.</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expenses totaled $119.4 million and $114.6 million for the years ended December 31, 2019 and 2018, respectively. This increase in net expenses was primarily driven by an increase in interest expense from an increase in the average debt outstanding.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quarters ended December 31, 2019 and 2018, investment income totaled $66.5 million and $74.7 million, respectively. The decrease in investment income was primarily driven by a decrease in accelerated amortization of upfront fees and prepayment fees, which was partially offset by an increase in the average portfolio size for the quarter ended December 31, 2019.</w:t>
      </w:r>
    </w:p>
    <w:p>
      <w:pPr>
        <w:spacing w:after="0" w:line="106"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Net expenses totaled $31.9 million and $29.7 million for the quarters ended December 31, 2019 and 2018, respectively. This increase in net expenses was primarily due to an increase in interest expense from an increase in the average debt outstanding.</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December 31, 2019, the Company had $14.1 million in cash and cash equivalents (including $9.3 million of restricted cash), total principal value of debt outstanding of $1,118.2 million, and $749.3 million of undrawn capacity on its revolving credit facility, subject to borrowing base and other limitations. The Company’s weighted average interest rate on debt outstanding was 4.1% and 4.4% for the quarters ended December 31, 2019 and September 30, 2019, respectively. Average debt to equity was 0.97x and 0.86x during the quarters ended December 31, 2019 and September 30, 2019, respectively.</w:t>
      </w:r>
    </w:p>
    <w:p>
      <w:pPr>
        <w:spacing w:after="0" w:line="377" w:lineRule="exact"/>
        <w:rPr>
          <w:sz w:val="20"/>
          <w:szCs w:val="20"/>
          <w:color w:val="auto"/>
        </w:rPr>
      </w:pPr>
    </w:p>
    <w:p>
      <w:pPr>
        <w:ind w:left="340" w:right="140" w:hanging="332"/>
        <w:spacing w:after="0" w:line="227"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Adjusted to reflect the January 2020 amendment of the Revolving Credit Facility that increased total commitments by $70 million and the February 2020 issuance of $50 million of Reopened 2024 Notes, the net proceeds of which were used to pay down a portion of the outstanding revolver borrowings.</w:t>
      </w:r>
    </w:p>
    <w:p>
      <w:pPr>
        <w:ind w:left="340" w:right="40" w:hanging="332"/>
        <w:spacing w:after="0" w:line="232"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91"/>
        </w:trPr>
        <w:tc>
          <w:tcPr>
            <w:tcW w:w="1500" w:type="dxa"/>
            <w:vAlign w:val="bottom"/>
            <w:tcBorders>
              <w:left w:val="single" w:sz="8" w:color="003767"/>
            </w:tcBorders>
            <w:shd w:val="clear" w:color="auto" w:fill="003767"/>
          </w:tcPr>
          <w:p>
            <w:pPr>
              <w:spacing w:after="0"/>
              <w:rPr>
                <w:sz w:val="24"/>
                <w:szCs w:val="24"/>
                <w:color w:val="auto"/>
              </w:rPr>
            </w:pPr>
          </w:p>
        </w:tc>
        <w:tc>
          <w:tcPr>
            <w:tcW w:w="1920" w:type="dxa"/>
            <w:vAlign w:val="bottom"/>
            <w:tcBorders>
              <w:right w:val="single" w:sz="8" w:color="003767"/>
            </w:tcBorders>
            <w:shd w:val="clear" w:color="auto" w:fill="003767"/>
          </w:tcPr>
          <w:p>
            <w:pPr>
              <w:jc w:val="right"/>
              <w:ind w:right="1459"/>
              <w:spacing w:after="0"/>
              <w:rPr>
                <w:sz w:val="20"/>
                <w:szCs w:val="20"/>
                <w:color w:val="auto"/>
              </w:rPr>
            </w:pPr>
            <w:r>
              <w:rPr>
                <w:rFonts w:ascii="Arial" w:cs="Arial" w:eastAsia="Arial" w:hAnsi="Arial"/>
                <w:sz w:val="16"/>
                <w:szCs w:val="16"/>
                <w:b w:val="1"/>
                <w:bCs w:val="1"/>
                <w:color w:val="FFFFFF"/>
              </w:rPr>
              <w:t>2019</w:t>
            </w:r>
          </w:p>
        </w:tc>
      </w:tr>
      <w:tr>
        <w:trPr>
          <w:trHeight w:val="101"/>
        </w:trPr>
        <w:tc>
          <w:tcPr>
            <w:tcW w:w="1500" w:type="dxa"/>
            <w:vAlign w:val="bottom"/>
            <w:tcBorders>
              <w:left w:val="single" w:sz="8" w:color="003767"/>
            </w:tcBorders>
            <w:shd w:val="clear" w:color="auto" w:fill="003767"/>
          </w:tcPr>
          <w:p>
            <w:pPr>
              <w:spacing w:after="0"/>
              <w:rPr>
                <w:sz w:val="8"/>
                <w:szCs w:val="8"/>
                <w:color w:val="auto"/>
              </w:rPr>
            </w:pPr>
          </w:p>
        </w:tc>
        <w:tc>
          <w:tcPr>
            <w:tcW w:w="1920" w:type="dxa"/>
            <w:vAlign w:val="bottom"/>
            <w:tcBorders>
              <w:right w:val="single" w:sz="8" w:color="003767"/>
            </w:tcBorders>
            <w:shd w:val="clear" w:color="auto" w:fill="003767"/>
          </w:tcPr>
          <w:p>
            <w:pPr>
              <w:spacing w:after="0"/>
              <w:rPr>
                <w:sz w:val="8"/>
                <w:szCs w:val="8"/>
                <w:color w:val="auto"/>
              </w:rPr>
            </w:pPr>
          </w:p>
        </w:tc>
      </w:tr>
      <w:tr>
        <w:trPr>
          <w:trHeight w:val="27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3"/>
              </w:rPr>
              <w:t>Investment Income:</w:t>
            </w:r>
          </w:p>
        </w:tc>
        <w:tc>
          <w:tcPr>
            <w:tcW w:w="1920" w:type="dxa"/>
            <w:vAlign w:val="bottom"/>
            <w:tcBorders>
              <w:right w:val="single" w:sz="8" w:color="003767"/>
            </w:tcBorders>
          </w:tcPr>
          <w:p>
            <w:pPr>
              <w:ind w:left="360"/>
              <w:spacing w:after="0"/>
              <w:rPr>
                <w:sz w:val="20"/>
                <w:szCs w:val="20"/>
                <w:color w:val="auto"/>
              </w:rPr>
            </w:pPr>
            <w:r>
              <w:rPr>
                <w:rFonts w:ascii="Arial" w:cs="Arial" w:eastAsia="Arial" w:hAnsi="Arial"/>
                <w:sz w:val="16"/>
                <w:szCs w:val="16"/>
                <w:b w:val="1"/>
                <w:bCs w:val="1"/>
                <w:color w:val="auto"/>
              </w:rPr>
              <w:t>$251.5MM</w:t>
            </w:r>
          </w:p>
        </w:tc>
      </w:tr>
      <w:tr>
        <w:trPr>
          <w:trHeight w:val="21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Expenses:</w:t>
            </w:r>
          </w:p>
        </w:tc>
        <w:tc>
          <w:tcPr>
            <w:tcW w:w="1920" w:type="dxa"/>
            <w:vAlign w:val="bottom"/>
            <w:tcBorders>
              <w:right w:val="single" w:sz="8" w:color="003767"/>
            </w:tcBorders>
          </w:tcPr>
          <w:p>
            <w:pPr>
              <w:ind w:left="360"/>
              <w:spacing w:after="0"/>
              <w:rPr>
                <w:sz w:val="20"/>
                <w:szCs w:val="20"/>
                <w:color w:val="auto"/>
              </w:rPr>
            </w:pPr>
            <w:r>
              <w:rPr>
                <w:rFonts w:ascii="Arial" w:cs="Arial" w:eastAsia="Arial" w:hAnsi="Arial"/>
                <w:sz w:val="16"/>
                <w:szCs w:val="16"/>
                <w:b w:val="1"/>
                <w:bCs w:val="1"/>
                <w:color w:val="auto"/>
              </w:rPr>
              <w:t>$119.4MM</w:t>
            </w:r>
          </w:p>
        </w:tc>
      </w:tr>
      <w:tr>
        <w:trPr>
          <w:trHeight w:val="87"/>
        </w:trPr>
        <w:tc>
          <w:tcPr>
            <w:tcW w:w="1500" w:type="dxa"/>
            <w:vAlign w:val="bottom"/>
            <w:tcBorders>
              <w:left w:val="single" w:sz="8" w:color="003767"/>
              <w:bottom w:val="single" w:sz="8" w:color="003767"/>
            </w:tcBorders>
          </w:tcPr>
          <w:p>
            <w:pPr>
              <w:spacing w:after="0"/>
              <w:rPr>
                <w:sz w:val="7"/>
                <w:szCs w:val="7"/>
                <w:color w:val="auto"/>
              </w:rPr>
            </w:pPr>
          </w:p>
        </w:tc>
        <w:tc>
          <w:tcPr>
            <w:tcW w:w="1920" w:type="dxa"/>
            <w:vAlign w:val="bottom"/>
            <w:tcBorders>
              <w:bottom w:val="single" w:sz="8" w:color="003767"/>
              <w:right w:val="single" w:sz="8" w:color="003767"/>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1500" w:type="dxa"/>
            <w:vAlign w:val="bottom"/>
            <w:tcBorders>
              <w:left w:val="single" w:sz="8" w:color="003767"/>
            </w:tcBorders>
            <w:shd w:val="clear" w:color="auto" w:fill="003767"/>
          </w:tcPr>
          <w:p>
            <w:pPr>
              <w:spacing w:after="0"/>
              <w:rPr>
                <w:sz w:val="24"/>
                <w:szCs w:val="24"/>
                <w:color w:val="auto"/>
              </w:rPr>
            </w:pPr>
          </w:p>
        </w:tc>
        <w:tc>
          <w:tcPr>
            <w:tcW w:w="1920" w:type="dxa"/>
            <w:vAlign w:val="bottom"/>
            <w:tcBorders>
              <w:right w:val="single" w:sz="8" w:color="003767"/>
            </w:tcBorders>
            <w:shd w:val="clear" w:color="auto" w:fill="003767"/>
          </w:tcPr>
          <w:p>
            <w:pPr>
              <w:ind w:left="20"/>
              <w:spacing w:after="0"/>
              <w:rPr>
                <w:sz w:val="20"/>
                <w:szCs w:val="20"/>
                <w:color w:val="auto"/>
              </w:rPr>
            </w:pPr>
            <w:r>
              <w:rPr>
                <w:rFonts w:ascii="Arial" w:cs="Arial" w:eastAsia="Arial" w:hAnsi="Arial"/>
                <w:sz w:val="16"/>
                <w:szCs w:val="16"/>
                <w:b w:val="1"/>
                <w:bCs w:val="1"/>
                <w:color w:val="FFFFFF"/>
              </w:rPr>
              <w:t>4Q19</w:t>
            </w:r>
          </w:p>
        </w:tc>
      </w:tr>
      <w:tr>
        <w:trPr>
          <w:trHeight w:val="101"/>
        </w:trPr>
        <w:tc>
          <w:tcPr>
            <w:tcW w:w="1500" w:type="dxa"/>
            <w:vAlign w:val="bottom"/>
            <w:tcBorders>
              <w:left w:val="single" w:sz="8" w:color="003767"/>
            </w:tcBorders>
            <w:shd w:val="clear" w:color="auto" w:fill="003767"/>
          </w:tcPr>
          <w:p>
            <w:pPr>
              <w:spacing w:after="0"/>
              <w:rPr>
                <w:sz w:val="8"/>
                <w:szCs w:val="8"/>
                <w:color w:val="auto"/>
              </w:rPr>
            </w:pPr>
          </w:p>
        </w:tc>
        <w:tc>
          <w:tcPr>
            <w:tcW w:w="1920" w:type="dxa"/>
            <w:vAlign w:val="bottom"/>
            <w:tcBorders>
              <w:right w:val="single" w:sz="8" w:color="003767"/>
            </w:tcBorders>
            <w:shd w:val="clear" w:color="auto" w:fill="003767"/>
          </w:tcPr>
          <w:p>
            <w:pPr>
              <w:spacing w:after="0"/>
              <w:rPr>
                <w:sz w:val="8"/>
                <w:szCs w:val="8"/>
                <w:color w:val="auto"/>
              </w:rPr>
            </w:pPr>
          </w:p>
        </w:tc>
      </w:tr>
      <w:tr>
        <w:trPr>
          <w:trHeight w:val="27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3"/>
              </w:rPr>
              <w:t>Investment Income:</w:t>
            </w:r>
          </w:p>
        </w:tc>
        <w:tc>
          <w:tcPr>
            <w:tcW w:w="1920" w:type="dxa"/>
            <w:vAlign w:val="bottom"/>
            <w:tcBorders>
              <w:right w:val="single" w:sz="8" w:color="003767"/>
            </w:tcBorders>
          </w:tcPr>
          <w:p>
            <w:pPr>
              <w:ind w:left="440"/>
              <w:spacing w:after="0"/>
              <w:rPr>
                <w:sz w:val="20"/>
                <w:szCs w:val="20"/>
                <w:color w:val="auto"/>
              </w:rPr>
            </w:pPr>
            <w:r>
              <w:rPr>
                <w:rFonts w:ascii="Arial" w:cs="Arial" w:eastAsia="Arial" w:hAnsi="Arial"/>
                <w:sz w:val="16"/>
                <w:szCs w:val="16"/>
                <w:b w:val="1"/>
                <w:bCs w:val="1"/>
                <w:color w:val="auto"/>
              </w:rPr>
              <w:t>$66.5MM</w:t>
            </w:r>
          </w:p>
        </w:tc>
      </w:tr>
      <w:tr>
        <w:trPr>
          <w:trHeight w:val="210"/>
        </w:trPr>
        <w:tc>
          <w:tcPr>
            <w:tcW w:w="150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rPr>
              <w:t>Net Expenses:</w:t>
            </w:r>
          </w:p>
        </w:tc>
        <w:tc>
          <w:tcPr>
            <w:tcW w:w="1920" w:type="dxa"/>
            <w:vAlign w:val="bottom"/>
            <w:tcBorders>
              <w:right w:val="single" w:sz="8" w:color="003767"/>
            </w:tcBorders>
          </w:tcPr>
          <w:p>
            <w:pPr>
              <w:ind w:left="440"/>
              <w:spacing w:after="0"/>
              <w:rPr>
                <w:sz w:val="20"/>
                <w:szCs w:val="20"/>
                <w:color w:val="auto"/>
              </w:rPr>
            </w:pPr>
            <w:r>
              <w:rPr>
                <w:rFonts w:ascii="Arial" w:cs="Arial" w:eastAsia="Arial" w:hAnsi="Arial"/>
                <w:sz w:val="16"/>
                <w:szCs w:val="16"/>
                <w:b w:val="1"/>
                <w:bCs w:val="1"/>
                <w:color w:val="auto"/>
              </w:rPr>
              <w:t>$31.9MM</w:t>
            </w:r>
          </w:p>
        </w:tc>
      </w:tr>
      <w:tr>
        <w:trPr>
          <w:trHeight w:val="87"/>
        </w:trPr>
        <w:tc>
          <w:tcPr>
            <w:tcW w:w="1500" w:type="dxa"/>
            <w:vAlign w:val="bottom"/>
            <w:tcBorders>
              <w:left w:val="single" w:sz="8" w:color="003767"/>
              <w:bottom w:val="single" w:sz="8" w:color="003767"/>
            </w:tcBorders>
          </w:tcPr>
          <w:p>
            <w:pPr>
              <w:spacing w:after="0"/>
              <w:rPr>
                <w:sz w:val="7"/>
                <w:szCs w:val="7"/>
                <w:color w:val="auto"/>
              </w:rPr>
            </w:pPr>
          </w:p>
        </w:tc>
        <w:tc>
          <w:tcPr>
            <w:tcW w:w="1920" w:type="dxa"/>
            <w:vAlign w:val="bottom"/>
            <w:tcBorders>
              <w:bottom w:val="single" w:sz="8" w:color="003767"/>
              <w:right w:val="single" w:sz="8" w:color="003767"/>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951865</wp:posOffset>
            </wp:positionV>
            <wp:extent cx="2169795" cy="4629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Total Principal Debt Outstanding</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$1,118.2MM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2169795"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FFFFFF"/>
        </w:rPr>
        <w:t>Available Liquidity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$749.3MM (actual)</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$869.7MM (adjusted)</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2169795" cy="754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754380"/>
                    </a:xfrm>
                    <a:prstGeom prst="rect">
                      <a:avLst/>
                    </a:prstGeom>
                    <a:noFill/>
                  </pic:spPr>
                </pic:pic>
              </a:graphicData>
            </a:graphic>
          </wp:anchor>
        </w:drawing>
      </w:r>
    </w:p>
    <w:p>
      <w:pPr>
        <w:spacing w:after="0" w:line="364"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FFFFFF"/>
        </w:rPr>
        <w:t>Debt-to-Equity Ratio</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2120" w:type="dxa"/>
            <w:vAlign w:val="bottom"/>
          </w:tcPr>
          <w:p>
            <w:pPr>
              <w:spacing w:after="0"/>
              <w:rPr>
                <w:sz w:val="20"/>
                <w:szCs w:val="20"/>
                <w:color w:val="auto"/>
              </w:rPr>
            </w:pPr>
            <w:r>
              <w:rPr>
                <w:rFonts w:ascii="Arial" w:cs="Arial" w:eastAsia="Arial" w:hAnsi="Arial"/>
                <w:sz w:val="16"/>
                <w:szCs w:val="16"/>
                <w:b w:val="1"/>
                <w:bCs w:val="1"/>
                <w:color w:val="auto"/>
              </w:rPr>
              <w:t>4Q19 Quarter End:</w:t>
            </w:r>
          </w:p>
        </w:tc>
        <w:tc>
          <w:tcPr>
            <w:tcW w:w="1140" w:type="dxa"/>
            <w:vAlign w:val="bottom"/>
          </w:tcPr>
          <w:p>
            <w:pPr>
              <w:ind w:left="780"/>
              <w:spacing w:after="0"/>
              <w:rPr>
                <w:sz w:val="20"/>
                <w:szCs w:val="20"/>
                <w:color w:val="auto"/>
              </w:rPr>
            </w:pPr>
            <w:r>
              <w:rPr>
                <w:rFonts w:ascii="Arial" w:cs="Arial" w:eastAsia="Arial" w:hAnsi="Arial"/>
                <w:sz w:val="16"/>
                <w:szCs w:val="16"/>
                <w:b w:val="1"/>
                <w:bCs w:val="1"/>
                <w:color w:val="auto"/>
                <w:w w:val="84"/>
              </w:rPr>
              <w:t>1.00x</w:t>
            </w:r>
          </w:p>
        </w:tc>
      </w:tr>
      <w:tr>
        <w:trPr>
          <w:trHeight w:val="286"/>
        </w:trPr>
        <w:tc>
          <w:tcPr>
            <w:tcW w:w="2120" w:type="dxa"/>
            <w:vAlign w:val="bottom"/>
          </w:tcPr>
          <w:p>
            <w:pPr>
              <w:spacing w:after="0" w:line="286" w:lineRule="exact"/>
              <w:rPr>
                <w:sz w:val="20"/>
                <w:szCs w:val="20"/>
                <w:color w:val="auto"/>
              </w:rPr>
            </w:pPr>
            <w:r>
              <w:rPr>
                <w:rFonts w:ascii="Arial" w:cs="Arial" w:eastAsia="Arial" w:hAnsi="Arial"/>
                <w:sz w:val="16"/>
                <w:szCs w:val="16"/>
                <w:b w:val="1"/>
                <w:bCs w:val="1"/>
                <w:color w:val="auto"/>
              </w:rPr>
              <w:t>2019 Average</w:t>
            </w:r>
            <w:r>
              <w:rPr>
                <w:rFonts w:ascii="Arial" w:cs="Arial" w:eastAsia="Arial" w:hAnsi="Arial"/>
                <w:sz w:val="27"/>
                <w:szCs w:val="27"/>
                <w:b w:val="1"/>
                <w:bCs w:val="1"/>
                <w:color w:val="auto"/>
                <w:vertAlign w:val="superscript"/>
              </w:rPr>
              <w:t>(2)</w:t>
            </w:r>
            <w:r>
              <w:rPr>
                <w:rFonts w:ascii="Arial" w:cs="Arial" w:eastAsia="Arial" w:hAnsi="Arial"/>
                <w:sz w:val="16"/>
                <w:szCs w:val="16"/>
                <w:b w:val="1"/>
                <w:bCs w:val="1"/>
                <w:color w:val="auto"/>
              </w:rPr>
              <w:t>:</w:t>
            </w:r>
          </w:p>
        </w:tc>
        <w:tc>
          <w:tcPr>
            <w:tcW w:w="1140" w:type="dxa"/>
            <w:vAlign w:val="bottom"/>
          </w:tcPr>
          <w:p>
            <w:pPr>
              <w:ind w:left="780"/>
              <w:spacing w:after="0"/>
              <w:rPr>
                <w:sz w:val="20"/>
                <w:szCs w:val="20"/>
                <w:color w:val="auto"/>
              </w:rPr>
            </w:pPr>
            <w:r>
              <w:rPr>
                <w:rFonts w:ascii="Arial" w:cs="Arial" w:eastAsia="Arial" w:hAnsi="Arial"/>
                <w:sz w:val="16"/>
                <w:szCs w:val="16"/>
                <w:b w:val="1"/>
                <w:bCs w:val="1"/>
                <w:color w:val="auto"/>
                <w:w w:val="84"/>
              </w:rPr>
              <w:t>0.84x</w:t>
            </w:r>
          </w:p>
        </w:tc>
      </w:tr>
      <w:tr>
        <w:trPr>
          <w:trHeight w:val="363"/>
        </w:trPr>
        <w:tc>
          <w:tcPr>
            <w:tcW w:w="2120" w:type="dxa"/>
            <w:vAlign w:val="bottom"/>
          </w:tcPr>
          <w:p>
            <w:pPr>
              <w:spacing w:after="0"/>
              <w:rPr>
                <w:sz w:val="20"/>
                <w:szCs w:val="20"/>
                <w:color w:val="auto"/>
              </w:rPr>
            </w:pPr>
            <w:r>
              <w:rPr>
                <w:rFonts w:ascii="Arial" w:cs="Arial" w:eastAsia="Arial" w:hAnsi="Arial"/>
                <w:sz w:val="16"/>
                <w:szCs w:val="16"/>
                <w:b w:val="1"/>
                <w:bCs w:val="1"/>
                <w:color w:val="auto"/>
              </w:rPr>
              <w:t>4Q19 Average</w:t>
            </w:r>
            <w:r>
              <w:rPr>
                <w:rFonts w:ascii="Arial" w:cs="Arial" w:eastAsia="Arial" w:hAnsi="Arial"/>
                <w:sz w:val="27"/>
                <w:szCs w:val="27"/>
                <w:b w:val="1"/>
                <w:bCs w:val="1"/>
                <w:color w:val="auto"/>
                <w:vertAlign w:val="superscript"/>
              </w:rPr>
              <w:t>(2)</w:t>
            </w:r>
            <w:r>
              <w:rPr>
                <w:rFonts w:ascii="Arial" w:cs="Arial" w:eastAsia="Arial" w:hAnsi="Arial"/>
                <w:sz w:val="16"/>
                <w:szCs w:val="16"/>
                <w:b w:val="1"/>
                <w:bCs w:val="1"/>
                <w:color w:val="auto"/>
              </w:rPr>
              <w:t>:</w:t>
            </w:r>
          </w:p>
        </w:tc>
        <w:tc>
          <w:tcPr>
            <w:tcW w:w="1140" w:type="dxa"/>
            <w:vAlign w:val="bottom"/>
          </w:tcPr>
          <w:p>
            <w:pPr>
              <w:ind w:left="780"/>
              <w:spacing w:after="0"/>
              <w:rPr>
                <w:sz w:val="20"/>
                <w:szCs w:val="20"/>
                <w:color w:val="auto"/>
              </w:rPr>
            </w:pPr>
            <w:r>
              <w:rPr>
                <w:rFonts w:ascii="Arial" w:cs="Arial" w:eastAsia="Arial" w:hAnsi="Arial"/>
                <w:sz w:val="16"/>
                <w:szCs w:val="16"/>
                <w:b w:val="1"/>
                <w:bCs w:val="1"/>
                <w:color w:val="auto"/>
                <w:w w:val="84"/>
              </w:rPr>
              <w:t>0.97x</w:t>
            </w:r>
          </w:p>
        </w:tc>
      </w:tr>
    </w:tbl>
    <w:p>
      <w:pPr>
        <w:spacing w:after="0" w:line="200" w:lineRule="exact"/>
        <w:rPr>
          <w:sz w:val="20"/>
          <w:szCs w:val="20"/>
          <w:color w:val="auto"/>
        </w:rPr>
      </w:pPr>
    </w:p>
    <w:p>
      <w:pPr>
        <w:sectPr>
          <w:pgSz w:w="11900" w:h="16838" w:orient="portrait"/>
          <w:cols w:equalWidth="0" w:num="2">
            <w:col w:w="7640" w:space="360"/>
            <w:col w:w="3420"/>
          </w:cols>
          <w:pgMar w:left="240" w:top="1206" w:right="239" w:bottom="1440" w:gutter="0" w:footer="0" w:header="0"/>
          <w:type w:val="continuous"/>
        </w:sectPr>
      </w:pPr>
    </w:p>
    <w:p>
      <w:pPr>
        <w:spacing w:after="0" w:line="29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21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92175"/>
                    </a:xfrm>
                    <a:prstGeom prst="rect">
                      <a:avLst/>
                    </a:prstGeom>
                    <a:noFill/>
                  </pic:spPr>
                </pic:pic>
              </a:graphicData>
            </a:graphic>
          </wp:anchor>
        </w:drawing>
        <w:t>Conference Call and Webcast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 conference call to discuss the Company’s financial results will be held live at 8:00 a.m. Eastern Time on February 20, 2020. Please visit TSLX’s webcast link located on the Events &amp; Presentations page of the Investor Resources section of TSLX’s website http://www.tpgspecialtylending.com for a slide presentation that complements the Earnings Conference Call. Please visit the website to test your connection before the webcast.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7077458</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An archived replay will be available from approximately 12:00 p.m. Eastern Time on February 20 through February 27 via a webcast link located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7077458</w:t>
      </w: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6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2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92175"/>
                    </a:xfrm>
                    <a:prstGeom prst="rect">
                      <a:avLst/>
                    </a:prstGeom>
                    <a:noFill/>
                  </pic:spPr>
                </pic:pic>
              </a:graphicData>
            </a:graphic>
          </wp:anchor>
        </w:drawing>
        <w:t>Financial Highlights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in millions, except per share amounts)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w w:val="92"/>
              </w:rPr>
              <w:t>December 31, 2019</w:t>
            </w:r>
          </w:p>
        </w:tc>
        <w:tc>
          <w:tcPr>
            <w:tcW w:w="120" w:type="dxa"/>
            <w:vAlign w:val="bottom"/>
          </w:tcPr>
          <w:p>
            <w:pPr>
              <w:spacing w:after="0"/>
              <w:rPr>
                <w:sz w:val="21"/>
                <w:szCs w:val="21"/>
                <w:color w:val="auto"/>
              </w:rPr>
            </w:pPr>
          </w:p>
        </w:tc>
        <w:tc>
          <w:tcPr>
            <w:tcW w:w="23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89"/>
              </w:rPr>
              <w:t>September 30, 2019</w:t>
            </w:r>
          </w:p>
        </w:tc>
        <w:tc>
          <w:tcPr>
            <w:tcW w:w="180" w:type="dxa"/>
            <w:vAlign w:val="bottom"/>
          </w:tcPr>
          <w:p>
            <w:pPr>
              <w:spacing w:after="0"/>
              <w:rPr>
                <w:sz w:val="21"/>
                <w:szCs w:val="21"/>
                <w:color w:val="auto"/>
              </w:rPr>
            </w:pPr>
          </w:p>
        </w:tc>
        <w:tc>
          <w:tcPr>
            <w:tcW w:w="1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December 31,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2,245.9</w:t>
            </w:r>
          </w:p>
        </w:tc>
        <w:tc>
          <w:tcPr>
            <w:tcW w:w="5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5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2,280.9</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2,073.3</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1,730.3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0.06</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0.08</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Pro Forma Net Asset Value Per Share</w:t>
            </w:r>
            <w:r>
              <w:rPr>
                <w:rFonts w:ascii="Arial" w:cs="Arial" w:eastAsia="Arial" w:hAnsi="Arial"/>
                <w:sz w:val="15"/>
                <w:szCs w:val="15"/>
                <w:color w:val="auto"/>
              </w:rPr>
              <w:t>(1)</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16.77</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Net Investment Income</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33.8</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36.7</w:t>
            </w:r>
          </w:p>
        </w:tc>
        <w:tc>
          <w:tcPr>
            <w:tcW w:w="5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Investment Income Per Share</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0.55</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w w:val="89"/>
              </w:rPr>
              <w:t>Net Realized and Unrealized Gains (and Losses) Per Share $</w:t>
            </w:r>
          </w:p>
        </w:tc>
        <w:tc>
          <w:tcPr>
            <w:tcW w:w="1780" w:type="dxa"/>
            <w:vAlign w:val="bottom"/>
          </w:tcPr>
          <w:p>
            <w:pPr>
              <w:jc w:val="right"/>
              <w:spacing w:after="0"/>
              <w:rPr>
                <w:sz w:val="20"/>
                <w:szCs w:val="20"/>
                <w:color w:val="auto"/>
              </w:rPr>
            </w:pPr>
            <w:r>
              <w:rPr>
                <w:rFonts w:ascii="Arial" w:cs="Arial" w:eastAsia="Arial" w:hAnsi="Arial"/>
                <w:sz w:val="18"/>
                <w:szCs w:val="18"/>
                <w:color w:val="auto"/>
              </w:rPr>
              <w:t>0.06</w:t>
            </w:r>
          </w:p>
        </w:tc>
        <w:tc>
          <w:tcPr>
            <w:tcW w:w="5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380" w:type="dxa"/>
            <w:vAlign w:val="bottom"/>
            <w:gridSpan w:val="2"/>
          </w:tcPr>
          <w:p>
            <w:pPr>
              <w:jc w:val="right"/>
              <w:ind w:right="480"/>
              <w:spacing w:after="0"/>
              <w:rPr>
                <w:sz w:val="20"/>
                <w:szCs w:val="20"/>
                <w:color w:val="auto"/>
              </w:rPr>
            </w:pPr>
            <w:r>
              <w:rPr>
                <w:rFonts w:ascii="Arial" w:cs="Arial" w:eastAsia="Arial" w:hAnsi="Arial"/>
                <w:sz w:val="18"/>
                <w:szCs w:val="18"/>
                <w:color w:val="auto"/>
              </w:rPr>
              <w:t>(0.09)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0.57</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3"/>
              </w:rPr>
              <w:t>Annualized Return on Equity (Net Investment Income)</w:t>
            </w:r>
            <w:r>
              <w:rPr>
                <w:rFonts w:ascii="Arial" w:cs="Arial" w:eastAsia="Arial" w:hAnsi="Arial"/>
                <w:sz w:val="15"/>
                <w:szCs w:val="15"/>
                <w:color w:val="auto"/>
                <w:w w:val="93"/>
              </w:rPr>
              <w:t>(2)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12.2%</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Annualized Return on Equity (Net Income)</w:t>
            </w:r>
            <w:r>
              <w:rPr>
                <w:rFonts w:ascii="Arial" w:cs="Arial" w:eastAsia="Arial" w:hAnsi="Arial"/>
                <w:sz w:val="15"/>
                <w:szCs w:val="15"/>
                <w:color w:val="auto"/>
              </w:rPr>
              <w:t>(2)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3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w w:val="94"/>
              </w:rPr>
              <w:t>Weighted Average Yield of Debt and Income Producing</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340" w:type="dxa"/>
            <w:vAlign w:val="bottom"/>
            <w:gridSpan w:val="2"/>
            <w:vMerge w:val="restart"/>
            <w:shd w:val="clear" w:color="auto" w:fill="CFF0FC"/>
          </w:tcPr>
          <w:p>
            <w:pPr>
              <w:jc w:val="right"/>
              <w:ind w:right="4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FF0FC"/>
          </w:tcPr>
          <w:p>
            <w:pPr>
              <w:spacing w:after="0"/>
              <w:rPr>
                <w:sz w:val="18"/>
                <w:szCs w:val="18"/>
                <w:color w:val="auto"/>
              </w:rPr>
            </w:pPr>
          </w:p>
        </w:tc>
        <w:tc>
          <w:tcPr>
            <w:tcW w:w="2380" w:type="dxa"/>
            <w:vAlign w:val="bottom"/>
            <w:gridSpan w:val="2"/>
            <w:vMerge w:val="restart"/>
            <w:shd w:val="clear" w:color="auto" w:fill="CFF0FC"/>
          </w:tcPr>
          <w:p>
            <w:pPr>
              <w:jc w:val="right"/>
              <w:ind w:right="40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FF0FC"/>
          </w:tcPr>
          <w:p>
            <w:pPr>
              <w:spacing w:after="0"/>
              <w:rPr>
                <w:sz w:val="18"/>
                <w:szCs w:val="18"/>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Securities at Fair Value</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3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38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9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4"/>
              </w:rPr>
              <w:t>Weighted Average Yield of Debt and Income Producing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238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1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122"/>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Securities at Amortized Cost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w w:val="92"/>
              </w:rPr>
              <w:t>Percentage of Debt Investment Commitments at Floating</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340" w:type="dxa"/>
            <w:vAlign w:val="bottom"/>
            <w:gridSpan w:val="2"/>
            <w:vMerge w:val="restart"/>
            <w:shd w:val="clear" w:color="auto" w:fill="CFF0FC"/>
          </w:tcPr>
          <w:p>
            <w:pPr>
              <w:jc w:val="right"/>
              <w:ind w:right="40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FF0FC"/>
          </w:tcPr>
          <w:p>
            <w:pPr>
              <w:spacing w:after="0"/>
              <w:rPr>
                <w:sz w:val="18"/>
                <w:szCs w:val="18"/>
                <w:color w:val="auto"/>
              </w:rPr>
            </w:pPr>
          </w:p>
        </w:tc>
        <w:tc>
          <w:tcPr>
            <w:tcW w:w="2380" w:type="dxa"/>
            <w:vAlign w:val="bottom"/>
            <w:gridSpan w:val="2"/>
            <w:vMerge w:val="restart"/>
            <w:shd w:val="clear" w:color="auto" w:fill="CFF0FC"/>
          </w:tcPr>
          <w:p>
            <w:pPr>
              <w:jc w:val="right"/>
              <w:ind w:right="400"/>
              <w:spacing w:after="0"/>
              <w:rPr>
                <w:sz w:val="20"/>
                <w:szCs w:val="20"/>
                <w:color w:val="auto"/>
              </w:rPr>
            </w:pPr>
            <w:r>
              <w:rPr>
                <w:rFonts w:ascii="Arial" w:cs="Arial" w:eastAsia="Arial" w:hAnsi="Arial"/>
                <w:sz w:val="18"/>
                <w:szCs w:val="18"/>
                <w:color w:val="auto"/>
              </w:rPr>
              <w:t>99.1%</w:t>
            </w:r>
          </w:p>
        </w:tc>
        <w:tc>
          <w:tcPr>
            <w:tcW w:w="180" w:type="dxa"/>
            <w:vAlign w:val="bottom"/>
            <w:shd w:val="clear" w:color="auto" w:fill="CFF0FC"/>
          </w:tcPr>
          <w:p>
            <w:pPr>
              <w:spacing w:after="0"/>
              <w:rPr>
                <w:sz w:val="18"/>
                <w:szCs w:val="18"/>
                <w:color w:val="auto"/>
              </w:rPr>
            </w:pPr>
          </w:p>
        </w:tc>
        <w:tc>
          <w:tcPr>
            <w:tcW w:w="19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 xml:space="preserve">Rates </w:t>
            </w:r>
            <w:r>
              <w:rPr>
                <w:rFonts w:ascii="Arial" w:cs="Arial" w:eastAsia="Arial" w:hAnsi="Arial"/>
                <w:sz w:val="15"/>
                <w:szCs w:val="15"/>
                <w:color w:val="auto"/>
              </w:rPr>
              <w:t>(3)</w:t>
            </w:r>
          </w:p>
        </w:tc>
        <w:tc>
          <w:tcPr>
            <w:tcW w:w="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23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38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9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vMerge w:val="continue"/>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4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7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w:t>
      </w:r>
    </w:p>
    <w:p>
      <w:pPr>
        <w:ind w:left="820" w:hanging="812"/>
        <w:spacing w:after="0" w:line="221"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820" w:hanging="812"/>
        <w:spacing w:after="0"/>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65" w:right="2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92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92175"/>
                    </a:xfrm>
                    <a:prstGeom prst="rect">
                      <a:avLst/>
                    </a:prstGeom>
                    <a:noFill/>
                  </pic:spPr>
                </pic:pic>
              </a:graphicData>
            </a:graphic>
          </wp:anchor>
        </w:drawing>
        <w:t>Financial Statements and Tables</w:t>
      </w:r>
    </w:p>
    <w:p>
      <w:pPr>
        <w:spacing w:after="0" w:line="37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TPG Specialty Lending, Inc.</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94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Non-controlled, non-affiliated investments (amortized cost of $2,099,781 and $1,546,780, respectively)</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2,147,876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1,565,532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$49,445 and $84,602,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50,136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83,932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$88,811 and $85,018, respectively)</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47,916</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Pr>
          <w:p>
            <w:pPr>
              <w:spacing w:after="0"/>
              <w:rPr>
                <w:sz w:val="20"/>
                <w:szCs w:val="20"/>
                <w:color w:val="auto"/>
              </w:rPr>
            </w:pPr>
            <w:r>
              <w:rPr>
                <w:rFonts w:ascii="Arial" w:cs="Arial" w:eastAsia="Arial" w:hAnsi="Arial"/>
                <w:sz w:val="18"/>
                <w:szCs w:val="18"/>
                <w:color w:val="auto"/>
              </w:rPr>
              <w:t>Total investments at fair value (amortized cost of $2,238,037 and $1,716,400,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2,245,928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1,705,969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$9,315 and $7,303, respectively)</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13,055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8,829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7,805</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2,280,931</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1,730,324</w:t>
            </w:r>
          </w:p>
        </w:tc>
        <w:tc>
          <w:tcPr>
            <w:tcW w:w="8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Debt (net of deferred financing costs of $18,471 and $15,508, respectively)</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1,094,467</w:t>
            </w:r>
          </w:p>
        </w:tc>
        <w:tc>
          <w:tcPr>
            <w:tcW w:w="2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608,007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25,927</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1,948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23,897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1,161,634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667,122</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 issued</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outstanding</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940" w:type="dxa"/>
            <w:vAlign w:val="bottom"/>
          </w:tcPr>
          <w:p>
            <w:pPr>
              <w:spacing w:after="0"/>
              <w:rPr>
                <w:sz w:val="20"/>
                <w:szCs w:val="20"/>
                <w:color w:val="auto"/>
              </w:rPr>
            </w:pPr>
            <w:r>
              <w:rPr>
                <w:rFonts w:ascii="Arial" w:cs="Arial" w:eastAsia="Arial" w:hAnsi="Arial"/>
                <w:sz w:val="18"/>
                <w:szCs w:val="18"/>
                <w:color w:val="auto"/>
              </w:rPr>
              <w:t>Common stock, $0.01 par value; 400,000,000 shares authorized, 66,613,671 and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ind w:left="140"/>
              <w:spacing w:after="0"/>
              <w:rPr>
                <w:sz w:val="20"/>
                <w:szCs w:val="20"/>
                <w:color w:val="auto"/>
              </w:rPr>
            </w:pPr>
            <w:r>
              <w:rPr>
                <w:rFonts w:ascii="Arial" w:cs="Arial" w:eastAsia="Arial" w:hAnsi="Arial"/>
                <w:sz w:val="18"/>
                <w:szCs w:val="18"/>
                <w:color w:val="auto"/>
              </w:rPr>
              <w:t>65,501,897 shares issued, respectively; and 66,524,591 and 65,412,817 shares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outstanding,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1,009,270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991,919</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(1,359)</w:t>
            </w:r>
          </w:p>
        </w:tc>
        <w:tc>
          <w:tcPr>
            <w:tcW w:w="20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110,720</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1,119,297</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2,280,931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1,730,324</w:t>
            </w:r>
          </w:p>
        </w:tc>
        <w:tc>
          <w:tcPr>
            <w:tcW w:w="8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4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965"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TPG Specialty Lending,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5"/>
              </w:rPr>
              <w:t>December 31, 2019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December 31,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2017</w:t>
            </w: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Income</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Investment income from non-controlled, non-affiliated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from investments</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224,810</w:t>
            </w:r>
          </w:p>
        </w:tc>
        <w:tc>
          <w:tcPr>
            <w:tcW w:w="1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232,517</w:t>
            </w:r>
          </w:p>
        </w:tc>
        <w:tc>
          <w:tcPr>
            <w:tcW w:w="16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191,288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Dividend income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420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196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13,838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11,298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9,617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340" w:type="dxa"/>
            <w:vAlign w:val="bottom"/>
          </w:tcPr>
          <w:p>
            <w:pPr>
              <w:ind w:left="500"/>
              <w:spacing w:after="0" w:line="156" w:lineRule="exact"/>
              <w:rPr>
                <w:sz w:val="20"/>
                <w:szCs w:val="20"/>
                <w:color w:val="auto"/>
              </w:rPr>
            </w:pPr>
            <w:r>
              <w:rPr>
                <w:rFonts w:ascii="Arial" w:cs="Arial" w:eastAsia="Arial" w:hAnsi="Arial"/>
                <w:sz w:val="15"/>
                <w:szCs w:val="15"/>
                <w:color w:val="auto"/>
              </w:rPr>
              <w:t>Total investment income from non-controlled, non-affiliated</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340" w:type="dxa"/>
            <w:vAlign w:val="bottom"/>
          </w:tcPr>
          <w:p>
            <w:pPr>
              <w:ind w:left="620"/>
              <w:spacing w:after="0"/>
              <w:rPr>
                <w:sz w:val="20"/>
                <w:szCs w:val="20"/>
                <w:color w:val="auto"/>
              </w:rPr>
            </w:pPr>
            <w:r>
              <w:rPr>
                <w:rFonts w:ascii="Arial" w:cs="Arial" w:eastAsia="Arial" w:hAnsi="Arial"/>
                <w:sz w:val="15"/>
                <w:szCs w:val="15"/>
                <w:color w:val="auto"/>
              </w:rPr>
              <w:t>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239,068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244,011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201,250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non-controlled,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6,370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3,652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88</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398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ind w:left="500"/>
              <w:spacing w:after="0" w:line="169" w:lineRule="exact"/>
              <w:rPr>
                <w:sz w:val="20"/>
                <w:szCs w:val="20"/>
                <w:color w:val="auto"/>
              </w:rPr>
            </w:pPr>
            <w:r>
              <w:rPr>
                <w:rFonts w:ascii="Arial" w:cs="Arial" w:eastAsia="Arial" w:hAnsi="Arial"/>
                <w:sz w:val="15"/>
                <w:szCs w:val="15"/>
                <w:color w:val="auto"/>
              </w:rPr>
              <w:t>Total investment income from non-controlled, affiliated investments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6,458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4,050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Investment income from 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from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5,958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13,763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9,443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income</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Borders>
              <w:bottom w:val="single" w:sz="8" w:color="CFF0FC"/>
            </w:tcBorders>
          </w:tcPr>
          <w:p>
            <w:pPr>
              <w:ind w:left="500"/>
              <w:spacing w:after="0" w:line="169" w:lineRule="exact"/>
              <w:rPr>
                <w:sz w:val="20"/>
                <w:szCs w:val="20"/>
                <w:color w:val="auto"/>
              </w:rPr>
            </w:pPr>
            <w:r>
              <w:rPr>
                <w:rFonts w:ascii="Arial" w:cs="Arial" w:eastAsia="Arial" w:hAnsi="Arial"/>
                <w:sz w:val="15"/>
                <w:szCs w:val="15"/>
                <w:color w:val="auto"/>
              </w:rPr>
              <w:t>Total investment income from controlled, affiliated investments</w:t>
            </w:r>
          </w:p>
        </w:tc>
        <w:tc>
          <w:tcPr>
            <w:tcW w:w="6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5,969</w:t>
            </w: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13,853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9,647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Total Investment Income</w:t>
            </w:r>
          </w:p>
        </w:tc>
        <w:tc>
          <w:tcPr>
            <w:tcW w:w="6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251,495</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261,914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210,897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Expenses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Interest</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49,110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42,761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27,441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Management fees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30,104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28,589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24,287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Incentive fees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27,211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30,515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25,497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Professional fees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6,530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7,208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5,431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Directors’ fees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595</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general and administrative</w:t>
            </w:r>
          </w:p>
        </w:tc>
        <w:tc>
          <w:tcPr>
            <w:tcW w:w="6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5,912</w:t>
            </w:r>
          </w:p>
        </w:tc>
        <w:tc>
          <w:tcPr>
            <w:tcW w:w="1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5,226</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4,827</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expenses</w:t>
            </w:r>
          </w:p>
        </w:tc>
        <w:tc>
          <w:tcPr>
            <w:tcW w:w="6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119,462</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114,713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87,888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color w:val="auto"/>
              </w:rPr>
              <w:t>Management and incentive fees waived</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(63)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ind w:left="740"/>
              <w:spacing w:after="0" w:line="169" w:lineRule="exact"/>
              <w:rPr>
                <w:sz w:val="20"/>
                <w:szCs w:val="20"/>
                <w:color w:val="auto"/>
              </w:rPr>
            </w:pPr>
            <w:r>
              <w:rPr>
                <w:rFonts w:ascii="Arial" w:cs="Arial" w:eastAsia="Arial" w:hAnsi="Arial"/>
                <w:sz w:val="15"/>
                <w:szCs w:val="15"/>
                <w:b w:val="1"/>
                <w:bCs w:val="1"/>
                <w:color w:val="auto"/>
              </w:rPr>
              <w:t>Net Expenses</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119,462</w:t>
            </w: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114,650</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14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87,803</w:t>
            </w: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 Before Income Taxes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132,033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147,264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123,094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Income taxes, including excise taxes</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3,750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3,375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2,835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b w:val="1"/>
                <w:bCs w:val="1"/>
                <w:color w:val="auto"/>
              </w:rPr>
              <w:t>Net Investment Income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128,283</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143,889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120,259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Unrealized and Realized Gains (Losses)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spacing w:after="0"/>
              <w:rPr>
                <w:sz w:val="20"/>
                <w:szCs w:val="20"/>
                <w:color w:val="auto"/>
              </w:rPr>
            </w:pPr>
            <w:r>
              <w:rPr>
                <w:rFonts w:ascii="Arial" w:cs="Arial" w:eastAsia="Arial" w:hAnsi="Arial"/>
                <w:sz w:val="15"/>
                <w:szCs w:val="15"/>
                <w:color w:val="auto"/>
              </w:rPr>
              <w:t>Net change in unrealized gains (losses):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29,432</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(15,207)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Non-controlled, 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1,272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5"/>
                <w:szCs w:val="15"/>
                <w:color w:val="auto"/>
              </w:rPr>
              <w:t>(670)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(12,381)</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(2,028)</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7,668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Translation of other assets and liabilities in foreign currencies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5"/>
                <w:szCs w:val="15"/>
                <w:color w:val="auto"/>
              </w:rPr>
              <w:t>(3,255)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5,455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5"/>
                <w:szCs w:val="15"/>
                <w:color w:val="auto"/>
              </w:rPr>
              <w:t>(11,432)</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Interest rate swaps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9,194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(1,701)</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(1,031)</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740"/>
              <w:spacing w:after="0"/>
              <w:rPr>
                <w:sz w:val="20"/>
                <w:szCs w:val="20"/>
                <w:color w:val="auto"/>
              </w:rPr>
            </w:pPr>
            <w:r>
              <w:rPr>
                <w:rFonts w:ascii="Arial" w:cs="Arial" w:eastAsia="Arial" w:hAnsi="Arial"/>
                <w:sz w:val="15"/>
                <w:szCs w:val="15"/>
                <w:color w:val="auto"/>
              </w:rPr>
              <w:t>Total net change in unrealized gains (losses)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24,262</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(14,151)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5,295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Realized gains (losses):</w:t>
            </w:r>
          </w:p>
        </w:tc>
        <w:tc>
          <w:tcPr>
            <w:tcW w:w="6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4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Non-controlled, non-affiliated investments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5,482</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3,457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7,481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Controlled, affiliated investments</w:t>
            </w: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(3,594)</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(14,890)</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(21,776)</w:t>
            </w:r>
          </w:p>
        </w:tc>
        <w:tc>
          <w:tcPr>
            <w:tcW w:w="0" w:type="dxa"/>
            <w:vAlign w:val="bottom"/>
          </w:tcPr>
          <w:p>
            <w:pPr>
              <w:spacing w:after="0"/>
              <w:rPr>
                <w:sz w:val="1"/>
                <w:szCs w:val="1"/>
                <w:color w:val="auto"/>
              </w:rPr>
            </w:pPr>
          </w:p>
        </w:tc>
      </w:tr>
      <w:tr>
        <w:trPr>
          <w:trHeight w:val="176"/>
        </w:trPr>
        <w:tc>
          <w:tcPr>
            <w:tcW w:w="5340" w:type="dxa"/>
            <w:vAlign w:val="bottom"/>
          </w:tcPr>
          <w:p>
            <w:pPr>
              <w:ind w:left="260"/>
              <w:spacing w:after="0"/>
              <w:rPr>
                <w:sz w:val="20"/>
                <w:szCs w:val="20"/>
                <w:color w:val="auto"/>
              </w:rPr>
            </w:pPr>
            <w:r>
              <w:rPr>
                <w:rFonts w:ascii="Arial" w:cs="Arial" w:eastAsia="Arial" w:hAnsi="Arial"/>
                <w:sz w:val="15"/>
                <w:szCs w:val="15"/>
                <w:color w:val="auto"/>
              </w:rPr>
              <w:t>Interest rate swaps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6"/>
        </w:trPr>
        <w:tc>
          <w:tcPr>
            <w:tcW w:w="534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Foreign currency transactions</w:t>
            </w:r>
          </w:p>
        </w:tc>
        <w:tc>
          <w:tcPr>
            <w:tcW w:w="6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109</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712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ind w:left="740"/>
              <w:spacing w:after="0" w:line="169" w:lineRule="exact"/>
              <w:rPr>
                <w:sz w:val="20"/>
                <w:szCs w:val="20"/>
                <w:color w:val="auto"/>
              </w:rPr>
            </w:pPr>
            <w:r>
              <w:rPr>
                <w:rFonts w:ascii="Arial" w:cs="Arial" w:eastAsia="Arial" w:hAnsi="Arial"/>
                <w:sz w:val="15"/>
                <w:szCs w:val="15"/>
                <w:color w:val="auto"/>
              </w:rPr>
              <w:t>Total net realized gains (losses)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2,038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(10,721)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(13,945)</w:t>
            </w:r>
          </w:p>
        </w:tc>
        <w:tc>
          <w:tcPr>
            <w:tcW w:w="0" w:type="dxa"/>
            <w:vAlign w:val="bottom"/>
          </w:tcPr>
          <w:p>
            <w:pPr>
              <w:spacing w:after="0"/>
              <w:rPr>
                <w:sz w:val="1"/>
                <w:szCs w:val="1"/>
                <w:color w:val="auto"/>
              </w:rPr>
            </w:pPr>
          </w:p>
        </w:tc>
      </w:tr>
      <w:tr>
        <w:trPr>
          <w:trHeight w:val="20"/>
        </w:trPr>
        <w:tc>
          <w:tcPr>
            <w:tcW w:w="5340" w:type="dxa"/>
            <w:vAlign w:val="bottom"/>
            <w:vMerge w:val="restart"/>
            <w:shd w:val="clear" w:color="auto" w:fill="CFF0FC"/>
          </w:tcPr>
          <w:p>
            <w:pPr>
              <w:ind w:left="1000"/>
              <w:spacing w:after="0"/>
              <w:rPr>
                <w:sz w:val="20"/>
                <w:szCs w:val="20"/>
                <w:color w:val="auto"/>
              </w:rPr>
            </w:pPr>
            <w:r>
              <w:rPr>
                <w:rFonts w:ascii="Arial" w:cs="Arial" w:eastAsia="Arial" w:hAnsi="Arial"/>
                <w:sz w:val="15"/>
                <w:szCs w:val="15"/>
                <w:b w:val="1"/>
                <w:bCs w:val="1"/>
                <w:color w:val="auto"/>
              </w:rPr>
              <w:t>Total Unrealized and Realized Gains (Losses)</w:t>
            </w:r>
          </w:p>
        </w:tc>
        <w:tc>
          <w:tcPr>
            <w:tcW w:w="6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vMerge w:val="continue"/>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26,300</w:t>
            </w: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(24,872)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(8,650)</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1000"/>
              <w:spacing w:after="0"/>
              <w:rPr>
                <w:sz w:val="20"/>
                <w:szCs w:val="20"/>
                <w:color w:val="auto"/>
              </w:rPr>
            </w:pPr>
            <w:r>
              <w:rPr>
                <w:rFonts w:ascii="Arial" w:cs="Arial" w:eastAsia="Arial" w:hAnsi="Arial"/>
                <w:sz w:val="15"/>
                <w:szCs w:val="15"/>
                <w:b w:val="1"/>
                <w:bCs w:val="1"/>
                <w:color w:val="auto"/>
              </w:rPr>
              <w:t>Increase in Net Assets Resulting from Operations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40" w:type="dxa"/>
            <w:vAlign w:val="bottom"/>
            <w:vMerge w:val="continue"/>
          </w:tcPr>
          <w:p>
            <w:pPr>
              <w:spacing w:after="0"/>
              <w:rPr>
                <w:sz w:val="16"/>
                <w:szCs w:val="16"/>
                <w:color w:val="auto"/>
              </w:rPr>
            </w:pPr>
          </w:p>
        </w:tc>
        <w:tc>
          <w:tcPr>
            <w:tcW w:w="8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154,583</w:t>
            </w:r>
          </w:p>
        </w:tc>
        <w:tc>
          <w:tcPr>
            <w:tcW w:w="180" w:type="dxa"/>
            <w:vAlign w:val="bottom"/>
          </w:tcPr>
          <w:p>
            <w:pPr>
              <w:spacing w:after="0"/>
              <w:rPr>
                <w:sz w:val="16"/>
                <w:szCs w:val="16"/>
                <w:color w:val="auto"/>
              </w:rPr>
            </w:pPr>
          </w:p>
        </w:tc>
        <w:tc>
          <w:tcPr>
            <w:tcW w:w="28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40" w:type="dxa"/>
            <w:vAlign w:val="bottom"/>
          </w:tcPr>
          <w:p>
            <w:pPr>
              <w:jc w:val="right"/>
              <w:spacing w:after="0" w:line="169" w:lineRule="exact"/>
              <w:rPr>
                <w:sz w:val="20"/>
                <w:szCs w:val="20"/>
                <w:color w:val="auto"/>
              </w:rPr>
            </w:pPr>
            <w:r>
              <w:rPr>
                <w:rFonts w:ascii="Arial" w:cs="Arial" w:eastAsia="Arial" w:hAnsi="Arial"/>
                <w:sz w:val="15"/>
                <w:szCs w:val="15"/>
                <w:color w:val="auto"/>
              </w:rPr>
              <w:t>119,017</w:t>
            </w:r>
          </w:p>
        </w:tc>
        <w:tc>
          <w:tcPr>
            <w:tcW w:w="160" w:type="dxa"/>
            <w:vAlign w:val="bottom"/>
          </w:tcPr>
          <w:p>
            <w:pPr>
              <w:spacing w:after="0"/>
              <w:rPr>
                <w:sz w:val="16"/>
                <w:szCs w:val="16"/>
                <w:color w:val="auto"/>
              </w:rPr>
            </w:pPr>
          </w:p>
        </w:tc>
        <w:tc>
          <w:tcPr>
            <w:tcW w:w="2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1420" w:type="dxa"/>
            <w:vAlign w:val="bottom"/>
          </w:tcPr>
          <w:p>
            <w:pPr>
              <w:jc w:val="right"/>
              <w:spacing w:after="0" w:line="169" w:lineRule="exact"/>
              <w:rPr>
                <w:sz w:val="20"/>
                <w:szCs w:val="20"/>
                <w:color w:val="auto"/>
              </w:rPr>
            </w:pPr>
            <w:r>
              <w:rPr>
                <w:rFonts w:ascii="Arial" w:cs="Arial" w:eastAsia="Arial" w:hAnsi="Arial"/>
                <w:sz w:val="15"/>
                <w:szCs w:val="15"/>
                <w:color w:val="auto"/>
              </w:rPr>
              <w:t>111,609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Earnings per common share—basic and diluted</w:t>
            </w: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40" w:type="dxa"/>
            <w:vAlign w:val="bottom"/>
            <w:vMerge w:val="continue"/>
            <w:shd w:val="clear" w:color="auto" w:fill="CFF0FC"/>
          </w:tcPr>
          <w:p>
            <w:pPr>
              <w:spacing w:after="0"/>
              <w:rPr>
                <w:sz w:val="13"/>
                <w:szCs w:val="13"/>
                <w:color w:val="auto"/>
              </w:rPr>
            </w:pPr>
          </w:p>
        </w:tc>
        <w:tc>
          <w:tcPr>
            <w:tcW w:w="800" w:type="dxa"/>
            <w:vAlign w:val="bottom"/>
            <w:gridSpan w:val="2"/>
            <w:shd w:val="clear" w:color="auto" w:fill="CFF0FC"/>
          </w:tcPr>
          <w:p>
            <w:pPr>
              <w:jc w:val="right"/>
              <w:ind w:right="80"/>
              <w:spacing w:after="0" w:line="156"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2.34</w:t>
            </w:r>
          </w:p>
        </w:tc>
        <w:tc>
          <w:tcPr>
            <w:tcW w:w="180" w:type="dxa"/>
            <w:vAlign w:val="bottom"/>
            <w:shd w:val="clear" w:color="auto" w:fill="CFF0FC"/>
          </w:tcPr>
          <w:p>
            <w:pPr>
              <w:spacing w:after="0"/>
              <w:rPr>
                <w:sz w:val="13"/>
                <w:szCs w:val="13"/>
                <w:color w:val="auto"/>
              </w:rPr>
            </w:pPr>
          </w:p>
        </w:tc>
        <w:tc>
          <w:tcPr>
            <w:tcW w:w="28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44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1.86</w:t>
            </w:r>
          </w:p>
        </w:tc>
        <w:tc>
          <w:tcPr>
            <w:tcW w:w="160" w:type="dxa"/>
            <w:vAlign w:val="bottom"/>
            <w:shd w:val="clear" w:color="auto" w:fill="CFF0FC"/>
          </w:tcPr>
          <w:p>
            <w:pPr>
              <w:spacing w:after="0"/>
              <w:rPr>
                <w:sz w:val="13"/>
                <w:szCs w:val="13"/>
                <w:color w:val="auto"/>
              </w:rPr>
            </w:pPr>
          </w:p>
        </w:tc>
        <w:tc>
          <w:tcPr>
            <w:tcW w:w="260" w:type="dxa"/>
            <w:vAlign w:val="bottom"/>
            <w:gridSpan w:val="2"/>
            <w:shd w:val="clear" w:color="auto" w:fill="CFF0FC"/>
          </w:tcPr>
          <w:p>
            <w:pPr>
              <w:jc w:val="right"/>
              <w:ind w:right="60"/>
              <w:spacing w:after="0" w:line="156" w:lineRule="exact"/>
              <w:rPr>
                <w:sz w:val="20"/>
                <w:szCs w:val="20"/>
                <w:color w:val="auto"/>
              </w:rPr>
            </w:pPr>
            <w:r>
              <w:rPr>
                <w:rFonts w:ascii="Arial" w:cs="Arial" w:eastAsia="Arial" w:hAnsi="Arial"/>
                <w:sz w:val="15"/>
                <w:szCs w:val="15"/>
                <w:color w:val="auto"/>
              </w:rPr>
              <w:t>$</w:t>
            </w:r>
          </w:p>
        </w:tc>
        <w:tc>
          <w:tcPr>
            <w:tcW w:w="1420" w:type="dxa"/>
            <w:vAlign w:val="bottom"/>
            <w:shd w:val="clear" w:color="auto" w:fill="CFF0FC"/>
          </w:tcPr>
          <w:p>
            <w:pPr>
              <w:jc w:val="right"/>
              <w:spacing w:after="0" w:line="156" w:lineRule="exact"/>
              <w:rPr>
                <w:sz w:val="20"/>
                <w:szCs w:val="20"/>
                <w:color w:val="auto"/>
              </w:rPr>
            </w:pPr>
            <w:r>
              <w:rPr>
                <w:rFonts w:ascii="Arial" w:cs="Arial" w:eastAsia="Arial" w:hAnsi="Arial"/>
                <w:sz w:val="15"/>
                <w:szCs w:val="15"/>
                <w:color w:val="auto"/>
              </w:rPr>
              <w:t>1.86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5"/>
                <w:szCs w:val="15"/>
                <w:color w:val="auto"/>
              </w:rPr>
              <w:t>Weighted average shares of common stock outstanding—basic and diluted</w:t>
            </w:r>
          </w:p>
        </w:tc>
        <w:tc>
          <w:tcPr>
            <w:tcW w:w="6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66,069,305</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64,028,137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59,995,387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65" w:right="239" w:bottom="1440" w:gutter="0" w:footer="0" w:header="0"/>
        </w:sectPr>
      </w:pPr>
    </w:p>
    <w:bookmarkStart w:id="11" w:name="page12"/>
    <w:bookmarkEnd w:id="1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The Company’s investment activity for the years ended December 31, 2019, 2018, and 2017 is presented below (information presented herein is at par value unless otherwise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4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7"/>
          </w:tcPr>
          <w:p>
            <w:pPr>
              <w:jc w:val="right"/>
              <w:ind w:right="145"/>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00" w:type="dxa"/>
            <w:vAlign w:val="bottom"/>
            <w:tcBorders>
              <w:bottom w:val="single" w:sz="8" w:color="CFF0FC"/>
            </w:tcBorders>
            <w:vMerge w:val="continue"/>
          </w:tcPr>
          <w:p>
            <w:pPr>
              <w:spacing w:after="0"/>
              <w:rPr>
                <w:sz w:val="13"/>
                <w:szCs w:val="13"/>
                <w:color w:val="auto"/>
              </w:rPr>
            </w:pPr>
          </w:p>
        </w:tc>
        <w:tc>
          <w:tcPr>
            <w:tcW w:w="1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3,007.0</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2,199.4</w:t>
            </w:r>
          </w:p>
        </w:tc>
        <w:tc>
          <w:tcPr>
            <w:tcW w:w="20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2,251.5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1,773.5</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1,178.9</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1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1,233.5</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1,055.7</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798.2</w:t>
            </w:r>
          </w:p>
        </w:tc>
        <w:tc>
          <w:tcPr>
            <w:tcW w:w="20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ind w:left="50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1,087.6</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816.9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989.3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567.1</w:t>
            </w:r>
          </w:p>
        </w:tc>
        <w:tc>
          <w:tcPr>
            <w:tcW w:w="280" w:type="dxa"/>
            <w:vAlign w:val="bottom"/>
          </w:tcPr>
          <w:p>
            <w:pPr>
              <w:spacing w:after="0"/>
              <w:rPr>
                <w:sz w:val="19"/>
                <w:szCs w:val="19"/>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702.5</w:t>
            </w:r>
          </w:p>
        </w:tc>
        <w:tc>
          <w:tcPr>
            <w:tcW w:w="200" w:type="dxa"/>
            <w:vAlign w:val="bottom"/>
          </w:tcPr>
          <w:p>
            <w:pPr>
              <w:spacing w:after="0"/>
              <w:rPr>
                <w:sz w:val="19"/>
                <w:szCs w:val="19"/>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906.0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14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14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w:t>
            </w:r>
          </w:p>
        </w:tc>
        <w:tc>
          <w:tcPr>
            <w:tcW w:w="2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951.5</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20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1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17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31.8</w:t>
            </w:r>
          </w:p>
        </w:tc>
        <w:tc>
          <w:tcPr>
            <w:tcW w:w="200" w:type="dxa"/>
            <w:vAlign w:val="bottom"/>
          </w:tcPr>
          <w:p>
            <w:pPr>
              <w:spacing w:after="0"/>
              <w:rPr>
                <w:sz w:val="20"/>
                <w:szCs w:val="20"/>
                <w:color w:val="auto"/>
              </w:rPr>
            </w:pP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98.7%</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1"/>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1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14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1"/>
        </w:trPr>
        <w:tc>
          <w:tcPr>
            <w:tcW w:w="520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3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20" w:right="300" w:hanging="812"/>
        <w:spacing w:after="0" w:line="253"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one or more fixed rate investments for the years ended December 31, 2019, 2018, and 2017, for which the Company entered into interest rate swap agreements to swap to floating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68"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About TPG Specialty Lending</w:t>
      </w:r>
    </w:p>
    <w:p>
      <w:pPr>
        <w:spacing w:after="0" w:line="16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a global finance and investment firm with over $33 billion of assets under management as of September 30, 2019. TPG Sixth Street Partners was established in 2009 as a strategic partnership with TPG, a global alternative asset management company. For more information, visit the Company’s website at www.tpgspecialtylending.com.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2020-02-19T15:56:56Z</dcterms:created>
  <dcterms:modified xsi:type="dcterms:W3CDTF">2020-02-19T15:56:56Z</dcterms:modified>
</cp:coreProperties>
</file>