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SCHEDULE 13D</w:t>
      </w:r>
    </w:p>
    <w:p>
      <w:pPr>
        <w:spacing w:after="0" w:line="253"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(Amendment No. 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99060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7"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TPG Specialty Lending, Inc.</w:t>
      </w:r>
    </w:p>
    <w:p>
      <w:pPr>
        <w:spacing w:after="0" w:line="54"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6"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Common Stock, $.01 par value</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(Title of Class of Securities)</w:t>
      </w:r>
    </w:p>
    <w:p>
      <w:pPr>
        <w:spacing w:after="0" w:line="29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(CUSIP Number)</w:t>
      </w:r>
    </w:p>
    <w:p>
      <w:pPr>
        <w:spacing w:after="0" w:line="340" w:lineRule="exact"/>
        <w:rPr>
          <w:sz w:val="24"/>
          <w:szCs w:val="24"/>
          <w:color w:val="auto"/>
        </w:rPr>
      </w:pPr>
    </w:p>
    <w:tbl>
      <w:tblPr>
        <w:tblLayout w:type="fixed"/>
        <w:tblInd w:w="1680" w:type="dxa"/>
        <w:tblCellMar>
          <w:top w:w="0" w:type="dxa"/>
          <w:left w:w="0" w:type="dxa"/>
          <w:bottom w:w="0" w:type="dxa"/>
          <w:right w:w="0" w:type="dxa"/>
        </w:tblCellMar>
      </w:tblPr>
      <w:tr>
        <w:trPr>
          <w:trHeight w:val="216"/>
        </w:trPr>
        <w:tc>
          <w:tcPr>
            <w:tcW w:w="4020" w:type="dxa"/>
            <w:vAlign w:val="bottom"/>
          </w:tcPr>
          <w:p>
            <w:pPr>
              <w:jc w:val="center"/>
              <w:ind w:right="1572"/>
              <w:spacing w:after="0"/>
              <w:rPr>
                <w:sz w:val="20"/>
                <w:szCs w:val="20"/>
                <w:color w:val="auto"/>
              </w:rPr>
            </w:pPr>
            <w:r>
              <w:rPr>
                <w:rFonts w:ascii="Arial" w:cs="Arial" w:eastAsia="Arial" w:hAnsi="Arial"/>
                <w:sz w:val="18"/>
                <w:szCs w:val="18"/>
                <w:b w:val="1"/>
                <w:bCs w:val="1"/>
                <w:color w:val="auto"/>
                <w:w w:val="87"/>
              </w:rPr>
              <w:t>Richard Essex</w:t>
            </w:r>
          </w:p>
        </w:tc>
        <w:tc>
          <w:tcPr>
            <w:tcW w:w="4300" w:type="dxa"/>
            <w:vAlign w:val="bottom"/>
          </w:tcPr>
          <w:p>
            <w:pPr>
              <w:jc w:val="center"/>
              <w:ind w:left="1592"/>
              <w:spacing w:after="0"/>
              <w:rPr>
                <w:sz w:val="20"/>
                <w:szCs w:val="20"/>
                <w:color w:val="auto"/>
              </w:rPr>
            </w:pPr>
            <w:r>
              <w:rPr>
                <w:rFonts w:ascii="Arial" w:cs="Arial" w:eastAsia="Arial" w:hAnsi="Arial"/>
                <w:sz w:val="18"/>
                <w:szCs w:val="18"/>
                <w:b w:val="1"/>
                <w:bCs w:val="1"/>
                <w:color w:val="auto"/>
                <w:w w:val="86"/>
              </w:rPr>
              <w:t>Alyssa Scaparotti</w:t>
            </w:r>
          </w:p>
        </w:tc>
      </w:tr>
      <w:tr>
        <w:trPr>
          <w:trHeight w:val="216"/>
        </w:trPr>
        <w:tc>
          <w:tcPr>
            <w:tcW w:w="4020" w:type="dxa"/>
            <w:vAlign w:val="bottom"/>
          </w:tcPr>
          <w:p>
            <w:pPr>
              <w:jc w:val="center"/>
              <w:ind w:right="1572"/>
              <w:spacing w:after="0"/>
              <w:rPr>
                <w:sz w:val="20"/>
                <w:szCs w:val="20"/>
                <w:color w:val="auto"/>
              </w:rPr>
            </w:pPr>
            <w:r>
              <w:rPr>
                <w:rFonts w:ascii="Arial" w:cs="Arial" w:eastAsia="Arial" w:hAnsi="Arial"/>
                <w:sz w:val="18"/>
                <w:szCs w:val="18"/>
                <w:b w:val="1"/>
                <w:bCs w:val="1"/>
                <w:color w:val="auto"/>
                <w:w w:val="90"/>
              </w:rPr>
              <w:t>USS Ltd.</w:t>
            </w:r>
          </w:p>
        </w:tc>
        <w:tc>
          <w:tcPr>
            <w:tcW w:w="4300" w:type="dxa"/>
            <w:vAlign w:val="bottom"/>
          </w:tcPr>
          <w:p>
            <w:pPr>
              <w:jc w:val="center"/>
              <w:ind w:left="1592"/>
              <w:spacing w:after="0"/>
              <w:rPr>
                <w:sz w:val="20"/>
                <w:szCs w:val="20"/>
                <w:color w:val="auto"/>
              </w:rPr>
            </w:pPr>
            <w:r>
              <w:rPr>
                <w:rFonts w:ascii="Arial" w:cs="Arial" w:eastAsia="Arial" w:hAnsi="Arial"/>
                <w:sz w:val="18"/>
                <w:szCs w:val="18"/>
                <w:b w:val="1"/>
                <w:bCs w:val="1"/>
                <w:color w:val="auto"/>
                <w:w w:val="87"/>
              </w:rPr>
              <w:t>c/o Proskauer Rose LLP</w:t>
            </w:r>
          </w:p>
        </w:tc>
      </w:tr>
      <w:tr>
        <w:trPr>
          <w:trHeight w:val="216"/>
        </w:trPr>
        <w:tc>
          <w:tcPr>
            <w:tcW w:w="4020" w:type="dxa"/>
            <w:vAlign w:val="bottom"/>
          </w:tcPr>
          <w:p>
            <w:pPr>
              <w:jc w:val="center"/>
              <w:ind w:right="1572"/>
              <w:spacing w:after="0"/>
              <w:rPr>
                <w:sz w:val="20"/>
                <w:szCs w:val="20"/>
                <w:color w:val="auto"/>
              </w:rPr>
            </w:pPr>
            <w:r>
              <w:rPr>
                <w:rFonts w:ascii="Arial" w:cs="Arial" w:eastAsia="Arial" w:hAnsi="Arial"/>
                <w:sz w:val="18"/>
                <w:szCs w:val="18"/>
                <w:b w:val="1"/>
                <w:bCs w:val="1"/>
                <w:color w:val="auto"/>
                <w:w w:val="88"/>
              </w:rPr>
              <w:t>60 Threadneedle Street, Floor 6</w:t>
            </w:r>
          </w:p>
        </w:tc>
        <w:tc>
          <w:tcPr>
            <w:tcW w:w="4300" w:type="dxa"/>
            <w:vAlign w:val="bottom"/>
          </w:tcPr>
          <w:p>
            <w:pPr>
              <w:jc w:val="center"/>
              <w:ind w:left="1572"/>
              <w:spacing w:after="0"/>
              <w:rPr>
                <w:sz w:val="20"/>
                <w:szCs w:val="20"/>
                <w:color w:val="auto"/>
              </w:rPr>
            </w:pPr>
            <w:r>
              <w:rPr>
                <w:rFonts w:ascii="Arial" w:cs="Arial" w:eastAsia="Arial" w:hAnsi="Arial"/>
                <w:sz w:val="18"/>
                <w:szCs w:val="18"/>
                <w:b w:val="1"/>
                <w:bCs w:val="1"/>
                <w:color w:val="auto"/>
                <w:w w:val="89"/>
              </w:rPr>
              <w:t>One International Place, 22</w:t>
            </w:r>
            <w:r>
              <w:rPr>
                <w:rFonts w:ascii="Arial" w:cs="Arial" w:eastAsia="Arial" w:hAnsi="Arial"/>
                <w:sz w:val="11"/>
                <w:szCs w:val="11"/>
                <w:b w:val="1"/>
                <w:bCs w:val="1"/>
                <w:color w:val="auto"/>
                <w:w w:val="89"/>
              </w:rPr>
              <w:t>nd</w:t>
            </w:r>
            <w:r>
              <w:rPr>
                <w:rFonts w:ascii="Arial" w:cs="Arial" w:eastAsia="Arial" w:hAnsi="Arial"/>
                <w:sz w:val="18"/>
                <w:szCs w:val="18"/>
                <w:b w:val="1"/>
                <w:bCs w:val="1"/>
                <w:color w:val="auto"/>
                <w:w w:val="89"/>
              </w:rPr>
              <w:t xml:space="preserve"> Floor</w:t>
            </w:r>
          </w:p>
        </w:tc>
      </w:tr>
      <w:tr>
        <w:trPr>
          <w:trHeight w:val="216"/>
        </w:trPr>
        <w:tc>
          <w:tcPr>
            <w:tcW w:w="4020" w:type="dxa"/>
            <w:vAlign w:val="bottom"/>
          </w:tcPr>
          <w:p>
            <w:pPr>
              <w:jc w:val="center"/>
              <w:ind w:right="1552"/>
              <w:spacing w:after="0"/>
              <w:rPr>
                <w:sz w:val="20"/>
                <w:szCs w:val="20"/>
                <w:color w:val="auto"/>
              </w:rPr>
            </w:pPr>
            <w:r>
              <w:rPr>
                <w:rFonts w:ascii="Arial" w:cs="Arial" w:eastAsia="Arial" w:hAnsi="Arial"/>
                <w:sz w:val="18"/>
                <w:szCs w:val="18"/>
                <w:b w:val="1"/>
                <w:bCs w:val="1"/>
                <w:color w:val="auto"/>
                <w:w w:val="91"/>
              </w:rPr>
              <w:t>London EC2R 8HP</w:t>
            </w:r>
          </w:p>
        </w:tc>
        <w:tc>
          <w:tcPr>
            <w:tcW w:w="4300" w:type="dxa"/>
            <w:vAlign w:val="bottom"/>
          </w:tcPr>
          <w:p>
            <w:pPr>
              <w:jc w:val="center"/>
              <w:ind w:left="1592"/>
              <w:spacing w:after="0"/>
              <w:rPr>
                <w:sz w:val="20"/>
                <w:szCs w:val="20"/>
                <w:color w:val="auto"/>
              </w:rPr>
            </w:pPr>
            <w:r>
              <w:rPr>
                <w:rFonts w:ascii="Arial" w:cs="Arial" w:eastAsia="Arial" w:hAnsi="Arial"/>
                <w:sz w:val="18"/>
                <w:szCs w:val="18"/>
                <w:b w:val="1"/>
                <w:bCs w:val="1"/>
                <w:color w:val="auto"/>
                <w:w w:val="88"/>
              </w:rPr>
              <w:t>Boston, MA 02110</w:t>
            </w:r>
          </w:p>
        </w:tc>
      </w:tr>
      <w:tr>
        <w:trPr>
          <w:trHeight w:val="216"/>
        </w:trPr>
        <w:tc>
          <w:tcPr>
            <w:tcW w:w="4020" w:type="dxa"/>
            <w:vAlign w:val="bottom"/>
          </w:tcPr>
          <w:p>
            <w:pPr>
              <w:jc w:val="center"/>
              <w:ind w:right="1572"/>
              <w:spacing w:after="0"/>
              <w:rPr>
                <w:sz w:val="20"/>
                <w:szCs w:val="20"/>
                <w:color w:val="auto"/>
              </w:rPr>
            </w:pPr>
            <w:r>
              <w:rPr>
                <w:rFonts w:ascii="Arial" w:cs="Arial" w:eastAsia="Arial" w:hAnsi="Arial"/>
                <w:sz w:val="18"/>
                <w:szCs w:val="18"/>
                <w:b w:val="1"/>
                <w:bCs w:val="1"/>
                <w:color w:val="auto"/>
                <w:w w:val="90"/>
              </w:rPr>
              <w:t>England</w:t>
            </w:r>
          </w:p>
        </w:tc>
        <w:tc>
          <w:tcPr>
            <w:tcW w:w="4300" w:type="dxa"/>
            <w:vAlign w:val="bottom"/>
          </w:tcPr>
          <w:p>
            <w:pPr>
              <w:jc w:val="center"/>
              <w:ind w:left="1592"/>
              <w:spacing w:after="0"/>
              <w:rPr>
                <w:sz w:val="20"/>
                <w:szCs w:val="20"/>
                <w:color w:val="auto"/>
              </w:rPr>
            </w:pPr>
            <w:r>
              <w:rPr>
                <w:rFonts w:ascii="Arial" w:cs="Arial" w:eastAsia="Arial" w:hAnsi="Arial"/>
                <w:sz w:val="18"/>
                <w:szCs w:val="18"/>
                <w:b w:val="1"/>
                <w:bCs w:val="1"/>
                <w:color w:val="auto"/>
                <w:w w:val="89"/>
              </w:rPr>
              <w:t>(617) 526-9697</w:t>
            </w:r>
          </w:p>
        </w:tc>
      </w:tr>
      <w:tr>
        <w:trPr>
          <w:trHeight w:val="228"/>
        </w:trPr>
        <w:tc>
          <w:tcPr>
            <w:tcW w:w="4020" w:type="dxa"/>
            <w:vAlign w:val="bottom"/>
          </w:tcPr>
          <w:p>
            <w:pPr>
              <w:jc w:val="center"/>
              <w:ind w:right="1552"/>
              <w:spacing w:after="0"/>
              <w:rPr>
                <w:sz w:val="20"/>
                <w:szCs w:val="20"/>
                <w:color w:val="auto"/>
              </w:rPr>
            </w:pPr>
            <w:r>
              <w:rPr>
                <w:rFonts w:ascii="Arial" w:cs="Arial" w:eastAsia="Arial" w:hAnsi="Arial"/>
                <w:sz w:val="18"/>
                <w:szCs w:val="18"/>
                <w:b w:val="1"/>
                <w:bCs w:val="1"/>
                <w:color w:val="auto"/>
                <w:w w:val="89"/>
              </w:rPr>
              <w:t>+44 (0) 20 7972 6470</w:t>
            </w:r>
          </w:p>
        </w:tc>
        <w:tc>
          <w:tcPr>
            <w:tcW w:w="4300" w:type="dxa"/>
            <w:vAlign w:val="bottom"/>
          </w:tcPr>
          <w:p>
            <w:pPr>
              <w:spacing w:after="0"/>
              <w:rPr>
                <w:sz w:val="19"/>
                <w:szCs w:val="19"/>
                <w:color w:val="auto"/>
              </w:rPr>
            </w:pPr>
          </w:p>
        </w:tc>
      </w:tr>
    </w:tbl>
    <w:p>
      <w:pPr>
        <w:spacing w:after="0" w:line="3"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w:t>
      </w:r>
    </w:p>
    <w:p>
      <w:pPr>
        <w:spacing w:after="0" w:line="31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May 16, 2012</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104775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1" w:lineRule="exact"/>
        <w:rPr>
          <w:sz w:val="24"/>
          <w:szCs w:val="24"/>
          <w:color w:val="auto"/>
        </w:rPr>
      </w:pPr>
    </w:p>
    <w:p>
      <w:pPr>
        <w:ind w:right="120"/>
        <w:spacing w:after="0" w:line="229"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131" w:lineRule="exact"/>
        <w:rPr>
          <w:sz w:val="24"/>
          <w:szCs w:val="24"/>
          <w:color w:val="auto"/>
        </w:rPr>
      </w:pPr>
    </w:p>
    <w:p>
      <w:pPr>
        <w:ind w:right="200"/>
        <w:spacing w:after="0" w:line="275"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 §240.13d-7 for other parties to</w:t>
      </w:r>
      <w:r>
        <w:rPr>
          <w:rFonts w:ascii="Arial" w:cs="Arial" w:eastAsia="Arial" w:hAnsi="Arial"/>
          <w:sz w:val="18"/>
          <w:szCs w:val="18"/>
          <w:b w:val="1"/>
          <w:bCs w:val="1"/>
          <w:color w:val="auto"/>
        </w:rPr>
        <w:t xml:space="preserve"> </w:t>
      </w:r>
      <w:r>
        <w:rPr>
          <w:rFonts w:ascii="Arial" w:cs="Arial" w:eastAsia="Arial" w:hAnsi="Arial"/>
          <w:sz w:val="18"/>
          <w:szCs w:val="18"/>
          <w:color w:val="auto"/>
        </w:rPr>
        <w:t>whom copies are to be sent.</w:t>
      </w:r>
    </w:p>
    <w:p>
      <w:pPr>
        <w:spacing w:after="0" w:line="166" w:lineRule="exact"/>
        <w:rPr>
          <w:sz w:val="24"/>
          <w:szCs w:val="24"/>
          <w:color w:val="auto"/>
        </w:rPr>
      </w:pPr>
    </w:p>
    <w:p>
      <w:pPr>
        <w:ind w:left="220" w:hanging="212"/>
        <w:spacing w:after="0" w:line="268" w:lineRule="auto"/>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32" w:lineRule="exact"/>
        <w:rPr>
          <w:sz w:val="24"/>
          <w:szCs w:val="24"/>
          <w:color w:val="auto"/>
        </w:rPr>
      </w:pPr>
    </w:p>
    <w:p>
      <w:pPr>
        <w:ind w:right="180"/>
        <w:spacing w:after="0" w:line="33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314" w:right="319" w:bottom="1440" w:gutter="0" w:footer="0" w:header="0"/>
        </w:sectPr>
      </w:pPr>
    </w:p>
    <w:bookmarkStart w:id="1" w:name="page2"/>
    <w:bookmarkEnd w:id="1"/>
    <w:p>
      <w:pPr>
        <w:ind w:left="740" w:hanging="523"/>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003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6003290"/>
                    </a:xfrm>
                    <a:prstGeom prst="rect">
                      <a:avLst/>
                    </a:prstGeom>
                    <a:noFill/>
                  </pic:spPr>
                </pic:pic>
              </a:graphicData>
            </a:graphic>
          </wp:anchor>
        </w:drawing>
        <w:t>NAMES OF REPORTING PERSONS.</w:t>
      </w:r>
    </w:p>
    <w:p>
      <w:pPr>
        <w:spacing w:after="0" w:line="15" w:lineRule="exact"/>
        <w:rPr>
          <w:rFonts w:ascii="Arial" w:cs="Arial" w:eastAsia="Arial" w:hAnsi="Arial"/>
          <w:sz w:val="18"/>
          <w:szCs w:val="18"/>
          <w:color w:val="auto"/>
        </w:rPr>
      </w:pPr>
    </w:p>
    <w:p>
      <w:pPr>
        <w:ind w:left="74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192" w:lineRule="exact"/>
        <w:rPr>
          <w:sz w:val="20"/>
          <w:szCs w:val="20"/>
          <w:color w:val="auto"/>
        </w:rPr>
      </w:pPr>
    </w:p>
    <w:p>
      <w:pPr>
        <w:ind w:left="740" w:right="2360"/>
        <w:spacing w:after="0" w:line="249" w:lineRule="auto"/>
        <w:rPr>
          <w:sz w:val="20"/>
          <w:szCs w:val="20"/>
          <w:color w:val="auto"/>
        </w:rPr>
      </w:pPr>
      <w:r>
        <w:rPr>
          <w:rFonts w:ascii="Arial" w:cs="Arial" w:eastAsia="Arial" w:hAnsi="Arial"/>
          <w:sz w:val="22"/>
          <w:szCs w:val="22"/>
          <w:color w:val="auto"/>
        </w:rPr>
        <w:t>Universities Superannuation Scheme Limited as trustee for Universities Superannuation Scheme 98-0076631</w:t>
      </w:r>
    </w:p>
    <w:p>
      <w:pPr>
        <w:spacing w:after="0" w:line="1" w:lineRule="exact"/>
        <w:rPr>
          <w:sz w:val="20"/>
          <w:szCs w:val="20"/>
          <w:color w:val="auto"/>
        </w:rPr>
      </w:pPr>
    </w:p>
    <w:p>
      <w:pPr>
        <w:ind w:left="740" w:hanging="523"/>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5" w:lineRule="exact"/>
        <w:rPr>
          <w:sz w:val="20"/>
          <w:szCs w:val="20"/>
          <w:color w:val="auto"/>
        </w:rPr>
      </w:pPr>
    </w:p>
    <w:p>
      <w:pPr>
        <w:ind w:left="740"/>
        <w:spacing w:after="0" w:line="207" w:lineRule="exact"/>
        <w:tabs>
          <w:tab w:leader="none" w:pos="152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(b) </w:t>
      </w:r>
      <w:r>
        <w:rPr>
          <w:rFonts w:ascii="MS PGothic" w:cs="MS PGothic" w:eastAsia="MS PGothic" w:hAnsi="MS PGothic"/>
          <w:sz w:val="16"/>
          <w:szCs w:val="16"/>
          <w:color w:val="auto"/>
        </w:rPr>
        <w:t>☐</w:t>
      </w:r>
    </w:p>
    <w:p>
      <w:pPr>
        <w:spacing w:after="0" w:line="178" w:lineRule="exact"/>
        <w:rPr>
          <w:sz w:val="20"/>
          <w:szCs w:val="20"/>
          <w:color w:val="auto"/>
        </w:rPr>
      </w:pPr>
    </w:p>
    <w:p>
      <w:pPr>
        <w:ind w:left="740" w:hanging="523"/>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39" w:lineRule="exact"/>
        <w:rPr>
          <w:sz w:val="20"/>
          <w:szCs w:val="20"/>
          <w:color w:val="auto"/>
        </w:rPr>
      </w:pPr>
    </w:p>
    <w:p>
      <w:pPr>
        <w:ind w:left="740" w:hanging="523"/>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196" w:lineRule="exact"/>
        <w:rPr>
          <w:sz w:val="20"/>
          <w:szCs w:val="20"/>
          <w:color w:val="auto"/>
        </w:rPr>
      </w:pPr>
    </w:p>
    <w:tbl>
      <w:tblPr>
        <w:tblLayout w:type="fixed"/>
        <w:tblInd w:w="220" w:type="dxa"/>
        <w:tblCellMar>
          <w:top w:w="0" w:type="dxa"/>
          <w:left w:w="0" w:type="dxa"/>
          <w:bottom w:w="0" w:type="dxa"/>
          <w:right w:w="0" w:type="dxa"/>
        </w:tblCellMar>
      </w:tblPr>
      <w:tr>
        <w:trPr>
          <w:trHeight w:val="253"/>
        </w:trPr>
        <w:tc>
          <w:tcPr>
            <w:tcW w:w="300" w:type="dxa"/>
            <w:vAlign w:val="bottom"/>
          </w:tcPr>
          <w:p>
            <w:pPr>
              <w:spacing w:after="0"/>
              <w:rPr>
                <w:sz w:val="21"/>
                <w:szCs w:val="21"/>
                <w:color w:val="auto"/>
              </w:rPr>
            </w:pPr>
          </w:p>
        </w:tc>
        <w:tc>
          <w:tcPr>
            <w:tcW w:w="8420" w:type="dxa"/>
            <w:vAlign w:val="bottom"/>
          </w:tcPr>
          <w:p>
            <w:pPr>
              <w:ind w:left="220"/>
              <w:spacing w:after="0"/>
              <w:rPr>
                <w:sz w:val="20"/>
                <w:szCs w:val="20"/>
                <w:color w:val="auto"/>
              </w:rPr>
            </w:pPr>
            <w:r>
              <w:rPr>
                <w:rFonts w:ascii="Arial" w:cs="Arial" w:eastAsia="Arial" w:hAnsi="Arial"/>
                <w:sz w:val="22"/>
                <w:szCs w:val="22"/>
                <w:color w:val="auto"/>
              </w:rPr>
              <w:t>OO</w:t>
            </w:r>
          </w:p>
        </w:tc>
      </w:tr>
      <w:tr>
        <w:trPr>
          <w:trHeight w:val="275"/>
        </w:trPr>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5</w:t>
            </w:r>
          </w:p>
        </w:tc>
        <w:tc>
          <w:tcPr>
            <w:tcW w:w="8420" w:type="dxa"/>
            <w:vAlign w:val="bottom"/>
          </w:tcPr>
          <w:p>
            <w:pPr>
              <w:ind w:left="220"/>
              <w:spacing w:after="0" w:line="207" w:lineRule="exact"/>
              <w:rPr>
                <w:sz w:val="20"/>
                <w:szCs w:val="20"/>
                <w:color w:val="auto"/>
              </w:rPr>
            </w:pPr>
            <w:r>
              <w:rPr>
                <w:rFonts w:ascii="Arial" w:cs="Arial" w:eastAsia="Arial" w:hAnsi="Arial"/>
                <w:sz w:val="18"/>
                <w:szCs w:val="18"/>
                <w:color w:val="auto"/>
                <w:w w:val="93"/>
              </w:rPr>
              <w:t xml:space="preserve">CHECK IF DISCLOSURE OF LEGAL PROCEEDINGS IS REQUIRED PURSUANT TO ITEMS 2(d) or 2(e)  </w:t>
            </w:r>
            <w:r>
              <w:rPr>
                <w:rFonts w:ascii="MS PGothic" w:cs="MS PGothic" w:eastAsia="MS PGothic" w:hAnsi="MS PGothic"/>
                <w:sz w:val="18"/>
                <w:szCs w:val="18"/>
                <w:color w:val="auto"/>
                <w:w w:val="93"/>
              </w:rPr>
              <w:t>☐</w:t>
            </w:r>
          </w:p>
        </w:tc>
      </w:tr>
    </w:tbl>
    <w:p>
      <w:pPr>
        <w:spacing w:after="0" w:line="203" w:lineRule="exact"/>
        <w:rPr>
          <w:sz w:val="20"/>
          <w:szCs w:val="20"/>
          <w:color w:val="auto"/>
        </w:rPr>
      </w:pPr>
    </w:p>
    <w:p>
      <w:pPr>
        <w:ind w:left="740" w:hanging="523"/>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199" w:lineRule="exact"/>
        <w:rPr>
          <w:sz w:val="20"/>
          <w:szCs w:val="20"/>
          <w:color w:val="auto"/>
        </w:rPr>
      </w:pPr>
    </w:p>
    <w:p>
      <w:pPr>
        <w:ind w:left="740"/>
        <w:spacing w:after="0"/>
        <w:rPr>
          <w:sz w:val="20"/>
          <w:szCs w:val="20"/>
          <w:color w:val="auto"/>
        </w:rPr>
      </w:pPr>
      <w:r>
        <w:rPr>
          <w:rFonts w:ascii="Arial" w:cs="Arial" w:eastAsia="Arial" w:hAnsi="Arial"/>
          <w:sz w:val="22"/>
          <w:szCs w:val="22"/>
          <w:color w:val="auto"/>
        </w:rPr>
        <w:t>United Kingdom</w:t>
      </w:r>
    </w:p>
    <w:p>
      <w:pPr>
        <w:spacing w:after="0" w:line="30" w:lineRule="exact"/>
        <w:rPr>
          <w:sz w:val="20"/>
          <w:szCs w:val="20"/>
          <w:color w:val="auto"/>
        </w:rPr>
      </w:pPr>
    </w:p>
    <w:p>
      <w:pPr>
        <w:ind w:left="1520"/>
        <w:spacing w:after="0"/>
        <w:tabs>
          <w:tab w:leader="none" w:pos="1760" w:val="left"/>
        </w:tabs>
        <w:rPr>
          <w:sz w:val="20"/>
          <w:szCs w:val="20"/>
          <w:color w:val="auto"/>
        </w:rPr>
      </w:pPr>
      <w:r>
        <w:rPr>
          <w:rFonts w:ascii="Arial" w:cs="Arial" w:eastAsia="Arial" w:hAnsi="Arial"/>
          <w:sz w:val="18"/>
          <w:szCs w:val="18"/>
          <w:color w:val="auto"/>
        </w:rPr>
        <w:t>7</w:t>
      </w:r>
      <w:r>
        <w:rPr>
          <w:sz w:val="20"/>
          <w:szCs w:val="20"/>
          <w:color w:val="auto"/>
        </w:rPr>
        <w:tab/>
      </w:r>
      <w:r>
        <w:rPr>
          <w:rFonts w:ascii="Arial" w:cs="Arial" w:eastAsia="Arial" w:hAnsi="Arial"/>
          <w:sz w:val="16"/>
          <w:szCs w:val="16"/>
          <w:color w:val="auto"/>
        </w:rPr>
        <w:t>SOLE VOTING POWER</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1340" w:type="dxa"/>
            <w:vAlign w:val="bottom"/>
            <w:gridSpan w:val="2"/>
          </w:tcPr>
          <w:p>
            <w:pPr>
              <w:jc w:val="center"/>
              <w:ind w:left="32"/>
              <w:spacing w:after="0"/>
              <w:rPr>
                <w:sz w:val="20"/>
                <w:szCs w:val="20"/>
                <w:color w:val="auto"/>
              </w:rPr>
            </w:pPr>
            <w:r>
              <w:rPr>
                <w:rFonts w:ascii="Arial" w:cs="Arial" w:eastAsia="Arial" w:hAnsi="Arial"/>
                <w:sz w:val="18"/>
                <w:szCs w:val="18"/>
                <w:color w:val="auto"/>
                <w:w w:val="94"/>
              </w:rPr>
              <w:t>NUMBER OF</w:t>
            </w: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74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35,286 shares</w:t>
            </w:r>
          </w:p>
        </w:tc>
        <w:tc>
          <w:tcPr>
            <w:tcW w:w="0" w:type="dxa"/>
            <w:vAlign w:val="bottom"/>
          </w:tcPr>
          <w:p>
            <w:pPr>
              <w:spacing w:after="0"/>
              <w:rPr>
                <w:sz w:val="1"/>
                <w:szCs w:val="1"/>
                <w:color w:val="auto"/>
              </w:rPr>
            </w:pPr>
          </w:p>
        </w:tc>
      </w:tr>
      <w:tr>
        <w:trPr>
          <w:trHeight w:val="228"/>
        </w:trPr>
        <w:tc>
          <w:tcPr>
            <w:tcW w:w="360" w:type="dxa"/>
            <w:vAlign w:val="bottom"/>
          </w:tcPr>
          <w:p>
            <w:pPr>
              <w:spacing w:after="0"/>
              <w:rPr>
                <w:sz w:val="19"/>
                <w:szCs w:val="19"/>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SHARES</w:t>
            </w:r>
          </w:p>
        </w:tc>
        <w:tc>
          <w:tcPr>
            <w:tcW w:w="300" w:type="dxa"/>
            <w:vAlign w:val="bottom"/>
          </w:tcPr>
          <w:p>
            <w:pPr>
              <w:jc w:val="right"/>
              <w:spacing w:after="0"/>
              <w:rPr>
                <w:sz w:val="20"/>
                <w:szCs w:val="20"/>
                <w:color w:val="auto"/>
              </w:rPr>
            </w:pPr>
            <w:r>
              <w:rPr>
                <w:rFonts w:ascii="Arial" w:cs="Arial" w:eastAsia="Arial" w:hAnsi="Arial"/>
                <w:sz w:val="18"/>
                <w:szCs w:val="18"/>
                <w:color w:val="auto"/>
              </w:rPr>
              <w:t>8</w:t>
            </w:r>
          </w:p>
        </w:tc>
        <w:tc>
          <w:tcPr>
            <w:tcW w:w="9740" w:type="dxa"/>
            <w:vAlign w:val="bottom"/>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400" w:type="dxa"/>
            <w:vAlign w:val="bottom"/>
            <w:gridSpan w:val="3"/>
          </w:tcPr>
          <w:p>
            <w:pPr>
              <w:jc w:val="center"/>
              <w:ind w:left="12"/>
              <w:spacing w:after="0"/>
              <w:rPr>
                <w:sz w:val="20"/>
                <w:szCs w:val="20"/>
                <w:color w:val="auto"/>
              </w:rPr>
            </w:pPr>
            <w:r>
              <w:rPr>
                <w:rFonts w:ascii="Arial" w:cs="Arial" w:eastAsia="Arial" w:hAnsi="Arial"/>
                <w:sz w:val="18"/>
                <w:szCs w:val="18"/>
                <w:color w:val="auto"/>
                <w:w w:val="99"/>
              </w:rPr>
              <w:t>BENEFICIALLY</w:t>
            </w:r>
          </w:p>
        </w:tc>
        <w:tc>
          <w:tcPr>
            <w:tcW w:w="300" w:type="dxa"/>
            <w:vAlign w:val="bottom"/>
          </w:tcPr>
          <w:p>
            <w:pPr>
              <w:spacing w:after="0"/>
              <w:rPr>
                <w:sz w:val="18"/>
                <w:szCs w:val="18"/>
                <w:color w:val="auto"/>
              </w:rPr>
            </w:pPr>
          </w:p>
        </w:tc>
        <w:tc>
          <w:tcPr>
            <w:tcW w:w="9740" w:type="dxa"/>
            <w:vAlign w:val="bottom"/>
            <w:vMerge w:val="restart"/>
          </w:tcPr>
          <w:p>
            <w:pPr>
              <w:ind w:left="80"/>
              <w:spacing w:after="0"/>
              <w:rPr>
                <w:sz w:val="20"/>
                <w:szCs w:val="20"/>
                <w:color w:val="auto"/>
              </w:rPr>
            </w:pPr>
            <w:r>
              <w:rPr>
                <w:rFonts w:ascii="Arial" w:cs="Arial" w:eastAsia="Arial" w:hAnsi="Arial"/>
                <w:sz w:val="22"/>
                <w:szCs w:val="22"/>
                <w:color w:val="auto"/>
              </w:rPr>
              <w:t>0 shares</w:t>
            </w:r>
          </w:p>
        </w:tc>
        <w:tc>
          <w:tcPr>
            <w:tcW w:w="0" w:type="dxa"/>
            <w:vAlign w:val="bottom"/>
          </w:tcPr>
          <w:p>
            <w:pPr>
              <w:spacing w:after="0"/>
              <w:rPr>
                <w:sz w:val="1"/>
                <w:szCs w:val="1"/>
                <w:color w:val="auto"/>
              </w:rPr>
            </w:pPr>
          </w:p>
        </w:tc>
      </w:tr>
      <w:tr>
        <w:trPr>
          <w:trHeight w:val="222"/>
        </w:trPr>
        <w:tc>
          <w:tcPr>
            <w:tcW w:w="1400" w:type="dxa"/>
            <w:vAlign w:val="bottom"/>
            <w:gridSpan w:val="3"/>
          </w:tcPr>
          <w:p>
            <w:pPr>
              <w:jc w:val="center"/>
              <w:spacing w:after="0"/>
              <w:rPr>
                <w:sz w:val="20"/>
                <w:szCs w:val="20"/>
                <w:color w:val="auto"/>
              </w:rPr>
            </w:pPr>
            <w:r>
              <w:rPr>
                <w:rFonts w:ascii="Arial" w:cs="Arial" w:eastAsia="Arial" w:hAnsi="Arial"/>
                <w:sz w:val="18"/>
                <w:szCs w:val="18"/>
                <w:color w:val="auto"/>
                <w:w w:val="95"/>
              </w:rPr>
              <w:t>OWNED BY</w:t>
            </w:r>
          </w:p>
        </w:tc>
        <w:tc>
          <w:tcPr>
            <w:tcW w:w="300" w:type="dxa"/>
            <w:vAlign w:val="bottom"/>
          </w:tcPr>
          <w:p>
            <w:pPr>
              <w:spacing w:after="0"/>
              <w:rPr>
                <w:sz w:val="19"/>
                <w:szCs w:val="19"/>
                <w:color w:val="auto"/>
              </w:rPr>
            </w:pPr>
          </w:p>
        </w:tc>
        <w:tc>
          <w:tcPr>
            <w:tcW w:w="9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360" w:type="dxa"/>
            <w:vAlign w:val="bottom"/>
          </w:tcPr>
          <w:p>
            <w:pPr>
              <w:spacing w:after="0"/>
              <w:rPr>
                <w:sz w:val="16"/>
                <w:szCs w:val="16"/>
                <w:color w:val="auto"/>
              </w:rPr>
            </w:pPr>
          </w:p>
        </w:tc>
        <w:tc>
          <w:tcPr>
            <w:tcW w:w="980" w:type="dxa"/>
            <w:vAlign w:val="bottom"/>
          </w:tcPr>
          <w:p>
            <w:pPr>
              <w:jc w:val="center"/>
              <w:ind w:right="130"/>
              <w:spacing w:after="0" w:line="190" w:lineRule="exact"/>
              <w:rPr>
                <w:sz w:val="20"/>
                <w:szCs w:val="20"/>
                <w:color w:val="auto"/>
              </w:rPr>
            </w:pPr>
            <w:r>
              <w:rPr>
                <w:rFonts w:ascii="Arial" w:cs="Arial" w:eastAsia="Arial" w:hAnsi="Arial"/>
                <w:sz w:val="18"/>
                <w:szCs w:val="18"/>
                <w:color w:val="auto"/>
                <w:w w:val="95"/>
              </w:rPr>
              <w:t>EACH</w:t>
            </w:r>
          </w:p>
        </w:tc>
        <w:tc>
          <w:tcPr>
            <w:tcW w:w="6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jc w:val="right"/>
              <w:spacing w:after="0" w:line="190" w:lineRule="exact"/>
              <w:rPr>
                <w:sz w:val="20"/>
                <w:szCs w:val="20"/>
                <w:color w:val="auto"/>
              </w:rPr>
            </w:pPr>
            <w:r>
              <w:rPr>
                <w:rFonts w:ascii="Arial" w:cs="Arial" w:eastAsia="Arial" w:hAnsi="Arial"/>
                <w:sz w:val="18"/>
                <w:szCs w:val="18"/>
                <w:color w:val="auto"/>
              </w:rPr>
              <w:t>9</w:t>
            </w:r>
          </w:p>
        </w:tc>
        <w:tc>
          <w:tcPr>
            <w:tcW w:w="9740" w:type="dxa"/>
            <w:vAlign w:val="bottom"/>
            <w:tcBorders>
              <w:top w:val="single" w:sz="8" w:color="auto"/>
            </w:tcBorders>
          </w:tcPr>
          <w:p>
            <w:pPr>
              <w:ind w:left="80"/>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400" w:type="dxa"/>
            <w:vAlign w:val="bottom"/>
            <w:gridSpan w:val="3"/>
          </w:tcPr>
          <w:p>
            <w:pPr>
              <w:jc w:val="center"/>
              <w:spacing w:after="0"/>
              <w:rPr>
                <w:sz w:val="20"/>
                <w:szCs w:val="20"/>
                <w:color w:val="auto"/>
              </w:rPr>
            </w:pPr>
            <w:r>
              <w:rPr>
                <w:rFonts w:ascii="Arial" w:cs="Arial" w:eastAsia="Arial" w:hAnsi="Arial"/>
                <w:sz w:val="18"/>
                <w:szCs w:val="18"/>
                <w:color w:val="auto"/>
                <w:w w:val="89"/>
              </w:rPr>
              <w:t>REPORTING</w:t>
            </w:r>
          </w:p>
        </w:tc>
        <w:tc>
          <w:tcPr>
            <w:tcW w:w="300" w:type="dxa"/>
            <w:vAlign w:val="bottom"/>
          </w:tcPr>
          <w:p>
            <w:pPr>
              <w:spacing w:after="0"/>
              <w:rPr>
                <w:sz w:val="18"/>
                <w:szCs w:val="18"/>
                <w:color w:val="auto"/>
              </w:rPr>
            </w:pPr>
          </w:p>
        </w:tc>
        <w:tc>
          <w:tcPr>
            <w:tcW w:w="9740" w:type="dxa"/>
            <w:vAlign w:val="bottom"/>
            <w:vMerge w:val="restart"/>
          </w:tcPr>
          <w:p>
            <w:pPr>
              <w:ind w:left="80"/>
              <w:spacing w:after="0"/>
              <w:rPr>
                <w:sz w:val="20"/>
                <w:szCs w:val="20"/>
                <w:color w:val="auto"/>
              </w:rPr>
            </w:pPr>
            <w:r>
              <w:rPr>
                <w:rFonts w:ascii="Arial" w:cs="Arial" w:eastAsia="Arial" w:hAnsi="Arial"/>
                <w:sz w:val="22"/>
                <w:szCs w:val="22"/>
                <w:color w:val="auto"/>
              </w:rPr>
              <w:t>35,286 shares</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PERSON</w:t>
            </w:r>
          </w:p>
        </w:tc>
        <w:tc>
          <w:tcPr>
            <w:tcW w:w="300" w:type="dxa"/>
            <w:vAlign w:val="bottom"/>
          </w:tcPr>
          <w:p>
            <w:pPr>
              <w:spacing w:after="0"/>
              <w:rPr>
                <w:sz w:val="18"/>
                <w:szCs w:val="18"/>
                <w:color w:val="auto"/>
              </w:rPr>
            </w:pPr>
          </w:p>
        </w:tc>
        <w:tc>
          <w:tcPr>
            <w:tcW w:w="9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9"/>
        </w:trPr>
        <w:tc>
          <w:tcPr>
            <w:tcW w:w="360" w:type="dxa"/>
            <w:vAlign w:val="bottom"/>
          </w:tcPr>
          <w:p>
            <w:pPr>
              <w:spacing w:after="0"/>
              <w:rPr>
                <w:sz w:val="4"/>
                <w:szCs w:val="4"/>
                <w:color w:val="auto"/>
              </w:rPr>
            </w:pPr>
          </w:p>
        </w:tc>
        <w:tc>
          <w:tcPr>
            <w:tcW w:w="980" w:type="dxa"/>
            <w:vAlign w:val="bottom"/>
            <w:vMerge w:val="restart"/>
          </w:tcPr>
          <w:p>
            <w:pPr>
              <w:jc w:val="center"/>
              <w:ind w:right="150"/>
              <w:spacing w:after="0"/>
              <w:rPr>
                <w:sz w:val="20"/>
                <w:szCs w:val="20"/>
                <w:color w:val="auto"/>
              </w:rPr>
            </w:pPr>
            <w:r>
              <w:rPr>
                <w:rFonts w:ascii="Arial" w:cs="Arial" w:eastAsia="Arial" w:hAnsi="Arial"/>
                <w:sz w:val="18"/>
                <w:szCs w:val="18"/>
                <w:color w:val="auto"/>
                <w:w w:val="99"/>
              </w:rPr>
              <w:t>WITH</w:t>
            </w:r>
          </w:p>
        </w:tc>
        <w:tc>
          <w:tcPr>
            <w:tcW w:w="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99"/>
              </w:rPr>
              <w:t>10</w:t>
            </w:r>
          </w:p>
        </w:tc>
        <w:tc>
          <w:tcPr>
            <w:tcW w:w="974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51"/>
        </w:trPr>
        <w:tc>
          <w:tcPr>
            <w:tcW w:w="3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74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0 shares</w:t>
            </w:r>
          </w:p>
        </w:tc>
        <w:tc>
          <w:tcPr>
            <w:tcW w:w="0" w:type="dxa"/>
            <w:vAlign w:val="bottom"/>
          </w:tcPr>
          <w:p>
            <w:pPr>
              <w:spacing w:after="0"/>
              <w:rPr>
                <w:sz w:val="1"/>
                <w:szCs w:val="1"/>
                <w:color w:val="auto"/>
              </w:rPr>
            </w:pPr>
          </w:p>
        </w:tc>
      </w:tr>
      <w:tr>
        <w:trPr>
          <w:trHeight w:val="218"/>
        </w:trPr>
        <w:tc>
          <w:tcPr>
            <w:tcW w:w="360" w:type="dxa"/>
            <w:vAlign w:val="bottom"/>
          </w:tcPr>
          <w:p>
            <w:pPr>
              <w:jc w:val="right"/>
              <w:spacing w:after="0"/>
              <w:rPr>
                <w:sz w:val="20"/>
                <w:szCs w:val="20"/>
                <w:color w:val="auto"/>
              </w:rPr>
            </w:pPr>
            <w:r>
              <w:rPr>
                <w:rFonts w:ascii="Arial" w:cs="Arial" w:eastAsia="Arial" w:hAnsi="Arial"/>
                <w:sz w:val="18"/>
                <w:szCs w:val="18"/>
                <w:color w:val="auto"/>
              </w:rPr>
              <w:t>11</w:t>
            </w:r>
          </w:p>
        </w:tc>
        <w:tc>
          <w:tcPr>
            <w:tcW w:w="11080" w:type="dxa"/>
            <w:vAlign w:val="bottom"/>
            <w:gridSpan w:val="4"/>
          </w:tcPr>
          <w:p>
            <w:pPr>
              <w:ind w:left="38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51"/>
        </w:trPr>
        <w:tc>
          <w:tcPr>
            <w:tcW w:w="360" w:type="dxa"/>
            <w:vAlign w:val="bottom"/>
            <w:tcBorders>
              <w:bottom w:val="single" w:sz="8" w:color="auto"/>
            </w:tcBorders>
          </w:tcPr>
          <w:p>
            <w:pPr>
              <w:spacing w:after="0"/>
              <w:rPr>
                <w:sz w:val="24"/>
                <w:szCs w:val="24"/>
                <w:color w:val="auto"/>
              </w:rPr>
            </w:pPr>
          </w:p>
        </w:tc>
        <w:tc>
          <w:tcPr>
            <w:tcW w:w="11080" w:type="dxa"/>
            <w:vAlign w:val="bottom"/>
            <w:tcBorders>
              <w:bottom w:val="single" w:sz="8" w:color="auto"/>
            </w:tcBorders>
            <w:gridSpan w:val="4"/>
          </w:tcPr>
          <w:p>
            <w:pPr>
              <w:ind w:left="380"/>
              <w:spacing w:after="0"/>
              <w:rPr>
                <w:sz w:val="20"/>
                <w:szCs w:val="20"/>
                <w:color w:val="auto"/>
              </w:rPr>
            </w:pPr>
            <w:r>
              <w:rPr>
                <w:rFonts w:ascii="Arial" w:cs="Arial" w:eastAsia="Arial" w:hAnsi="Arial"/>
                <w:sz w:val="22"/>
                <w:szCs w:val="22"/>
                <w:color w:val="auto"/>
              </w:rPr>
              <w:t>35,286 shares</w:t>
            </w:r>
          </w:p>
        </w:tc>
        <w:tc>
          <w:tcPr>
            <w:tcW w:w="0" w:type="dxa"/>
            <w:vAlign w:val="bottom"/>
          </w:tcPr>
          <w:p>
            <w:pPr>
              <w:spacing w:after="0"/>
              <w:rPr>
                <w:sz w:val="1"/>
                <w:szCs w:val="1"/>
                <w:color w:val="auto"/>
              </w:rPr>
            </w:pPr>
          </w:p>
        </w:tc>
      </w:tr>
      <w:tr>
        <w:trPr>
          <w:trHeight w:val="270"/>
        </w:trPr>
        <w:tc>
          <w:tcPr>
            <w:tcW w:w="360" w:type="dxa"/>
            <w:vAlign w:val="bottom"/>
          </w:tcPr>
          <w:p>
            <w:pPr>
              <w:jc w:val="right"/>
              <w:spacing w:after="0"/>
              <w:rPr>
                <w:sz w:val="20"/>
                <w:szCs w:val="20"/>
                <w:color w:val="auto"/>
              </w:rPr>
            </w:pPr>
            <w:r>
              <w:rPr>
                <w:rFonts w:ascii="Arial" w:cs="Arial" w:eastAsia="Arial" w:hAnsi="Arial"/>
                <w:sz w:val="18"/>
                <w:szCs w:val="18"/>
                <w:color w:val="auto"/>
              </w:rPr>
              <w:t>12</w:t>
            </w:r>
          </w:p>
        </w:tc>
        <w:tc>
          <w:tcPr>
            <w:tcW w:w="11080" w:type="dxa"/>
            <w:vAlign w:val="bottom"/>
            <w:gridSpan w:val="4"/>
          </w:tcPr>
          <w:p>
            <w:pPr>
              <w:ind w:left="380"/>
              <w:spacing w:after="0" w:line="207" w:lineRule="exact"/>
              <w:rPr>
                <w:sz w:val="20"/>
                <w:szCs w:val="20"/>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7"/>
        </w:trPr>
        <w:tc>
          <w:tcPr>
            <w:tcW w:w="3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0100" w:type="dxa"/>
            <w:vAlign w:val="bottom"/>
            <w:tcBorders>
              <w:bottom w:val="single" w:sz="8" w:color="auto"/>
            </w:tcBorders>
            <w:gridSpan w:val="3"/>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60" w:type="dxa"/>
            <w:vAlign w:val="bottom"/>
          </w:tcPr>
          <w:p>
            <w:pPr>
              <w:jc w:val="right"/>
              <w:spacing w:after="0"/>
              <w:rPr>
                <w:sz w:val="20"/>
                <w:szCs w:val="20"/>
                <w:color w:val="auto"/>
              </w:rPr>
            </w:pPr>
            <w:r>
              <w:rPr>
                <w:rFonts w:ascii="Arial" w:cs="Arial" w:eastAsia="Arial" w:hAnsi="Arial"/>
                <w:sz w:val="18"/>
                <w:szCs w:val="18"/>
                <w:color w:val="auto"/>
              </w:rPr>
              <w:t>13</w:t>
            </w:r>
          </w:p>
        </w:tc>
        <w:tc>
          <w:tcPr>
            <w:tcW w:w="11080" w:type="dxa"/>
            <w:vAlign w:val="bottom"/>
            <w:gridSpan w:val="4"/>
          </w:tcPr>
          <w:p>
            <w:pPr>
              <w:ind w:left="38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740"/>
        <w:spacing w:after="0"/>
        <w:rPr>
          <w:sz w:val="20"/>
          <w:szCs w:val="20"/>
          <w:color w:val="auto"/>
        </w:rPr>
      </w:pPr>
      <w:r>
        <w:rPr>
          <w:rFonts w:ascii="Arial" w:cs="Arial" w:eastAsia="Arial" w:hAnsi="Arial"/>
          <w:sz w:val="22"/>
          <w:szCs w:val="22"/>
          <w:color w:val="auto"/>
        </w:rPr>
        <w:t>11.39%</w:t>
      </w:r>
    </w:p>
    <w:p>
      <w:pPr>
        <w:spacing w:after="0" w:line="30" w:lineRule="exact"/>
        <w:rPr>
          <w:sz w:val="20"/>
          <w:szCs w:val="20"/>
          <w:color w:val="auto"/>
        </w:rPr>
      </w:pPr>
    </w:p>
    <w:p>
      <w:pPr>
        <w:ind w:left="120"/>
        <w:spacing w:after="0"/>
        <w:tabs>
          <w:tab w:leader="none" w:pos="72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8"/>
          <w:szCs w:val="18"/>
          <w:color w:val="auto"/>
        </w:rPr>
        <w:t>TYPE OF REPORTING PERSON (SEE INSTRUCTIONS)</w:t>
      </w:r>
    </w:p>
    <w:p>
      <w:pPr>
        <w:spacing w:after="0" w:line="199" w:lineRule="exact"/>
        <w:rPr>
          <w:sz w:val="20"/>
          <w:szCs w:val="20"/>
          <w:color w:val="auto"/>
        </w:rPr>
      </w:pPr>
    </w:p>
    <w:p>
      <w:pPr>
        <w:ind w:left="740"/>
        <w:spacing w:after="0"/>
        <w:rPr>
          <w:sz w:val="20"/>
          <w:szCs w:val="20"/>
          <w:color w:val="auto"/>
        </w:rPr>
      </w:pPr>
      <w:r>
        <w:rPr>
          <w:rFonts w:ascii="Arial" w:cs="Arial" w:eastAsia="Arial" w:hAnsi="Arial"/>
          <w:sz w:val="22"/>
          <w:szCs w:val="22"/>
          <w:color w:val="auto"/>
        </w:rPr>
        <w:t>OO</w:t>
      </w:r>
    </w:p>
    <w:p>
      <w:pPr>
        <w:sectPr>
          <w:pgSz w:w="11900" w:h="16838" w:orient="portrait"/>
          <w:cols w:equalWidth="0" w:num="1">
            <w:col w:w="11440"/>
          </w:cols>
          <w:pgMar w:left="240" w:top="293" w:right="219" w:bottom="1440" w:gutter="0" w:footer="0" w:header="0"/>
        </w:sectPr>
      </w:pPr>
    </w:p>
    <w:bookmarkStart w:id="2" w:name="page3"/>
    <w:bookmarkEnd w:id="2"/>
    <w:p>
      <w:pPr>
        <w:ind w:right="60" w:firstLine="456"/>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Amendment No. 5 (this “Amendment”) amends and restates Items 3 and 5(a) of the Schedule 13D filed on June 27, 2011 (the “Original Schedule 13D”), as amended by Amendment No. 1 to the Original Schedule 13D filed on August 5, 2011 (“Amendment No. 1”), Amendment No. 2 to the Original Schedule 13D filed on December 20, 2011 (“Amendment No. 2”), Amendment No. 3 to the Original Schedule 13D filed on February 10, 2012 (“Amendment No. 3”) and Amendment No. 4 to the Original Schedule 13D filed on March 28, 2012 (“Amendment No. 4” and, together with Amendment No. 1, Amendment No. 2 and Amendment No. 3, the Original Schedule 13D and this Amendment, the “Schedule 13D”), by Universities Superannuation Scheme Limited as trustee for Universities Superannuation Scheme with respect to the common stock, $.01 par value (the “Common Stock”) of TPG Specialty Lending, Inc. (the “Issuer”). Except as specifically provided herein, this Amendment does not modify any of the information previously reported on the Original Schedule 13D, Amendment No. 1 or Amendment No. 2 or Amendment No. 3 or Amendment No. 4. Capitalized terms used in this Amendment and not otherwise defined herein shall have the same meanings ascribed to them in the Original Schedule 13D.</w:t>
      </w:r>
    </w:p>
    <w:p>
      <w:pPr>
        <w:spacing w:after="0" w:line="24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5"/>
          <w:szCs w:val="15"/>
          <w:u w:val="single" w:color="auto"/>
          <w:color w:val="auto"/>
        </w:rPr>
        <w:t>Source and Amount of Funds or Other Consideration</w:t>
      </w:r>
      <w:r>
        <w:rPr>
          <w:rFonts w:ascii="Arial" w:cs="Arial" w:eastAsia="Arial" w:hAnsi="Arial"/>
          <w:sz w:val="15"/>
          <w:szCs w:val="15"/>
          <w:color w:val="auto"/>
        </w:rPr>
        <w:t>.</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This Amendment amends and restates Item 3 of the Original Schedule 13D, as amended by Amendment No. 1 and Amendment No. 2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Amendment No. 3 and Amendment No. 4, in its entirety as set forth below:</w:t>
      </w:r>
    </w:p>
    <w:p>
      <w:pPr>
        <w:spacing w:after="0" w:line="165"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Issuer entered into separate subscription agreements with a number of investors providing for the private placement of the Company’s common shares pursuant to a private offering (“Private Offering”). Pursuant to a privately-negotiated subscription agreement between the Issuer and the Reporting Person (the “Subscription Agreement”) dated as of April 15, 2011 (the “Initial Closing Date”), the Reporting Person made a capital commitment of $150,000,000 (the “Commitment”) to purchase shares of the Issuer’s Common Stock in the Private Offering. Pursuant to the Subscription Agreement, the Reporting Person is required to make capital contributions, in an aggregate amount not to exceed the Commitment, to purchase shares of Common Stock each time the Issuer delivers a drawdown notice, which will be delivered at least 10 business days prior to the required funding date. Additionally, at all times prior to the occurrence of a Qualified IPO (as defined below), the Issuer will reinvest all cash dividends declared by the Issuer’s Board of Directors (the “Board”) on behalf of the Reporting Person unless the Reporting Person elects to receive its dividends in cash, crediting to the Reporting Person a number of shares of Common Stock equal to cash value of the dividend payable to the Reporting Person. Upon the earlier to occur of an initial public offering of Common Stock that results in an unaffiliated public float of at least $75 million (a “Qualified IPO”), and the fourth anniversary of the Initial Closing Date, the Reporting Person will be released from any further obligation to purchase additional shares, subject to certain exceptions contained in the Subscription Agreement.</w:t>
      </w:r>
    </w:p>
    <w:p>
      <w:pPr>
        <w:spacing w:after="0" w:line="127"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The Issuer delivered a drawdown notice on June 17, 2011, and upon receiving the drawdown notice, the Reporting Person became obligated to make a capital contribution of $7,894,000 to purchase 7,894 shares of Common Stock at a price of $1,000 per share on June 30, 2011.</w:t>
      </w:r>
    </w:p>
    <w:p>
      <w:pPr>
        <w:spacing w:after="0" w:line="85"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The cash reserves of the occupational pension scheme was the Reporting Person’s source of the funds for the purchase. No part of the purchase price paid or amount subscribed by the Reporting Person was represented by funds or other consideration borrowed or otherwise obtained for the purpose of acquiring, holding, trading or voting the shares.</w:t>
      </w:r>
    </w:p>
    <w:p>
      <w:pPr>
        <w:spacing w:after="0" w:line="140"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The Issuer delivered a drawdown notice on August 1, 2011, and upon receiving the drawdown notice, the Reporting Person became obligated to make a capital contribution of $11,986,675 (the “August 1, 2011 Purchase Price”) to purchase 12,480 shares of Common Stock at a price of $960.47 per share.</w:t>
      </w:r>
    </w:p>
    <w:p>
      <w:pPr>
        <w:sectPr>
          <w:pgSz w:w="11900" w:h="16838" w:orient="portrait"/>
          <w:cols w:equalWidth="0" w:num="1">
            <w:col w:w="11360"/>
          </w:cols>
          <w:pgMar w:left="240" w:top="280" w:right="299" w:bottom="1440" w:gutter="0" w:footer="0" w:header="0"/>
        </w:sectPr>
      </w:pPr>
    </w:p>
    <w:bookmarkStart w:id="3" w:name="page4"/>
    <w:bookmarkEnd w:id="3"/>
    <w:p>
      <w:pPr>
        <w:ind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cash reserves of the occupational pension scheme was the Reporting Person’s source of the funds for the August 1, 2011 Purchase Price. No part of the August 1, 2011 Purchase Price paid or amount subscribed by the Reporting Person was represented by funds or other consideration borrowed or otherwise obtained for the purpose of acquiring, holding, trading or voting the shares.</w:t>
      </w:r>
    </w:p>
    <w:p>
      <w:pPr>
        <w:spacing w:after="0" w:line="140"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The Issuer delivered drawdown notices to new investors on December 15, 2011 and such new investors were obligated to purchase shares of Common Stock. The Reporting Person was not required to make any contributions on December 15, 2011 and did not purchase any additional shares, however, the Reporting Person’s percentage ownership in the Issuer was diluted.</w:t>
      </w:r>
    </w:p>
    <w:p>
      <w:pPr>
        <w:spacing w:after="0" w:line="140" w:lineRule="exact"/>
        <w:rPr>
          <w:sz w:val="20"/>
          <w:szCs w:val="20"/>
          <w:color w:val="auto"/>
        </w:rPr>
      </w:pPr>
    </w:p>
    <w:p>
      <w:pPr>
        <w:ind w:right="60" w:firstLine="456"/>
        <w:spacing w:after="0" w:line="370" w:lineRule="auto"/>
        <w:rPr>
          <w:sz w:val="20"/>
          <w:szCs w:val="20"/>
          <w:color w:val="auto"/>
        </w:rPr>
      </w:pPr>
      <w:r>
        <w:rPr>
          <w:rFonts w:ascii="Arial" w:cs="Arial" w:eastAsia="Arial" w:hAnsi="Arial"/>
          <w:sz w:val="15"/>
          <w:szCs w:val="15"/>
          <w:color w:val="auto"/>
        </w:rPr>
        <w:t>The Issuer delivered a drawdown notice on December 16, 2011, and upon receiving the drawdown notice, the Reporting Person became obligated to make a capital contribution of $1,547,989 (the “December 16, 2011 Purchase Price”) to purchase 1,578 shares of Common Stock at a price of $980.98 per share.</w:t>
      </w:r>
    </w:p>
    <w:p>
      <w:pPr>
        <w:spacing w:after="0" w:line="62"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cash reserves of the occupational pension scheme was the Reporting Person’s source of the funds for the December 16, 2011 Purchase Price. No part of the December 16, 2011 Purchase Price paid or amount subscribed by the Reporting Person was represented by funds or other consideration borrowed or otherwise obtained for the purpose of acquiring, holding, trading or voting the shares.</w:t>
      </w:r>
    </w:p>
    <w:p>
      <w:pPr>
        <w:spacing w:after="0" w:line="14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Issuer delivered drawdown notices to new investors on February 1, 2012 and such new investors were obligated to purchase shares of Common Stock. The Reporting Person was not required to make any contributions on February 1, 2012 and did not purchase any additional shares, however, the Reporting Person’s percentage ownership in the Issuer was diluted.</w:t>
      </w:r>
    </w:p>
    <w:p>
      <w:pPr>
        <w:spacing w:after="0" w:line="140" w:lineRule="exact"/>
        <w:rPr>
          <w:sz w:val="20"/>
          <w:szCs w:val="20"/>
          <w:color w:val="auto"/>
        </w:rPr>
      </w:pPr>
    </w:p>
    <w:p>
      <w:pPr>
        <w:jc w:val="both"/>
        <w:ind w:right="120" w:firstLine="456"/>
        <w:spacing w:after="0" w:line="332" w:lineRule="auto"/>
        <w:rPr>
          <w:sz w:val="20"/>
          <w:szCs w:val="20"/>
          <w:color w:val="auto"/>
        </w:rPr>
      </w:pPr>
      <w:r>
        <w:rPr>
          <w:rFonts w:ascii="Arial" w:cs="Arial" w:eastAsia="Arial" w:hAnsi="Arial"/>
          <w:sz w:val="16"/>
          <w:szCs w:val="16"/>
          <w:color w:val="auto"/>
        </w:rPr>
        <w:t>The Issuer delivered a drawdown notice on February 2, 2012, and upon receiving the drawdown notice, the Reporting Person became obligated to make a capital contribution of $4,179,091 (the “February 1, 2012 Purchase Price”) to purchase 4,242 shares of Common Stock at a price of $985.17 per share.</w:t>
      </w:r>
    </w:p>
    <w:p>
      <w:pPr>
        <w:spacing w:after="0" w:line="85"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The cash reserves of the occupational pension scheme was the Reporting Person’s source of the funds for the February 1, 2012 Purchase Price. No part of the February 1, 2012 Purchase Price paid or amount subscribed by the Reporting Person was represented by funds or other consideration borrowed or otherwise obtained for the purpose of acquiring, holding, trading or voting the shares.</w:t>
      </w:r>
    </w:p>
    <w:p>
      <w:pPr>
        <w:spacing w:after="0" w:line="140" w:lineRule="exact"/>
        <w:rPr>
          <w:sz w:val="20"/>
          <w:szCs w:val="20"/>
          <w:color w:val="auto"/>
        </w:rPr>
      </w:pPr>
    </w:p>
    <w:p>
      <w:pPr>
        <w:jc w:val="both"/>
        <w:ind w:right="200" w:firstLine="456"/>
        <w:spacing w:after="0" w:line="332" w:lineRule="auto"/>
        <w:rPr>
          <w:sz w:val="20"/>
          <w:szCs w:val="20"/>
          <w:color w:val="auto"/>
        </w:rPr>
      </w:pPr>
      <w:r>
        <w:rPr>
          <w:rFonts w:ascii="Arial" w:cs="Arial" w:eastAsia="Arial" w:hAnsi="Arial"/>
          <w:sz w:val="16"/>
          <w:szCs w:val="16"/>
          <w:color w:val="auto"/>
        </w:rPr>
        <w:t>The Issuer delivered a drawdown notice on March 16, 2012, and upon receiving the drawdown notice, the Reporting Person became obligated to make a capital contribution of $8,955,194 (the “March 16, 2012 Purchase Price”) to purchase 9,092 shares of Common Stock at a price of $984.95 per share.</w:t>
      </w:r>
    </w:p>
    <w:p>
      <w:pPr>
        <w:spacing w:after="0" w:line="85"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The cash reserves of the occupational pension scheme was the Reporting Person’s source of the funds for the March 16, 2012 Purchase Price. No part of the March 16, 2012 Purchase Price paid or amount subscribed by the Reporting Person was represented by funds or other consideration borrowed or otherwise obtained for the purpose of acquiring, holding, trading or voting the Shares.</w:t>
      </w:r>
    </w:p>
    <w:p>
      <w:pPr>
        <w:spacing w:after="0" w:line="14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Issuer delivered drawdown notices to new investors on May 16, 2012 and such new investors were obligated to purchase shares of Common Stock. The Reporting Person was not required to make any contributions on May 16, 2012 and did not purchase any additional shares, however, the Reporting Person’s percentage ownership in the Issuer was diluted.</w:t>
      </w:r>
    </w:p>
    <w:p>
      <w:pPr>
        <w:sectPr>
          <w:pgSz w:w="11900" w:h="16838" w:orient="portrait"/>
          <w:cols w:equalWidth="0" w:num="1">
            <w:col w:w="11380"/>
          </w:cols>
          <w:pgMar w:left="240" w:top="280" w:right="279" w:bottom="1440" w:gutter="0" w:footer="0" w:header="0"/>
        </w:sectPr>
      </w:pPr>
    </w:p>
    <w:bookmarkStart w:id="4" w:name="page5"/>
    <w:bookmarkEnd w:id="4"/>
    <w:p>
      <w:pPr>
        <w:spacing w:after="0"/>
        <w:tabs>
          <w:tab w:leader="none" w:pos="10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w:t>
      </w:r>
      <w:r>
        <w:rPr>
          <w:sz w:val="20"/>
          <w:szCs w:val="20"/>
          <w:color w:val="auto"/>
        </w:rPr>
        <w:tab/>
      </w:r>
      <w:r>
        <w:rPr>
          <w:rFonts w:ascii="Arial" w:cs="Arial" w:eastAsia="Arial" w:hAnsi="Arial"/>
          <w:sz w:val="15"/>
          <w:szCs w:val="15"/>
          <w:u w:val="single" w:color="auto"/>
          <w:color w:val="auto"/>
        </w:rPr>
        <w:t>Interest in Securities of the Issuer</w:t>
      </w:r>
      <w:r>
        <w:rPr>
          <w:rFonts w:ascii="Arial" w:cs="Arial" w:eastAsia="Arial" w:hAnsi="Arial"/>
          <w:sz w:val="15"/>
          <w:szCs w:val="15"/>
          <w:color w:val="auto"/>
        </w:rPr>
        <w:t>.</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This Amendment amends and restates Item 5(a) of the Original Schedule 13D, as amended by Amendment No. 1 and Amendment No. 2 and Amendment No. 3 and Amendment No. 4, in its entirety as set forth below:</w:t>
      </w:r>
    </w:p>
    <w:p>
      <w:pPr>
        <w:spacing w:after="0" w:line="51" w:lineRule="exact"/>
        <w:rPr>
          <w:sz w:val="20"/>
          <w:szCs w:val="20"/>
          <w:color w:val="auto"/>
        </w:rPr>
      </w:pPr>
    </w:p>
    <w:p>
      <w:pPr>
        <w:ind w:left="900" w:right="20" w:hanging="446"/>
        <w:spacing w:after="0" w:line="357" w:lineRule="auto"/>
        <w:tabs>
          <w:tab w:leader="none" w:pos="900" w:val="left"/>
        </w:tabs>
        <w:numPr>
          <w:ilvl w:val="0"/>
          <w:numId w:val="7"/>
        </w:numPr>
        <w:rPr>
          <w:rFonts w:ascii="Arial" w:cs="Arial" w:eastAsia="Arial" w:hAnsi="Arial"/>
          <w:sz w:val="15"/>
          <w:szCs w:val="15"/>
          <w:color w:val="auto"/>
        </w:rPr>
      </w:pPr>
      <w:r>
        <w:rPr>
          <w:rFonts w:ascii="Arial" w:cs="Arial" w:eastAsia="Arial" w:hAnsi="Arial"/>
          <w:sz w:val="15"/>
          <w:szCs w:val="15"/>
          <w:color w:val="auto"/>
        </w:rPr>
        <w:t>On May 16, 2012, the aggregate number of shares of Common Stock beneficially owned by the Reporting Person was 35,286, representing 11.39% of the issued and outstanding shares of Common Stock, which is calculated based on information provided to the Reporting Person by the Issuer.</w:t>
      </w:r>
    </w:p>
    <w:p>
      <w:pPr>
        <w:ind w:left="460"/>
        <w:spacing w:after="0"/>
        <w:rPr>
          <w:sz w:val="20"/>
          <w:szCs w:val="20"/>
          <w:color w:val="auto"/>
        </w:rPr>
      </w:pPr>
      <w:r>
        <w:rPr>
          <w:rFonts w:ascii="Arial" w:cs="Arial" w:eastAsia="Arial" w:hAnsi="Arial"/>
          <w:sz w:val="18"/>
          <w:szCs w:val="18"/>
          <w:color w:val="auto"/>
        </w:rPr>
        <w:t>Percent of Class: See Line 13 of the cover sheets.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Reporting Persons disclaims beneficial ownership of the Shares except to the extent of its pecuniary interest therein, if any.</w:t>
      </w:r>
    </w:p>
    <w:p>
      <w:pPr>
        <w:sectPr>
          <w:pgSz w:w="11900" w:h="16838" w:orient="portrait"/>
          <w:cols w:equalWidth="0" w:num="1">
            <w:col w:w="11280"/>
          </w:cols>
          <w:pgMar w:left="240" w:top="280" w:right="379" w:bottom="1440" w:gutter="0" w:footer="0" w:header="0"/>
        </w:sectPr>
      </w:pPr>
    </w:p>
    <w:bookmarkStart w:id="5" w:name="page6"/>
    <w:bookmarkEnd w:id="5"/>
    <w:p>
      <w:pPr>
        <w:jc w:val="center"/>
        <w:ind w:right="-6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After reasonable inquiry and to the best of its knowledge and belief, the undersigned certifies that the information set forth in this statement is true, complete and correct.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May 22, 2012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Universities Superannuation Scheme Limited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as trustee of Universities Superannuation Scheme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Mike Powell</w:t>
            </w:r>
          </w:p>
        </w:tc>
      </w:tr>
      <w:tr>
        <w:trPr>
          <w:trHeight w:val="217"/>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Mike Powell</w:t>
            </w:r>
          </w:p>
        </w:tc>
      </w:tr>
      <w:tr>
        <w:trPr>
          <w:trHeight w:val="222"/>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Head of Alternative Investments</w:t>
            </w:r>
          </w:p>
        </w:tc>
      </w:tr>
    </w:tbl>
    <w:p>
      <w:pPr>
        <w:spacing w:after="0" w:line="1" w:lineRule="exact"/>
        <w:rPr>
          <w:sz w:val="20"/>
          <w:szCs w:val="20"/>
          <w:color w:val="auto"/>
        </w:rPr>
      </w:pPr>
    </w:p>
    <w:sectPr>
      <w:pgSz w:w="11900" w:h="16838" w:orient="portrait"/>
      <w:cols w:equalWidth="0" w:num="1">
        <w:col w:w="10800"/>
      </w:cols>
      <w:pgMar w:left="240" w:top="274" w:right="8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bullet"/>
      <w:start w:val="1"/>
    </w:lvl>
  </w:abstractNum>
  <w:abstractNum w:abstractNumId="2">
    <w:nsid w:val="46E87CCD"/>
    <w:multiLevelType w:val="hybridMultilevel"/>
    <w:lvl w:ilvl="0">
      <w:lvlJc w:val="left"/>
      <w:lvlText w:val="2"/>
      <w:numFmt w:val="bullet"/>
      <w:start w:val="1"/>
    </w:lvl>
  </w:abstractNum>
  <w:abstractNum w:abstractNumId="3">
    <w:nsid w:val="3D1B58BA"/>
    <w:multiLevelType w:val="hybridMultilevel"/>
    <w:lvl w:ilvl="0">
      <w:lvlJc w:val="left"/>
      <w:lvlText w:val="3"/>
      <w:numFmt w:val="bullet"/>
      <w:start w:val="1"/>
    </w:lvl>
  </w:abstractNum>
  <w:abstractNum w:abstractNumId="4">
    <w:nsid w:val="507ED7AB"/>
    <w:multiLevelType w:val="hybridMultilevel"/>
    <w:lvl w:ilvl="0">
      <w:lvlJc w:val="left"/>
      <w:lvlText w:val="4"/>
      <w:numFmt w:val="bullet"/>
      <w:start w:val="1"/>
    </w:lvl>
  </w:abstractNum>
  <w:abstractNum w:abstractNumId="5">
    <w:nsid w:val="2EB141F2"/>
    <w:multiLevelType w:val="hybridMultilevel"/>
    <w:lvl w:ilvl="0">
      <w:lvlJc w:val="left"/>
      <w:lvlText w:val="6"/>
      <w:numFmt w:val="bullet"/>
      <w:start w:val="1"/>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2019-12-09T20:50:56Z</dcterms:created>
  <dcterms:modified xsi:type="dcterms:W3CDTF">2019-12-09T20:50:56Z</dcterms:modified>
</cp:coreProperties>
</file>