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4960"/>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ind w:left="3060"/>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4" w:lineRule="exact"/>
        <w:rPr>
          <w:sz w:val="24"/>
          <w:szCs w:val="24"/>
          <w:color w:val="auto"/>
        </w:rPr>
      </w:pPr>
    </w:p>
    <w:p>
      <w:pPr>
        <w:ind w:left="4080"/>
        <w:spacing w:after="0"/>
        <w:rPr>
          <w:sz w:val="20"/>
          <w:szCs w:val="20"/>
          <w:color w:val="auto"/>
        </w:rPr>
      </w:pPr>
      <w:r>
        <w:rPr>
          <w:rFonts w:ascii="Arial" w:cs="Arial" w:eastAsia="Arial" w:hAnsi="Arial"/>
          <w:sz w:val="22"/>
          <w:szCs w:val="22"/>
          <w:b w:val="1"/>
          <w:bCs w:val="1"/>
          <w:color w:val="auto"/>
        </w:rPr>
        <w:t>SCHEDULE 14A INFORMATION</w:t>
      </w:r>
    </w:p>
    <w:p>
      <w:pPr>
        <w:spacing w:after="0" w:line="182" w:lineRule="exact"/>
        <w:rPr>
          <w:sz w:val="24"/>
          <w:szCs w:val="24"/>
          <w:color w:val="auto"/>
        </w:rPr>
      </w:pPr>
    </w:p>
    <w:p>
      <w:pPr>
        <w:ind w:left="346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31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319"/>
        <w:spacing w:after="0"/>
        <w:rPr>
          <w:sz w:val="20"/>
          <w:szCs w:val="20"/>
          <w:color w:val="auto"/>
        </w:rPr>
      </w:pPr>
      <w:r>
        <w:rPr>
          <w:rFonts w:ascii="Arial" w:cs="Arial" w:eastAsia="Arial" w:hAnsi="Arial"/>
          <w:sz w:val="40"/>
          <w:szCs w:val="40"/>
          <w:b w:val="1"/>
          <w:bCs w:val="1"/>
          <w:color w:val="auto"/>
        </w:rPr>
        <w:t>TPG Specialty Lending, Inc.</w:t>
      </w:r>
    </w:p>
    <w:p>
      <w:pPr>
        <w:spacing w:after="0" w:line="35"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3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right="100" w:hanging="571"/>
        <w:spacing w:after="0" w:line="277" w:lineRule="auto"/>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80" w:hanging="572"/>
        <w:spacing w:after="0" w:line="308" w:lineRule="auto"/>
        <w:tabs>
          <w:tab w:leader="none" w:pos="5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-3088640</wp:posOffset>
            </wp:positionV>
            <wp:extent cx="6517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-2642870</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-2059940</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-1614170</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-1167765</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306705</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ectPr>
          <w:pgSz w:w="11900" w:h="16838" w:orient="portrait"/>
          <w:cols w:equalWidth="0" w:num="1">
            <w:col w:w="11100"/>
          </w:cols>
          <w:pgMar w:left="240" w:top="230" w:right="559" w:bottom="100" w:gutter="0" w:footer="0" w:header="0"/>
        </w:sectPr>
      </w:pPr>
    </w:p>
    <w:bookmarkStart w:id="1" w:name="page2"/>
    <w:bookmarkEnd w:id="1"/>
    <w:p>
      <w:pPr>
        <w:ind w:left="571" w:hanging="571"/>
        <w:spacing w:after="0"/>
        <w:tabs>
          <w:tab w:leader="none" w:pos="571"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571" w:hanging="571"/>
        <w:spacing w:after="0"/>
        <w:tabs>
          <w:tab w:leader="none" w:pos="571"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571" w:hanging="571"/>
        <w:spacing w:after="0"/>
        <w:tabs>
          <w:tab w:leader="none" w:pos="571"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-593090</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-139065</wp:posOffset>
            </wp:positionV>
            <wp:extent cx="6517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306705</wp:posOffset>
            </wp:positionV>
            <wp:extent cx="6517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486410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529590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630"/>
          </w:cols>
          <w:pgMar w:left="829" w:top="125"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46200" cy="660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 Worth, TX 76102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April 8,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are pleased to invite you to attend the 2016 Annual Meeting of Stockholders of TPG Specialty Lending, Inc. to be held on May 19, 2016, at 10:00 a.m., local time, at the offices of Cleary Gottlieb Steen &amp; Hamilton LLP, 450 Park Avenue, 28</w:t>
      </w:r>
      <w:r>
        <w:rPr>
          <w:rFonts w:ascii="Arial" w:cs="Arial" w:eastAsia="Arial" w:hAnsi="Arial"/>
          <w:sz w:val="15"/>
          <w:szCs w:val="15"/>
          <w:color w:val="auto"/>
        </w:rPr>
        <w:t>th</w:t>
      </w:r>
      <w:r>
        <w:rPr>
          <w:rFonts w:ascii="Arial" w:cs="Arial" w:eastAsia="Arial" w:hAnsi="Arial"/>
          <w:sz w:val="18"/>
          <w:szCs w:val="18"/>
          <w:color w:val="auto"/>
        </w:rPr>
        <w:t xml:space="preserve"> Floor, New York, NY 10022.</w:t>
      </w:r>
    </w:p>
    <w:p>
      <w:pPr>
        <w:spacing w:after="0" w:line="17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following pages include a formal notice of the meeting and our proxy statement. The Notice of Internet Availability of Proxy Materials you received in the mail and this proxy statement describe various matters on the agenda for the meeting. Please read these materials so that you will know what we plan to do at the meeting. It is important that your shares be represented at the annual meeting, regardless of whether you plan to attend the meeting in person. Please vote your shares as soon as possible through any of the voting options available to you as described in the Notice of Internet Availability of Proxy Materials and this proxy statement.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behalf of management and our Board of Directors, we thank you for your continued support of TPG Specialty Lending, Inc.</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Joshua Easterly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Chairman of the Board of Directors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Fort Worth, TX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8, 2016</w:t>
      </w:r>
    </w:p>
    <w:p>
      <w:pPr>
        <w:sectPr>
          <w:pgSz w:w="11900" w:h="16838" w:orient="portrait"/>
          <w:cols w:equalWidth="0" w:num="1">
            <w:col w:w="11260"/>
          </w:cols>
          <w:pgMar w:left="240" w:top="459" w:right="3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Important Notice Regarding the Availability of Proxy Material for the Annual Meeting of Stockholders to Be Held on May 19, 2016.</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Our proxy statement and annual report on Form 10-K for the year ended December 31, 2015, are available online at </w:t>
      </w:r>
      <w:r>
        <w:rPr>
          <w:rFonts w:ascii="Arial" w:cs="Arial" w:eastAsia="Arial" w:hAnsi="Arial"/>
          <w:sz w:val="17"/>
          <w:szCs w:val="17"/>
          <w:i w:val="1"/>
          <w:iCs w:val="1"/>
          <w:color w:val="auto"/>
        </w:rPr>
        <w:t>www.proxyvote.com</w:t>
      </w:r>
      <w:r>
        <w:rPr>
          <w:rFonts w:ascii="Arial" w:cs="Arial" w:eastAsia="Arial" w:hAnsi="Arial"/>
          <w:sz w:val="17"/>
          <w:szCs w:val="17"/>
          <w:color w:val="auto"/>
        </w:rPr>
        <w:t>.</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information applicable to the Annual Meeting of Stockholders may be found in the proxy statement and accompanying proxy card:</w:t>
      </w:r>
    </w:p>
    <w:p>
      <w:pPr>
        <w:spacing w:after="0" w:line="154"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 time and location of the meeting;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list of the matters intended to be acted on and our recommendations regarding those matters;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control/identification numbers that you need to access proxy material online;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information about attending the meeting and voting in person.</w:t>
      </w:r>
    </w:p>
    <w:p>
      <w:pPr>
        <w:sectPr>
          <w:pgSz w:w="11900" w:h="16838" w:orient="portrait"/>
          <w:cols w:equalWidth="0" w:num="1">
            <w:col w:w="10980"/>
          </w:cols>
          <w:pgMar w:left="240" w:top="459" w:right="6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46200" cy="660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Fort Worth, TX 76102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160020</wp:posOffset>
            </wp:positionV>
            <wp:extent cx="15176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the 2016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163195</wp:posOffset>
            </wp:positionV>
            <wp:extent cx="15176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NOTICE IS HEREBY GIVEN that the 2016 Annual Meeting of Stockholders of TPG Specialty Lending, Inc. will be held at the offices of Cleary Gottlieb Steen &amp; Hamilton LLP, 450 Park Avenue, 28</w:t>
      </w:r>
      <w:r>
        <w:rPr>
          <w:rFonts w:ascii="Arial" w:cs="Arial" w:eastAsia="Arial" w:hAnsi="Arial"/>
          <w:sz w:val="15"/>
          <w:szCs w:val="15"/>
          <w:color w:val="auto"/>
        </w:rPr>
        <w:t>th</w:t>
      </w:r>
      <w:r>
        <w:rPr>
          <w:rFonts w:ascii="Arial" w:cs="Arial" w:eastAsia="Arial" w:hAnsi="Arial"/>
          <w:sz w:val="18"/>
          <w:szCs w:val="18"/>
          <w:color w:val="auto"/>
        </w:rPr>
        <w:t xml:space="preserve"> Floor, New York, NY 10022 on May 19, 2016, at 10:00 a.m., local time. The 2016 Annual Meeting of Stockholders is being held for the following purposes:</w:t>
      </w:r>
    </w:p>
    <w:p>
      <w:pPr>
        <w:spacing w:after="0" w:line="73" w:lineRule="exact"/>
        <w:rPr>
          <w:sz w:val="20"/>
          <w:szCs w:val="20"/>
          <w:color w:val="auto"/>
        </w:rPr>
      </w:pPr>
    </w:p>
    <w:p>
      <w:pPr>
        <w:ind w:left="460" w:right="420" w:firstLine="443"/>
        <w:spacing w:after="0" w:line="277" w:lineRule="auto"/>
        <w:tabs>
          <w:tab w:leader="none" w:pos="1078"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elect one Class II director to serve for a three-year term and until a successor has been duly elected and qualified or until the director’s earlier resignation or removal.</w:t>
      </w:r>
    </w:p>
    <w:p>
      <w:pPr>
        <w:spacing w:after="0" w:line="62" w:lineRule="exact"/>
        <w:rPr>
          <w:rFonts w:ascii="Arial" w:cs="Arial" w:eastAsia="Arial" w:hAnsi="Arial"/>
          <w:sz w:val="18"/>
          <w:szCs w:val="18"/>
          <w:color w:val="auto"/>
        </w:rPr>
      </w:pPr>
    </w:p>
    <w:p>
      <w:pPr>
        <w:ind w:left="1080" w:hanging="177"/>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ratify the selection of KPMG LLP as the Company’s independent registered public accounting firm for the fiscal year ending December 31,</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2016.</w:t>
      </w:r>
    </w:p>
    <w:p>
      <w:pPr>
        <w:spacing w:after="0" w:line="102" w:lineRule="exact"/>
        <w:rPr>
          <w:rFonts w:ascii="Arial" w:cs="Arial" w:eastAsia="Arial" w:hAnsi="Arial"/>
          <w:sz w:val="16"/>
          <w:szCs w:val="16"/>
          <w:color w:val="auto"/>
        </w:rPr>
      </w:pPr>
    </w:p>
    <w:p>
      <w:pPr>
        <w:ind w:left="1080" w:hanging="177"/>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2016 Annual Meeting of Stockholders or any postponement or adjournment</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thereof.</w:t>
      </w:r>
    </w:p>
    <w:p>
      <w:pPr>
        <w:spacing w:after="0" w:line="211" w:lineRule="exact"/>
        <w:rPr>
          <w:sz w:val="20"/>
          <w:szCs w:val="20"/>
          <w:color w:val="auto"/>
        </w:rPr>
      </w:pPr>
    </w:p>
    <w:p>
      <w:pPr>
        <w:ind w:right="940" w:firstLine="456"/>
        <w:spacing w:after="0" w:line="277" w:lineRule="auto"/>
        <w:rPr>
          <w:sz w:val="20"/>
          <w:szCs w:val="20"/>
          <w:color w:val="auto"/>
        </w:rPr>
      </w:pPr>
      <w:r>
        <w:rPr>
          <w:rFonts w:ascii="Arial" w:cs="Arial" w:eastAsia="Arial" w:hAnsi="Arial"/>
          <w:sz w:val="18"/>
          <w:szCs w:val="18"/>
          <w:color w:val="auto"/>
        </w:rPr>
        <w:t>Only stockholders of record at the close of business on March 24, 2016, are entitled to notice of and to vote at the 2016 Annual Meeting of Stockholders or any postponement or adjournment thereof.</w:t>
      </w:r>
    </w:p>
    <w:p>
      <w:pPr>
        <w:spacing w:after="0" w:line="170" w:lineRule="exact"/>
        <w:rPr>
          <w:sz w:val="20"/>
          <w:szCs w:val="20"/>
          <w:color w:val="auto"/>
        </w:rPr>
      </w:pPr>
    </w:p>
    <w:p>
      <w:pPr>
        <w:ind w:right="260" w:firstLine="456"/>
        <w:spacing w:after="0" w:line="279" w:lineRule="auto"/>
        <w:rPr>
          <w:sz w:val="20"/>
          <w:szCs w:val="20"/>
          <w:color w:val="auto"/>
        </w:rPr>
      </w:pPr>
      <w:r>
        <w:rPr>
          <w:rFonts w:ascii="Arial" w:cs="Arial" w:eastAsia="Arial" w:hAnsi="Arial"/>
          <w:sz w:val="17"/>
          <w:szCs w:val="17"/>
          <w:color w:val="auto"/>
        </w:rPr>
        <w:t>We are furnishing a proxy statement, annual report and proxy card to our stockholders on the internet, rather than mailing printed copies of those materials to each stockholder. If you received a Notice of Internet Availability of Proxy Materials by mail, you will not receive a printed copy of the proxy statement, annual report and proxy card unless you request them. Instead, the Notice of Internet Availability of Proxy Materials will instruct you as to how you may access and review the proxy statement and annual report, and vote your proxy, on the internet.</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Your vote is extremely important to us. If you are unable to attend the 2016 Annual Meeting of Stockholders, we encourage you to vote your proxy on the internet by following the instructions provided on the Notice of Internet Availability of Proxy Materials or proxy card. Stockholders may also request from us free of charge hard copies of the proxy statement and proxy card by following the instructions on the Notice of Internet Availability of Proxy Materials.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Further, from time to time we may repurchase shares of our common stock and are notifying you of this ability as required by applicable securities law.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“Stock Repurchase Plan” in the proxy statement.</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Jennifer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Jennifer Gordon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Compliance Officer, Vice President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Fort Worth, TX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8, 2016</w:t>
      </w:r>
    </w:p>
    <w:p>
      <w:pPr>
        <w:spacing w:after="0" w:line="207"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u w:val="single" w:color="auto"/>
          <w:color w:val="auto"/>
        </w:rPr>
        <w:t>YOUR VOTE IS IMPORTANT</w:t>
      </w:r>
      <w:r>
        <w:rPr>
          <w:rFonts w:ascii="Arial" w:cs="Arial" w:eastAsia="Arial" w:hAnsi="Arial"/>
          <w:sz w:val="18"/>
          <w:szCs w:val="18"/>
          <w:b w:val="1"/>
          <w:bCs w:val="1"/>
          <w:color w:val="auto"/>
        </w:rPr>
        <w:t>! WE HOPE YOU WILL VOTE OVER THE INTERNET, BY PHONE OR BY MARKING, SIGNING AND RETURNING YOUR PROXY AS SOON AS POSSIBLE, WHETHER OR NOT YOU PLAN TO ATTEND THE MEETING. EVEN IF YOU VOTE YOUR SHARES PRIOR TO THE MEETING, YOU STILL MAY ATTEND THE MEETING AND VOTE YOUR SHARES IN PERSON.</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000" w:type="dxa"/>
            <w:vAlign w:val="bottom"/>
            <w:tcBorders>
              <w:top w:val="single" w:sz="8" w:color="CCEEFF"/>
            </w:tcBorders>
            <w:gridSpan w:val="13"/>
            <w:shd w:val="clear" w:color="auto" w:fill="CCEEFF"/>
          </w:tcPr>
          <w:p>
            <w:pPr>
              <w:spacing w:after="0" w:line="136" w:lineRule="exact"/>
              <w:rPr>
                <w:rFonts w:ascii="Arial" w:cs="Arial" w:eastAsia="Arial" w:hAnsi="Arial"/>
                <w:sz w:val="15"/>
                <w:szCs w:val="15"/>
                <w:color w:val="0000EE"/>
              </w:rPr>
            </w:pPr>
            <w:hyperlink w:anchor="page7">
              <w:r>
                <w:rPr>
                  <w:rFonts w:ascii="Arial" w:cs="Arial" w:eastAsia="Arial" w:hAnsi="Arial"/>
                  <w:sz w:val="15"/>
                  <w:szCs w:val="15"/>
                  <w:color w:val="0000EE"/>
                </w:rPr>
                <w:t>Proxy Statement for the 2016 Annual Meeting of Stockholders</w:t>
              </w:r>
            </w:hyperlink>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1</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0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74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4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000" w:type="dxa"/>
            <w:vAlign w:val="bottom"/>
            <w:gridSpan w:val="13"/>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Security Ownership of Certain Beneficial Owners and Management</w:t>
              </w:r>
            </w:hyperlink>
          </w:p>
        </w:tc>
        <w:tc>
          <w:tcPr>
            <w:tcW w:w="40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76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1"/>
              </w:rPr>
            </w:pPr>
            <w:hyperlink w:anchor="page12">
              <w:r>
                <w:rPr>
                  <w:rFonts w:ascii="Arial" w:cs="Arial" w:eastAsia="Arial" w:hAnsi="Arial"/>
                  <w:sz w:val="18"/>
                  <w:szCs w:val="18"/>
                  <w:color w:val="0000EE"/>
                  <w:w w:val="91"/>
                </w:rPr>
                <w:t>Proposal No. 1—Election of Directors</w:t>
              </w:r>
            </w:hyperlink>
          </w:p>
        </w:tc>
        <w:tc>
          <w:tcPr>
            <w:tcW w:w="8240" w:type="dxa"/>
            <w:vAlign w:val="bottom"/>
            <w:tcBorders>
              <w:bottom w:val="single" w:sz="8" w:color="CCEEFF"/>
            </w:tcBorders>
            <w:gridSpan w:val="5"/>
            <w:shd w:val="clear" w:color="auto" w:fill="CCEEFF"/>
          </w:tcPr>
          <w:p>
            <w:pPr>
              <w:spacing w:after="0"/>
              <w:rPr>
                <w:sz w:val="17"/>
                <w:szCs w:val="17"/>
                <w:color w:val="auto"/>
              </w:rPr>
            </w:pPr>
          </w:p>
        </w:tc>
        <w:tc>
          <w:tcPr>
            <w:tcW w:w="400" w:type="dxa"/>
            <w:vAlign w:val="bottom"/>
            <w:tcBorders>
              <w:bottom w:val="single" w:sz="8" w:color="CCEEFF"/>
            </w:tcBorders>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000" w:type="dxa"/>
            <w:vAlign w:val="bottom"/>
            <w:gridSpan w:val="13"/>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Corporate Governance</w:t>
              </w:r>
            </w:hyperlink>
          </w:p>
        </w:tc>
        <w:tc>
          <w:tcPr>
            <w:tcW w:w="300" w:type="dxa"/>
            <w:vAlign w:val="bottom"/>
          </w:tcPr>
          <w:p>
            <w:pPr>
              <w:jc w:val="right"/>
              <w:spacing w:after="0" w:line="176"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74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Proposal No. 2—Ratification of Selection of Independent Registered Public Accounting Firm</w:t>
              </w:r>
            </w:hyperlink>
          </w:p>
        </w:tc>
        <w:tc>
          <w:tcPr>
            <w:tcW w:w="42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000" w:type="dxa"/>
            <w:vAlign w:val="bottom"/>
            <w:gridSpan w:val="13"/>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Audit Committee Report</w:t>
              </w:r>
            </w:hyperlink>
          </w:p>
        </w:tc>
        <w:tc>
          <w:tcPr>
            <w:tcW w:w="300" w:type="dxa"/>
            <w:vAlign w:val="bottom"/>
          </w:tcPr>
          <w:p>
            <w:pPr>
              <w:jc w:val="right"/>
              <w:spacing w:after="0" w:line="176" w:lineRule="exact"/>
              <w:rPr>
                <w:sz w:val="20"/>
                <w:szCs w:val="20"/>
                <w:color w:val="auto"/>
              </w:rPr>
            </w:pPr>
            <w:r>
              <w:rPr>
                <w:rFonts w:ascii="Arial" w:cs="Arial" w:eastAsia="Arial" w:hAnsi="Arial"/>
                <w:sz w:val="18"/>
                <w:szCs w:val="18"/>
                <w:color w:val="auto"/>
              </w:rPr>
              <w:t>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000" w:type="dxa"/>
            <w:vAlign w:val="bottom"/>
            <w:gridSpan w:val="13"/>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Other Business</w:t>
              </w:r>
            </w:hyperlink>
          </w:p>
        </w:tc>
        <w:tc>
          <w:tcPr>
            <w:tcW w:w="3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000" w:type="dxa"/>
            <w:vAlign w:val="bottom"/>
            <w:gridSpan w:val="13"/>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Stock Repurchase Plan</w:t>
              </w:r>
            </w:hyperlink>
          </w:p>
        </w:tc>
        <w:tc>
          <w:tcPr>
            <w:tcW w:w="300" w:type="dxa"/>
            <w:vAlign w:val="bottom"/>
          </w:tcPr>
          <w:p>
            <w:pPr>
              <w:jc w:val="right"/>
              <w:spacing w:after="0" w:line="176"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000" w:type="dxa"/>
            <w:vAlign w:val="bottom"/>
            <w:gridSpan w:val="13"/>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Stockholder Proposals and Nominations for the 2017 Annual Meeting of Stockholders</w:t>
              </w:r>
            </w:hyperlink>
          </w:p>
        </w:tc>
        <w:tc>
          <w:tcPr>
            <w:tcW w:w="3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200" w:type="dxa"/>
            <w:vAlign w:val="bottom"/>
            <w:tcBorders>
              <w:top w:val="single" w:sz="8" w:color="0000EE"/>
            </w:tcBorders>
            <w:gridSpan w:val="11"/>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Annual Report</w:t>
              </w:r>
            </w:hyperlink>
          </w:p>
        </w:tc>
        <w:tc>
          <w:tcPr>
            <w:tcW w:w="4800" w:type="dxa"/>
            <w:vAlign w:val="bottom"/>
            <w:tcBorders>
              <w:top w:val="single" w:sz="8" w:color="CCEEFF"/>
            </w:tcBorders>
            <w:gridSpan w:val="2"/>
          </w:tcPr>
          <w:p>
            <w:pPr>
              <w:spacing w:after="0"/>
              <w:rPr>
                <w:sz w:val="15"/>
                <w:szCs w:val="15"/>
                <w:color w:val="auto"/>
              </w:rPr>
            </w:pPr>
          </w:p>
        </w:tc>
        <w:tc>
          <w:tcPr>
            <w:tcW w:w="3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32</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40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1"/>
              </w:rPr>
            </w:pPr>
            <w:hyperlink w:anchor="page38">
              <w:r>
                <w:rPr>
                  <w:rFonts w:ascii="Arial" w:cs="Arial" w:eastAsia="Arial" w:hAnsi="Arial"/>
                  <w:sz w:val="18"/>
                  <w:szCs w:val="18"/>
                  <w:color w:val="0000EE"/>
                  <w:w w:val="91"/>
                </w:rPr>
                <w:t>Householding of Proxy Materials</w:t>
              </w:r>
            </w:hyperlink>
          </w:p>
        </w:tc>
        <w:tc>
          <w:tcPr>
            <w:tcW w:w="8600" w:type="dxa"/>
            <w:vAlign w:val="bottom"/>
            <w:tcBorders>
              <w:bottom w:val="single" w:sz="8" w:color="CCEEFF"/>
            </w:tcBorders>
            <w:gridSpan w:val="6"/>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000" w:type="dxa"/>
            <w:vAlign w:val="bottom"/>
            <w:gridSpan w:val="13"/>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Privacy Principles</w:t>
              </w:r>
            </w:hyperlink>
          </w:p>
        </w:tc>
        <w:tc>
          <w:tcPr>
            <w:tcW w:w="300" w:type="dxa"/>
            <w:vAlign w:val="bottom"/>
          </w:tcPr>
          <w:p>
            <w:pPr>
              <w:jc w:val="right"/>
              <w:spacing w:after="0" w:line="176" w:lineRule="exact"/>
              <w:rPr>
                <w:sz w:val="20"/>
                <w:szCs w:val="20"/>
                <w:color w:val="auto"/>
              </w:rPr>
            </w:pPr>
            <w:r>
              <w:rPr>
                <w:rFonts w:ascii="Arial" w:cs="Arial" w:eastAsia="Arial" w:hAnsi="Arial"/>
                <w:sz w:val="18"/>
                <w:szCs w:val="18"/>
                <w:color w:val="auto"/>
              </w:rPr>
              <w:t>33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46200" cy="660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Fort Worth, TX 76102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160020</wp:posOffset>
            </wp:positionV>
            <wp:extent cx="15176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2016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151765</wp:posOffset>
            </wp:positionV>
            <wp:extent cx="15176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6"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The accompanying proxy is solicited on behalf of the Board of Directors (the “Board”) of TPG Specialty Lending, Inc., which is sometimes referred to in this proxy statement as “TSL,” “TSLX,” “we,” “us,” “our,” or the “Company,” for use at the 2016 Annual Meeting of Stockholders (the “Meeting”) to be held at the offices of Cleary Gottlieb Steen &amp; Hamilton LLP, 450 Park Avenue, 28</w:t>
      </w:r>
      <w:r>
        <w:rPr>
          <w:rFonts w:ascii="Arial" w:cs="Arial" w:eastAsia="Arial" w:hAnsi="Arial"/>
          <w:sz w:val="13"/>
          <w:szCs w:val="13"/>
          <w:color w:val="auto"/>
        </w:rPr>
        <w:t>th</w:t>
      </w:r>
      <w:r>
        <w:rPr>
          <w:rFonts w:ascii="Arial" w:cs="Arial" w:eastAsia="Arial" w:hAnsi="Arial"/>
          <w:sz w:val="16"/>
          <w:szCs w:val="16"/>
          <w:color w:val="auto"/>
        </w:rPr>
        <w:t xml:space="preserve"> Floor, New York, NY 10022 on May 19, 2016, at 10:00 a.m., local time. Only holders of record of our common stock at the close of business on March 24, 2016, which is the record date, will be entitled to vote at the Meeting. At the close of business on the record date, we had 59,225,688 shares of common stock outstanding and entitled to vote.</w:t>
      </w:r>
    </w:p>
    <w:p>
      <w:pPr>
        <w:spacing w:after="0" w:line="158"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 xml:space="preserve">It is anticipated that the Notice of Internet Availability of Proxy Materials will first be sent to Stockholders on or about April 8, 2016. This proxy statement, including the accompanying form of proxy (collectively, the “Proxy Statement”), and the Company’s Annual Report for the fiscal year ended December 31, 2015 will first be made available to stockholders on or about April 8, 2016. The Annual Report and Proxy Statement can both be accessed online at </w:t>
      </w:r>
      <w:r>
        <w:rPr>
          <w:rFonts w:ascii="Arial" w:cs="Arial" w:eastAsia="Arial" w:hAnsi="Arial"/>
          <w:sz w:val="18"/>
          <w:szCs w:val="18"/>
          <w:i w:val="1"/>
          <w:iCs w:val="1"/>
          <w:color w:val="auto"/>
        </w:rPr>
        <w:t>www.proxyvote.com</w:t>
      </w:r>
      <w:r>
        <w:rPr>
          <w:rFonts w:ascii="Arial" w:cs="Arial" w:eastAsia="Arial" w:hAnsi="Arial"/>
          <w:sz w:val="18"/>
          <w:szCs w:val="18"/>
          <w:color w:val="auto"/>
        </w:rPr>
        <w:t>.</w:t>
      </w:r>
    </w:p>
    <w:p>
      <w:pPr>
        <w:spacing w:after="0" w:line="187"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 xml:space="preserve">All proxies will be voted in accordance with the instructions contained therein. Unless contrary instructions are specified, if the accompanying proxy is executed and returned (and not revoked) prior to the Meeting, the shares of the Company’s common stock represented by the proxy will be voted (1)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election of the Class II director candidate nominated by the Board and (2)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ratification of the selection of KPMG LLP as the Company’s independent registered public accounting firm for the fiscal year ending December 31, 2016. Should any matter not described above be properly presented at the Meeting, the named proxies will vote in accordance with their judgment as permitted.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Holders of our common stock are entitled to one vote for each share held as of the record date.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2016 Annual Meeting of Stockholders is being held for the following purposes:</w:t>
      </w:r>
    </w:p>
    <w:p>
      <w:pPr>
        <w:spacing w:after="0" w:line="225" w:lineRule="exact"/>
        <w:rPr>
          <w:sz w:val="20"/>
          <w:szCs w:val="20"/>
          <w:color w:val="auto"/>
        </w:rPr>
      </w:pPr>
    </w:p>
    <w:p>
      <w:pPr>
        <w:ind w:right="340" w:firstLine="464"/>
        <w:spacing w:after="0" w:line="277" w:lineRule="auto"/>
        <w:tabs>
          <w:tab w:leader="none" w:pos="636"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elect one Class II director to serve for a three-year term and until a successor has been duly elected and qualified or until the director’s earlier resignation or removal.</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ratify the selection of KPMG LLP as the Company’s independent registered public accounting firm for the fiscal year ending December 31, 2016.</w:t>
      </w:r>
    </w:p>
    <w:p>
      <w:pPr>
        <w:spacing w:after="0" w:line="248" w:lineRule="exact"/>
        <w:rPr>
          <w:rFonts w:ascii="Arial" w:cs="Arial" w:eastAsia="Arial" w:hAnsi="Arial"/>
          <w:sz w:val="16"/>
          <w:szCs w:val="16"/>
          <w:color w:val="auto"/>
        </w:rPr>
      </w:pPr>
    </w:p>
    <w:p>
      <w:pPr>
        <w:ind w:left="640" w:hanging="176"/>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2016 Annual Meeting of Stockholders or any postponement or adjournment thereof.</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Effect of Abstentions and Broker Non-Votes, Vote Required to Approve the Proposals</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 majority of the outstanding shares of common stock must be present or represented by proxy at the Meeting in order to have a quorum. If you have properly voted by proxy online, by phone, or via mail, you will be considered part of the quorum. We will count “abstain” and “withhold” votes as present for the purpose of establishing a quorum for the transaction of business at the Meeting. If at any time shares are held through brokers, we will count broker non-votes as present for the purpose of establishing a quorum. A broker non-vote occurs when a broker holding shares for a beneficial owner votes on some matters on the proxy card, but not on others, because the broker does not have instructions from the beneficial owner or discretionary authority (or declines to exercise discretionary authority) with respect to those other matters.</w:t>
      </w:r>
    </w:p>
    <w:p>
      <w:pPr>
        <w:spacing w:after="0" w:line="178"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Provided a quorum is present, directors are elected by a plurality of the votes represented at the meeting and voted for nominee(s) in the election. Broker non-votes, if any, though counted for purposes of establishing a quorum, will not affect the outcome of the voting on the elections. A proxy marked “withhold” with respect to a director nominee will result in such director nominee receiving one fewer “FOR” vote that would count towards a plurality.</w:t>
      </w:r>
    </w:p>
    <w:p>
      <w:pPr>
        <w:spacing w:after="0" w:line="147"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The affirmative vote of the majority of shares represented at the meeting and voting on the proposal will determine the outcome of the ratification of the independent registered public accounting firm. For each of these proposals, “abstain” votes and broker non-votes, if any, though counted for purposes of establishing a quorum, will have no effect on the outcome of the vote.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inspector of elections appointed for the Meeting will separately tabulate affirmative votes, “withhold” votes, “abstain” votes and broker non-votes.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 of Meeting</w:t>
      </w:r>
    </w:p>
    <w:p>
      <w:pPr>
        <w:spacing w:after="0" w:line="12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In the event that a quorum shall fail to attend the Meeting, either in person or represented by proxy, the stockholders entitled to vote at the Meeting (present in person or represented by proxy) shall have the power to adjourn the meeting from time to time, without notice other than announcement at the meeting, until a quorum shall be present or represented by proxy. At such adjourned meeting at which a quorum shall be present or represented by proxy, any business may be transacted which might have been transacted at the meeting as originally called. If the adjournment is for more than 30 days, or, if after adjournment a new record date is set, then a notice of the adjourned meeting shall be given to each stockholder of record entitled to vote at the meeting. Any such adjournment proposed by a stockholder or person named as a proxy would require the affirmative vote of the majority of the outstanding shares present in person or represented by proxy at the Meeting.</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Proxies for the Meeting</w:t>
      </w:r>
    </w:p>
    <w:p>
      <w:pPr>
        <w:spacing w:after="0" w:line="12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named proxies for the Meeting are Jennifer Gordon and Kenneth Burke (or their duly authorized designees), who will follow submitted proxy voting instructions. They will vote as the Board recommends herein as to any submitted proxies that do not direct how to vote on any item, and will vote on any other matters properly presented at the Meeting in their judgment.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 Regarding This Proxy</w:t>
      </w:r>
    </w:p>
    <w:p>
      <w:pPr>
        <w:spacing w:after="0" w:line="121"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The Company will pay the expenses of soliciting proxies to be voted at the Meeting. The Company has retained Broadridge Investor Communications Solutions, Inc. to assist with the distribution and collection of proxies for a fee of approximately $46,000, plus reimbursement of expenses.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to the solicitation of proxies by the use of the Internet, proxies may be solicited in person and/or by telephone, mail or facsimile transmission by directors or officers of the Company and/or officers or employees of TSL Advisers, LLC, the Company’s investment adviser (the “Adviser”). No additional compensation will be paid to such directors, officers or regular employees for such services. The address of the Adviser is 301 Commerce Street, Suite 3300, Fort Worth, TX 76102.</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A stockholder may revoke any proxy that is not irrevocable by attending the Meeting and voting in person or by delivering a new proxy in accordance with applicable law bearing a later date to the Secretary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 for Proxy Solicitation</w:t>
      </w:r>
    </w:p>
    <w:p>
      <w:pPr>
        <w:spacing w:after="0" w:line="121"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 xml:space="preserve">You can contact us by mail sent to the attention of the Secretary of the Company, Jennifer Gordon, at our principal executive offices located at 301 Commerce Street, Suite 3300, Fort Worth, TX 76102. You can call us by dialing (817) 871-4000. You can access our proxy materials online at </w:t>
      </w:r>
      <w:r>
        <w:rPr>
          <w:rFonts w:ascii="Arial" w:cs="Arial" w:eastAsia="Arial" w:hAnsi="Arial"/>
          <w:sz w:val="18"/>
          <w:szCs w:val="18"/>
          <w:i w:val="1"/>
          <w:iCs w:val="1"/>
          <w:color w:val="auto"/>
        </w:rPr>
        <w:t>www.proxyvote.com</w:t>
      </w:r>
      <w:r>
        <w:rPr>
          <w:rFonts w:ascii="Arial" w:cs="Arial" w:eastAsia="Arial" w:hAnsi="Arial"/>
          <w:sz w:val="18"/>
          <w:szCs w:val="18"/>
          <w:color w:val="auto"/>
        </w:rPr>
        <w:t>.</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Beneficial ownership is determined in accordance with the rules and regulations of the U.S. Securities and Exchange Commission (the “SEC”). These rules generally provide that a person is the beneficial owner of securities if the person has or shares the power to vote or direct the voting thereof, or to dispose or direct the disposition thereof or has the right to acquire these powers within 60 days. The following table sets forth, as of March 24, 2016 the beneficial ownership as indicated in the Company’s books and records of each current director, the nominees for director, the Company’s Named Executive Officers, the Company’s executive officers and directors as a group, and each person known to the Company to beneficially own 5% or more of the outstanding shares of our common stock. With respect to persons known to the Company to beneficially own 5% or more of the outstanding shares of the Company’s common stock, the Company bases such knowledge on beneficial ownership filings made by the holders with the SEC.</w:t>
      </w:r>
    </w:p>
    <w:p>
      <w:pPr>
        <w:spacing w:after="0" w:line="16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percentage ownership is based on 59,225,688 shares of common stock outstanding as of March 24, 2016. To the Company’s knowledge, except as indicated in the footnotes to the table, each of the stockholders listed below has sole voting and/or investment power with respect to shares beneficially owned by such stockholder. Unless otherwise indicated by footnote, the address for each listed individual is 301 Commerce Street, Suite 3300, Fort Worth, TX 76102.</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6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4"/>
              </w:rPr>
              <w:t>Number of</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6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Shares of</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Common</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6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9"/>
        </w:trPr>
        <w:tc>
          <w:tcPr>
            <w:tcW w:w="8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Individual or Identity of Group</w:t>
            </w:r>
          </w:p>
        </w:tc>
        <w:tc>
          <w:tcPr>
            <w:tcW w:w="16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71"/>
        </w:trPr>
        <w:tc>
          <w:tcPr>
            <w:tcW w:w="8820" w:type="dxa"/>
            <w:vAlign w:val="bottom"/>
            <w:gridSpan w:val="2"/>
            <w:vMerge w:val="continue"/>
          </w:tcPr>
          <w:p>
            <w:pPr>
              <w:spacing w:after="0"/>
              <w:rPr>
                <w:sz w:val="14"/>
                <w:szCs w:val="14"/>
                <w:color w:val="auto"/>
              </w:rPr>
            </w:pPr>
          </w:p>
        </w:tc>
        <w:tc>
          <w:tcPr>
            <w:tcW w:w="16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7"/>
              </w:rPr>
              <w:t>Owned(1)</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Owned(1)</w:t>
            </w:r>
          </w:p>
        </w:tc>
        <w:tc>
          <w:tcPr>
            <w:tcW w:w="0" w:type="dxa"/>
            <w:vAlign w:val="bottom"/>
          </w:tcPr>
          <w:p>
            <w:pPr>
              <w:spacing w:after="0"/>
              <w:rPr>
                <w:sz w:val="1"/>
                <w:szCs w:val="1"/>
                <w:color w:val="auto"/>
              </w:rPr>
            </w:pPr>
          </w:p>
        </w:tc>
      </w:tr>
      <w:tr>
        <w:trPr>
          <w:trHeight w:val="183"/>
        </w:trPr>
        <w:tc>
          <w:tcPr>
            <w:tcW w:w="250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w w:val="92"/>
              </w:rPr>
              <w:t>Directors and Executive Officers:</w:t>
            </w:r>
          </w:p>
        </w:tc>
        <w:tc>
          <w:tcPr>
            <w:tcW w:w="63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820" w:type="dxa"/>
            <w:vAlign w:val="bottom"/>
            <w:gridSpan w:val="2"/>
          </w:tcPr>
          <w:p>
            <w:pPr>
              <w:spacing w:after="0"/>
              <w:rPr>
                <w:sz w:val="20"/>
                <w:szCs w:val="20"/>
                <w:color w:val="auto"/>
              </w:rPr>
            </w:pPr>
            <w:r>
              <w:rPr>
                <w:rFonts w:ascii="Arial" w:cs="Arial" w:eastAsia="Arial" w:hAnsi="Arial"/>
                <w:sz w:val="17"/>
                <w:szCs w:val="17"/>
                <w:i w:val="1"/>
                <w:iCs w:val="1"/>
                <w:color w:val="auto"/>
              </w:rPr>
              <w:t>Interested Directors</w:t>
            </w:r>
          </w:p>
        </w:tc>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Joshua Easterly</w:t>
            </w:r>
          </w:p>
        </w:tc>
        <w:tc>
          <w:tcPr>
            <w:tcW w:w="16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30,323</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8820" w:type="dxa"/>
            <w:vAlign w:val="bottom"/>
            <w:gridSpan w:val="2"/>
          </w:tcPr>
          <w:p>
            <w:pPr>
              <w:ind w:left="360"/>
              <w:spacing w:after="0"/>
              <w:rPr>
                <w:sz w:val="20"/>
                <w:szCs w:val="20"/>
                <w:color w:val="auto"/>
              </w:rPr>
            </w:pPr>
            <w:r>
              <w:rPr>
                <w:rFonts w:ascii="Arial" w:cs="Arial" w:eastAsia="Arial" w:hAnsi="Arial"/>
                <w:sz w:val="18"/>
                <w:szCs w:val="18"/>
                <w:color w:val="auto"/>
              </w:rPr>
              <w:t>Michael Fishman</w:t>
            </w:r>
          </w:p>
        </w:tc>
        <w:tc>
          <w:tcPr>
            <w:tcW w:w="1660" w:type="dxa"/>
            <w:vAlign w:val="bottom"/>
            <w:gridSpan w:val="2"/>
          </w:tcPr>
          <w:p>
            <w:pPr>
              <w:jc w:val="right"/>
              <w:ind w:right="700"/>
              <w:spacing w:after="0"/>
              <w:rPr>
                <w:sz w:val="20"/>
                <w:szCs w:val="20"/>
                <w:color w:val="auto"/>
              </w:rPr>
            </w:pPr>
            <w:r>
              <w:rPr>
                <w:rFonts w:ascii="Arial" w:cs="Arial" w:eastAsia="Arial" w:hAnsi="Arial"/>
                <w:sz w:val="18"/>
                <w:szCs w:val="18"/>
                <w:color w:val="auto"/>
              </w:rPr>
              <w:t>36,366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3"/>
        </w:trPr>
        <w:tc>
          <w:tcPr>
            <w:tcW w:w="8820" w:type="dxa"/>
            <w:vAlign w:val="bottom"/>
            <w:gridSpan w:val="2"/>
            <w:shd w:val="clear" w:color="auto" w:fill="CCEEFF"/>
          </w:tcPr>
          <w:p>
            <w:pPr>
              <w:spacing w:after="0"/>
              <w:rPr>
                <w:sz w:val="20"/>
                <w:szCs w:val="20"/>
                <w:color w:val="auto"/>
              </w:rPr>
            </w:pPr>
            <w:r>
              <w:rPr>
                <w:rFonts w:ascii="Arial" w:cs="Arial" w:eastAsia="Arial" w:hAnsi="Arial"/>
                <w:sz w:val="17"/>
                <w:szCs w:val="17"/>
                <w:i w:val="1"/>
                <w:iCs w:val="1"/>
                <w:color w:val="auto"/>
              </w:rPr>
              <w:t>Independent Directors</w:t>
            </w:r>
          </w:p>
        </w:tc>
        <w:tc>
          <w:tcPr>
            <w:tcW w:w="9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ind w:left="360"/>
              <w:spacing w:after="0"/>
              <w:rPr>
                <w:sz w:val="20"/>
                <w:szCs w:val="20"/>
                <w:color w:val="auto"/>
              </w:rPr>
            </w:pPr>
            <w:r>
              <w:rPr>
                <w:rFonts w:ascii="Arial" w:cs="Arial" w:eastAsia="Arial" w:hAnsi="Arial"/>
                <w:sz w:val="18"/>
                <w:szCs w:val="18"/>
                <w:color w:val="auto"/>
              </w:rPr>
              <w:t>Richard Higginbotham</w:t>
            </w:r>
          </w:p>
        </w:tc>
        <w:tc>
          <w:tcPr>
            <w:tcW w:w="16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John Ross (Director Nominee)</w:t>
            </w:r>
          </w:p>
        </w:tc>
        <w:tc>
          <w:tcPr>
            <w:tcW w:w="16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16,575</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20" w:type="dxa"/>
            <w:vAlign w:val="bottom"/>
            <w:gridSpan w:val="2"/>
          </w:tcPr>
          <w:p>
            <w:pPr>
              <w:ind w:left="360"/>
              <w:spacing w:after="0"/>
              <w:rPr>
                <w:sz w:val="20"/>
                <w:szCs w:val="20"/>
                <w:color w:val="auto"/>
              </w:rPr>
            </w:pPr>
            <w:r>
              <w:rPr>
                <w:rFonts w:ascii="Arial" w:cs="Arial" w:eastAsia="Arial" w:hAnsi="Arial"/>
                <w:sz w:val="18"/>
                <w:szCs w:val="18"/>
                <w:color w:val="auto"/>
              </w:rPr>
              <w:t>Ronald Tanemura</w:t>
            </w:r>
          </w:p>
        </w:tc>
        <w:tc>
          <w:tcPr>
            <w:tcW w:w="1660" w:type="dxa"/>
            <w:vAlign w:val="bottom"/>
            <w:gridSpan w:val="2"/>
          </w:tcPr>
          <w:p>
            <w:pPr>
              <w:jc w:val="right"/>
              <w:ind w:right="700"/>
              <w:spacing w:after="0"/>
              <w:rPr>
                <w:sz w:val="20"/>
                <w:szCs w:val="20"/>
                <w:color w:val="auto"/>
              </w:rPr>
            </w:pPr>
            <w:r>
              <w:rPr>
                <w:rFonts w:ascii="Arial" w:cs="Arial" w:eastAsia="Arial" w:hAnsi="Arial"/>
                <w:sz w:val="18"/>
                <w:szCs w:val="18"/>
                <w:color w:val="auto"/>
              </w:rPr>
              <w:t>56,516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3"/>
        </w:trPr>
        <w:tc>
          <w:tcPr>
            <w:tcW w:w="8820" w:type="dxa"/>
            <w:vAlign w:val="bottom"/>
            <w:gridSpan w:val="2"/>
            <w:shd w:val="clear" w:color="auto" w:fill="CCEEFF"/>
          </w:tcPr>
          <w:p>
            <w:pPr>
              <w:spacing w:after="0"/>
              <w:rPr>
                <w:sz w:val="20"/>
                <w:szCs w:val="20"/>
                <w:color w:val="auto"/>
              </w:rPr>
            </w:pPr>
            <w:r>
              <w:rPr>
                <w:rFonts w:ascii="Arial" w:cs="Arial" w:eastAsia="Arial" w:hAnsi="Arial"/>
                <w:sz w:val="17"/>
                <w:szCs w:val="17"/>
                <w:i w:val="1"/>
                <w:iCs w:val="1"/>
                <w:color w:val="auto"/>
              </w:rPr>
              <w:t>Named Executive Officers Who Are Not Directors</w:t>
            </w:r>
          </w:p>
        </w:tc>
        <w:tc>
          <w:tcPr>
            <w:tcW w:w="9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ind w:left="360"/>
              <w:spacing w:after="0"/>
              <w:rPr>
                <w:sz w:val="20"/>
                <w:szCs w:val="20"/>
                <w:color w:val="auto"/>
              </w:rPr>
            </w:pPr>
            <w:r>
              <w:rPr>
                <w:rFonts w:ascii="Arial" w:cs="Arial" w:eastAsia="Arial" w:hAnsi="Arial"/>
                <w:sz w:val="18"/>
                <w:szCs w:val="18"/>
                <w:color w:val="auto"/>
              </w:rPr>
              <w:t>Ian Simmonds</w:t>
            </w:r>
          </w:p>
        </w:tc>
        <w:tc>
          <w:tcPr>
            <w:tcW w:w="16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(12 persons) (2)(3)</w:t>
            </w:r>
          </w:p>
        </w:tc>
        <w:tc>
          <w:tcPr>
            <w:tcW w:w="16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2,889,619</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Five-Percent Stockholders:</w:t>
            </w: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Division of Investment, Department of Treasury, State of</w:t>
            </w:r>
          </w:p>
        </w:tc>
        <w:tc>
          <w:tcPr>
            <w:tcW w:w="9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New Jersey (4)</w:t>
            </w:r>
          </w:p>
        </w:tc>
        <w:tc>
          <w:tcPr>
            <w:tcW w:w="16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7,366,063</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State Teachers Retirement Board of Ohio (5)</w:t>
            </w:r>
          </w:p>
        </w:tc>
        <w:tc>
          <w:tcPr>
            <w:tcW w:w="1660" w:type="dxa"/>
            <w:vAlign w:val="bottom"/>
            <w:gridSpan w:val="2"/>
          </w:tcPr>
          <w:p>
            <w:pPr>
              <w:jc w:val="right"/>
              <w:ind w:right="700"/>
              <w:spacing w:after="0"/>
              <w:rPr>
                <w:sz w:val="20"/>
                <w:szCs w:val="20"/>
                <w:color w:val="auto"/>
              </w:rPr>
            </w:pPr>
            <w:r>
              <w:rPr>
                <w:rFonts w:ascii="Arial" w:cs="Arial" w:eastAsia="Arial" w:hAnsi="Arial"/>
                <w:sz w:val="18"/>
                <w:szCs w:val="18"/>
                <w:color w:val="auto"/>
              </w:rPr>
              <w:t>3,961,829</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Universities Superannuation Scheme Ltd. (6)</w:t>
            </w:r>
          </w:p>
        </w:tc>
        <w:tc>
          <w:tcPr>
            <w:tcW w:w="16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3,488,476</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FMR LLC (7)</w:t>
            </w:r>
          </w:p>
        </w:tc>
        <w:tc>
          <w:tcPr>
            <w:tcW w:w="1660" w:type="dxa"/>
            <w:vAlign w:val="bottom"/>
            <w:gridSpan w:val="2"/>
          </w:tcPr>
          <w:p>
            <w:pPr>
              <w:jc w:val="right"/>
              <w:ind w:right="700"/>
              <w:spacing w:after="0"/>
              <w:rPr>
                <w:sz w:val="20"/>
                <w:szCs w:val="20"/>
                <w:color w:val="auto"/>
              </w:rPr>
            </w:pPr>
            <w:r>
              <w:rPr>
                <w:rFonts w:ascii="Arial" w:cs="Arial" w:eastAsia="Arial" w:hAnsi="Arial"/>
                <w:sz w:val="18"/>
                <w:szCs w:val="18"/>
                <w:color w:val="auto"/>
              </w:rPr>
              <w:t>3,464,082</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less than 0.1%.</w:t>
      </w:r>
    </w:p>
    <w:p>
      <w:pPr>
        <w:spacing w:after="0" w:line="23" w:lineRule="exact"/>
        <w:rPr>
          <w:sz w:val="20"/>
          <w:szCs w:val="20"/>
          <w:color w:val="auto"/>
        </w:rPr>
      </w:pPr>
    </w:p>
    <w:p>
      <w:pPr>
        <w:ind w:left="460" w:right="40" w:hanging="452"/>
        <w:spacing w:after="0" w:line="268"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For purposes of this table, a person or group is deemed to have “beneficial ownership” of any shares of common stock as of a given date which such person has or shares the power to vote or direct the voting thereof, or to dispose or direct the disposition thereof, or has the right to acquire such powers within 60 days after such date. For purposes of computing the percentage of outstanding shares of common stock held by each person or group of persons named above on a given date, any security which such person or persons has the right to acquire within 60 days after such date is deemed to be outstanding for the purpose of determining the percentage of shares beneficially owned for such person, but is not deemed to be outstanding for the purpose of computing the percentage of beneficial ownership of any other person (except in the case of directors and executive officers as a group). Except as otherwise noted, each beneficial owner of more than five percent of our common stock and each director and executive officer has sole voting and/or investment power over the shares reported.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540" w:hanging="452"/>
        <w:spacing w:after="0" w:line="25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shares owned by officers that are not “Named Executive Officers,” as defined in Item 402 of Regulation S-K, as promulgated under the Securities Act of 1933, as amended.</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TSL Advisers holds 2,772,201 shares of common stock, or the TSL Advisers Shares.</w:t>
      </w:r>
    </w:p>
    <w:p>
      <w:pPr>
        <w:spacing w:after="0" w:line="210" w:lineRule="exact"/>
        <w:rPr>
          <w:rFonts w:ascii="Arial" w:cs="Arial" w:eastAsia="Arial" w:hAnsi="Arial"/>
          <w:sz w:val="18"/>
          <w:szCs w:val="18"/>
          <w:color w:val="auto"/>
        </w:rPr>
      </w:pPr>
    </w:p>
    <w:p>
      <w:pPr>
        <w:ind w:left="460" w:right="60"/>
        <w:spacing w:after="0" w:line="259" w:lineRule="auto"/>
        <w:rPr>
          <w:rFonts w:ascii="Arial" w:cs="Arial" w:eastAsia="Arial" w:hAnsi="Arial"/>
          <w:sz w:val="18"/>
          <w:szCs w:val="18"/>
          <w:color w:val="auto"/>
        </w:rPr>
      </w:pPr>
      <w:r>
        <w:rPr>
          <w:rFonts w:ascii="Arial" w:cs="Arial" w:eastAsia="Arial" w:hAnsi="Arial"/>
          <w:sz w:val="18"/>
          <w:szCs w:val="18"/>
          <w:color w:val="auto"/>
        </w:rPr>
        <w:t>The business and affairs of TSL Advisers are managed by TSSP HoldCo Management, LLC, a Delaware limited liability company, the managing member of TSL Advisers. TSSP HoldCo Management is managed by its board of directors, whose members are David Bonderman, James Coulter and Alan Waxman. Any decision or determination by the board of directors of TSSP HoldCo Management requires unanimous approval of the directors in attendance once a quorum is established.</w:t>
      </w:r>
    </w:p>
    <w:p>
      <w:pPr>
        <w:spacing w:after="0" w:line="186" w:lineRule="exact"/>
        <w:rPr>
          <w:rFonts w:ascii="Arial" w:cs="Arial" w:eastAsia="Arial" w:hAnsi="Arial"/>
          <w:sz w:val="18"/>
          <w:szCs w:val="18"/>
          <w:color w:val="auto"/>
        </w:rPr>
      </w:pPr>
    </w:p>
    <w:p>
      <w:pPr>
        <w:ind w:left="460" w:right="100"/>
        <w:spacing w:after="0" w:line="256" w:lineRule="auto"/>
        <w:rPr>
          <w:rFonts w:ascii="Arial" w:cs="Arial" w:eastAsia="Arial" w:hAnsi="Arial"/>
          <w:sz w:val="18"/>
          <w:szCs w:val="18"/>
          <w:color w:val="auto"/>
        </w:rPr>
      </w:pPr>
      <w:r>
        <w:rPr>
          <w:rFonts w:ascii="Arial" w:cs="Arial" w:eastAsia="Arial" w:hAnsi="Arial"/>
          <w:sz w:val="18"/>
          <w:szCs w:val="18"/>
          <w:color w:val="auto"/>
        </w:rPr>
        <w:t>Mr. Waxman is a Vice President of the Company. Because Mr. Waxman is a member of the board of directors of TSSP HoldCo Management, he may be deemed to beneficially own the TSL Advisers Shares. Mr. Waxman disclaims beneficial ownership of the TSL Advisers Shares except to the extent of his pecuniary interest therein.</w:t>
      </w:r>
    </w:p>
    <w:p>
      <w:pPr>
        <w:ind w:left="460" w:right="26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address of the Division of Investment, Department of Treasury, State of New Jersey is 50 West State Street, 9th Floor, PO Box 290, Trenton, NJ 08625.</w:t>
      </w: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address of the State Teachers Retirement Board of Ohio is 275 East Broad Street, Columbus, OH 43215.</w:t>
      </w:r>
    </w:p>
    <w:p>
      <w:pPr>
        <w:spacing w:after="0" w:line="9" w:lineRule="exact"/>
        <w:rPr>
          <w:rFonts w:ascii="Arial" w:cs="Arial" w:eastAsia="Arial" w:hAnsi="Arial"/>
          <w:sz w:val="18"/>
          <w:szCs w:val="18"/>
          <w:color w:val="auto"/>
        </w:rPr>
      </w:pPr>
    </w:p>
    <w:p>
      <w:pPr>
        <w:ind w:left="460" w:right="60" w:hanging="452"/>
        <w:spacing w:after="0" w:line="265"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upon a Schedule 13G filed with the SEC on February 17, 2015 by Universities Superannuation Scheme Ltd, or USSL, as trustee for Universities Superannuation Scheme, or USS, and USS Investment Management Limited, or USSIM. USSIM serves as investment manager to USS and has discretionary and voting power over the shares held by USSL. Accordingly, USSIM may be deemed to be the beneficial owner of 3,488,476 shares, all of which are held by USSL. USSIM disclaims beneficial ownership of the shares held by USSL, except to the extent of any pecuniary interest therefrom. The address of each of USSL and USSIM is Royal Liver Building, Liverpool L3 1PY, United Kingdom.</w:t>
      </w:r>
    </w:p>
    <w:p>
      <w:pPr>
        <w:spacing w:after="0" w:line="1" w:lineRule="exact"/>
        <w:rPr>
          <w:rFonts w:ascii="Arial" w:cs="Arial" w:eastAsia="Arial" w:hAnsi="Arial"/>
          <w:sz w:val="17"/>
          <w:szCs w:val="17"/>
          <w:color w:val="auto"/>
        </w:rPr>
      </w:pPr>
    </w:p>
    <w:p>
      <w:pPr>
        <w:ind w:left="460" w:hanging="452"/>
        <w:spacing w:after="0" w:line="285"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upon a Schedule 13G filed with the SEC on February 12, 2016 by FMR LLC and Abigail P. Johnson. FMR LLC has (i) sole power to vote 120,741 shares and (ii) sole power to dispose of 3,464,082 shares. Abigail P. Johnson has sole power to dispose of 3,464,082 shares. Abigail P. Johnson is a Director, the Vice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as amended (the “1940 Act”), to form a controlling group with respect to FMR LLC. Neither FMR LLC nor Abigail P. Johnson has the sole power to vote or direct the voting of the shares owned directly by the various investment companies registered under the 1940 Act, or Fidelity Funds, advised by Fidelity Management &amp; Research Company, a wholly owned subsidiary of FMR LLC, which power resides with the Fidelity Funds’ Boards of Trustees. Fidelity Management &amp; Research Company carries out the voting of the shares under written guidelines established by the Fidelity Funds’ Boards of Trustees. The address of each of FMR LLC and Abigail P. Johnson is 245 Summer Street, Boston, MA 02210.</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1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Pursuant to our certificate of incorporation, our Board consists of five members. The Board is divided into three classes, with the members of each class each serving staggered, three-year terms. The terms of our Class I directors expire at the 2018 annual meeting of stockholders; the term of our Class II director will expire at the Meeting; and the terms of our Class III directors will expire at the 2017 annual meeting of stockholders.</w:t>
      </w:r>
    </w:p>
    <w:p>
      <w:pPr>
        <w:spacing w:after="0" w:line="166"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Board has nominated John Ross as a Class II director to serve until his successor is duly elected and qualified at the annual meeting of stockholders held in 2019 or until his earlier death, resignation or removal. Mr. Ross is currently a director of TSLX.</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Mr. Ross has consented to being named in this proxy statement and to serving as a director if elected at the Meeting. If, for any reason, he becomes unable or unwilling to serve at the time of the Meeting, the persons named as proxies in the proxy will have the authority to vote for a substitute nominee. We do not anticipate that Mr. Ross will be unable or unwilling to serve.</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Board has determined that Mr. Ross is not an “interested person” of the Company, of the Adviser, or of any of their respective affiliates as defined in Section 2(a)(19) of the 1940 Act.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Board recommends that stockholders vote “FOR” the Company’s nominee for Class II Director.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121" w:lineRule="exact"/>
        <w:rPr>
          <w:sz w:val="20"/>
          <w:szCs w:val="20"/>
          <w:color w:val="auto"/>
        </w:rPr>
      </w:pPr>
    </w:p>
    <w:p>
      <w:pPr>
        <w:jc w:val="both"/>
        <w:ind w:right="300" w:firstLine="456"/>
        <w:spacing w:after="0" w:line="312" w:lineRule="auto"/>
        <w:rPr>
          <w:sz w:val="20"/>
          <w:szCs w:val="20"/>
          <w:color w:val="auto"/>
        </w:rPr>
      </w:pPr>
      <w:r>
        <w:rPr>
          <w:rFonts w:ascii="Arial" w:cs="Arial" w:eastAsia="Arial" w:hAnsi="Arial"/>
          <w:sz w:val="16"/>
          <w:szCs w:val="16"/>
          <w:color w:val="auto"/>
        </w:rPr>
        <w:t>Set forth below are brief biographies of Mr. Ross and of all other members of the Board who will continue in office. Also included below following each biography is a brief discussion of the specific experience, qualifications, attributes or skills that led our Board to conclude that the applicable director should serve on our Board at this time. In addition, set forth further below is a biography of each of our executive officers who is not a director.</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Nominee for Election as Class II Director</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80" w:type="dxa"/>
            <w:vAlign w:val="bottom"/>
          </w:tcPr>
          <w:p>
            <w:pPr>
              <w:spacing w:after="0"/>
              <w:rPr>
                <w:sz w:val="16"/>
                <w:szCs w:val="16"/>
                <w:color w:val="auto"/>
              </w:rPr>
            </w:pPr>
          </w:p>
        </w:tc>
        <w:tc>
          <w:tcPr>
            <w:tcW w:w="9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3"/>
              </w:rPr>
              <w:t>Age</w:t>
            </w:r>
          </w:p>
        </w:tc>
        <w:tc>
          <w:tcPr>
            <w:tcW w:w="38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Position</w:t>
            </w:r>
          </w:p>
        </w:tc>
        <w:tc>
          <w:tcPr>
            <w:tcW w:w="18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3"/>
              </w:rPr>
              <w:t>Expiration of Term</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Director Since</w:t>
            </w:r>
          </w:p>
        </w:tc>
      </w:tr>
      <w:tr>
        <w:trPr>
          <w:trHeight w:val="210"/>
        </w:trPr>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John Ross</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660" w:type="dxa"/>
            <w:vAlign w:val="bottom"/>
            <w:tcBorders>
              <w:top w:val="single" w:sz="8" w:color="CCEEFF"/>
            </w:tcBorders>
            <w:shd w:val="clear" w:color="auto" w:fill="CCEEFF"/>
          </w:tcPr>
          <w:p>
            <w:pPr>
              <w:spacing w:after="0"/>
              <w:rPr>
                <w:sz w:val="18"/>
                <w:szCs w:val="18"/>
                <w:color w:val="auto"/>
              </w:rPr>
            </w:pPr>
          </w:p>
        </w:tc>
        <w:tc>
          <w:tcPr>
            <w:tcW w:w="3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Director (Independent)</w:t>
            </w:r>
          </w:p>
        </w:tc>
        <w:tc>
          <w:tcPr>
            <w:tcW w:w="6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6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 xml:space="preserve">John Ross </w:t>
      </w:r>
      <w:r>
        <w:rPr>
          <w:rFonts w:ascii="Arial" w:cs="Arial" w:eastAsia="Arial" w:hAnsi="Arial"/>
          <w:sz w:val="18"/>
          <w:szCs w:val="18"/>
          <w:color w:val="auto"/>
        </w:rPr>
        <w:t>was elected a director of TSLX in March 2011. From 2003 to 2011, Mr. Ross was a director and member of the board risk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of DBS Bank Ltd., Singapore, as well as Chairman of its Nominating Committee between 2008 and 2011. In addition, between 2009 and 2011, he was Non-Executive Chairman of DBS Bank China Ltd., a wholly owned subsidiary of DBS Bank Ltd. where he also served as Chairman of its Audit Committee from 2009 to 2010. From 1992 to 2002, Mr. Ross worked at Deutsche Bank Group, where he served as Corporate Chief Operating Officer from 2001 to 2002. Mr. Ross holds a B.A. in American History from Hobart &amp; William Smith Colleges and an M.B.A. from The Wharton School of the University of Pennsylvania. Mr. Ross’s experience serving as a director of a regulated bank, as well as his past experience as a chief operating officer, provides the Board and, specifically, the Audit Committee, which he chairs, with valuable knowledge and insight in the financial services sector, as well as experience in financial and accounting matters.</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Incumbent Class I Directors: Term Expiring 2018</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84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w w:val="83"/>
              </w:rPr>
              <w:t>Age</w:t>
            </w:r>
          </w:p>
        </w:tc>
        <w:tc>
          <w:tcPr>
            <w:tcW w:w="396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0"/>
              </w:rPr>
              <w:t>Position</w:t>
            </w:r>
          </w:p>
        </w:tc>
        <w:tc>
          <w:tcPr>
            <w:tcW w:w="180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w w:val="93"/>
              </w:rPr>
              <w:t>Expiration of Term</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3"/>
              </w:rPr>
              <w:t>Director</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3960" w:type="dxa"/>
            <w:vAlign w:val="bottom"/>
            <w:gridSpan w:val="2"/>
            <w:vMerge w:val="continue"/>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Since</w:t>
            </w: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Richard Higginbotham</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600" w:type="dxa"/>
            <w:vAlign w:val="bottom"/>
            <w:tcBorders>
              <w:top w:val="single" w:sz="8" w:color="CCEEFF"/>
            </w:tcBorders>
            <w:shd w:val="clear" w:color="auto" w:fill="CCEEFF"/>
          </w:tcPr>
          <w:p>
            <w:pPr>
              <w:spacing w:after="0"/>
              <w:rPr>
                <w:sz w:val="18"/>
                <w:szCs w:val="18"/>
                <w:color w:val="auto"/>
              </w:rPr>
            </w:pPr>
          </w:p>
        </w:tc>
        <w:tc>
          <w:tcPr>
            <w:tcW w:w="3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Director (Independent)</w:t>
            </w:r>
          </w:p>
        </w:tc>
        <w:tc>
          <w:tcPr>
            <w:tcW w:w="5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6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Ronald Tanemura</w:t>
            </w:r>
          </w:p>
        </w:tc>
        <w:tc>
          <w:tcPr>
            <w:tcW w:w="840" w:type="dxa"/>
            <w:vAlign w:val="bottom"/>
            <w:gridSpan w:val="2"/>
          </w:tcPr>
          <w:p>
            <w:pPr>
              <w:jc w:val="right"/>
              <w:ind w:right="600"/>
              <w:spacing w:after="0"/>
              <w:rPr>
                <w:sz w:val="20"/>
                <w:szCs w:val="20"/>
                <w:color w:val="auto"/>
              </w:rPr>
            </w:pPr>
            <w:r>
              <w:rPr>
                <w:rFonts w:ascii="Arial" w:cs="Arial" w:eastAsia="Arial" w:hAnsi="Arial"/>
                <w:sz w:val="18"/>
                <w:szCs w:val="18"/>
                <w:color w:val="auto"/>
              </w:rPr>
              <w:t>52</w:t>
            </w:r>
          </w:p>
        </w:tc>
        <w:tc>
          <w:tcPr>
            <w:tcW w:w="3960" w:type="dxa"/>
            <w:vAlign w:val="bottom"/>
            <w:gridSpan w:val="2"/>
          </w:tcPr>
          <w:p>
            <w:pPr>
              <w:jc w:val="center"/>
              <w:ind w:right="500"/>
              <w:spacing w:after="0"/>
              <w:rPr>
                <w:sz w:val="20"/>
                <w:szCs w:val="20"/>
                <w:color w:val="auto"/>
              </w:rPr>
            </w:pPr>
            <w:r>
              <w:rPr>
                <w:rFonts w:ascii="Arial" w:cs="Arial" w:eastAsia="Arial" w:hAnsi="Arial"/>
                <w:sz w:val="18"/>
                <w:szCs w:val="18"/>
                <w:color w:val="auto"/>
                <w:w w:val="92"/>
              </w:rPr>
              <w:t>Director (Independent)</w:t>
            </w:r>
          </w:p>
        </w:tc>
        <w:tc>
          <w:tcPr>
            <w:tcW w:w="1800" w:type="dxa"/>
            <w:vAlign w:val="bottom"/>
            <w:gridSpan w:val="2"/>
          </w:tcPr>
          <w:p>
            <w:pPr>
              <w:jc w:val="right"/>
              <w:ind w:right="600"/>
              <w:spacing w:after="0"/>
              <w:rPr>
                <w:sz w:val="20"/>
                <w:szCs w:val="20"/>
                <w:color w:val="auto"/>
              </w:rPr>
            </w:pPr>
            <w:r>
              <w:rPr>
                <w:rFonts w:ascii="Arial" w:cs="Arial" w:eastAsia="Arial" w:hAnsi="Arial"/>
                <w:sz w:val="18"/>
                <w:szCs w:val="18"/>
                <w:color w:val="auto"/>
              </w:rPr>
              <w:t>2018</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350"/>
        </w:trPr>
        <w:tc>
          <w:tcPr>
            <w:tcW w:w="4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60" w:type="dxa"/>
            <w:vAlign w:val="bottom"/>
          </w:tcPr>
          <w:p>
            <w:pPr>
              <w:jc w:val="right"/>
              <w:ind w:right="2654"/>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 xml:space="preserve">Richard Higginbotham </w:t>
      </w:r>
      <w:r>
        <w:rPr>
          <w:rFonts w:ascii="Arial" w:cs="Arial" w:eastAsia="Arial" w:hAnsi="Arial"/>
          <w:sz w:val="16"/>
          <w:szCs w:val="16"/>
          <w:color w:val="auto"/>
        </w:rPr>
        <w:t>was elected a director of TSLX in March 2011. From 2010 to 2013, he was a director of Healthcare Finance Group LLC.</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2008 and 2010, Mr. Higginbotham was a director and then chairman of Tygris Commercial Finance Group, Inc., a TPG portfolio company, where he also served on the risk committee. From 2004 to 2005, Mr. Higginbotham was the President of Asset Based Lending and Leasing at Bank of America. Prior to that, he worked for 35 years, including in various senior executive positions, at Fleet Bank, Fleet Financial Group, Inc. and FleetBoston Financial, Inc.</w:t>
      </w:r>
    </w:p>
    <w:p>
      <w:pPr>
        <w:spacing w:after="0" w:line="3"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Mr. Higginbotham holds a B.A. in Political Science from Brown University. Mr. Higginbotham’s depth of experience in senior executive positions in the financial sector provides the Board with valuable experience, insight and perspective in the credit sector.</w:t>
      </w:r>
    </w:p>
    <w:p>
      <w:pPr>
        <w:spacing w:after="0" w:line="180"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b w:val="1"/>
          <w:bCs w:val="1"/>
          <w:color w:val="auto"/>
        </w:rPr>
        <w:t xml:space="preserve">Ronald Tanemura </w:t>
      </w:r>
      <w:r>
        <w:rPr>
          <w:rFonts w:ascii="Arial" w:cs="Arial" w:eastAsia="Arial" w:hAnsi="Arial"/>
          <w:sz w:val="17"/>
          <w:szCs w:val="17"/>
          <w:color w:val="auto"/>
        </w:rPr>
        <w:t>was elected a director of TSLX in March 2011. Since 2012, Mr. Tanemura has served as a director of post-reorganization Lehman</w:t>
      </w:r>
      <w:r>
        <w:rPr>
          <w:rFonts w:ascii="Arial" w:cs="Arial" w:eastAsia="Arial" w:hAnsi="Arial"/>
          <w:sz w:val="17"/>
          <w:szCs w:val="17"/>
          <w:b w:val="1"/>
          <w:bCs w:val="1"/>
          <w:color w:val="auto"/>
        </w:rPr>
        <w:t xml:space="preserve"> </w:t>
      </w:r>
      <w:r>
        <w:rPr>
          <w:rFonts w:ascii="Arial" w:cs="Arial" w:eastAsia="Arial" w:hAnsi="Arial"/>
          <w:sz w:val="17"/>
          <w:szCs w:val="17"/>
          <w:color w:val="auto"/>
        </w:rPr>
        <w:t>Brothers Holdings Inc. in New York. Also, since November 2012, he has served as a non-executive director of ICE Clear Credit in Chicago and, since 2009, he has served as a non-executive director of ICE Clear Europe in London, both wholly owned subsidiaries of IntercontinentalExchange, Inc. Prior to that, Mr. Tanemura was an Advisory Director and Partner at Goldman, Sachs &amp; Co. from 2000 to 2006 where he was the Global Co-Head of Credit Derivatives and a member of the Fixed Income, Currency and Commodities Risk Committee and Firmwide Credit Policy Committee. In addition, Mr. Tanemura has led a variety of fixed income businesses, working at Deutsche Bank from 1996 to 2000 and at Salomon Brothers from 1985 to 1996. Mr. Tanemura holds an A.B. in Computer Science from the University of California, Berkeley. Mr. Tanemura’s extensive experience in the financial markets provides the Board with valuable industry-specific knowledge.</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Incumbent Class III Directors: Term Expiring 2017</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20" w:type="dxa"/>
            <w:vAlign w:val="bottom"/>
          </w:tcPr>
          <w:p>
            <w:pPr>
              <w:spacing w:after="0"/>
              <w:rPr>
                <w:sz w:val="16"/>
                <w:szCs w:val="16"/>
                <w:color w:val="auto"/>
              </w:rPr>
            </w:pPr>
          </w:p>
        </w:tc>
        <w:tc>
          <w:tcPr>
            <w:tcW w:w="8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3"/>
              </w:rPr>
              <w:t>Age</w:t>
            </w:r>
          </w:p>
        </w:tc>
        <w:tc>
          <w:tcPr>
            <w:tcW w:w="48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Position</w:t>
            </w:r>
          </w:p>
        </w:tc>
        <w:tc>
          <w:tcPr>
            <w:tcW w:w="18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3"/>
              </w:rPr>
              <w:t>Expiration of Term</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Director Since</w:t>
            </w:r>
          </w:p>
        </w:tc>
      </w:tr>
      <w:tr>
        <w:trPr>
          <w:trHeight w:val="195"/>
        </w:trPr>
        <w:tc>
          <w:tcPr>
            <w:tcW w:w="292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Joshua Easterly</w:t>
            </w:r>
          </w:p>
        </w:tc>
        <w:tc>
          <w:tcPr>
            <w:tcW w:w="24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39</w:t>
            </w:r>
          </w:p>
        </w:tc>
        <w:tc>
          <w:tcPr>
            <w:tcW w:w="620" w:type="dxa"/>
            <w:vAlign w:val="bottom"/>
            <w:tcBorders>
              <w:top w:val="single" w:sz="8" w:color="CCEEFF"/>
            </w:tcBorders>
            <w:shd w:val="clear" w:color="auto" w:fill="CCEEFF"/>
          </w:tcPr>
          <w:p>
            <w:pPr>
              <w:spacing w:after="0"/>
              <w:rPr>
                <w:sz w:val="16"/>
                <w:szCs w:val="16"/>
                <w:color w:val="auto"/>
              </w:rPr>
            </w:pPr>
          </w:p>
        </w:tc>
        <w:tc>
          <w:tcPr>
            <w:tcW w:w="42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Chairman, Director (Interested) and Co-Chief Executive</w:t>
            </w:r>
          </w:p>
        </w:tc>
        <w:tc>
          <w:tcPr>
            <w:tcW w:w="54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2017</w:t>
            </w:r>
          </w:p>
        </w:tc>
        <w:tc>
          <w:tcPr>
            <w:tcW w:w="6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2011</w:t>
            </w:r>
          </w:p>
        </w:tc>
        <w:tc>
          <w:tcPr>
            <w:tcW w:w="100" w:type="dxa"/>
            <w:vAlign w:val="bottom"/>
            <w:tcBorders>
              <w:top w:val="single" w:sz="8" w:color="CCEEFF"/>
            </w:tcBorders>
            <w:shd w:val="clear" w:color="auto" w:fill="CCEEFF"/>
          </w:tcPr>
          <w:p>
            <w:pPr>
              <w:spacing w:after="0"/>
              <w:rPr>
                <w:sz w:val="16"/>
                <w:szCs w:val="16"/>
                <w:color w:val="auto"/>
              </w:rPr>
            </w:pPr>
          </w:p>
        </w:tc>
      </w:tr>
      <w:tr>
        <w:trPr>
          <w:trHeight w:val="230"/>
        </w:trPr>
        <w:tc>
          <w:tcPr>
            <w:tcW w:w="2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82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98"/>
              </w:rPr>
              <w:t>Officer</w:t>
            </w:r>
          </w:p>
        </w:tc>
        <w:tc>
          <w:tcPr>
            <w:tcW w:w="1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Michael Fishman</w:t>
            </w:r>
          </w:p>
        </w:tc>
        <w:tc>
          <w:tcPr>
            <w:tcW w:w="860" w:type="dxa"/>
            <w:vAlign w:val="bottom"/>
            <w:gridSpan w:val="2"/>
          </w:tcPr>
          <w:p>
            <w:pPr>
              <w:jc w:val="right"/>
              <w:ind w:right="620"/>
              <w:spacing w:after="0"/>
              <w:rPr>
                <w:sz w:val="20"/>
                <w:szCs w:val="20"/>
                <w:color w:val="auto"/>
              </w:rPr>
            </w:pPr>
            <w:r>
              <w:rPr>
                <w:rFonts w:ascii="Arial" w:cs="Arial" w:eastAsia="Arial" w:hAnsi="Arial"/>
                <w:sz w:val="18"/>
                <w:szCs w:val="18"/>
                <w:color w:val="auto"/>
              </w:rPr>
              <w:t>53</w:t>
            </w:r>
          </w:p>
        </w:tc>
        <w:tc>
          <w:tcPr>
            <w:tcW w:w="4820" w:type="dxa"/>
            <w:vAlign w:val="bottom"/>
            <w:gridSpan w:val="2"/>
          </w:tcPr>
          <w:p>
            <w:pPr>
              <w:jc w:val="center"/>
              <w:ind w:right="520"/>
              <w:spacing w:after="0"/>
              <w:rPr>
                <w:sz w:val="20"/>
                <w:szCs w:val="20"/>
                <w:color w:val="auto"/>
              </w:rPr>
            </w:pPr>
            <w:r>
              <w:rPr>
                <w:rFonts w:ascii="Arial" w:cs="Arial" w:eastAsia="Arial" w:hAnsi="Arial"/>
                <w:sz w:val="18"/>
                <w:szCs w:val="18"/>
                <w:color w:val="auto"/>
                <w:w w:val="92"/>
              </w:rPr>
              <w:t>Director (Interested) and Co-Chief Executive Officer</w:t>
            </w:r>
          </w:p>
        </w:tc>
        <w:tc>
          <w:tcPr>
            <w:tcW w:w="1180" w:type="dxa"/>
            <w:vAlign w:val="bottom"/>
          </w:tcPr>
          <w:p>
            <w:pPr>
              <w:jc w:val="right"/>
              <w:spacing w:after="0"/>
              <w:rPr>
                <w:sz w:val="20"/>
                <w:szCs w:val="20"/>
                <w:color w:val="auto"/>
              </w:rPr>
            </w:pPr>
            <w:r>
              <w:rPr>
                <w:rFonts w:ascii="Arial" w:cs="Arial" w:eastAsia="Arial" w:hAnsi="Arial"/>
                <w:sz w:val="18"/>
                <w:szCs w:val="18"/>
                <w:color w:val="auto"/>
              </w:rPr>
              <w:t>2017</w:t>
            </w:r>
          </w:p>
        </w:tc>
        <w:tc>
          <w:tcPr>
            <w:tcW w:w="6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2011</w:t>
            </w:r>
          </w:p>
        </w:tc>
      </w:tr>
    </w:tbl>
    <w:p>
      <w:pPr>
        <w:spacing w:after="0" w:line="18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b w:val="1"/>
          <w:bCs w:val="1"/>
          <w:color w:val="auto"/>
        </w:rPr>
        <w:t xml:space="preserve">Joshua Easterly </w:t>
      </w:r>
      <w:r>
        <w:rPr>
          <w:rFonts w:ascii="Arial" w:cs="Arial" w:eastAsia="Arial" w:hAnsi="Arial"/>
          <w:sz w:val="16"/>
          <w:szCs w:val="16"/>
          <w:color w:val="auto"/>
        </w:rPr>
        <w:t>was appointed Co-Chief Executive Officer in December 2013 and elected a director and Chairman of TSLX in March 2011.</w:t>
      </w:r>
      <w:r>
        <w:rPr>
          <w:rFonts w:ascii="Arial" w:cs="Arial" w:eastAsia="Arial" w:hAnsi="Arial"/>
          <w:sz w:val="16"/>
          <w:szCs w:val="16"/>
          <w:b w:val="1"/>
          <w:bCs w:val="1"/>
          <w:color w:val="auto"/>
        </w:rPr>
        <w:t xml:space="preserve"> </w:t>
      </w:r>
      <w:r>
        <w:rPr>
          <w:rFonts w:ascii="Arial" w:cs="Arial" w:eastAsia="Arial" w:hAnsi="Arial"/>
          <w:sz w:val="16"/>
          <w:szCs w:val="16"/>
          <w:color w:val="auto"/>
        </w:rPr>
        <w:t>Mr. Easterly is a TPG and TSSP Partner and the Co-Chief Investment Officer of the Adviser. Between 2008 and 2010, he was a Managing Director at Goldman, Sachs &amp; Co. in the Americas Special Situations Group, which invested Goldman’s capital in both the public markets and private transactions in distressed and special situations. Between 2006 and 2008, he served as a Director, Management Committee Member and Co-Head of the Goldman Sachs Specialty Lending Group. Prior to joining Goldman, Sachs &amp; Co. in March 2006, Mr. Easterly was Senior Vice President, Northeast Regional Originations Manager at Wells Fargo Capital Finance, or WFCF, formerly known as Wells Fargo Foothill and Foothill Capital Corporation, the $8 billion commercial finance company of Wells Fargo and Company. Mr. Easterly graduated from California State University, Fresno with a Bachelor of Science degree in Business Administration, magna cum laude. Mr. Easterly’s depth of experience investing in a variety of distressed and special situations transactions, as well as his extensive knowledge of the business and operations of TSSP, provides the Board with valuable insight and expertise.</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Michael Fishman </w:t>
      </w:r>
      <w:r>
        <w:rPr>
          <w:rFonts w:ascii="Arial" w:cs="Arial" w:eastAsia="Arial" w:hAnsi="Arial"/>
          <w:sz w:val="17"/>
          <w:szCs w:val="17"/>
          <w:color w:val="auto"/>
        </w:rPr>
        <w:t>was appointed director and Chief Executive Officer of TSLX in April 2011 and became Co-Chief Executive Officer in December</w:t>
      </w:r>
    </w:p>
    <w:p>
      <w:pPr>
        <w:spacing w:after="0" w:line="39"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2013. Mr. Fishman is a TSSP Partner. He has been an executive in corporate lending for more than 20 years with senior management experience in credit, portfolio management and primary loan originations. Prior to joining TSLX, Mr. Fishman was the Executive Vice President and National Director of Loan Originations for WFCF, formerly known as Wells Fargo Foothill and Foothill Capital Corporation. In this role, Mr. Fishman sat on the senior investment committee and was responsible for primary and secondary lending, loan distribution and syndications, strategic transactions and new lending products. From 2000 to 2007, he built the team that grew WFCF’s assets under management from approximately $2 billion to over $10 billion. Mr. Fishman has also contributed to various industry publications and panel discussions, and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has sat on the board of the American Bankruptcy Institute. He holds a degree in Finance from Rochester Institute of Technology. Mr. Fishman’s extensive experience in the credit markets provides the Board with valuable industry-specific knowledge.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Owned by Directors and Nominees in the Company</w:t>
      </w:r>
    </w:p>
    <w:p>
      <w:pPr>
        <w:spacing w:after="0" w:line="121"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following table sets forth the dollar range of equity securities of the Company beneficially owned by each director or director nominee as of March 24, 2016. The Company is not part of a “family of investment companies,” as that term is defined in the 1940 Act.</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3"/>
              </w:rPr>
              <w:t>Dollar Range of our Common Stock</w:t>
            </w:r>
          </w:p>
        </w:tc>
      </w:tr>
      <w:tr>
        <w:trPr>
          <w:trHeight w:val="171"/>
        </w:trPr>
        <w:tc>
          <w:tcPr>
            <w:tcW w:w="7360" w:type="dxa"/>
            <w:vAlign w:val="bottom"/>
            <w:tcBorders>
              <w:bottom w:val="single" w:sz="8" w:color="CCEEFF"/>
            </w:tcBorders>
          </w:tcPr>
          <w:p>
            <w:pPr>
              <w:spacing w:after="0"/>
              <w:rPr>
                <w:sz w:val="14"/>
                <w:szCs w:val="14"/>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Beneficially Owned (1) (2)</w:t>
            </w:r>
          </w:p>
        </w:tc>
      </w:tr>
      <w:tr>
        <w:trPr>
          <w:trHeight w:val="196"/>
        </w:trPr>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Interested Directors</w:t>
            </w:r>
          </w:p>
        </w:tc>
        <w:tc>
          <w:tcPr>
            <w:tcW w:w="2220" w:type="dxa"/>
            <w:vAlign w:val="bottom"/>
            <w:shd w:val="clear" w:color="auto" w:fill="CCEEFF"/>
          </w:tcPr>
          <w:p>
            <w:pPr>
              <w:spacing w:after="0"/>
              <w:rPr>
                <w:sz w:val="17"/>
                <w:szCs w:val="17"/>
                <w:color w:val="auto"/>
              </w:rPr>
            </w:pPr>
          </w:p>
        </w:tc>
      </w:tr>
      <w:tr>
        <w:trPr>
          <w:trHeight w:val="216"/>
        </w:trPr>
        <w:tc>
          <w:tcPr>
            <w:tcW w:w="7360" w:type="dxa"/>
            <w:vAlign w:val="bottom"/>
          </w:tcPr>
          <w:p>
            <w:pPr>
              <w:ind w:left="180"/>
              <w:spacing w:after="0"/>
              <w:rPr>
                <w:sz w:val="20"/>
                <w:szCs w:val="20"/>
                <w:color w:val="auto"/>
              </w:rPr>
            </w:pPr>
            <w:r>
              <w:rPr>
                <w:rFonts w:ascii="Arial" w:cs="Arial" w:eastAsia="Arial" w:hAnsi="Arial"/>
                <w:sz w:val="18"/>
                <w:szCs w:val="18"/>
                <w:color w:val="auto"/>
              </w:rPr>
              <w:t>Joshua Easterly</w:t>
            </w:r>
          </w:p>
        </w:tc>
        <w:tc>
          <w:tcPr>
            <w:tcW w:w="2220" w:type="dxa"/>
            <w:vAlign w:val="bottom"/>
          </w:tcPr>
          <w:p>
            <w:pPr>
              <w:jc w:val="center"/>
              <w:spacing w:after="0"/>
              <w:rPr>
                <w:sz w:val="20"/>
                <w:szCs w:val="20"/>
                <w:color w:val="auto"/>
              </w:rPr>
            </w:pPr>
            <w:r>
              <w:rPr>
                <w:rFonts w:ascii="Arial" w:cs="Arial" w:eastAsia="Arial" w:hAnsi="Arial"/>
                <w:sz w:val="18"/>
                <w:szCs w:val="18"/>
                <w:color w:val="auto"/>
                <w:w w:val="90"/>
              </w:rPr>
              <w:t>over $100,000</w:t>
            </w:r>
          </w:p>
        </w:tc>
      </w:tr>
      <w:tr>
        <w:trPr>
          <w:trHeight w:val="216"/>
        </w:trPr>
        <w:tc>
          <w:tcPr>
            <w:tcW w:w="7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Michael Fishman</w:t>
            </w: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over $100,000</w:t>
            </w:r>
          </w:p>
        </w:tc>
      </w:tr>
      <w:tr>
        <w:trPr>
          <w:trHeight w:val="216"/>
        </w:trPr>
        <w:tc>
          <w:tcPr>
            <w:tcW w:w="7360" w:type="dxa"/>
            <w:vAlign w:val="bottom"/>
          </w:tcPr>
          <w:p>
            <w:pPr>
              <w:spacing w:after="0"/>
              <w:rPr>
                <w:sz w:val="20"/>
                <w:szCs w:val="20"/>
                <w:color w:val="auto"/>
              </w:rPr>
            </w:pPr>
            <w:r>
              <w:rPr>
                <w:rFonts w:ascii="Arial" w:cs="Arial" w:eastAsia="Arial" w:hAnsi="Arial"/>
                <w:sz w:val="18"/>
                <w:szCs w:val="18"/>
                <w:i w:val="1"/>
                <w:iCs w:val="1"/>
                <w:color w:val="auto"/>
              </w:rPr>
              <w:t>Independent Directors</w:t>
            </w:r>
          </w:p>
        </w:tc>
        <w:tc>
          <w:tcPr>
            <w:tcW w:w="2220" w:type="dxa"/>
            <w:vAlign w:val="bottom"/>
          </w:tcPr>
          <w:p>
            <w:pPr>
              <w:spacing w:after="0"/>
              <w:rPr>
                <w:sz w:val="18"/>
                <w:szCs w:val="18"/>
                <w:color w:val="auto"/>
              </w:rPr>
            </w:pPr>
          </w:p>
        </w:tc>
      </w:tr>
      <w:tr>
        <w:trPr>
          <w:trHeight w:val="216"/>
        </w:trPr>
        <w:tc>
          <w:tcPr>
            <w:tcW w:w="7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Richard Higginbotham</w:t>
            </w:r>
          </w:p>
        </w:tc>
        <w:tc>
          <w:tcPr>
            <w:tcW w:w="222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16"/>
        </w:trPr>
        <w:tc>
          <w:tcPr>
            <w:tcW w:w="7360" w:type="dxa"/>
            <w:vAlign w:val="bottom"/>
          </w:tcPr>
          <w:p>
            <w:pPr>
              <w:ind w:left="180"/>
              <w:spacing w:after="0"/>
              <w:rPr>
                <w:sz w:val="20"/>
                <w:szCs w:val="20"/>
                <w:color w:val="auto"/>
              </w:rPr>
            </w:pPr>
            <w:r>
              <w:rPr>
                <w:rFonts w:ascii="Arial" w:cs="Arial" w:eastAsia="Arial" w:hAnsi="Arial"/>
                <w:sz w:val="18"/>
                <w:szCs w:val="18"/>
                <w:color w:val="auto"/>
              </w:rPr>
              <w:t>John Ross (Director Nominee)</w:t>
            </w:r>
          </w:p>
        </w:tc>
        <w:tc>
          <w:tcPr>
            <w:tcW w:w="2220" w:type="dxa"/>
            <w:vAlign w:val="bottom"/>
          </w:tcPr>
          <w:p>
            <w:pPr>
              <w:jc w:val="center"/>
              <w:spacing w:after="0"/>
              <w:rPr>
                <w:sz w:val="20"/>
                <w:szCs w:val="20"/>
                <w:color w:val="auto"/>
              </w:rPr>
            </w:pPr>
            <w:r>
              <w:rPr>
                <w:rFonts w:ascii="Arial" w:cs="Arial" w:eastAsia="Arial" w:hAnsi="Arial"/>
                <w:sz w:val="18"/>
                <w:szCs w:val="18"/>
                <w:color w:val="auto"/>
                <w:w w:val="90"/>
              </w:rPr>
              <w:t>over $100,000</w:t>
            </w:r>
          </w:p>
        </w:tc>
      </w:tr>
      <w:tr>
        <w:trPr>
          <w:trHeight w:val="216"/>
        </w:trPr>
        <w:tc>
          <w:tcPr>
            <w:tcW w:w="7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Ronald Tanemura</w:t>
            </w: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over $100,000</w:t>
            </w:r>
          </w:p>
        </w:tc>
      </w:tr>
    </w:tbl>
    <w:p>
      <w:pPr>
        <w:spacing w:after="0" w:line="229"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dollar ranges used in the above table are $1—$10,000, $10,001—$50,000, $50,001—$100,000, or over $100,000.</w:t>
      </w:r>
    </w:p>
    <w:p>
      <w:pPr>
        <w:spacing w:after="0" w:line="23" w:lineRule="exact"/>
        <w:rPr>
          <w:rFonts w:ascii="Arial" w:cs="Arial" w:eastAsia="Arial" w:hAnsi="Arial"/>
          <w:sz w:val="18"/>
          <w:szCs w:val="18"/>
          <w:color w:val="auto"/>
        </w:rPr>
      </w:pPr>
    </w:p>
    <w:p>
      <w:pPr>
        <w:ind w:left="460" w:right="100" w:hanging="452"/>
        <w:spacing w:after="0" w:line="261"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Dollar ranges were determined using the number of shares that are beneficially owned as of March 24, 2016, multiplied by the closing sale price of the Company’s common stock as reported on the New York Stock Exchange (“NYSE”) as of March 24, 2016.</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Involving Directors and Nominees Adverse to the Company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Executive Officers Who Are Not Directors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580" w:type="dxa"/>
            <w:vAlign w:val="bottom"/>
            <w:gridSpan w:val="2"/>
          </w:tcPr>
          <w:p>
            <w:pPr>
              <w:ind w:left="1460"/>
              <w:spacing w:after="0"/>
              <w:rPr>
                <w:sz w:val="20"/>
                <w:szCs w:val="20"/>
                <w:color w:val="auto"/>
              </w:rPr>
            </w:pPr>
            <w:r>
              <w:rPr>
                <w:rFonts w:ascii="Arial" w:cs="Arial" w:eastAsia="Arial" w:hAnsi="Arial"/>
                <w:sz w:val="14"/>
                <w:szCs w:val="14"/>
                <w:b w:val="1"/>
                <w:bCs w:val="1"/>
                <w:color w:val="auto"/>
              </w:rPr>
              <w:t>Name</w:t>
            </w:r>
          </w:p>
        </w:tc>
        <w:tc>
          <w:tcPr>
            <w:tcW w:w="6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3"/>
              </w:rPr>
              <w:t>Age</w:t>
            </w:r>
          </w:p>
        </w:tc>
        <w:tc>
          <w:tcPr>
            <w:tcW w:w="6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Position</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Officer Since</w:t>
            </w:r>
          </w:p>
        </w:tc>
      </w:tr>
      <w:tr>
        <w:trPr>
          <w:trHeight w:val="210"/>
        </w:trPr>
        <w:tc>
          <w:tcPr>
            <w:tcW w:w="3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Jennifer Gordon</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0" w:type="dxa"/>
            <w:vAlign w:val="bottom"/>
            <w:tcBorders>
              <w:top w:val="single" w:sz="8" w:color="CCEEFF"/>
            </w:tcBorders>
            <w:shd w:val="clear" w:color="auto" w:fill="CCEEFF"/>
          </w:tcPr>
          <w:p>
            <w:pPr>
              <w:spacing w:after="0"/>
              <w:rPr>
                <w:sz w:val="18"/>
                <w:szCs w:val="18"/>
                <w:color w:val="auto"/>
              </w:rPr>
            </w:pPr>
          </w:p>
        </w:tc>
        <w:tc>
          <w:tcPr>
            <w:tcW w:w="5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Chief Compliance Officer, Vice President and Secretary</w:t>
            </w:r>
          </w:p>
        </w:tc>
        <w:tc>
          <w:tcPr>
            <w:tcW w:w="3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Michael Graf</w:t>
            </w:r>
          </w:p>
        </w:tc>
        <w:tc>
          <w:tcPr>
            <w:tcW w:w="260" w:type="dxa"/>
            <w:vAlign w:val="bottom"/>
          </w:tcPr>
          <w:p>
            <w:pPr>
              <w:jc w:val="right"/>
              <w:spacing w:after="0"/>
              <w:rPr>
                <w:sz w:val="20"/>
                <w:szCs w:val="20"/>
                <w:color w:val="auto"/>
              </w:rPr>
            </w:pPr>
            <w:r>
              <w:rPr>
                <w:rFonts w:ascii="Arial" w:cs="Arial" w:eastAsia="Arial" w:hAnsi="Arial"/>
                <w:sz w:val="18"/>
                <w:szCs w:val="18"/>
                <w:color w:val="auto"/>
              </w:rPr>
              <w:t>34</w:t>
            </w:r>
          </w:p>
        </w:tc>
        <w:tc>
          <w:tcPr>
            <w:tcW w:w="400" w:type="dxa"/>
            <w:vAlign w:val="bottom"/>
          </w:tcPr>
          <w:p>
            <w:pPr>
              <w:spacing w:after="0"/>
              <w:rPr>
                <w:sz w:val="18"/>
                <w:szCs w:val="18"/>
                <w:color w:val="auto"/>
              </w:rPr>
            </w:pPr>
          </w:p>
        </w:tc>
        <w:tc>
          <w:tcPr>
            <w:tcW w:w="62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Vice President and Principal Accounting Officer</w:t>
            </w:r>
          </w:p>
        </w:tc>
        <w:tc>
          <w:tcPr>
            <w:tcW w:w="800" w:type="dxa"/>
            <w:vAlign w:val="bottom"/>
          </w:tcPr>
          <w:p>
            <w:pPr>
              <w:jc w:val="right"/>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Ollwerther</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00" w:type="dxa"/>
            <w:vAlign w:val="bottom"/>
            <w:shd w:val="clear" w:color="auto" w:fill="CCEEFF"/>
          </w:tcPr>
          <w:p>
            <w:pPr>
              <w:spacing w:after="0"/>
              <w:rPr>
                <w:sz w:val="18"/>
                <w:szCs w:val="18"/>
                <w:color w:val="auto"/>
              </w:rPr>
            </w:pPr>
          </w:p>
        </w:tc>
        <w:tc>
          <w:tcPr>
            <w:tcW w:w="62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3"/>
              </w:rPr>
              <w:t>Chief Operating Officer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18"/>
                <w:szCs w:val="18"/>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Steven Pluss</w:t>
            </w:r>
          </w:p>
        </w:tc>
        <w:tc>
          <w:tcPr>
            <w:tcW w:w="260" w:type="dxa"/>
            <w:vAlign w:val="bottom"/>
          </w:tcPr>
          <w:p>
            <w:pPr>
              <w:jc w:val="right"/>
              <w:spacing w:after="0"/>
              <w:rPr>
                <w:sz w:val="20"/>
                <w:szCs w:val="20"/>
                <w:color w:val="auto"/>
              </w:rPr>
            </w:pPr>
            <w:r>
              <w:rPr>
                <w:rFonts w:ascii="Arial" w:cs="Arial" w:eastAsia="Arial" w:hAnsi="Arial"/>
                <w:sz w:val="18"/>
                <w:szCs w:val="18"/>
                <w:color w:val="auto"/>
              </w:rPr>
              <w:t>53</w:t>
            </w:r>
          </w:p>
        </w:tc>
        <w:tc>
          <w:tcPr>
            <w:tcW w:w="400" w:type="dxa"/>
            <w:vAlign w:val="bottom"/>
          </w:tcPr>
          <w:p>
            <w:pPr>
              <w:spacing w:after="0"/>
              <w:rPr>
                <w:sz w:val="18"/>
                <w:szCs w:val="18"/>
                <w:color w:val="auto"/>
              </w:rPr>
            </w:pPr>
          </w:p>
        </w:tc>
        <w:tc>
          <w:tcPr>
            <w:tcW w:w="628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Vice President</w:t>
            </w:r>
          </w:p>
        </w:tc>
        <w:tc>
          <w:tcPr>
            <w:tcW w:w="800" w:type="dxa"/>
            <w:vAlign w:val="bottom"/>
          </w:tcPr>
          <w:p>
            <w:pPr>
              <w:jc w:val="right"/>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8"/>
                <w:szCs w:val="18"/>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Ian Simmonds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00" w:type="dxa"/>
            <w:vAlign w:val="bottom"/>
            <w:shd w:val="clear" w:color="auto" w:fill="CCEEFF"/>
          </w:tcPr>
          <w:p>
            <w:pPr>
              <w:spacing w:after="0"/>
              <w:rPr>
                <w:sz w:val="18"/>
                <w:szCs w:val="18"/>
                <w:color w:val="auto"/>
              </w:rPr>
            </w:pPr>
          </w:p>
        </w:tc>
        <w:tc>
          <w:tcPr>
            <w:tcW w:w="62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4"/>
              </w:rPr>
              <w:t>Chief Financial Officer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18"/>
                <w:szCs w:val="18"/>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David Stiepleman</w:t>
            </w:r>
          </w:p>
        </w:tc>
        <w:tc>
          <w:tcPr>
            <w:tcW w:w="260" w:type="dxa"/>
            <w:vAlign w:val="bottom"/>
          </w:tcPr>
          <w:p>
            <w:pPr>
              <w:jc w:val="right"/>
              <w:spacing w:after="0"/>
              <w:rPr>
                <w:sz w:val="20"/>
                <w:szCs w:val="20"/>
                <w:color w:val="auto"/>
              </w:rPr>
            </w:pPr>
            <w:r>
              <w:rPr>
                <w:rFonts w:ascii="Arial" w:cs="Arial" w:eastAsia="Arial" w:hAnsi="Arial"/>
                <w:sz w:val="18"/>
                <w:szCs w:val="18"/>
                <w:color w:val="auto"/>
              </w:rPr>
              <w:t>44</w:t>
            </w:r>
          </w:p>
        </w:tc>
        <w:tc>
          <w:tcPr>
            <w:tcW w:w="400" w:type="dxa"/>
            <w:vAlign w:val="bottom"/>
          </w:tcPr>
          <w:p>
            <w:pPr>
              <w:spacing w:after="0"/>
              <w:rPr>
                <w:sz w:val="18"/>
                <w:szCs w:val="18"/>
                <w:color w:val="auto"/>
              </w:rPr>
            </w:pPr>
          </w:p>
        </w:tc>
        <w:tc>
          <w:tcPr>
            <w:tcW w:w="628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Vice President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2011</w:t>
            </w: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Waxman</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00" w:type="dxa"/>
            <w:vAlign w:val="bottom"/>
            <w:shd w:val="clear" w:color="auto" w:fill="CCEEFF"/>
          </w:tcPr>
          <w:p>
            <w:pPr>
              <w:spacing w:after="0"/>
              <w:rPr>
                <w:sz w:val="18"/>
                <w:szCs w:val="18"/>
                <w:color w:val="auto"/>
              </w:rPr>
            </w:pPr>
          </w:p>
        </w:tc>
        <w:tc>
          <w:tcPr>
            <w:tcW w:w="62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Vice President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2011</w:t>
            </w:r>
          </w:p>
        </w:tc>
      </w:tr>
    </w:tbl>
    <w:p>
      <w:pPr>
        <w:spacing w:after="0" w:line="198"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color w:val="auto"/>
        </w:rPr>
        <w:t xml:space="preserve">Jennifer Gordon </w:t>
      </w:r>
      <w:r>
        <w:rPr>
          <w:rFonts w:ascii="Arial" w:cs="Arial" w:eastAsia="Arial" w:hAnsi="Arial"/>
          <w:sz w:val="18"/>
          <w:szCs w:val="18"/>
          <w:color w:val="auto"/>
        </w:rPr>
        <w:t>is Chief Compliance Officer, Vice President and Secretary of TSLX. Since 2014, Ms. Gordon has been a Managing Director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Chief Compliance Officer and Deputy Chief Operating Officer of TSSP. Prior to joining TSSP, from 2004 to 2014, she held various positions at Goldman, Sachs &amp; Co., including most recently as Co-Head of Americas Securities Division Compliance. Ms. Gordon received her J.D. from Fordham University School of Law and B.A. from the University of Michigan.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80" w:firstLine="456"/>
        <w:spacing w:after="0" w:line="303" w:lineRule="auto"/>
        <w:rPr>
          <w:sz w:val="20"/>
          <w:szCs w:val="20"/>
          <w:color w:val="auto"/>
        </w:rPr>
      </w:pPr>
      <w:r>
        <w:rPr>
          <w:rFonts w:ascii="Arial" w:cs="Arial" w:eastAsia="Arial" w:hAnsi="Arial"/>
          <w:sz w:val="16"/>
          <w:szCs w:val="16"/>
          <w:b w:val="1"/>
          <w:bCs w:val="1"/>
          <w:color w:val="auto"/>
        </w:rPr>
        <w:t xml:space="preserve">Michael Graf </w:t>
      </w:r>
      <w:r>
        <w:rPr>
          <w:rFonts w:ascii="Arial" w:cs="Arial" w:eastAsia="Arial" w:hAnsi="Arial"/>
          <w:sz w:val="16"/>
          <w:szCs w:val="16"/>
          <w:color w:val="auto"/>
        </w:rPr>
        <w:t>is a Vice President and Principal Accounting Officer of TSLX. Mr. Graf has been TSLX’s Controller since 2013. From 2010 to 2013,</w:t>
      </w:r>
      <w:r>
        <w:rPr>
          <w:rFonts w:ascii="Arial" w:cs="Arial" w:eastAsia="Arial" w:hAnsi="Arial"/>
          <w:sz w:val="16"/>
          <w:szCs w:val="16"/>
          <w:b w:val="1"/>
          <w:bCs w:val="1"/>
          <w:color w:val="auto"/>
        </w:rPr>
        <w:t xml:space="preserve"> </w:t>
      </w:r>
      <w:r>
        <w:rPr>
          <w:rFonts w:ascii="Arial" w:cs="Arial" w:eastAsia="Arial" w:hAnsi="Arial"/>
          <w:sz w:val="16"/>
          <w:szCs w:val="16"/>
          <w:color w:val="auto"/>
        </w:rPr>
        <w:t>Mr. Graf was a Vice President in Alternative Investments at U.S. Bancorp Fund Services, LLC. From 2006 to 2010, Mr. Graf was an Accounting Manager at GSC Group, Inc., a private investment firm. Prior to working at GSC Group Inc., Mr. Graf worked in public accounting at KPMG from 2004 to 2006. Mr. Graf is a Certified Public Accountant with a B.S. in Finance and Accounting from the Leonard N. Stern School of Business at New York University.</w:t>
      </w:r>
    </w:p>
    <w:p>
      <w:pPr>
        <w:spacing w:after="0" w:line="151"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b w:val="1"/>
          <w:bCs w:val="1"/>
          <w:color w:val="auto"/>
        </w:rPr>
        <w:t xml:space="preserve">Robert Ollwerther </w:t>
      </w:r>
      <w:r>
        <w:rPr>
          <w:rFonts w:ascii="Arial" w:cs="Arial" w:eastAsia="Arial" w:hAnsi="Arial"/>
          <w:sz w:val="18"/>
          <w:szCs w:val="18"/>
          <w:color w:val="auto"/>
        </w:rPr>
        <w:t>is Chief Operating Officer of TSLX. Since 2014, he has served as a Managing Director for TSSP. From 2013 to 2014, he was a</w:t>
      </w:r>
      <w:r>
        <w:rPr>
          <w:rFonts w:ascii="Arial" w:cs="Arial" w:eastAsia="Arial" w:hAnsi="Arial"/>
          <w:sz w:val="18"/>
          <w:szCs w:val="18"/>
          <w:b w:val="1"/>
          <w:bCs w:val="1"/>
          <w:color w:val="auto"/>
        </w:rPr>
        <w:t xml:space="preserve"> </w:t>
      </w:r>
      <w:r>
        <w:rPr>
          <w:rFonts w:ascii="Arial" w:cs="Arial" w:eastAsia="Arial" w:hAnsi="Arial"/>
          <w:sz w:val="18"/>
          <w:szCs w:val="18"/>
          <w:color w:val="auto"/>
        </w:rPr>
        <w:t>senior advisor to TSSP. From 2008 to 2012, he was Chief Operating Officer of Avenue Capital Group, a global firm with over $13 billion in assets under management. Prior to that, Mr. Ollwerther spent over 25 years at Merrill Lynch in various senior leadership roles, most recently as Managing Director and Chief Operating Officer of the Hedge Fund Management &amp; Development Group. He is a Certified Public Accountant with a B.S. from Fairfield University and an M.B.A. from New York University’s Stern School of Business.</w:t>
      </w:r>
    </w:p>
    <w:p>
      <w:pPr>
        <w:spacing w:after="0" w:line="184" w:lineRule="exact"/>
        <w:rPr>
          <w:sz w:val="20"/>
          <w:szCs w:val="20"/>
          <w:color w:val="auto"/>
        </w:rPr>
      </w:pPr>
    </w:p>
    <w:p>
      <w:pPr>
        <w:jc w:val="both"/>
        <w:ind w:right="40" w:firstLine="456"/>
        <w:spacing w:after="0" w:line="258" w:lineRule="auto"/>
        <w:rPr>
          <w:sz w:val="20"/>
          <w:szCs w:val="20"/>
          <w:color w:val="auto"/>
        </w:rPr>
      </w:pPr>
      <w:r>
        <w:rPr>
          <w:rFonts w:ascii="Arial" w:cs="Arial" w:eastAsia="Arial" w:hAnsi="Arial"/>
          <w:sz w:val="18"/>
          <w:szCs w:val="18"/>
          <w:b w:val="1"/>
          <w:bCs w:val="1"/>
          <w:color w:val="auto"/>
        </w:rPr>
        <w:t xml:space="preserve">Steven Pluss </w:t>
      </w:r>
      <w:r>
        <w:rPr>
          <w:rFonts w:ascii="Arial" w:cs="Arial" w:eastAsia="Arial" w:hAnsi="Arial"/>
          <w:sz w:val="18"/>
          <w:szCs w:val="18"/>
          <w:color w:val="auto"/>
        </w:rPr>
        <w:t>is a Vice President of TSLX. He is also a TPG and TSSP Partner and has been the Chief Risk Officer of TSSP since 2013, as well as the</w:t>
      </w:r>
      <w:r>
        <w:rPr>
          <w:rFonts w:ascii="Arial" w:cs="Arial" w:eastAsia="Arial" w:hAnsi="Arial"/>
          <w:sz w:val="18"/>
          <w:szCs w:val="18"/>
          <w:b w:val="1"/>
          <w:bCs w:val="1"/>
          <w:color w:val="auto"/>
        </w:rPr>
        <w:t xml:space="preserve"> </w:t>
      </w:r>
      <w:r>
        <w:rPr>
          <w:rFonts w:ascii="Arial" w:cs="Arial" w:eastAsia="Arial" w:hAnsi="Arial"/>
          <w:sz w:val="18"/>
          <w:szCs w:val="18"/>
          <w:color w:val="auto"/>
        </w:rPr>
        <w:t>Chief Financial Officer from 2013 to 2016. Prior to joining TSSP, Mr. Pluss was a Managing Director and co-head of the Goldman Sachs Specialty Lending Group at Goldman, Sachs &amp; Co., where he worked from 2004 to 2013. From 1999 to 2004, Mr. Pluss was a Partner, Founder and Managing Member of RTV Ventures, a special situations lending joint venture with Goldman, Sachs &amp; Co. Mr. Pluss received a B.B.A from Texas A&amp;M University and an M.B.A from Southern Methodist University.</w:t>
      </w:r>
    </w:p>
    <w:p>
      <w:pPr>
        <w:spacing w:after="0" w:line="184"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b w:val="1"/>
          <w:bCs w:val="1"/>
          <w:color w:val="auto"/>
        </w:rPr>
        <w:t xml:space="preserve">Ian Simmonds </w:t>
      </w:r>
      <w:r>
        <w:rPr>
          <w:rFonts w:ascii="Arial" w:cs="Arial" w:eastAsia="Arial" w:hAnsi="Arial"/>
          <w:sz w:val="18"/>
          <w:szCs w:val="18"/>
          <w:color w:val="auto"/>
        </w:rPr>
        <w:t>is Chief Financial Officer of TSLX. From 2005 to 2015, Mr. Simmonds was a member of the Financial Institutions Group at Bank of</w:t>
      </w:r>
      <w:r>
        <w:rPr>
          <w:rFonts w:ascii="Arial" w:cs="Arial" w:eastAsia="Arial" w:hAnsi="Arial"/>
          <w:sz w:val="18"/>
          <w:szCs w:val="18"/>
          <w:b w:val="1"/>
          <w:bCs w:val="1"/>
          <w:color w:val="auto"/>
        </w:rPr>
        <w:t xml:space="preserve"> </w:t>
      </w:r>
      <w:r>
        <w:rPr>
          <w:rFonts w:ascii="Arial" w:cs="Arial" w:eastAsia="Arial" w:hAnsi="Arial"/>
          <w:sz w:val="18"/>
          <w:szCs w:val="18"/>
          <w:color w:val="auto"/>
        </w:rPr>
        <w:t>America Merrill Lynch, most recently as Managing Director. From 2000 to 2003, Mr. Simmonds was Managing Director at Principal Global Investors, the asset management unit of The Principal Financial Group. Prior to that, Mr. Simmonds was a Senior Vice President at Bankers Trust Australia and a Senior Accountant at KPMG. Mr. Simmonds is a Chartered Accountant of Australia and New Zealand and holds a Bachelor of Commerce degree from the University of New South Wales, a Master of Applied Finance from Macquarie University and an MBA from the Wharton School of the University of Pennsylvania.</w:t>
      </w:r>
    </w:p>
    <w:p>
      <w:pPr>
        <w:spacing w:after="0" w:line="188" w:lineRule="exact"/>
        <w:rPr>
          <w:sz w:val="20"/>
          <w:szCs w:val="20"/>
          <w:color w:val="auto"/>
        </w:rPr>
      </w:pPr>
    </w:p>
    <w:p>
      <w:pPr>
        <w:ind w:right="280" w:firstLine="456"/>
        <w:spacing w:after="0" w:line="258" w:lineRule="auto"/>
        <w:rPr>
          <w:sz w:val="20"/>
          <w:szCs w:val="20"/>
          <w:color w:val="auto"/>
        </w:rPr>
      </w:pPr>
      <w:r>
        <w:rPr>
          <w:rFonts w:ascii="Arial" w:cs="Arial" w:eastAsia="Arial" w:hAnsi="Arial"/>
          <w:sz w:val="18"/>
          <w:szCs w:val="18"/>
          <w:b w:val="1"/>
          <w:bCs w:val="1"/>
          <w:color w:val="auto"/>
        </w:rPr>
        <w:t xml:space="preserve">David Stiepleman </w:t>
      </w:r>
      <w:r>
        <w:rPr>
          <w:rFonts w:ascii="Arial" w:cs="Arial" w:eastAsia="Arial" w:hAnsi="Arial"/>
          <w:sz w:val="18"/>
          <w:szCs w:val="18"/>
          <w:color w:val="auto"/>
        </w:rPr>
        <w:t>is a Vice President of TSLX. He is also a TPG and TSSP Partner and has served as TSSP’s Chief Operating Officer since 2010.</w:t>
      </w:r>
      <w:r>
        <w:rPr>
          <w:rFonts w:ascii="Arial" w:cs="Arial" w:eastAsia="Arial" w:hAnsi="Arial"/>
          <w:sz w:val="18"/>
          <w:szCs w:val="18"/>
          <w:b w:val="1"/>
          <w:bCs w:val="1"/>
          <w:color w:val="auto"/>
        </w:rPr>
        <w:t xml:space="preserve"> </w:t>
      </w:r>
      <w:r>
        <w:rPr>
          <w:rFonts w:ascii="Arial" w:cs="Arial" w:eastAsia="Arial" w:hAnsi="Arial"/>
          <w:sz w:val="18"/>
          <w:szCs w:val="18"/>
          <w:color w:val="auto"/>
        </w:rPr>
        <w:t>From 2007 to 2010, Mr. Stiepleman was a Managing Director and the Deputy General Counsel of Fortress Investment Group LLC, where he was the lead lawyer responsible for that firm’s new business initiatives. Prior to that, from 2003 to 2007, he was Associate General Counsel to the Americas Special Situations Group and the Mortgages Department at Goldman, Sachs &amp; Co. Mr. Stiepleman received a B.A. in French and Political Science from Amherst College and a J.D. from Columbia University.</w:t>
      </w:r>
    </w:p>
    <w:p>
      <w:pPr>
        <w:spacing w:after="0" w:line="18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Alan Waxman </w:t>
      </w:r>
      <w:r>
        <w:rPr>
          <w:rFonts w:ascii="Arial" w:cs="Arial" w:eastAsia="Arial" w:hAnsi="Arial"/>
          <w:sz w:val="18"/>
          <w:szCs w:val="18"/>
          <w:color w:val="auto"/>
        </w:rPr>
        <w:t>is a Vice President of TSLX. Mr. Waxman is a TPG and TSSP Partner and is a member of the TPG’s Executive Committee. He has</w:t>
      </w:r>
      <w:r>
        <w:rPr>
          <w:rFonts w:ascii="Arial" w:cs="Arial" w:eastAsia="Arial" w:hAnsi="Arial"/>
          <w:sz w:val="18"/>
          <w:szCs w:val="18"/>
          <w:b w:val="1"/>
          <w:bCs w:val="1"/>
          <w:color w:val="auto"/>
        </w:rPr>
        <w:t xml:space="preserve"> </w:t>
      </w:r>
      <w:r>
        <w:rPr>
          <w:rFonts w:ascii="Arial" w:cs="Arial" w:eastAsia="Arial" w:hAnsi="Arial"/>
          <w:sz w:val="18"/>
          <w:szCs w:val="18"/>
          <w:color w:val="auto"/>
        </w:rPr>
        <w:t>been the Chief Investment Officer of TSSP and Co-Chief Investment Officer of the Adviser from inception. Prior to joining TPG in 2009, Mr. Waxman was a Partner at Goldman, Sachs &amp; Co. During his career at Goldman, Sachs &amp; Co., he co-headed the Americas Special Situations Group, which invested Goldman’s capital in both the public markets and private transactions in distressed and special situations. Mr. Waxman began his career at Goldman, Sachs &amp; Co. in 1998. He holds a B.A. in International Relations from the University of Pennsylvania, where he currently serves on the board of the School of Arts and Sciences.</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 of Directors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Board Composition</w:t>
      </w:r>
    </w:p>
    <w:p>
      <w:pPr>
        <w:spacing w:after="0" w:line="11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Pursuant to our certificate of incorporation and our bylaws, our Board consists of five members. Pursuant to our bylaws, the Board may increase or decrease the number of directors to no fewer than four and no greater than nine. The Board is divided into three classes, with the members of each class each serving staggered, three-year terms. The terms of our Class I directors expire at the 2018 annual meeting of stockholders; the term of our Class II director will expire at the Meeting; and the terms of our Class III directors will expire at the 2017 annual meeting of stockholders.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Pursuant to our certificate of incorporation and bylaws, a majority of the Board will at all times consist of directors who are not “interested persons” of us, of the Adviser, or of any of our or its respective affiliates, as defined in the 1940 Act. Under Section 303A.00 of the NYSE Listed Company Manual, a director of a business development company (“BDC”) is considered to be independent if he or she is not an “interested person” of ours, as defined in Section 2(a)(19) of the 1940 Act. We refer to these directors as our “Independent Directors.”</w:t>
      </w:r>
    </w:p>
    <w:p>
      <w:pPr>
        <w:spacing w:after="0" w:line="18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Consistent with these considerations, after review of all relevant transactions and relationships between each director, or any of his or her family members, and us, the Adviser, or of any of our or its respective affiliates, the Board has determined that Messrs. Higginbotham, Ross and Tanemura qualify as Independent Directors. Each director who serves on the Audit Committee is an independent director under the applicable NYSE listing standards and for purposes of Rule 10A-3 under the Securities Exchange Act of 1934, as amended (the “Exchange Act”). Each director who serves on the Compensation Committee and Nominating and Corporate Governance Committee is an independent director under the applicable NYSE listing standards.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Interested Directors</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Messrs. Easterly and Fishman are considered “interested persons” (as defined in the 1940 Act) of the Company since both of them are employed by the Adviser. See “Proposal No. 1 Election of Directors – Biographical Information.”</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Meetings and Attendance</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Our Board met six times in 2015 and acted on various occasions by written consent. No incumbent director attended fewer than 75% of the aggregate of the total number of meetings of the Board (held during the period for which he has been a director) and the total number of meetings held by all committees of the Board on which he served (during the periods that he served).</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Board Attendance at the Meeting</w:t>
      </w:r>
    </w:p>
    <w:p>
      <w:pPr>
        <w:spacing w:after="0" w:line="11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Our policy is to encourage our directors to attend each annual meeting of stockholders; however, attendance is not required. Messrs. Easterly and Fishman attended last year’s annual meeting of stockholders in person.</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Board Leadership Structure and Role in Risk Oversight</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Board monitors and performs an oversight role with respect to our business and affairs, including with respect to investment practices and performance, compliance with regulatory requirements and the services, expenses and performance of service providers to us. Among other things, our Board approves the appointment of our Adviser and our officers, reviews and monitors the services and activities performed by our investment adviser and our executive officers.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Board designates a chairman to preside over the meetings of the Board and to perform other duties as may be assigned to him by the Board. We do not have a fixed policy as to whether the chairman of the Board should be an Independent Director and believe that we should maintain the flexibility to select the chairman and reorganize the leadership structure, from time to time, based on the criteria that is in our best interests and the best interests of our stockholders at such times.</w:t>
      </w:r>
    </w:p>
    <w:p>
      <w:pPr>
        <w:spacing w:after="0" w:line="18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Presently, Mr. Easterly serves as the chairman of our Board. We believe that Mr. Easterly’s familiarity with our investment platform and extensive knowledge of the financial services industry qualifies him to serve as the chairman of our Board.</w:t>
      </w:r>
    </w:p>
    <w:p>
      <w:pPr>
        <w:spacing w:after="0" w:line="17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Our Board does not currently have a designated lead Independent Director. We are aware of the potential conflicts that may arise when a non-Independent Director is chairman of the Board, but believe these potential conflicts are offset by our strong corporate governance practices. Our corporate governance practices include regular meetings of the Independent Directors in executive session without the presence of interested directors and management, as well as the establishment of a Nominating and Corporate Governance Committee, a Compensation Committee and an Audit Committee, each consisting solely of Independent Directors for the purposes of the NYSE corporate governance rules and, in the case of the Audit Committee, Rule 10A-3 under the Exchange Act. During executive sessions, the chairman of the Audit Committee or his designee acts as presiding director. In addition, our corporate governance practices include the appointment of our Chief Compliance Officer, with whom the Independent Directors meet in executive session without the presence of interested directors and other members of management for administering our compliance policies and procedures. While certain non-management members of our Board currently participate on the boards of directors of other companies, we do not view their participation as excessive or as interfering with their duties on our Board.</w:t>
      </w:r>
    </w:p>
    <w:p>
      <w:pPr>
        <w:spacing w:after="0" w:line="17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Board performs its risk oversight function primarily through its committees and monitoring by our Chief Compliance Officer in accordance with its compliance policies and procedures.</w:t>
      </w:r>
    </w:p>
    <w:p>
      <w:pPr>
        <w:spacing w:after="0" w:line="17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As described below in more detail under “– Board Committees – Audit Committee,” the Audit Committee assists the Board in fulfilling its risk oversight responsibilities. The Audit Committee’s risk oversight responsibilities include overseeing our accounting and financial reporting processes, our systems of internal controls regarding finance and accounting, and audits of our financial statements. The Audit Committee also discusses with management our major financial risk exposures and the steps management has taken to monitor and control such exposures, including our risk assessment and risk management policies.</w:t>
      </w:r>
    </w:p>
    <w:p>
      <w:pPr>
        <w:spacing w:after="0" w:line="188"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The Board also performs its risk oversight responsibilities with the assistance of the Chief Compliance Officer. Our Chief Compliance Officer prepares a written report annually discussing the adequacy and effectiveness of our compliance policies and procedures. The Chief Compliance Officer’s report, which is reviewed by the Board, addresses:</w:t>
      </w:r>
    </w:p>
    <w:p>
      <w:pPr>
        <w:spacing w:after="0" w:line="87"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adequacy of our compliance policies and procedures and certain of our service providers since the last report;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material changes to these policies and procedures or recommended changes;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compliance matter that has occurred about which the Board would reasonably need to know to oversee our compliance activities and risks.</w:t>
      </w:r>
    </w:p>
    <w:p>
      <w:pPr>
        <w:spacing w:after="0" w:line="24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In addition, the Chief Compliance Officer meets separately in executive session with the Independent Directors periodically, typically every quarter, but in no event less than once each year.</w:t>
      </w:r>
    </w:p>
    <w:p>
      <w:pPr>
        <w:spacing w:after="0" w:line="170"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We believe that the Board’s role in risk oversight is effective and appropriate given the extensive regulation to which we are already subject as a BDC. Specifically, as a BDC, we must comply with numerous regulatory requirements that control the levels of risk in its business and operations. The 1940 Act limits our ability to incur borrowings, issue debt securities or issue preferred stock unless after any borrowing or issuance the ratio of total</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assets (less total liabilities other than indebtedness) to total indebtedness plus preferred stock is at least 200%. In addition, we generally have to invest at least 70% of our total assets in “qualifying assets” and, subject to certain exceptions, we generally are not permitted to invest in any portfolio company in which our affiliates currently has an investment. In addition, we have elected to be treated as a regulated investment company (“RIC”) under Subchapter M of the Internal Revenue Code of 1986, as amended (the “Code”). As a RIC, we must, among other things, meet certain source of income, asset diversification and distribution requirements.</w:t>
      </w:r>
    </w:p>
    <w:p>
      <w:pPr>
        <w:spacing w:after="0" w:line="18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Further, we believe that the Board’s structure and practices enhance its risk oversight because our Independent Directors separately meet in executive sessions with the Chief Compliance Officer and independent registered public accounting firm without any conflict that could be perceived to discourage critical review.</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the Board’s role in risk oversight must be evaluated on a case-by-case basis and that its existing role in risk oversight is appropriate.</w:t>
      </w:r>
    </w:p>
    <w:p>
      <w:pPr>
        <w:spacing w:after="0" w:line="35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Communications with Directors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Board has established procedures whereby our stockholders and other interested parties may communicate with any member of our Board, the chairman of any of our Board committees or with our non-management directors as a group by mail addressed to the applicable directors or director group, in the care of the Chief Compliance Officer, Jennifer Gordon, TPG Specialty Lending, Inc., 301 Commerce Street, Suite 3300, Fort Worth, TX 76102. Such communications should specify the intended recipient or recipients. All such communications, other than unsolicited commercial solicitations, will be forwarded to the appropriate director, or directors, for review.</w:t>
      </w:r>
    </w:p>
    <w:p>
      <w:pPr>
        <w:spacing w:after="0" w:line="18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In addition, information on how to report issues related to financial statement disclosures, accounting, internal accounting controls or auditing matters to our Board or the Independent Directors via email is available on our website at http://www.tpgspecialtylending.com.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We currently have three standing committees: the Audit Committee, the Nominating and Corporate Governance Committee and the Compensation Committee.</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Audit Committee operates pursuant to the Audit Committee Charter. The Audit Committee Charter sets forth the responsibilities of the Audit Committee. The primary function of the Audit Committee is to serve as an independent and objective party to assist the Board in fulfilling its responsibilities for our accounting and reporting processes and the audits of its financial statements by overseeing and monitoring:</w:t>
      </w:r>
    </w:p>
    <w:p>
      <w:pPr>
        <w:spacing w:after="0" w:line="87"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quality and integrity of our financial statements;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adequacy of our system of internal controls;</w:t>
      </w:r>
    </w:p>
    <w:p>
      <w:pPr>
        <w:spacing w:after="0" w:line="130" w:lineRule="exact"/>
        <w:rPr>
          <w:rFonts w:ascii="Arial" w:cs="Arial" w:eastAsia="Arial" w:hAnsi="Arial"/>
          <w:sz w:val="18"/>
          <w:szCs w:val="18"/>
          <w:color w:val="auto"/>
        </w:rPr>
      </w:pPr>
    </w:p>
    <w:p>
      <w:pPr>
        <w:ind w:left="900" w:right="840" w:hanging="446"/>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financial reporting process, including the valuation of investments, the review of the independence and performance of, as well as communicate openly with, our independent registered public accounting firm;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Audit Committee has the sole authority to approve the engagement, and review the performance of, our independent registered public accounting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firm.</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Our Board has designated Mr. Ross as an “audit committee financial expert” pursuant to the provisions of Item 407(d)(5) of Regulation S-K, and, pursuant to the Audit Committee Charter, our Audit Committee consists solely of members who are independent directors for the purposes of the applicable NYSE corporate governance rules and Rule 10A-3 under the Exchange Act.</w:t>
      </w:r>
    </w:p>
    <w:p>
      <w:pPr>
        <w:spacing w:after="0" w:line="18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Messrs. Ross, Higginbotham and Tanemura are members of the Audit Committee and Mr. Ross serves as Chairman. The Audit Committee held ten meetings in 2015 and acted on various occasions by written consent.</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jc w:val="both"/>
        <w:ind w:right="440" w:firstLine="456"/>
        <w:spacing w:after="0" w:line="264" w:lineRule="auto"/>
        <w:rPr>
          <w:sz w:val="20"/>
          <w:szCs w:val="20"/>
          <w:color w:val="auto"/>
        </w:rPr>
      </w:pPr>
      <w:r>
        <w:rPr>
          <w:rFonts w:ascii="Arial" w:cs="Arial" w:eastAsia="Arial" w:hAnsi="Arial"/>
          <w:sz w:val="18"/>
          <w:szCs w:val="18"/>
          <w:color w:val="auto"/>
        </w:rPr>
        <w:t>The Nominating and Corporate Governance Committee operates pursuant to the Nominating and Corporate Governance Committee Charter. The Nominating and Corporate Governance Committee Charter sets forth the responsibilities of the Nominating and Corporate Governance Committee. The Nominating and Corporate Governance Committee is responsible for:</w:t>
      </w:r>
    </w:p>
    <w:p>
      <w:pPr>
        <w:spacing w:after="0" w:line="87"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selecting, researching and nominating directors for election by our stockholders;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selecting nominees to fill vacancies on the Board or a committee of the Board;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developing and recommending to the Board a set of corporate governance principles;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overseeing the evaluation of the Board and our management.</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Nominating and Corporate Governance Committee considers nominees to the Board recommended by a stockholder, if that stockholder complies with the advance notice provisions of our bylaws, as described below.</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members of the Nominating and Corporate Governance Committee are Messrs. Ross, Higginbotham and Tanemura, each of whom is independent for purposes of the NYSE corporate governance rules. Mr. Higginbotham serves as Chairman. The Nominating and Corporate Governance Committee held one meeting in 2015.</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The Compensation Committee operates pursuant to the Compensation Committee Charter. The Compensation Committee Charter sets forth the responsibilities of the Compensation Committee. The Compensation Committee is responsible for:</w:t>
      </w:r>
    </w:p>
    <w:p>
      <w:pPr>
        <w:spacing w:after="0" w:line="76" w:lineRule="exact"/>
        <w:rPr>
          <w:sz w:val="20"/>
          <w:szCs w:val="20"/>
          <w:color w:val="auto"/>
        </w:rPr>
      </w:pPr>
    </w:p>
    <w:p>
      <w:pPr>
        <w:ind w:left="900" w:right="240" w:hanging="446"/>
        <w:spacing w:after="0" w:line="286" w:lineRule="auto"/>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reviewing and approving the reimbursement by us of compensation paid by the Adviser or its affiliates pursuant to the terms of the investment advisory agreement entered into by and between the Company and the Adviser, as amended (the “Investment Advisory Agreement”) and the administration agreement entered into between us and the Adviser (the “Administration Agreement”);</w:t>
      </w:r>
    </w:p>
    <w:p>
      <w:pPr>
        <w:spacing w:after="0" w:line="70" w:lineRule="exact"/>
        <w:rPr>
          <w:rFonts w:ascii="Arial" w:cs="Arial" w:eastAsia="Arial" w:hAnsi="Arial"/>
          <w:sz w:val="17"/>
          <w:szCs w:val="17"/>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overseeing and setting compensation for our directors;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along with the Board, approving or renewing the Investment Advisory Agreement and Administration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 Compensation and Insider Participation – Compensation of Executive Officers.”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members of the Compensation Committee are Messrs. Ross, Higginbotham and Tanemura, each of whom is independent for purposes of the NYSE corporate governance rules. Mr. Ross serves as Chairman. The Compensation Committee held one meeting in 2015.</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Committee Charters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maintain a corporate governance section on our website, which contains copies of the charters for the committees of our Board. The corporate governance section may be found at http://www.tpgspecialtylending.com in the “Investor Resources” section of our website. The corporate governance section contains the following documents, which are available in print to any stockholder who requests a copy in writing to 888 7th Avenue, 35th Floor, New York, NY 10106, Attention: TSLX Investor Relations, or by emailing us at IRTSL@tpg.com:</w:t>
      </w:r>
    </w:p>
    <w:p>
      <w:pPr>
        <w:spacing w:after="0" w:line="92"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Audit Committee Charter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Nominating and Corporate Governance Committee Charter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Compensation Committee Charter</w:t>
      </w:r>
    </w:p>
    <w:p>
      <w:pPr>
        <w:spacing w:after="0" w:line="22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In addition, our SOX Code of Business Conduct and Ethics and our Corporate Governance Guidelines may be found at http://www.tpgspecialtylending.com in the “Investor Resources” section of our website and are available in print to any stockholder who requests a copy in writing.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Nomination for election as a director may be made by, or at the direction of, the Nominating and Corporate Governance Committee or by stockholders in compliance with the procedures set forth in our bylaws.</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bylaws provide the procedures to be followed by a stockholder desiring to make a director nomination. For a stockholder to properly bring any item of business before a meeting of stockholders, including nominations to serve as a director, the stockholder must give timely notice thereof in writing to our Secretary in compliance with the requirements of our bylaws. Stockholder notices or nominations for director should be made in writing to the Secretary of the Company, Jennifer Gordon, TPG Specialty Lending, Inc., 301 Commerce Street, Suite 3300, Fort Worth, TX 76102. Please refer to the text of our bylaws (including Article II, paragraph (K)), which are on file with the SEC, and “Bylaw Requirements for Stockholder Submission of Nominations and Proposals” in this proxy statement for additional information.</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evaluating director nominees, the Nominating and Corporate Governance Committee considers, among others, the following factors:</w:t>
      </w:r>
    </w:p>
    <w:p>
      <w:pPr>
        <w:spacing w:after="0" w:line="131"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appropriate size and composition of our Board;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or not the person is an “interested person” of TSLX as defined in Section 2(a)(19) of the 1940 Act;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needs of TSLX with respect to the particular talents and experience of its directors;</w:t>
      </w:r>
    </w:p>
    <w:p>
      <w:pPr>
        <w:spacing w:after="0" w:line="130"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knowledge, skills and experience of nominees in light of prevailing business conditions and the knowledge, skills and experience already possessed by other members of the Board;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character and integrity;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familiarity with national and international business matters;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experience with accounting rules and practices;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desire to balance the considerable benefit of continuity with the periodic injection of the fresh perspective provided by new members;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applicable laws, rules, regulations, and listing standards.</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Nominating and Corporate Governance Committee’s goal is to assemble a board that brings to TSLX a variety of perspectives and skills derived from high-quality business and professional experience.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20"/>
          </w:cols>
          <w:pgMar w:left="240" w:top="45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Other than the foregoing, there are no stated minimum criteria for director nominees, although the Nominating and Corporate Governance Committee may also consider other factors as they may deem are in the best interests of TSLX and its stockholders. The Board also believes it appropriate for certain key members of our management to participate as members of the Board.</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Nominating and Corporate Governance Committee identifies nominees by first evaluating the current members of the Board willing to continue in service. Current members of the Board with skills and experience that are relevant to our business and who are willing to continue in service are considered for re-nomination. If any member of the Board does not wish to continue in service or if the Nominating and Corporate Governance Committee decides not to re-nominate a member for re-election, the Nominating and Corporate Governance Committee identifies the desired skills and experience of a new nominee in light of the criteria above. The members of the Board are polled for suggestions as to individuals meeting the aforementioned criteria. Research may also be performed to identify qualified individuals.</w:t>
      </w:r>
    </w:p>
    <w:p>
      <w:pPr>
        <w:spacing w:after="0" w:line="193"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The Board has not adopted a formal policy with regard to the consideration of diversity in identifying director nominees. In determining whether to recommend a director nominee, the Nominating and Corporate Governance Committee considers and discusses diversity, among other factors, with a view toward the needs of the Board as a whole. The Board generally conceptualizes diversity expansively to include, without limitation, concepts such as race, gender, national origin, differences of viewpoint, professional experience, education, skill and other qualities that contribute to the Board when identifying and recommending director nominees. The Board believes that the inclusion of diversity as one of many factors considered in selecting director nominees is consistent with the Board’s goal of creating a Board that best serves the needs of TSLX and the interests of our stockholders.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Code of Ethics</w:t>
      </w:r>
    </w:p>
    <w:p>
      <w:pPr>
        <w:spacing w:after="0" w:line="11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have adopted a SOX Code of Business Conduct and Ethics which applies to, among others, our executive officers, including our Principal Executive Officers and Principal Financial Officer, as well as every officer, director and employee of the Company. There have been no material changes to our corporate code of ethics or material waivers of the code that apply to our Co-Chief Executive Officers or Chief Financial Officer. Our SOX Code of Business Conduct and Ethics can be accessed on our website at http://www.tpgspecialtylending.com.</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Involvement in Certain Legal Proceedings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Election of Officers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Board elects our officers and our officers serve until their resignation or termination or until their successors are duly elected and qualified.</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Insider Participation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of Independent Directors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pay each Independent Director the following amounts for serving as a director:</w:t>
      </w:r>
    </w:p>
    <w:p>
      <w:pPr>
        <w:spacing w:after="0" w:line="131"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$100,000 annual retainer;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$2,500 for each meeting of the Board attended;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$1,500 for each monthly telephonic update meeting attended;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$1,000 for each committee meeting of ours attended;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additional fee of $10,000 per year for the chairman of the Audit Committee.</w:t>
      </w:r>
    </w:p>
    <w:p>
      <w:pPr>
        <w:spacing w:after="0" w:line="22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During the year ended December 31, 2015, we also reimbursed directors for certain out-of-pocket expenses each Independent Director incurred in connection with the fulfillment of his duties as an Independent Director.</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following table sets forth information concerning total compensation earned by or paid to each of our Independent Directors during the fiscal year ended December 31, 2015:</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2240" w:type="dxa"/>
            <w:vAlign w:val="bottom"/>
            <w:gridSpan w:val="2"/>
          </w:tcPr>
          <w:p>
            <w:pPr>
              <w:jc w:val="center"/>
              <w:ind w:right="1300"/>
              <w:spacing w:after="0"/>
              <w:rPr>
                <w:sz w:val="20"/>
                <w:szCs w:val="20"/>
                <w:color w:val="auto"/>
              </w:rPr>
            </w:pPr>
            <w:r>
              <w:rPr>
                <w:rFonts w:ascii="Arial" w:cs="Arial" w:eastAsia="Arial" w:hAnsi="Arial"/>
                <w:sz w:val="14"/>
                <w:szCs w:val="14"/>
                <w:b w:val="1"/>
                <w:bCs w:val="1"/>
                <w:color w:val="auto"/>
                <w:w w:val="92"/>
              </w:rPr>
              <w:t>Fees Earned or</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6460" w:type="dxa"/>
            <w:vAlign w:val="bottom"/>
          </w:tcPr>
          <w:p>
            <w:pPr>
              <w:spacing w:after="0"/>
              <w:rPr>
                <w:sz w:val="14"/>
                <w:szCs w:val="14"/>
                <w:color w:val="auto"/>
              </w:rPr>
            </w:pPr>
          </w:p>
        </w:tc>
        <w:tc>
          <w:tcPr>
            <w:tcW w:w="2240" w:type="dxa"/>
            <w:vAlign w:val="bottom"/>
            <w:gridSpan w:val="2"/>
          </w:tcPr>
          <w:p>
            <w:pPr>
              <w:jc w:val="center"/>
              <w:ind w:right="1300"/>
              <w:spacing w:after="0"/>
              <w:rPr>
                <w:sz w:val="20"/>
                <w:szCs w:val="20"/>
                <w:color w:val="auto"/>
              </w:rPr>
            </w:pPr>
            <w:r>
              <w:rPr>
                <w:rFonts w:ascii="Arial" w:cs="Arial" w:eastAsia="Arial" w:hAnsi="Arial"/>
                <w:sz w:val="14"/>
                <w:szCs w:val="14"/>
                <w:b w:val="1"/>
                <w:bCs w:val="1"/>
                <w:color w:val="auto"/>
                <w:w w:val="92"/>
              </w:rPr>
              <w:t>Paid in Cash</w:t>
            </w: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Richard Higginbotham</w:t>
            </w: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$126,000</w:t>
            </w:r>
          </w:p>
        </w:tc>
        <w:tc>
          <w:tcPr>
            <w:tcW w:w="13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$126,000</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John Ross</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$133,500</w:t>
            </w:r>
          </w:p>
        </w:tc>
        <w:tc>
          <w:tcPr>
            <w:tcW w:w="13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$133,500</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Ronald Tanemura</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$121,500</w:t>
            </w:r>
          </w:p>
        </w:tc>
        <w:tc>
          <w:tcPr>
            <w:tcW w:w="13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$121,500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of Executive Officers</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We do not currently have any employees and do not expect to have any employees. Services necessary for our business are provided by individuals who are employees of the Adviser or its affiliates or by subcontractors, pursuant to the terms of the Investment Advisory Agreement and the Administration Agreement. Each of our executive officers is an employee of the Adviser or its affiliates. Our day-to-day investment operations are managed by the Adviser. Most of the services necessary for the origination and administration of our investment portfolio are provided by investment professionals employed by the Adviser or its affiliates or by subcontractors.</w:t>
      </w:r>
    </w:p>
    <w:p>
      <w:pPr>
        <w:spacing w:after="0" w:line="18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None of our executive officers receives direct compensation from us. We reimburse the Adviser or its affiliates for an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 Certain of our executive officers and other members of our investment team, through their ownership interest in or management positions with the Adviser or its affiliates, are entitled to a portion of any profits earned by the Adviser, which includes any fees payable to the Adviser under the terms of our Investment Advisory Agreement, less expenses incurred by the Adviser in performing its services under our Investment Advisory Agreement. The Adviser or its affiliates may pay additional salaries, bonuses, and individual performance awards or individual performance bonuses to our executive officers in addition to their ownership interest.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TSL Advisers, LLC is our external manager. Our Adviser is a Delaware limited liability company. Our Adviser acts as our investment adviser and administrator and is a registered investment adviser with the SEC under the Investment Advisers Act of 1940, as amended (the “Advisers Act”).</w:t>
      </w:r>
    </w:p>
    <w:p>
      <w:pPr>
        <w:spacing w:after="0" w:line="12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Adviser sources and manages our portfolio through our investment team, a dedicated team of investment professionals predominately focused on us. Our investment team is led by our Chairman and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an investment review committee (the “Investment Review Committee”), which includes senior personnel of our Adviser and TSSP. The members of the Investment Review Committee are Joshua Easterly, Michael Fishman, Alan Waxman and David Stiepleman.</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TSSP, with over $16 billion of assets under management as of December 31, 2015, is the special situations and credit platform of TPG Global, LLC, or “TPG,” and encompasses TPG Specialty Lending, Inc., TPG Opportunities Partners and TSSP Adjacent Opportunities Partners, which invest in special situations and distressed investments across the credit cycle, Austin Credit Macro, which is focused on macro credit opportunities, TSL Europe, which is aimed at European middle-market loan originations, and TPG Institutional Credit Partners, which is a “public-side” credit investment platform focused on investment opportunities in broadly syndicated leveraged loan markets. TSSP has extensive experience with highly complex, global public and private investments executed through primary originations, secondary market purchases and restructurings, and has a team of over 130 investment and operating professionals. As of December 31, 2015, twenty six (26) of these personnel were dedicated to our business, including 18 investment professionals.</w:t>
      </w:r>
    </w:p>
    <w:p>
      <w:pPr>
        <w:spacing w:after="0" w:line="16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TPG is a leading global private investment firm founded in 1992 with over $74 billion of assets under management as of December 31, 2015, and offices in San Francisco, Fort Worth,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 growth investments, joint ventures and restructurings, and has a team of over 300 professionals.</w:t>
      </w:r>
    </w:p>
    <w:p>
      <w:pPr>
        <w:spacing w:after="0" w:line="16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Adviser’s address is 301 Commerce Street, Suite 3300, Fort Worth, TX 76102.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Transactions with Related Persons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Relationship with TPG</w:t>
      </w:r>
    </w:p>
    <w:p>
      <w:pPr>
        <w:spacing w:after="0" w:line="117"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Our investment activities are managed by our Adviser, which is responsible for sourcing, researching and structuring potential investments, monitoring our portfolio companies and providing operating, managerial and administrative assistance to us and to our portfolio companies as required.</w:t>
      </w:r>
    </w:p>
    <w:p>
      <w:pPr>
        <w:spacing w:after="0" w:line="14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The Adviser is registered under the Advisers Act and is an affiliate of TSSP and TPG. Other affiliates of TSSP and TPG are also registered investment advisers and provide investment advisory services to a number of private investment funds. In addition, TSSP, TPG and their affiliates engage in a broad range of other investment activities, including pursuing investments for their own account and for the account of associated funds and providing other services to these funds and their portfolio companies. The Adviser held 2,772,201 shares, or 4.7%, of our common stock as of March 24, 2016.</w:t>
      </w:r>
    </w:p>
    <w:p>
      <w:pPr>
        <w:spacing w:after="0" w:line="154"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We believe we benefit from the Adviser’s relationships with TSSP and TPG. The Adviser has access to the contacts and industry knowledge of TSSP’s and TPG’s investment professionals, and is also able to consult with TSSP and TPG investment professionals on specific industry issues, trends and other matters to complement our investment process. However, the Adviser and members of the Investment Review Committee are expected to face a number of actual and potential conflicts of interest involving us, TSSP, TPG and other private investment</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funds affiliated with TSSP and TPG, including conflicts in the allocation of investment opportunities among us and other TSSP and TPG vehicles, as well as in their time and attention requirements as to these other vehicles. Additionally, various potential and actual conflicts of interest may arise from the overall advisory, investment and other activities of the Adviser, its affiliates, including TSSP and TPG, and their respective clients.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Allocations of Loan Origination Investment Opportunities</w:t>
      </w:r>
    </w:p>
    <w:p>
      <w:pPr>
        <w:spacing w:after="0" w:line="11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Certain members of the Adviser’s senior management and the Investment Review Committee are and will continue to be active in other investment funds affiliated with TSSP and TPG that pursue investment opportunities that could overlap with those pursued by us. However, TSSP and TPG will refer all middle-market loan origination activities for companies domiciled in the United States to us and conduct those activities through us. By origination activities, we mean underwriting and initially funding a loan, as compared with purchasing a loan from another party. The Adviser will determine whether it would be permissible, advisable or otherwise appropriate for us to pursue a particular investment opportunity allocated to us by TSSP and TPG. For example, certain loan origination investment opportunities may not be suitable for us if they would cause us to violate asset coverage or concentration limitations imposed by the 1940 Act or the Code,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allocated to us to be appropriate, it will determine an appropriate size for our investment.</w:t>
      </w:r>
    </w:p>
    <w:p>
      <w:pPr>
        <w:spacing w:after="0" w:line="16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In general, allocation determinations for us and funds affiliated with TSSP and TPG begin with a preliminary assessment by the legal department of TPG as to whether a particular investment opportunity is required to be allocated to a particular fund or investment vehicle, including us, or prohibited from being allocated to a particular fund or vehicle.</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TPG’s legal department makes its preliminary assessment as to whether a particular investment opportunity is required to be allocated to us or any TPG-managed fund or investment vehicle, including us, prior to, or promptly following, the initial discussion of the potential investment at a meeting of our or the relevant fund’s investment review committee when it appears that pursuit of the investment is reasonably probable. The legal department delivers its preliminary assessment to TPG’s allocation team (or a member thereof). The allocation team is comprised of five of TPG’s senior professionals with a scope of responsibilities across all business units of TPG. The team is charged with ensuring that investment opportunities are allocated to us or the appropriate TPG fund. The legal department’s determination that an investment opportunity is required to be allocated to us or another fund is the presumptive final allocation decision.</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Exemptive Relief</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including our officers, directors, investment adviser, and principal underwriters, and certain of their affiliates, without the prior approval of the members of our Board who are not interested persons and, in some cases, prior approval by the SEC through an exemptive order (other than in certain limited situations pursuant to current regulatory guidance).</w:t>
      </w:r>
    </w:p>
    <w:p>
      <w:pPr>
        <w:spacing w:after="0" w:line="18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for us to invest, with affiliates of TSSP and TPG in middle-market loan origination activities for companies domiciled in the United States and certain “follow-on” investments in companies in which we have already co-invested pursuant to the order and remain invested.</w:t>
      </w:r>
    </w:p>
    <w:p>
      <w:pPr>
        <w:spacing w:after="0" w:line="187"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We believe our ability to co-invest with TSSP and TPG affiliates is particularly useful where we identify larger capital commitments than otherwise would be appropriate for us. We expect that with the ability to co-invest with TSSP and TPG affiliates we will continue to be able to provide “one-stop” financing to a potential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portfolio company in these circumstances, which may allow us to capture opportunities where we alone could not commit the full amount of required capital or would have to spend additional time to locate unaffiliated co-investors.</w:t>
      </w:r>
    </w:p>
    <w:p>
      <w:pPr>
        <w:spacing w:after="0" w:line="170"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Further, in accordance with the exemptive order, we have undertaken that, in connection with any commitment to a co-investment or follow-on investment, a “required majority” (as defined in Section 57(o) of the 1940 Act) of Independent Directors must make certain conclusions, including that:</w:t>
      </w:r>
    </w:p>
    <w:p>
      <w:pPr>
        <w:spacing w:after="0" w:line="29" w:lineRule="exact"/>
        <w:rPr>
          <w:sz w:val="20"/>
          <w:szCs w:val="20"/>
          <w:color w:val="auto"/>
        </w:rPr>
      </w:pPr>
    </w:p>
    <w:p>
      <w:pPr>
        <w:ind w:left="900" w:right="540" w:hanging="446"/>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terms of the proposed transaction (including the consideration to be paid) are reasonable and fair to us and our stockholders and do not involve overreaching of us or our stockholders on the part of any person concerned;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transaction is consistent with the interests of our stockholders and our investment strategies and policies;</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investment by our affiliate would not disadvantage us, and our participation is not on a basis different from or less advantageous than that of our affiliate;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investment will not benefit any affiliate other than the affiliate participating in the investment, and as otherwise permitted by the order.</w:t>
      </w:r>
    </w:p>
    <w:p>
      <w:pPr>
        <w:spacing w:after="0" w:line="34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Allocation of Non-Loan Origination Investment Opportunities</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While we seek to generate current income primarily in U.S.-domiciled middle-market companies through direct originations of senior secured loans, we may also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 more, certain high yield bonds and other instruments or assets (including consumer and commercial loans). Many of these opportunities may be required to be offered to, or may be otherwise suitable for, other TPG funds or investment vehicles, including TSSP funds and investment vehicles. In the event that TSSP or TPG are not required to, and otherwise determine not to, direct these investment opportunities to an affiliated fund, we may be permitted to take them. The decision to allocate an opportunity as between us and other TSSP and TPG vehicles will take into account various factors that TSSP, TPG and our Adviser deem appropriate.</w:t>
      </w:r>
    </w:p>
    <w:p>
      <w:pPr>
        <w:spacing w:after="0" w:line="19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ability to pursue investment opportunities other than those for middle-market loan originations for companies domiciled in the United States is subject to the allocation decisions by TSSP and TPG senior professionals. Such non-loan origination opportunities may be required to be offered to, or may be otherwise suitable for, other TPG funds or investment vehicles, including TSSP funds and investment vehicles. As a result, the Adviser and its affiliates may face conflicts in allocating investment opportunities between us and those other entities. It is possible that we may not be given the opportunity to participate in certain investments made by TSSP or TPG vehicles that would otherwise be suitable for us. For example, TSSP has organized a separate investment vehicle, TSL Europe, aimed specifically at European middle-market loan originations and may in the future organize vehicles aimed at other loan origination opportunities outside our primary focus.</w:t>
      </w:r>
    </w:p>
    <w:p>
      <w:pPr>
        <w:spacing w:after="0" w:line="189"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If TPG and the Adviser were to determine that an investment that is not a middle-market loan origination for a company domiciled in the United States is appropriate both for us and for one or more other TSSP or TPG vehicles, we would only be able to make the investment in conjunction with another such vehicle if we receive an order from the SEC permitting us to do so or the investment is otherwise permitted under relevant SEC guidance.</w:t>
      </w:r>
    </w:p>
    <w:p>
      <w:pPr>
        <w:spacing w:after="0" w:line="166"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Adviser believes this allocation system is fair and equitable, and consistent with its fiduciary duty to us. In particular, we have disclosed to investors that TSSP and TPG will refer to us all middle-market loan origination activities for companies domiciled in the United States. In addition, we have disclosed how allocation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determinations are made among TSSP and TPG vehicles in connection with other opportunities, including those circumstances in which the Adviser may be required to offer them to these affiliated vehicles.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Administrator</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Adviser also serves as our administrator. The administrator, on behalf of us and at our expense, may retain one or more service providers that may also be affiliates of TPG to serve as sub-administrator, custodian, accounting agent, investor services agent, transfer agent or other service provider for us. Any fees we pay, or indemnification obligations we undertake, in respect of the administrator and those other service providers that are TPG affiliates, will be set at arm’s length and approved by the Independent Directors.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Fees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course of our investing activities, we pay fees to the Adviser, incur direct expenses and reimburse the Adviser for certain expenses it incurs.</w:t>
      </w:r>
    </w:p>
    <w:p>
      <w:pPr>
        <w:spacing w:after="0" w:line="35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Certain Business Relationships</w:t>
      </w:r>
    </w:p>
    <w:p>
      <w:pPr>
        <w:spacing w:after="0" w:line="117"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Certain of our current directors and officers are directors or officers of the Adviser or its affiliates. See “Proposal No. 1 Election of Directors – Biographical Information.”</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Indebtedness of Management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Investment Advisory Agreement; Administration Agreement; License Agreement</w:t>
      </w:r>
    </w:p>
    <w:p>
      <w:pPr>
        <w:spacing w:after="0" w:line="11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On April 15, 2011, we entered into the Investment Advisory Agreement with our Adviser. The Investment Advisory Agreement was subsequently amended on December 12, 2011.</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Investment Advisory Agreement, the Adviser:</w:t>
      </w:r>
    </w:p>
    <w:p>
      <w:pPr>
        <w:spacing w:after="0" w:line="131"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those changes;</w:t>
      </w:r>
    </w:p>
    <w:p>
      <w:pPr>
        <w:spacing w:after="0" w:line="153" w:lineRule="exact"/>
        <w:rPr>
          <w:rFonts w:ascii="Arial" w:cs="Arial" w:eastAsia="Arial" w:hAnsi="Arial"/>
          <w:sz w:val="16"/>
          <w:szCs w:val="16"/>
          <w:color w:val="auto"/>
        </w:rPr>
      </w:pPr>
    </w:p>
    <w:p>
      <w:pPr>
        <w:ind w:left="900" w:right="28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determines the assets we will originate, purchase, retain or sell;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closes, monitors and administers the investments we make, including the exercise of any rights in our capacity as a lender or equity holder; and</w:t>
      </w:r>
    </w:p>
    <w:p>
      <w:pPr>
        <w:spacing w:after="0" w:line="153" w:lineRule="exact"/>
        <w:rPr>
          <w:rFonts w:ascii="Arial" w:cs="Arial" w:eastAsia="Arial" w:hAnsi="Arial"/>
          <w:sz w:val="16"/>
          <w:szCs w:val="16"/>
          <w:color w:val="auto"/>
        </w:rPr>
      </w:pPr>
    </w:p>
    <w:p>
      <w:pPr>
        <w:ind w:left="900" w:right="22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provides us other investment advisory, research and related services as we may, from time to time, reasonably require for the investment of our funds, including providing operating and managerial assistance to us and our portfolio companies, as required.</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Adviser’s services under the Investment Advisory Agreement are not exclusive, and the Adviser is free to furnish similar or other services to others so long as its services to us are not impaired.</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Under the terms of the Investment Advisory Agreement, we pay the Adviser a base management fee (the “Management Fee”) and may also pay certain incentive fees (the “Incentive Fees”).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The Management Fee is calculated at an annual rate of 1.5% based on the average value of our gross assets calculated using the values at the end of the two most recently completed calendar quarters, adjusted for any share issuances or repurchases during the period. The Management Fee is payable quarterly in arrears and is prorated for any partial month or quarter.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 ended December 31, 2015, Management Fees were $21.3 million.</w:t>
      </w:r>
    </w:p>
    <w:p>
      <w:pPr>
        <w:spacing w:after="0" w:line="2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Adviser has voluntarily waived the Management Fee on our ownership of shares of common stock in TICC Capital Corp. (the “TICC Shares”) for any period in which TICC Capital Corp. remains a portfolio company of the Company. For the year ended December 31, 2015, Management Fees of $0.1 million were waived, consisting solely of Management Fees attributable to our ownership of the TICC Shares. Any waived Management Fees are not subject to recoupment by the Adviser.</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131"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equals 100% of the pre-Incentive Fee net investment income in excess of a</w:t>
      </w:r>
    </w:p>
    <w:p>
      <w:pPr>
        <w:spacing w:after="0" w:line="46" w:lineRule="exact"/>
        <w:rPr>
          <w:rFonts w:ascii="Arial" w:cs="Arial" w:eastAsia="Arial" w:hAnsi="Arial"/>
          <w:sz w:val="16"/>
          <w:szCs w:val="16"/>
          <w:color w:val="auto"/>
        </w:rPr>
      </w:pPr>
    </w:p>
    <w:p>
      <w:pPr>
        <w:ind w:left="900" w:right="40"/>
        <w:spacing w:after="0" w:line="290" w:lineRule="auto"/>
        <w:rPr>
          <w:rFonts w:ascii="Arial" w:cs="Arial" w:eastAsia="Arial" w:hAnsi="Arial"/>
          <w:sz w:val="16"/>
          <w:szCs w:val="16"/>
          <w:color w:val="auto"/>
        </w:rPr>
      </w:pPr>
      <w:r>
        <w:rPr>
          <w:rFonts w:ascii="Arial" w:cs="Arial" w:eastAsia="Arial" w:hAnsi="Arial"/>
          <w:sz w:val="16"/>
          <w:szCs w:val="16"/>
          <w:color w:val="auto"/>
        </w:rPr>
        <w:t>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56" w:lineRule="exact"/>
        <w:rPr>
          <w:sz w:val="20"/>
          <w:szCs w:val="20"/>
          <w:color w:val="auto"/>
        </w:rPr>
      </w:pPr>
    </w:p>
    <w:p>
      <w:pPr>
        <w:ind w:left="920" w:right="160"/>
        <w:spacing w:after="0" w:line="255" w:lineRule="auto"/>
        <w:rPr>
          <w:sz w:val="20"/>
          <w:szCs w:val="20"/>
          <w:color w:val="auto"/>
        </w:rPr>
      </w:pPr>
      <w:r>
        <w:rPr>
          <w:rFonts w:ascii="Arial" w:cs="Arial" w:eastAsia="Arial" w:hAnsi="Arial"/>
          <w:sz w:val="18"/>
          <w:szCs w:val="18"/>
          <w:color w:val="auto"/>
        </w:rPr>
        <w:t>Pre-Incentive Fee net investment income means dividends (including reinvested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appreciation or depreciation.</w:t>
      </w:r>
    </w:p>
    <w:p>
      <w:pPr>
        <w:spacing w:after="0" w:line="95" w:lineRule="exact"/>
        <w:rPr>
          <w:sz w:val="20"/>
          <w:szCs w:val="20"/>
          <w:color w:val="auto"/>
        </w:rPr>
      </w:pPr>
    </w:p>
    <w:p>
      <w:pPr>
        <w:ind w:left="900" w:hanging="446"/>
        <w:spacing w:after="0" w:line="270" w:lineRule="auto"/>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second component, payable at the end of each fiscal year in arrears, equaled 15% through March 31, 2014, and beginning April 1, 2014, equals a weighted percentage of cumulative realized capital gains from our inception to the end of that fiscal year, less cumulative realized capital losses and unrealized capital depreciation. We refer to this component of the Incentive Fee as the Capital Gains Fee. Each year, the fee paid for this component of the Incentive Fee is net of the aggregate amount of any previously paid Capital Gains Fee for prior periods. For capital gains that accrue following March 31, 2014, the Incentive Fee rate is 17.5%. We accrue, but do not pay, a Capital Gains Incentive Fee with respect to unrealized appreciation because a Capital Gains Incentive Fee would be owed to the Adviser if we were to sell the relevant investment and realize a capital gain. The weighted percentage is intended to ensure that for each fiscal year following the completion of the IPO, the portion of our realized capital gains that accrued prior to March 31, 2014 is subject to an Incentive Fee rate of 15% and the portion of our realized capital gains that accrued beginning April 1, 2014 is subject to an Incentive Fee rate of 17.5%.</w:t>
      </w:r>
    </w:p>
    <w:p>
      <w:pPr>
        <w:spacing w:after="0" w:line="182"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color w:val="auto"/>
        </w:rPr>
        <w:t>For purposes of determining whether pre-Incentive Fee net investment income exceeds the hurdle rate, pre-Incentive Fee net investment income is expressed as a rate of return on the value of our net assets at the end of the immediately preceding calendar quarter.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Pre-Incentive Fee net investment income does not include any realized capital gains, realized capital losses or unrealized capital appreciation or depreciation.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17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accrue the Incentive Fee taking into account unrealized gains and losses; however, Section 205(b)(3) of the Advisers Act, as amended, prohibits the Adviser from receiving the payment of fees until those gains are realized, if ever. There can be no assurance that such unrealized gains will be realized in the future. For the year ended December 31, 2015, Incentive Fees were $20.2 million, comprised of fees related to pre-incentive fee net investment income. For the year ended December 31, 2015, no incentive fees were accrued related to capital gains.</w:t>
      </w:r>
    </w:p>
    <w:p>
      <w:pPr>
        <w:spacing w:after="0" w:line="171"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The Adviser has voluntarily waived the Incentive Fees attributable to pre-Incentive Fee net investment income accrued by us as a result of our ownership of the TICC Shares for any period in which TICC Capital Corp. remains our portfolio company. The Adviser has not waived any part of the Capital Gains Fee attributable to our ownership of the TICC Shares and, accordingly, any realized capital gains or losses and unrealized capital depreciation with respect to the TICC Shares will be applied against our cumulative realized capital gains on which the Capital Gains Fee is calculated.</w:t>
      </w:r>
    </w:p>
    <w:p>
      <w:pPr>
        <w:spacing w:after="0" w:line="15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For the year ended December 31, 2015, Incentive Fees of $0.2 million were waived, consisting solely of Incentive Fees attributable to our ownership of the TICC Shares. Any waived Incentive Fees are not subject to recoupment by the Adviser.</w:t>
      </w:r>
    </w:p>
    <w:p>
      <w:pPr>
        <w:spacing w:after="0" w:line="17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Since our IPO, with the exception of its waiver of Management Fees and certain Incentive Fees attributable to our ownership of the TICC Shares, the Adviser has not waived its right to receive any Management Fees or Incentive Fees payable pursuant to the Investment Advisory Agreement. There can be no assurance that the Adviser will continue to waive Management Fees or Incentive Fees related to our ownership of the TICC Shares, as the Adviser can discontinue the voluntary waiver at any time. Accordingly, we may be required to continue to pay the full amount of the Management Fee and Incentive Fee, including with respect to the TICC Shares, in future periods.</w:t>
      </w:r>
    </w:p>
    <w:p>
      <w:pPr>
        <w:spacing w:after="0" w:line="188"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On November 3, 2015, the Board renewed the Investment Advisory Agreement. Unless earlier terminated as described below, the Investment Advisory Agreement will remain in effect through November 2016, and may be extended subject to required approvals. The Investment Advisory Agreement will automatically terminate in the event of an assignment and may be terminated by either party without penalty on 60 days’ written notice to the other party.</w:t>
      </w:r>
    </w:p>
    <w:p>
      <w:pPr>
        <w:spacing w:after="0" w:line="14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Our Board monitors the mix and performance of our investments over time and seeks to satisfy itself that the Adviser is acting in our interests and that our fee structure appropriately incentivizes the Adviser to do so.</w:t>
      </w:r>
    </w:p>
    <w:p>
      <w:pPr>
        <w:spacing w:after="0" w:line="170"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On March 15, 2011, we entered into the Administration Agreement with our Adviser. Under the terms of the Administration Agreement, the Adviser provides administrative services to us.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terms of the Administration Agreement. See “– </w:t>
      </w:r>
      <w:r>
        <w:rPr>
          <w:rFonts w:ascii="Arial" w:cs="Arial" w:eastAsia="Arial" w:hAnsi="Arial"/>
          <w:sz w:val="18"/>
          <w:szCs w:val="18"/>
          <w:i w:val="1"/>
          <w:iCs w:val="1"/>
          <w:color w:val="auto"/>
        </w:rPr>
        <w:t>Payment of Our Expenses</w:t>
      </w:r>
      <w:r>
        <w:rPr>
          <w:rFonts w:ascii="Arial" w:cs="Arial" w:eastAsia="Arial" w:hAnsi="Arial"/>
          <w:sz w:val="18"/>
          <w:szCs w:val="18"/>
          <w:color w:val="auto"/>
        </w:rPr>
        <w:t>” below. In addition, the Adviser is permitted to delegate its duties under the Administration Agreement to affiliates or third parties and we pay or reimburse the Adviser expenses incurred by any such affiliates or third parties for work done on our behalf. For the year ended December 31, 2015, we incurred expenses of $3.6 million for administrative services payable under the terms of the Administration Agreement.</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From time to time, the Adviser may pay amounts owed by us to third-party providers of goods or services, including the Board, and we will subsequently reimburse the Adviser for such amounts paid on our behalf. Amounts payable to the Adviser are settled in the normal course of business without formal payment terms.</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On November 3, 2015, the Board renewed the Administration Agreement. Unless earlier terminated as described below, the Administration Agreement will remain in effect through November 2016, and may be extended subject to required approvals. The Administration Agreement may be terminated by either party without penalty on 60 days’ written notice to the other party.</w:t>
      </w:r>
    </w:p>
    <w:p>
      <w:pPr>
        <w:spacing w:after="0" w:line="181"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No person who is an officer, director or employee of the Adviser or its affiliates and who serves as our director receives any compensation from us for his or her services as a director. However, we reimburse the Adviser or its affiliates for an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 Directors who are not affiliated with the Adviser receive compensation for their services and reimbursement of expenses incurred to attend meetings.</w:t>
      </w:r>
    </w:p>
    <w:p>
      <w:pPr>
        <w:spacing w:after="0" w:line="173"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Adviser does not assume any responsibility to us other than to render the services described in, and on the terms of the Investment Advisory Agreement and the Administration Agreement, and is not responsible for any action of our Board in declining to follow the advice or recommendations of the Adviser. Under the terms of the Investment Advisory Agreement and the Administration Agreement,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of the Adviser or any other person or entity affiliated with the Adviser, or is or was a member of the Adviser’s Investment Review Committee, on the same general terms set forth in Article VIII of our certificate of incorporation.</w:t>
      </w:r>
    </w:p>
    <w:p>
      <w:pPr>
        <w:spacing w:after="0" w:line="180"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United States federal and state securities laws may impose liability under certain circumstances on persons who act in good faith. Nothing in the Investment Advisory Agreement will constitute a waiver or limitation of any rights that we may have under any applicable federal or state securities laws.</w:t>
      </w:r>
    </w:p>
    <w:p>
      <w:pPr>
        <w:spacing w:after="0" w:line="124"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We also have a license agreement with an affiliate of TPG, pursuant to which we have been granted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Payment of Our Expenses</w:t>
      </w:r>
    </w:p>
    <w:p>
      <w:pPr>
        <w:spacing w:after="0" w:line="117"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The costs associated with our Investment Team and staff of the Adviser, when and to the extent engaged in providing us investment advisory and management services are paid for by the Adviser. We bear all other costs and expenses of our operations, administration and transactions, including those relating to:</w:t>
      </w:r>
    </w:p>
    <w:p>
      <w:pPr>
        <w:spacing w:after="0" w:line="87"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30" w:lineRule="exact"/>
        <w:rPr>
          <w:rFonts w:ascii="Arial" w:cs="Arial" w:eastAsia="Arial" w:hAnsi="Arial"/>
          <w:sz w:val="18"/>
          <w:szCs w:val="18"/>
          <w:color w:val="auto"/>
        </w:rPr>
      </w:pPr>
    </w:p>
    <w:p>
      <w:pPr>
        <w:ind w:left="900" w:right="100" w:hanging="446"/>
        <w:spacing w:after="0" w:line="264"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Adviser’s allocable share of costs incurred in providing significant managerial assistance to those portfolio companies that request it;</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taxes;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130" w:lineRule="exact"/>
        <w:rPr>
          <w:rFonts w:ascii="Arial" w:cs="Arial" w:eastAsia="Arial" w:hAnsi="Arial"/>
          <w:sz w:val="18"/>
          <w:szCs w:val="18"/>
          <w:color w:val="auto"/>
        </w:rPr>
      </w:pPr>
    </w:p>
    <w:p>
      <w:pPr>
        <w:ind w:left="900" w:hanging="446"/>
        <w:spacing w:after="0" w:line="30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Chief Compliance Officer and other professionals who spend time on those related activities (based on the percentage of time those individuals devote, on an estimated basis, to our business and affairs);</w:t>
      </w:r>
    </w:p>
    <w:p>
      <w:pPr>
        <w:spacing w:after="0" w:line="59" w:lineRule="exact"/>
        <w:rPr>
          <w:rFonts w:ascii="Arial" w:cs="Arial" w:eastAsia="Arial" w:hAnsi="Arial"/>
          <w:sz w:val="16"/>
          <w:szCs w:val="16"/>
          <w:color w:val="auto"/>
        </w:rPr>
      </w:pPr>
    </w:p>
    <w:p>
      <w:pPr>
        <w:ind w:left="900" w:right="100" w:hanging="446"/>
        <w:spacing w:after="0" w:line="34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940" w:firstLine="456"/>
        <w:spacing w:after="0" w:line="277" w:lineRule="auto"/>
        <w:rPr>
          <w:sz w:val="20"/>
          <w:szCs w:val="20"/>
          <w:color w:val="auto"/>
        </w:rPr>
      </w:pPr>
      <w:r>
        <w:rPr>
          <w:rFonts w:ascii="Arial" w:cs="Arial" w:eastAsia="Arial" w:hAnsi="Arial"/>
          <w:sz w:val="18"/>
          <w:szCs w:val="18"/>
          <w:color w:val="auto"/>
        </w:rPr>
        <w:t>In addition, from time to time, the Adviser pays amounts owed by us to third-party providers of goods or services, including the Board. We subsequently reimburse the Adviser for those amounts paid on our behalf.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Amounts payable to the Adviser are settled in the normal course of business without formal payment terms. We also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of the expenses described above are ultimately borne by our stockholders.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Duration and Termination</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Unless earlier terminated as described below, both the Investment Advisory Agreement and the Administration Agreement will remain in effect through November 2016, and each may be extended subject to required approvals. Each agreement will remain in effect from year to year thereafter if approved annually by our Board or by the affirmative vote of the holders of a majority of our outstanding voting securities, and, in either case, if also approved by a majority of our Independent Directors. The Investment Advisory Agreement automatically terminates in the event of its assignment, as defined in the 1940 Act, by the Adviser. Each agreement may be terminated by either party without penalty on 60 days’ written notice to the other party. The holders of a majority of our outstanding voting securities may also terminate each agreement without penalty on 60 days’ written notice.</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Indemnification</w:t>
      </w:r>
    </w:p>
    <w:p>
      <w:pPr>
        <w:spacing w:after="0" w:line="11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because he or she is or was a member, manager, officer, employee, agent, controlling person or any other person or entity affiliated with the Adviser, including without limitation the Administrator, or is or was a member of the Adviser’s Investment Review Committee, on the same general terms set forth in our certificate of incorporation.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Board Approval of the Investment Advisory Agreement</w:t>
      </w:r>
    </w:p>
    <w:p>
      <w:pPr>
        <w:spacing w:after="0" w:line="11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Our Board, including our Independent Directors, and holders of a majority of our outstanding securities, approved our Investment Advisory Agreement in December 2011. Our Board, including a majority of the Independent Directors, renewed it in November 2015. In its consideration of the Investment Advisory Agreement at the time of approval and renewal, the Board focused on information it had received relating to, among other things:</w:t>
      </w:r>
    </w:p>
    <w:p>
      <w:pPr>
        <w:spacing w:after="0" w:line="71"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nature, quality and extent of the advisory and other services to be provided to us by the Adviser;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investment performance and the performance of the Adviser;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8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extent to which economies of scale would be realized as we grow, and whether the fees payable under the Investment Advisory Agreement reflect these economies of scale for the benefit of our stockholders;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comparative data with respect to advisory fees or similar expenses paid by other BDCs with similar investment objectives;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projected operating expenses and expense ratio compared to BDCs with similar investment objectives;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existing and potential sources of indirect income to the Adviser from its relationships with us and the profitability of those income sources;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information about the services to be performed and the personnel performing those services under the Investment Advisory Agreement;</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organizational capability and financial condition of the Adviser and its respective affiliates;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possibility of obtaining similar services from other third-party service providers or through an internally managed structure.</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Board also takes into consideration the reimbursement of expenses incurred by the Adviser on our behalf, which expenses include travel expenses, when determining whether to approve renewal of the Investment Advisory Agreement and the Administration Agreement. No one factor was given greater weight than any others, but rather the Board considered all of the factors collectively as a whole.</w:t>
      </w:r>
    </w:p>
    <w:p>
      <w:pPr>
        <w:spacing w:after="0" w:line="181"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Based on the information reviewed and the discussion thereof, the Board, including a majority of the Independent Directors, concluded that the investment advisory fee rates are reasonable in relation to the services to be provided.</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Review, Approval or Ratification of Transactions with Related Persons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Audit Committee is required to review and approve any transactions with related persons (as such term is defined in Item 404 of Regulation S-K).</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Section 16(a) of the Exchange Act requires our directors and executive officers, as defined under the Exchange Act, and persons who own more than 10% of a registered class of our equity securities to file initial reports of ownership and reports of changes in ownership with the SEC. Such executive officers, directors and stockholders are required by SEC regulations to furnish us with copies of all Section 16(a) forms they file. Based solely upon a review of the copies of such forms furnished to us and written representations from our directors and executive officers, all persons subject to the reporting requirements of Section 16(a) filed all required reports on a timely basis in 2015, except for a late Form 4 required to be filed pursuant to Section 16(a) of the Exchange Act by Ronald Tanemura, in his capacity as a director of the Company.</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40" w:top="459" w:right="3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SELECTION OF INDEPENDENT REGISTERED PUBLIC ACCOUNTING FIRM</w:t>
      </w:r>
    </w:p>
    <w:p>
      <w:pPr>
        <w:spacing w:after="0" w:line="21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Our Audit Committee has selected KPMG LLP to serve as our independent registered public accounting firm to audit our consolidated financial statements for the year ending December 31, 2016. While the Audit Committee is responsible for the appointment, compensation, retention, termination and oversight of the independent auditor, we are requesting, as a matter of good corporate governance, that the stockholders ratify the appointment of KPMG LLP as the Company’s independent registered public accounting firm. If the stockholders fail to ratify the selection, the Audit Committee will reconsider whether to retain KPMG LLP and may retain that firm or another without re-submitting the matter to our stockholders. Even if the appointment is ratified, the Audit Committee may, in its discretion, direct the appointment of a different independent registered public accounting firm at any time during the year.</w:t>
      </w:r>
    </w:p>
    <w:p>
      <w:pPr>
        <w:spacing w:after="0" w:line="16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KPMG LLP’s representatives are expected to be available telephonically for the Meeting and will have an opportunity to make a statement, if they so desire, as well as to respond to appropriate questions asked by our stockholders.</w:t>
      </w:r>
    </w:p>
    <w:p>
      <w:pPr>
        <w:spacing w:after="0" w:line="166" w:lineRule="exact"/>
        <w:rPr>
          <w:sz w:val="20"/>
          <w:szCs w:val="20"/>
          <w:color w:val="auto"/>
        </w:rPr>
      </w:pPr>
    </w:p>
    <w:p>
      <w:pPr>
        <w:ind w:right="760" w:firstLine="456"/>
        <w:spacing w:after="0" w:line="282" w:lineRule="auto"/>
        <w:rPr>
          <w:sz w:val="20"/>
          <w:szCs w:val="20"/>
          <w:color w:val="auto"/>
        </w:rPr>
      </w:pPr>
      <w:r>
        <w:rPr>
          <w:rFonts w:ascii="Arial" w:cs="Arial" w:eastAsia="Arial" w:hAnsi="Arial"/>
          <w:sz w:val="18"/>
          <w:szCs w:val="18"/>
          <w:b w:val="1"/>
          <w:bCs w:val="1"/>
          <w:color w:val="auto"/>
        </w:rPr>
        <w:t>The Board recommends that our stockholders vote “FOR” ratification of the selection of KPMG LLP as the Company’s independent registered public accounting firm for the fiscal year ending December 31, 2016.</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 to KPMG LLP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Audit Fees</w:t>
      </w:r>
    </w:p>
    <w:p>
      <w:pPr>
        <w:spacing w:after="0" w:line="117"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For the year ended December 31, 2015, the aggregate fees billed by KPMG LLP for the audit of our consolidated financial statements, review of our interim financial statements and other professional services related to SEC registration statements were $992,000. In addition, we reimbursed KPMG LLP $20,000 for out-of-pocket expenses incurred in the performance of audit services.</w:t>
      </w:r>
    </w:p>
    <w:p>
      <w:pPr>
        <w:spacing w:after="0" w:line="181"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For the year ended December 31, 2014, the aggregate fees billed by KPMG LLP for the audit of our consolidated financial statements, review of our interim financial statements and other professional services related to SEC registration statements were $963,500. In addition, we reimbursed KPMG LLP $13,000 for out-of-pocket expenses incurred in the performance of audit services.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Audit-Related Fees</w:t>
      </w:r>
    </w:p>
    <w:p>
      <w:pPr>
        <w:spacing w:after="0" w:line="11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For the year ended December 31, 2015, the aggregate fees billed by KPMG LLP for audit-related services, which consist of assurance and related services that are reasonably related to the performance of the audit or review of our consolidated financial statements, but which are not reportable as Audit Fees, were $22,000.</w:t>
      </w:r>
    </w:p>
    <w:p>
      <w:pPr>
        <w:spacing w:after="0" w:line="18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For the year ended December 31, 2014, the aggregate fees billed by KPMG LLP for audit-related services, which consist of assurance and related services that are reasonably related to the performance of the audit or review of our consolidated financial statements, but which are not reportable as Audit Fees, were $28,000.</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Audit-related services are assurance and related services that are reasonably related to the performance of the audit or review of our financial statements and that are traditionally performed by the independent auditor.</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 Fees</w:t>
      </w:r>
    </w:p>
    <w:p>
      <w:pPr>
        <w:spacing w:after="0" w:line="117"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For the year ended December 31, 2015, the aggregate fees billed by KPMG LLP for tax compliance, tax advice and tax planning services were $206,090.</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For the year ended December 31, 2014, the aggregate fees billed by KPMG LLP for tax compliance, tax advice and tax planning services were $229,000.</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Tax services include tax compliance, tax planning, and tax advice.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All Other Fees</w:t>
      </w:r>
    </w:p>
    <w:p>
      <w:pPr>
        <w:spacing w:after="0" w:line="117"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For the year ended December 31, 2015, the fees billed for services rendered by KPMG LLP not reportable as Audit Fees, Audit-Related Fees or Tax Fees were $151,000. We paid these fees in connection with due diligence on a prospective portfolio company investment. These fees were reimbursed to us by the portfolio company.</w:t>
      </w:r>
    </w:p>
    <w:p>
      <w:pPr>
        <w:spacing w:after="0" w:line="18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For the year ended December 31, 2014, the fees billed for services rendered by KPMG LLP not reportable as Audit Fees, Audit-Related Fees or Tax Fees were $135,000. We paid these fees in connection with due diligence on a prospective portfolio company investment. These fees were reimbursed to us by the portfolio company.</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services provided by KPMG LLP described in “Audit-Related Fees,” “Tax Fees” and “All Other Fees” above, were approved by the Audit Committee according to applicable SEC rules. The Audit Committee has determined the rendering of the above-mentioned non-audit services by KPMG LLP was compatible with maintaining our independent registered public accounting firm’s independence.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 Independence</w:t>
      </w:r>
    </w:p>
    <w:p>
      <w:pPr>
        <w:spacing w:after="0" w:line="121" w:lineRule="exact"/>
        <w:rPr>
          <w:sz w:val="20"/>
          <w:szCs w:val="20"/>
          <w:color w:val="auto"/>
        </w:rPr>
      </w:pPr>
    </w:p>
    <w:p>
      <w:pPr>
        <w:jc w:val="center"/>
        <w:ind w:right="60"/>
        <w:spacing w:after="0" w:line="342" w:lineRule="auto"/>
        <w:rPr>
          <w:sz w:val="20"/>
          <w:szCs w:val="20"/>
          <w:color w:val="auto"/>
        </w:rPr>
      </w:pPr>
      <w:r>
        <w:rPr>
          <w:rFonts w:ascii="Arial" w:cs="Arial" w:eastAsia="Arial" w:hAnsi="Arial"/>
          <w:sz w:val="16"/>
          <w:szCs w:val="16"/>
          <w:color w:val="auto"/>
        </w:rPr>
        <w:t>The Audit Committee has considered whether the provision of the above-noted services is compatible with maintaining the independence of the independent registered public accounting firm and has determined that the provision of such services has not adversely affected KPMG LLP’s independence.</w:t>
      </w:r>
    </w:p>
    <w:p>
      <w:pPr>
        <w:spacing w:after="0" w:line="124" w:lineRule="exact"/>
        <w:rPr>
          <w:sz w:val="20"/>
          <w:szCs w:val="20"/>
          <w:color w:val="auto"/>
        </w:rPr>
      </w:pPr>
    </w:p>
    <w:p>
      <w:pPr>
        <w:ind w:right="200" w:firstLine="456"/>
        <w:spacing w:after="0" w:line="272" w:lineRule="auto"/>
        <w:rPr>
          <w:sz w:val="20"/>
          <w:szCs w:val="20"/>
          <w:color w:val="auto"/>
        </w:rPr>
      </w:pPr>
      <w:r>
        <w:rPr>
          <w:rFonts w:ascii="Arial" w:cs="Arial" w:eastAsia="Arial" w:hAnsi="Arial"/>
          <w:sz w:val="17"/>
          <w:szCs w:val="17"/>
          <w:color w:val="auto"/>
        </w:rPr>
        <w:t>In addition, KPMG LLP provides audit, tax and advisory services to various affiliates of TPG, which are also affiliates of the Company. KPMG LLP informed our management and Audit Committee that it had provided certain services to an affiliated entity during 2014 and 2015 for total fees of approximately $350,000 and financial information system implementation services to a portfolio company of a TPG-advised private fund during 2013 and 2014 for total fees of approximately $143,000, both of which were determined to be impermissible under the independence rules of the SEC. In addition, KPMG LLP informed us of a business relationship between a member firm of KPMG International Cooperative and a portfolio company of certain TPG-advised private funds during 2014 and 2015 for total fees of approximately $91,000 that was also determined to be impermissible under the independence rules of the SEC. None of the services and business relationship were provided to or paid for by the Company.</w:t>
      </w:r>
    </w:p>
    <w:p>
      <w:pPr>
        <w:spacing w:after="0" w:line="17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KPMG LLP considered whether the matters noted above impacted its objectivity and ability to exercise impartial judgment with regard to its engagement as our auditors and has concluded that there has been no impairment of KPMG LLP’s objectivity and ability to exercise impartial judgment. After taking into consideration the facts and circumstances of the above matters and KPMG LLP’s determination, our Audit Committee also has concluded that KPMG LLP’s objectivity and ability to exercise impartial judgment has not been impaired.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Audit Committee of our Board operates under a written charter adopted by the Board. The Audit Committee is currently composed of Messrs.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Ross, Higginbotham and Tanemura.</w:t>
      </w:r>
    </w:p>
    <w:p>
      <w:pPr>
        <w:spacing w:after="0" w:line="21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Management is responsible for the Company’s internal controls and the financial reporting process. The Company’s independent registered public accounting firm is responsible for performing an independent audit of the Company’s financial statements in accordance with the standards of the Public Company Accounting Oversight Board (US) and expressing an opinion on the conformity of those audited financial statements in accordance with accounting principles generally accepted in the United States and for auditing and reporting on the effectiveness of the Company’s internal control over financial reporting. The Audit Committee’s responsibility is to monitor and oversee these processes. The Audit Committee is also directly responsible for the appointment, compensation and oversight of the Company’s independent registered public accounting firm.</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Pre-Approval Policy</w:t>
      </w:r>
    </w:p>
    <w:p>
      <w:pPr>
        <w:spacing w:after="0" w:line="11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Audit Committee has established a pre-approval policy that describes the permitted audit, audit-related, tax and other services to be provided by KPMG LLP, the Company’s independent registered public accounting firm. The policy requires that the Audit Committee pre-approve the audit and non-audit services performed by the independent auditor in order to assure that the provision of such service does not impair the auditor’s independence.</w:t>
      </w:r>
    </w:p>
    <w:p>
      <w:pPr>
        <w:spacing w:after="0" w:line="14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Any requests for audit, audit-related, tax and other services that have not received general pre-approval must be submitted to the Audit Committee for specific pre-approval, irrespective of the amount, and cannot commence until such approval has been granted. Normally, pre-approval is provided at regularly scheduled meetings of the Audit Committee. The Audit Committee does not delegate its responsibilities to pre-approve services performed by the independent registered public accounting firm to management.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with Management</w:t>
      </w:r>
    </w:p>
    <w:p>
      <w:pPr>
        <w:spacing w:after="0" w:line="117"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The Audit Committee has reviewed the audited financial statements, along with management’s assessment of the effectiveness of the Company’s internal control over financial reporting, and met and held discussions with management regarding the audited financial statements and its assessment of the effectiveness of the Company’s internal control over financial reporting. Management has represented to the Audit Committee that the Company’s financial statements were prepared in accordance with accounting principles generally accepted in the United States.</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Audit Committee also reviewed the Company’s procedures and internal control processes designed to ensure full, fair and adequate financial reporting and disclosures, including procedures for certifications by the Company’s Co-Chief Executive Officers and Chief Financial Officer that are required in periodic reports filed by the Company with the SEC. The Audit Committee is satisfied that the Company’s internal control system is adequate and that the Company employs appropriate accounting and auditing procedures.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and Discussion with Independent Registered Public Accounting Firm</w:t>
      </w:r>
    </w:p>
    <w:p>
      <w:pPr>
        <w:spacing w:after="0" w:line="117" w:lineRule="exact"/>
        <w:rPr>
          <w:sz w:val="20"/>
          <w:szCs w:val="20"/>
          <w:color w:val="auto"/>
        </w:rPr>
      </w:pPr>
    </w:p>
    <w:p>
      <w:pPr>
        <w:ind w:right="360" w:firstLine="456"/>
        <w:spacing w:after="0" w:line="257" w:lineRule="auto"/>
        <w:rPr>
          <w:sz w:val="20"/>
          <w:szCs w:val="20"/>
          <w:color w:val="auto"/>
        </w:rPr>
      </w:pPr>
      <w:r>
        <w:rPr>
          <w:rFonts w:ascii="Arial" w:cs="Arial" w:eastAsia="Arial" w:hAnsi="Arial"/>
          <w:sz w:val="18"/>
          <w:szCs w:val="18"/>
          <w:color w:val="auto"/>
        </w:rPr>
        <w:t>The Audit Committee has reviewed and discussed the Company’s audited financial statements, along with management’s assessment of the effectiveness of the Company’s internal control over financial reporting and KPMG LLP’s evaluation of the Company’s internal control over financial reporting, with management and KPMG LLP, the Company’s independent registered public accounting firm, with and without management present. The Audit Committee included in its review the results of KPMG’s examinations, the Company’s internal controls and the quality of the Company’s financial reporting.</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The Audit Committee also has discussed with KPMG matters relating to KPMG’s judgments about the quality, as well as the acceptability, of the Company’s accounting principles as applied in its financial reporting as required by Public Company Accounting Oversight Board Auditing Standard No. 16, </w:t>
      </w:r>
      <w:r>
        <w:rPr>
          <w:rFonts w:ascii="Arial" w:cs="Arial" w:eastAsia="Arial" w:hAnsi="Arial"/>
          <w:sz w:val="17"/>
          <w:szCs w:val="17"/>
          <w:i w:val="1"/>
          <w:iCs w:val="1"/>
          <w:color w:val="auto"/>
        </w:rPr>
        <w:t>Communications with Audit Committees</w:t>
      </w:r>
      <w:r>
        <w:rPr>
          <w:rFonts w:ascii="Arial" w:cs="Arial" w:eastAsia="Arial" w:hAnsi="Arial"/>
          <w:sz w:val="17"/>
          <w:szCs w:val="17"/>
          <w:color w:val="auto"/>
        </w:rPr>
        <w:t>. In addition, the Audit Committee has discussed with KPMG their independence from management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as well as the matters in the written disclosures received from KPMG and required by Public Company Accounting Oversight Board Rule 3526, Communication with Audit Committees Concerning Independence. The Audit Committee received a written communication from KPMG confirming their independence and discussed it with them. The Audit Committee discussed and reviewed with KPMG the Company’s critical accounting policies and practices, other material written communications to management, and the scope of KPMG’s audits and all fees paid to KPMG during the fiscal year. The Audit Committee has adopted guidelines requiring review and pre-approval by the Audit Committee of audit and non-audit services performed by KPMG for the Company. The Audit Committee has reviewed and considered the compatibility of KPMG’s performance of non-audit services with the maintenance of KPMG’s independence as the Company’s independent registered public accounting firm.</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Conclusion</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Based on the Audit Committee’s discussion with management and the independent registered public accounting firm, the Audit Committee’s review of the audited financial statements, the representations of management and the report of the independent registered public accounting firm to the Audit Committee, the Audit Committee recommended that the Board include the audited financial statements in the Company’s Annual Report on Form 10-K for the year ended December 31, 2015 for filing with the Securities and Exchange Commission. The Audit Committee also recommended the selection of KPMG LLP to serve as the independent registered public accounting firm for the year ending December 31, 2016 .</w:t>
      </w:r>
    </w:p>
    <w:p>
      <w:pPr>
        <w:spacing w:after="0" w:line="169"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Respectfully Submitted,</w:t>
      </w:r>
    </w:p>
    <w:p>
      <w:pPr>
        <w:spacing w:after="0" w:line="22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Audit Committee: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John Ross, Chairman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Richard Higginbotham</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Ronald Tanemura</w:t>
      </w:r>
    </w:p>
    <w:p>
      <w:pPr>
        <w:spacing w:after="0" w:line="207" w:lineRule="exact"/>
        <w:rPr>
          <w:sz w:val="20"/>
          <w:szCs w:val="20"/>
          <w:color w:val="auto"/>
        </w:rPr>
      </w:pPr>
    </w:p>
    <w:p>
      <w:pPr>
        <w:ind w:right="440" w:firstLine="456"/>
        <w:spacing w:after="0" w:line="347" w:lineRule="auto"/>
        <w:rPr>
          <w:sz w:val="20"/>
          <w:szCs w:val="20"/>
          <w:color w:val="auto"/>
        </w:rPr>
      </w:pPr>
      <w:r>
        <w:rPr>
          <w:rFonts w:ascii="Arial" w:cs="Arial" w:eastAsia="Arial" w:hAnsi="Arial"/>
          <w:sz w:val="16"/>
          <w:szCs w:val="16"/>
          <w:b w:val="1"/>
          <w:bCs w:val="1"/>
          <w:color w:val="auto"/>
        </w:rPr>
        <w:t>Unless marked to the contrary, the shares represented by the enclosed proxy card will be voted “FOR” ratification of the appointment of KPMG LLP as the Company’s independent registered public accounting firm for the fiscal year ending December 31, 2016.</w:t>
      </w:r>
    </w:p>
    <w:p>
      <w:pPr>
        <w:spacing w:after="0" w:line="116" w:lineRule="exact"/>
        <w:rPr>
          <w:sz w:val="20"/>
          <w:szCs w:val="20"/>
          <w:color w:val="auto"/>
        </w:rPr>
      </w:pPr>
    </w:p>
    <w:p>
      <w:pPr>
        <w:jc w:val="both"/>
        <w:ind w:right="40" w:firstLine="456"/>
        <w:spacing w:after="0" w:line="266" w:lineRule="auto"/>
        <w:rPr>
          <w:sz w:val="20"/>
          <w:szCs w:val="20"/>
          <w:color w:val="auto"/>
        </w:rPr>
      </w:pPr>
      <w:r>
        <w:rPr>
          <w:rFonts w:ascii="Arial" w:cs="Arial" w:eastAsia="Arial" w:hAnsi="Arial"/>
          <w:sz w:val="18"/>
          <w:szCs w:val="18"/>
          <w:b w:val="1"/>
          <w:bCs w:val="1"/>
          <w:color w:val="auto"/>
        </w:rPr>
        <w:t>The material contained in the foregoing Audit Committee Report is not “soliciting material,” is not deemed “filed” with the SEC, and is not to be incorporated by reference into any filing of the Company under the Exchange Act, whether made before or after the date hereof and irrespective of any general incorporation language in any such filing.</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BUSINESS</w:t>
      </w:r>
    </w:p>
    <w:p>
      <w:pPr>
        <w:spacing w:after="0" w:line="229"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The Board is not aware of any other matter to be submitted at the Meeting. If any other matter properly comes before the Meeting, the persons named in this proxy generally will have discretionary authority to vote the shares thereby represented in accordance with their judgment.</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REPURCHASE PLAN</w:t>
      </w:r>
    </w:p>
    <w:p>
      <w:pPr>
        <w:spacing w:after="0" w:line="22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In accordance with Section 23(c)(1) under the 1940 Act, the Company hereby advises you that it may repurchase shares of its common stock from time to time.</w:t>
      </w:r>
    </w:p>
    <w:p>
      <w:pPr>
        <w:spacing w:after="0" w:line="170"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We have in place a stock repurchase plan to acquire up to $50 million in the aggregate of our common stock at prices below our net asset value per share over a specified period, in accordance with the guidelines specified in Rule 10b-18 and Rule 10b5-1 of the Exchange Act (the “Company 10b5-1 Plan”).</w:t>
      </w:r>
    </w:p>
    <w:p>
      <w:pPr>
        <w:spacing w:after="0" w:line="12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10b5-1 Plan is designed to allow us to repurchase our common stock at times when we otherwise might be prevented from doing so under insider trading laws. The Company 10b5-1 Plan requires Goldman, Sachs &amp; Co.,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will depend on the terms and conditions of the Company 10b5-1 Plan, the market price of the common stock and trading volumes, and no assurance can be given that any particular amount of common stock will be repurchased.</w:t>
      </w:r>
    </w:p>
    <w:p>
      <w:pPr>
        <w:spacing w:after="0" w:line="189"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Unless extended or terminated by the Board, the Company 10b5-1 Plan will be in effect through the earlier of August 31, 2016 or such time as the current approved repurchase amount of up to $50 million has been fully utilized, subject to certain conditions.</w:t>
      </w:r>
    </w:p>
    <w:p>
      <w:pPr>
        <w:spacing w:after="0" w:line="383"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STOCKHOLDER PROPOSALS AND NOMINATIONS FOR THE 2017 ANNUAL MEETING OF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Inclusion of Proposals in Our Proxy Statement and Proxy Card Under the SEC’s Rules</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Any proposal of a stockholder intended to be included in our proxy statement and form of proxy/voting instruction card for the 2017 annual meeting of stockholders pursuant to Rule 14a-8 of the SEC’s rules must be received by us no later than December 9, 2016. Such proposals must also comply with the requirements as to form and substance established by the SEC if such proposals are to be included in the proxy statement and form of proxy. All proposals should be addressed to the Secretary of the Company, Jennifer Gordon, TPG Specialty Lending, Inc., 301 Commerce Street, Suite 3300, Fort Worth, TX 76102.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Bylaw Requirements for Stockholder Submission of Nominations and Proposals</w:t>
      </w:r>
    </w:p>
    <w:p>
      <w:pPr>
        <w:spacing w:after="0" w:line="121"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A stockholder recommendation for nomination of a person for election to our board or a proposal for consideration at our 2017 annual meeting, other than stockholder proposals submitted pursuant to the SEC’s Rule 14a-8, must be submitted in accordance with the advance notice procedures and other requirements set forth in our Bylaws. These requirements are separate from the requirements discussed above to have the stockholder nomination or other proposal included in our proxy statement and form of proxy/voting instruction card pursuant to the SEC’s rules. The item to be brought before the meeting must be a proper subject for stockholder action.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Bylaws require that the proposal or recommendation for nomination must be received by our Secretary at the above address no later than February 18, 2017, unless the date of our 2017 annual meeting is more than 30 days before or more than 60 days after May 19, 2017, the anniversary of our 2016 annual meeting, in which case notice by the stockholder to be timely must be so received not later than the later of the close of business 90 days prior to such annual meeting or the 10th day following the day on which such notice of the date of the annual meeting was mailed or such public disclosure of the date of the annual meeting was made.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w:t>
      </w:r>
    </w:p>
    <w:p>
      <w:pPr>
        <w:spacing w:after="0" w:line="22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A copy of our Annual Report on Form 10-K for the fiscal year ended December 31, 2015, which includes financial statements, is being furnished with this proxy statement.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SEC has adopted rules that permit companies and intermediaries (e.g., brokers) to satisfy the delivery requirements for the Notice of Internet Availability of Proxy Materials with respect to two or more stockholders sharing the same address by delivering a single Notice of Internet Availability of Proxy Materials addressed to those stockholders. This process, which is commonly referred to as “householding,” potentially means extra convenience for stockholders and cost savings for companies.</w:t>
      </w:r>
    </w:p>
    <w:p>
      <w:pPr>
        <w:spacing w:after="0" w:line="18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This year a number of brokers with account holders who are the Company’s stockholders will be “householding” the Company’s proxy materials. A single Notice of Internet Availability of Proxy Materials will be delivered to multiple stockholders sharing an address unless contrary instructions have been received from the affected stockholders. If you have received notice from your broker that it will be “householding” communications to your address, “householding” will continue until you are notified otherwise or until you revoke your consent. We will promptly deliver a separate copy of these documents to you upon written or oral request to our Investor Relations Department by mail at TPG Specialty Lending, Inc., 888 7th Avenue, 35th Floor, New York, NY 10106, Attention: TSLX Investor Relations, by email at IRTSL@tpg.com or by phone at 212-601-4753. If, at any time, you no longer wish to participate in “householding” and would prefer to receive a separate proxy statement, annual report and/or Notice of Internet Availability of Proxy Materials, please notify your broker. Stockholders who currently receive multiple copies of the proxy statement, annual report and/or Notice of Internet Availability of Proxy Materials at their addresses and would like to request “householding” of their communications should contact their brokers.</w:t>
      </w:r>
    </w:p>
    <w:p>
      <w:pPr>
        <w:spacing w:after="0" w:line="163"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color w:val="auto"/>
        </w:rPr>
        <w:t>WHETHER OR NOT YOU PLAN TO ATTEND THE MEETING, WE URGE YOU TO VOTE OVER THE INTERNET, BY PHONE, OR BY MARKING, SIGNING AND RETURNING YOUR PROXY OR VOTING INSTRUCTION CARD AS SOON AS POSSIBLE. NO POSTAGE IS NECESSARY IF MAILED IN THE UNITED STATES.</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Jennifer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Jennifer Gordon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Compliance Officer, Vice President and Secretary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PRIVACY PRINCIPLES</w:t>
      </w:r>
    </w:p>
    <w:p>
      <w:pPr>
        <w:spacing w:after="0" w:line="229" w:lineRule="exact"/>
        <w:rPr>
          <w:sz w:val="20"/>
          <w:szCs w:val="20"/>
          <w:color w:val="auto"/>
        </w:rPr>
      </w:pPr>
    </w:p>
    <w:p>
      <w:pPr>
        <w:jc w:val="both"/>
        <w:ind w:right="480" w:firstLine="456"/>
        <w:spacing w:after="0" w:line="264" w:lineRule="auto"/>
        <w:rPr>
          <w:sz w:val="20"/>
          <w:szCs w:val="20"/>
          <w:color w:val="auto"/>
        </w:rPr>
      </w:pPr>
      <w:r>
        <w:rPr>
          <w:rFonts w:ascii="Arial" w:cs="Arial" w:eastAsia="Arial" w:hAnsi="Arial"/>
          <w:sz w:val="18"/>
          <w:szCs w:val="18"/>
          <w:color w:val="auto"/>
        </w:rPr>
        <w:t>The Company is committed to maintaining the confidentiality, integrity and security of nonpublic personal information relating to investors. The following information is provided to help you understand what personal information the Company collects, how it protects that information and why, in certain cases, it may share information with select other parties.</w:t>
      </w:r>
    </w:p>
    <w:p>
      <w:pPr>
        <w:spacing w:after="0" w:line="18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Company may collect nonpublic personal information regarding investors from sources such as subscription agreements, investor questionnaires and other forms; individual investors’ account histories; and correspondence between the Company and individual investors. The Company may share information that it collects regarding an investor with its affiliates and the employees of such affiliates for legitimate business purposes, for example, in order to service the investor’s accounts or provide the investor with information about other products and services offered by the Company or its affiliates that may be of interest to the investor. In addition, the Company may disclose information that it collects regarding investors to third parties who are not affiliated with the Company (i) as authorized by investors in investor subscription agreements or the Company’s organizational documents, (ii) as required by law or in connection with regulatory or law enforcement inquiries, or (iii) as otherwise permitted by law to the extent necessary to effect, administer or enforce investor or Company transactions.</w:t>
      </w:r>
    </w:p>
    <w:p>
      <w:pPr>
        <w:spacing w:after="0" w:line="19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Any party that receives nonpublic personal information relating to investors from the Company is permitted to use the information only for legitimate business purposes or as otherwise required or permitted by applicable law or regulation. In this regard, for officers, employees and agents of the Company and its affiliates, access to such information is restricted to those who need such access to provide services to the Company and investors. The Company maintains physical, electronic and procedural safeguards to seek to guard investor nonpublic personal information. Third parties that handle this information shall agree to follow the standards the Company has established. All safeguards apply to nonpublic personal information of current, former and prospective investors.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w:t>
      </w:r>
      <w:r>
        <w:rPr>
          <w:rFonts w:ascii="Arial" w:cs="Arial" w:eastAsia="Arial" w:hAnsi="Arial"/>
          <w:sz w:val="18"/>
          <w:szCs w:val="18"/>
          <w:color w:val="auto"/>
        </w:rPr>
        <w:t>The Notice and Proxy Statement and Annual Report on</w:t>
      </w:r>
      <w:r>
        <w:rPr>
          <w:rFonts w:ascii="Arial" w:cs="Arial" w:eastAsia="Arial" w:hAnsi="Arial"/>
          <w:sz w:val="18"/>
          <w:szCs w:val="18"/>
          <w:b w:val="1"/>
          <w:bCs w:val="1"/>
          <w:color w:val="auto"/>
        </w:rPr>
        <w:t xml:space="preserve"> </w:t>
      </w:r>
      <w:r>
        <w:rPr>
          <w:rFonts w:ascii="Arial" w:cs="Arial" w:eastAsia="Arial" w:hAnsi="Arial"/>
          <w:sz w:val="18"/>
          <w:szCs w:val="18"/>
          <w:color w:val="auto"/>
        </w:rPr>
        <w:t>Form 10-K are available at www.proxyvote.com.</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Meeting of Stockholders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May 19, 2016 10:00 AM EDT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stockholders hereby appoint Jennifer Gordon and Kenneth Burke, or either of them, as proxies, each with the power to appoint his or her substitute, and hereby authorize them to represent and to vote, as designated on the reverse side of this ballot, all of the shares of common stock of TPG SPECIALTY LENDING, INC. that the stockholders are entitled to vote at the Annual Meeting of Stockholders to be held at 10:00 AM EDT on May 19, 2016 at the offices of Cleary Gottlieb Steen &amp; Hamilton LLP, 450 Park Avenue, 28</w:t>
      </w:r>
      <w:r>
        <w:rPr>
          <w:rFonts w:ascii="Arial" w:cs="Arial" w:eastAsia="Arial" w:hAnsi="Arial"/>
          <w:sz w:val="13"/>
          <w:szCs w:val="13"/>
          <w:color w:val="auto"/>
        </w:rPr>
        <w:t>th</w:t>
      </w:r>
      <w:r>
        <w:rPr>
          <w:rFonts w:ascii="Arial" w:cs="Arial" w:eastAsia="Arial" w:hAnsi="Arial"/>
          <w:sz w:val="16"/>
          <w:szCs w:val="16"/>
          <w:color w:val="auto"/>
        </w:rPr>
        <w:t xml:space="preserve"> Floor, New York, NY 10022, and any adjournment or postponement thereof.</w:t>
      </w:r>
    </w:p>
    <w:p>
      <w:pPr>
        <w:spacing w:after="0" w:line="150"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in accordance with the Board of Directors’ recommendations.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INTERNET – www.proxyvote.com</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DELIVERY OF FUTURE PROXY MATERIALS</w:t>
      </w:r>
    </w:p>
    <w:p>
      <w:pPr>
        <w:spacing w:after="0" w:line="121"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PHONE - 1-800-690-6903</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MAIL</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Mark, sign and date your proxy card and return it in the postage-paid envelope we have provided or return it to Vote Processing, c/o Broadridge, 51 Mercedes Way, Edgewood, NY 11717.</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77" w:lineRule="exact"/>
        <w:rPr>
          <w:sz w:val="20"/>
          <w:szCs w:val="20"/>
          <w:color w:val="auto"/>
        </w:rPr>
      </w:pPr>
    </w:p>
    <w:p>
      <w:pPr>
        <w:ind w:left="920"/>
        <w:spacing w:after="0" w:line="207" w:lineRule="exact"/>
        <w:rPr>
          <w:sz w:val="20"/>
          <w:szCs w:val="20"/>
          <w:color w:val="auto"/>
        </w:rPr>
      </w:pPr>
      <w:r>
        <w:rPr>
          <w:rFonts w:ascii="Arial" w:cs="Arial" w:eastAsia="Arial" w:hAnsi="Arial"/>
          <w:sz w:val="18"/>
          <w:szCs w:val="18"/>
          <w:b w:val="1"/>
          <w:bCs w:val="1"/>
          <w:color w:val="auto"/>
        </w:rPr>
        <w:t xml:space="preserve">To Vote, Mark Blocks Below in Blue or Black Ink As Follows: </w:t>
      </w:r>
      <w:r>
        <w:rPr>
          <w:rFonts w:ascii="MS PGothic" w:cs="MS PGothic" w:eastAsia="MS PGothic" w:hAnsi="MS PGothic"/>
          <w:sz w:val="18"/>
          <w:szCs w:val="18"/>
          <w:color w:val="auto"/>
        </w:rPr>
        <w:t>☒</w:t>
      </w:r>
    </w:p>
    <w:p>
      <w:pPr>
        <w:spacing w:after="0" w:line="150" w:lineRule="exact"/>
        <w:rPr>
          <w:sz w:val="20"/>
          <w:szCs w:val="20"/>
          <w:color w:val="auto"/>
        </w:rPr>
      </w:pPr>
    </w:p>
    <w:p>
      <w:pPr>
        <w:jc w:val="right"/>
        <w:ind w:right="560"/>
        <w:spacing w:after="0"/>
        <w:rPr>
          <w:sz w:val="20"/>
          <w:szCs w:val="20"/>
          <w:color w:val="auto"/>
        </w:rPr>
      </w:pPr>
      <w:r>
        <w:rPr>
          <w:rFonts w:ascii="Arial" w:cs="Arial" w:eastAsia="Arial" w:hAnsi="Arial"/>
          <w:sz w:val="18"/>
          <w:szCs w:val="18"/>
          <w:color w:val="auto"/>
        </w:rPr>
        <w:t>Keep This Portion For Your Records</w:t>
      </w:r>
    </w:p>
    <w:p>
      <w:pPr>
        <w:spacing w:after="0" w:line="23" w:lineRule="exact"/>
        <w:rPr>
          <w:sz w:val="20"/>
          <w:szCs w:val="20"/>
          <w:color w:val="auto"/>
        </w:rPr>
      </w:pPr>
    </w:p>
    <w:p>
      <w:pPr>
        <w:jc w:val="right"/>
        <w:ind w:right="560"/>
        <w:spacing w:after="0"/>
        <w:rPr>
          <w:sz w:val="20"/>
          <w:szCs w:val="20"/>
          <w:color w:val="auto"/>
        </w:rPr>
      </w:pPr>
      <w:r>
        <w:rPr>
          <w:rFonts w:ascii="Arial" w:cs="Arial" w:eastAsia="Arial" w:hAnsi="Arial"/>
          <w:sz w:val="18"/>
          <w:szCs w:val="18"/>
          <w:color w:val="auto"/>
        </w:rPr>
        <w:t>Detach and Return This Portion Only</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THIS PROXY CARD IS VALID ONLY WHEN SIGNED AND DATED.</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TPG SPECIALTY LENDING, INC.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recommends you vote FOR the following:</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jc w:val="right"/>
              <w:ind w:right="90"/>
              <w:spacing w:after="0"/>
              <w:rPr>
                <w:sz w:val="20"/>
                <w:szCs w:val="20"/>
                <w:color w:val="auto"/>
              </w:rPr>
            </w:pPr>
            <w:r>
              <w:rPr>
                <w:rFonts w:ascii="Arial" w:cs="Arial" w:eastAsia="Arial" w:hAnsi="Arial"/>
                <w:sz w:val="18"/>
                <w:szCs w:val="18"/>
                <w:color w:val="auto"/>
                <w:w w:val="79"/>
              </w:rPr>
              <w:t>1.</w:t>
            </w:r>
          </w:p>
        </w:tc>
        <w:tc>
          <w:tcPr>
            <w:tcW w:w="2780" w:type="dxa"/>
            <w:vAlign w:val="bottom"/>
          </w:tcPr>
          <w:p>
            <w:pPr>
              <w:ind w:left="180"/>
              <w:spacing w:after="0"/>
              <w:rPr>
                <w:sz w:val="20"/>
                <w:szCs w:val="20"/>
                <w:color w:val="auto"/>
              </w:rPr>
            </w:pPr>
            <w:r>
              <w:rPr>
                <w:rFonts w:ascii="Arial" w:cs="Arial" w:eastAsia="Arial" w:hAnsi="Arial"/>
                <w:sz w:val="18"/>
                <w:szCs w:val="18"/>
                <w:color w:val="auto"/>
              </w:rPr>
              <w:t>Election of Directors</w:t>
            </w:r>
          </w:p>
        </w:tc>
        <w:tc>
          <w:tcPr>
            <w:tcW w:w="1740" w:type="dxa"/>
            <w:vAlign w:val="bottom"/>
          </w:tcPr>
          <w:p>
            <w:pPr>
              <w:ind w:left="1080"/>
              <w:spacing w:after="0"/>
              <w:rPr>
                <w:sz w:val="20"/>
                <w:szCs w:val="20"/>
                <w:color w:val="auto"/>
              </w:rPr>
            </w:pPr>
            <w:r>
              <w:rPr>
                <w:rFonts w:ascii="Arial" w:cs="Arial" w:eastAsia="Arial" w:hAnsi="Arial"/>
                <w:sz w:val="18"/>
                <w:szCs w:val="18"/>
                <w:color w:val="auto"/>
              </w:rPr>
              <w:t>For All</w:t>
            </w:r>
          </w:p>
        </w:tc>
        <w:tc>
          <w:tcPr>
            <w:tcW w:w="1220" w:type="dxa"/>
            <w:vAlign w:val="bottom"/>
          </w:tcPr>
          <w:p>
            <w:pPr>
              <w:ind w:left="120"/>
              <w:spacing w:after="0"/>
              <w:rPr>
                <w:sz w:val="20"/>
                <w:szCs w:val="20"/>
                <w:color w:val="auto"/>
              </w:rPr>
            </w:pPr>
            <w:r>
              <w:rPr>
                <w:rFonts w:ascii="Arial" w:cs="Arial" w:eastAsia="Arial" w:hAnsi="Arial"/>
                <w:sz w:val="18"/>
                <w:szCs w:val="18"/>
                <w:color w:val="auto"/>
              </w:rPr>
              <w:t>Withhold All</w:t>
            </w:r>
          </w:p>
        </w:tc>
        <w:tc>
          <w:tcPr>
            <w:tcW w:w="1500" w:type="dxa"/>
            <w:vAlign w:val="bottom"/>
          </w:tcPr>
          <w:p>
            <w:pPr>
              <w:ind w:left="140"/>
              <w:spacing w:after="0"/>
              <w:rPr>
                <w:sz w:val="20"/>
                <w:szCs w:val="20"/>
                <w:color w:val="auto"/>
              </w:rPr>
            </w:pPr>
            <w:r>
              <w:rPr>
                <w:rFonts w:ascii="Arial" w:cs="Arial" w:eastAsia="Arial" w:hAnsi="Arial"/>
                <w:sz w:val="18"/>
                <w:szCs w:val="18"/>
                <w:color w:val="auto"/>
              </w:rPr>
              <w:t>For All Except</w:t>
            </w:r>
          </w:p>
        </w:tc>
        <w:tc>
          <w:tcPr>
            <w:tcW w:w="3820" w:type="dxa"/>
            <w:vAlign w:val="bottom"/>
          </w:tcPr>
          <w:p>
            <w:pPr>
              <w:ind w:left="280"/>
              <w:spacing w:after="0"/>
              <w:rPr>
                <w:sz w:val="20"/>
                <w:szCs w:val="20"/>
                <w:color w:val="auto"/>
              </w:rPr>
            </w:pPr>
            <w:r>
              <w:rPr>
                <w:rFonts w:ascii="Arial" w:cs="Arial" w:eastAsia="Arial" w:hAnsi="Arial"/>
                <w:sz w:val="18"/>
                <w:szCs w:val="18"/>
                <w:color w:val="auto"/>
                <w:w w:val="96"/>
              </w:rPr>
              <w:t>To withhold authority to vote for any individual</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780" w:type="dxa"/>
            <w:vAlign w:val="bottom"/>
            <w:vMerge w:val="restart"/>
          </w:tcPr>
          <w:p>
            <w:pPr>
              <w:ind w:left="180"/>
              <w:spacing w:after="0"/>
              <w:rPr>
                <w:sz w:val="20"/>
                <w:szCs w:val="20"/>
                <w:color w:val="auto"/>
              </w:rPr>
            </w:pPr>
            <w:r>
              <w:rPr>
                <w:rFonts w:ascii="Arial" w:cs="Arial" w:eastAsia="Arial" w:hAnsi="Arial"/>
                <w:sz w:val="18"/>
                <w:szCs w:val="18"/>
                <w:color w:val="auto"/>
              </w:rPr>
              <w:t>Nominees:</w:t>
            </w:r>
          </w:p>
        </w:tc>
        <w:tc>
          <w:tcPr>
            <w:tcW w:w="1740" w:type="dxa"/>
            <w:vAlign w:val="bottom"/>
            <w:vMerge w:val="restart"/>
          </w:tcPr>
          <w:p>
            <w:pPr>
              <w:ind w:left="1080"/>
              <w:spacing w:after="0" w:line="181" w:lineRule="exact"/>
              <w:rPr>
                <w:sz w:val="20"/>
                <w:szCs w:val="20"/>
                <w:color w:val="auto"/>
              </w:rPr>
            </w:pPr>
            <w:r>
              <w:rPr>
                <w:rFonts w:ascii="MS PGothic" w:cs="MS PGothic" w:eastAsia="MS PGothic" w:hAnsi="MS PGothic"/>
                <w:sz w:val="18"/>
                <w:szCs w:val="18"/>
                <w:color w:val="auto"/>
              </w:rPr>
              <w:t>☐</w:t>
            </w:r>
          </w:p>
        </w:tc>
        <w:tc>
          <w:tcPr>
            <w:tcW w:w="1220" w:type="dxa"/>
            <w:vAlign w:val="bottom"/>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150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ind w:left="280"/>
              <w:spacing w:after="0"/>
              <w:rPr>
                <w:sz w:val="20"/>
                <w:szCs w:val="20"/>
                <w:color w:val="auto"/>
              </w:rPr>
            </w:pPr>
            <w:r>
              <w:rPr>
                <w:rFonts w:ascii="Arial" w:cs="Arial" w:eastAsia="Arial" w:hAnsi="Arial"/>
                <w:sz w:val="18"/>
                <w:szCs w:val="18"/>
                <w:color w:val="auto"/>
                <w:w w:val="93"/>
              </w:rPr>
              <w:t>nominee(s), mark “For All Except” and write the</w:t>
            </w: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2780" w:type="dxa"/>
            <w:vAlign w:val="bottom"/>
            <w:vMerge w:val="continue"/>
          </w:tcPr>
          <w:p>
            <w:pPr>
              <w:spacing w:after="0"/>
              <w:rPr>
                <w:sz w:val="13"/>
                <w:szCs w:val="13"/>
                <w:color w:val="auto"/>
              </w:rPr>
            </w:pPr>
          </w:p>
        </w:tc>
        <w:tc>
          <w:tcPr>
            <w:tcW w:w="174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3820" w:type="dxa"/>
            <w:vAlign w:val="bottom"/>
            <w:vMerge w:val="restart"/>
          </w:tcPr>
          <w:p>
            <w:pPr>
              <w:ind w:left="280"/>
              <w:spacing w:after="0"/>
              <w:rPr>
                <w:sz w:val="20"/>
                <w:szCs w:val="20"/>
                <w:color w:val="auto"/>
              </w:rPr>
            </w:pPr>
            <w:r>
              <w:rPr>
                <w:rFonts w:ascii="Arial" w:cs="Arial" w:eastAsia="Arial" w:hAnsi="Arial"/>
                <w:sz w:val="18"/>
                <w:szCs w:val="18"/>
                <w:color w:val="auto"/>
                <w:w w:val="94"/>
              </w:rPr>
              <w:t>number(s) of the nominee(s) on the line below.</w:t>
            </w:r>
          </w:p>
        </w:tc>
        <w:tc>
          <w:tcPr>
            <w:tcW w:w="0" w:type="dxa"/>
            <w:vAlign w:val="bottom"/>
          </w:tcPr>
          <w:p>
            <w:pPr>
              <w:spacing w:after="0"/>
              <w:rPr>
                <w:sz w:val="1"/>
                <w:szCs w:val="1"/>
                <w:color w:val="auto"/>
              </w:rPr>
            </w:pPr>
          </w:p>
        </w:tc>
      </w:tr>
      <w:tr>
        <w:trPr>
          <w:trHeight w:val="75"/>
        </w:trPr>
        <w:tc>
          <w:tcPr>
            <w:tcW w:w="320" w:type="dxa"/>
            <w:vAlign w:val="bottom"/>
          </w:tcPr>
          <w:p>
            <w:pPr>
              <w:spacing w:after="0"/>
              <w:rPr>
                <w:sz w:val="6"/>
                <w:szCs w:val="6"/>
                <w:color w:val="auto"/>
              </w:rPr>
            </w:pPr>
          </w:p>
        </w:tc>
        <w:tc>
          <w:tcPr>
            <w:tcW w:w="27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3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01 John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-1905</wp:posOffset>
            </wp:positionV>
            <wp:extent cx="227266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recommends you vote FOR the following proposal:</w:t>
      </w:r>
    </w:p>
    <w:p>
      <w:pPr>
        <w:sectPr>
          <w:pgSz w:w="11900" w:h="16838" w:orient="portrait"/>
          <w:cols w:equalWidth="0" w:num="1">
            <w:col w:w="11380"/>
          </w:cols>
          <w:pgMar w:left="240" w:top="459" w:right="279" w:bottom="1440" w:gutter="0" w:footer="0" w:header="0"/>
        </w:sectPr>
      </w:pPr>
    </w:p>
    <w:p>
      <w:pPr>
        <w:spacing w:after="0" w:line="117" w:lineRule="exact"/>
        <w:rPr>
          <w:sz w:val="20"/>
          <w:szCs w:val="20"/>
          <w:color w:val="auto"/>
        </w:rPr>
      </w:pPr>
    </w:p>
    <w:p>
      <w:pPr>
        <w:ind w:left="500" w:hanging="492"/>
        <w:spacing w:after="0" w:line="259"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ratify the selection of KPMG LLP as the Company’s independent registered public accounting firm for the fiscal year ending December 31, 2016.</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tabs>
          <w:tab w:leader="none" w:pos="760" w:val="left"/>
          <w:tab w:leader="none" w:pos="2000" w:val="left"/>
        </w:tabs>
        <w:rPr>
          <w:sz w:val="20"/>
          <w:szCs w:val="20"/>
          <w:color w:val="auto"/>
        </w:rPr>
      </w:pP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auto"/>
        </w:rPr>
        <w:t>Against</w:t>
      </w:r>
      <w:r>
        <w:rPr>
          <w:sz w:val="20"/>
          <w:szCs w:val="20"/>
          <w:color w:val="auto"/>
        </w:rPr>
        <w:tab/>
      </w:r>
      <w:r>
        <w:rPr>
          <w:rFonts w:ascii="Arial" w:cs="Arial" w:eastAsia="Arial" w:hAnsi="Arial"/>
          <w:sz w:val="16"/>
          <w:szCs w:val="16"/>
          <w:color w:val="auto"/>
        </w:rPr>
        <w:t>Abstain</w:t>
      </w:r>
    </w:p>
    <w:p>
      <w:pPr>
        <w:spacing w:after="0" w:line="98" w:lineRule="exact"/>
        <w:rPr>
          <w:sz w:val="20"/>
          <w:szCs w:val="20"/>
          <w:color w:val="auto"/>
        </w:rPr>
      </w:pPr>
    </w:p>
    <w:p>
      <w:pPr>
        <w:spacing w:after="0" w:line="181" w:lineRule="exact"/>
        <w:tabs>
          <w:tab w:leader="none" w:pos="760" w:val="left"/>
          <w:tab w:leader="none" w:pos="20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483" w:lineRule="exact"/>
        <w:rPr>
          <w:sz w:val="20"/>
          <w:szCs w:val="20"/>
          <w:color w:val="auto"/>
        </w:rPr>
      </w:pPr>
    </w:p>
    <w:p>
      <w:pPr>
        <w:sectPr>
          <w:pgSz w:w="11900" w:h="16838" w:orient="portrait"/>
          <w:cols w:equalWidth="0" w:num="2">
            <w:col w:w="3660" w:space="520"/>
            <w:col w:w="7200"/>
          </w:cols>
          <w:pgMar w:left="240" w:top="459" w:right="279" w:bottom="1440" w:gutter="0" w:footer="0" w:header="0"/>
          <w:type w:val="continuous"/>
        </w:sectPr>
      </w:pPr>
    </w:p>
    <w:p>
      <w:pPr>
        <w:ind w:right="234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The named proxies are also authorized to transact such other business as may properly come before the 2016 Annual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of Stockholders or any postponement or adjournment thereof.</w:t>
      </w:r>
    </w:p>
    <w:p>
      <w:pPr>
        <w:spacing w:after="0" w:line="58" w:lineRule="exact"/>
        <w:rPr>
          <w:sz w:val="20"/>
          <w:szCs w:val="20"/>
          <w:color w:val="auto"/>
        </w:rPr>
      </w:pPr>
    </w:p>
    <w:p>
      <w:pPr>
        <w:spacing w:after="0"/>
        <w:tabs>
          <w:tab w:leader="none" w:pos="4160" w:val="left"/>
          <w:tab w:leader="none" w:pos="4940" w:val="left"/>
        </w:tabs>
        <w:rPr>
          <w:sz w:val="20"/>
          <w:szCs w:val="20"/>
          <w:color w:val="auto"/>
        </w:rPr>
      </w:pPr>
      <w:r>
        <w:rPr>
          <w:rFonts w:ascii="Arial" w:cs="Arial" w:eastAsia="Arial" w:hAnsi="Arial"/>
          <w:sz w:val="18"/>
          <w:szCs w:val="18"/>
          <w:color w:val="auto"/>
        </w:rPr>
        <w:t>Please indicate if you plan to attend this meeting</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7"/>
          <w:szCs w:val="17"/>
          <w:color w:val="auto"/>
        </w:rPr>
        <w:t>No</w:t>
      </w:r>
    </w:p>
    <w:p>
      <w:pPr>
        <w:spacing w:after="0" w:line="98" w:lineRule="exact"/>
        <w:rPr>
          <w:sz w:val="20"/>
          <w:szCs w:val="20"/>
          <w:color w:val="auto"/>
        </w:rPr>
      </w:pPr>
    </w:p>
    <w:p>
      <w:pPr>
        <w:ind w:left="4180"/>
        <w:spacing w:after="0" w:line="181" w:lineRule="exact"/>
        <w:tabs>
          <w:tab w:leader="none" w:pos="49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spacing w:after="0" w:line="190" w:lineRule="exact"/>
        <w:rPr>
          <w:sz w:val="20"/>
          <w:szCs w:val="20"/>
          <w:color w:val="auto"/>
        </w:rPr>
      </w:pPr>
    </w:p>
    <w:p>
      <w:pPr>
        <w:ind w:left="920" w:right="2440"/>
        <w:spacing w:after="0" w:line="286" w:lineRule="auto"/>
        <w:rPr>
          <w:sz w:val="20"/>
          <w:szCs w:val="20"/>
          <w:color w:val="auto"/>
        </w:rPr>
      </w:pPr>
      <w:r>
        <w:rPr>
          <w:rFonts w:ascii="Arial" w:cs="Arial" w:eastAsia="Arial" w:hAnsi="Arial"/>
          <w:sz w:val="17"/>
          <w:szCs w:val="17"/>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203" w:lineRule="exact"/>
        <w:rPr>
          <w:sz w:val="20"/>
          <w:szCs w:val="20"/>
          <w:color w:val="auto"/>
        </w:rPr>
      </w:pPr>
    </w:p>
    <w:tbl>
      <w:tblPr>
        <w:tblLayout w:type="fixed"/>
        <w:tblInd w:w="920" w:type="dxa"/>
        <w:tblCellMar>
          <w:top w:w="0" w:type="dxa"/>
          <w:left w:w="0" w:type="dxa"/>
          <w:bottom w:w="0" w:type="dxa"/>
          <w:right w:w="0" w:type="dxa"/>
        </w:tblCellMar>
      </w:tblPr>
      <w:tr>
        <w:trPr>
          <w:trHeight w:val="225"/>
        </w:trPr>
        <w:tc>
          <w:tcPr>
            <w:tcW w:w="43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SIGNATURE (Please Sign Within Box)</w:t>
            </w:r>
          </w:p>
        </w:tc>
        <w:tc>
          <w:tcPr>
            <w:tcW w:w="100" w:type="dxa"/>
            <w:vAlign w:val="bottom"/>
          </w:tcPr>
          <w:p>
            <w:pPr>
              <w:spacing w:after="0"/>
              <w:rPr>
                <w:sz w:val="19"/>
                <w:szCs w:val="19"/>
                <w:color w:val="auto"/>
              </w:rPr>
            </w:pPr>
          </w:p>
        </w:tc>
        <w:tc>
          <w:tcPr>
            <w:tcW w:w="18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DATE</w:t>
            </w:r>
          </w:p>
        </w:tc>
        <w:tc>
          <w:tcPr>
            <w:tcW w:w="100" w:type="dxa"/>
            <w:vAlign w:val="bottom"/>
          </w:tcPr>
          <w:p>
            <w:pPr>
              <w:spacing w:after="0"/>
              <w:rPr>
                <w:sz w:val="19"/>
                <w:szCs w:val="19"/>
                <w:color w:val="auto"/>
              </w:rPr>
            </w:pPr>
          </w:p>
        </w:tc>
        <w:tc>
          <w:tcPr>
            <w:tcW w:w="17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100" w:type="dxa"/>
            <w:vAlign w:val="bottom"/>
          </w:tcPr>
          <w:p>
            <w:pPr>
              <w:spacing w:after="0"/>
              <w:rPr>
                <w:sz w:val="19"/>
                <w:szCs w:val="19"/>
                <w:color w:val="auto"/>
              </w:rPr>
            </w:pPr>
          </w:p>
        </w:tc>
        <w:tc>
          <w:tcPr>
            <w:tcW w:w="17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DATE</w:t>
            </w:r>
          </w:p>
        </w:tc>
      </w:tr>
      <w:tr>
        <w:trPr>
          <w:trHeight w:val="234"/>
        </w:trPr>
        <w:tc>
          <w:tcPr>
            <w:tcW w:w="4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80" w:type="dxa"/>
            <w:vAlign w:val="bottom"/>
            <w:gridSpan w:val="2"/>
          </w:tcPr>
          <w:p>
            <w:pPr>
              <w:ind w:left="100"/>
              <w:spacing w:after="0"/>
              <w:rPr>
                <w:sz w:val="20"/>
                <w:szCs w:val="20"/>
                <w:color w:val="auto"/>
              </w:rPr>
            </w:pPr>
            <w:r>
              <w:rPr>
                <w:rFonts w:ascii="Arial" w:cs="Arial" w:eastAsia="Arial" w:hAnsi="Arial"/>
                <w:sz w:val="18"/>
                <w:szCs w:val="18"/>
                <w:b w:val="1"/>
                <w:bCs w:val="1"/>
                <w:color w:val="auto"/>
              </w:rPr>
              <w:t>(Joint Owners)</w:t>
            </w: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380"/>
      </w:cols>
      <w:pgMar w:left="240" w:top="459"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lvl w:ilvl="1">
      <w:lvlJc w:val="left"/>
      <w:lvlText w:val="(%2)"/>
      <w:numFmt w:val="decimal"/>
      <w:start w:val="1"/>
    </w:lvl>
  </w:abstractNum>
  <w:abstractNum w:abstractNumId="5">
    <w:nsid w:val="519B500D"/>
    <w:multiLevelType w:val="hybridMultilevel"/>
    <w:lvl w:ilvl="0">
      <w:lvlJc w:val="left"/>
      <w:lvlText w:val="(%1)"/>
      <w:numFmt w:val="decimal"/>
      <w:start w:val="2"/>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decimal"/>
      <w:start w:val="2"/>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1)"/>
      <w:numFmt w:val="lowerRoman"/>
      <w:start w:val="1"/>
    </w:lvl>
  </w:abstractNum>
  <w:abstractNum w:abstractNumId="24">
    <w:nsid w:val="54E49EB4"/>
    <w:multiLevelType w:val="hybridMultilevel"/>
    <w:lvl w:ilvl="0">
      <w:lvlJc w:val="left"/>
      <w:lvlText w:val="(%1)"/>
      <w:numFmt w:val="lowerRoman"/>
      <w:start w:val="2"/>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
      <w:numFmt w:val="bullet"/>
      <w:start w:val="1"/>
    </w:lvl>
  </w:abstractNum>
  <w:abstractNum w:abstractNumId="28">
    <w:nsid w:val="2901D8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2019-12-08T20:34:20Z</dcterms:created>
  <dcterms:modified xsi:type="dcterms:W3CDTF">2019-12-08T20:34:20Z</dcterms:modified>
</cp:coreProperties>
</file>