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Date of Report (Date of earliest event reported): May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640" w:type="dxa"/>
            <w:vAlign w:val="bottom"/>
          </w:tcPr>
          <w:p>
            <w:pPr>
              <w:jc w:val="center"/>
              <w:ind w:right="187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560"/>
              <w:spacing w:after="0"/>
              <w:rPr>
                <w:sz w:val="20"/>
                <w:szCs w:val="20"/>
                <w:color w:val="auto"/>
              </w:rPr>
            </w:pPr>
            <w:r>
              <w:rPr>
                <w:rFonts w:ascii="Arial" w:cs="Arial" w:eastAsia="Arial" w:hAnsi="Arial"/>
                <w:sz w:val="18"/>
                <w:szCs w:val="18"/>
                <w:b w:val="1"/>
                <w:bCs w:val="1"/>
                <w:color w:val="auto"/>
              </w:rPr>
              <w:t>001-36364</w:t>
            </w:r>
          </w:p>
        </w:tc>
        <w:tc>
          <w:tcPr>
            <w:tcW w:w="2780" w:type="dxa"/>
            <w:vAlign w:val="bottom"/>
          </w:tcPr>
          <w:p>
            <w:pPr>
              <w:jc w:val="center"/>
              <w:ind w:left="1561"/>
              <w:spacing w:after="0"/>
              <w:rPr>
                <w:sz w:val="20"/>
                <w:szCs w:val="20"/>
                <w:color w:val="auto"/>
              </w:rPr>
            </w:pPr>
            <w:r>
              <w:rPr>
                <w:rFonts w:ascii="Arial" w:cs="Arial" w:eastAsia="Arial" w:hAnsi="Arial"/>
                <w:sz w:val="18"/>
                <w:szCs w:val="18"/>
                <w:b w:val="1"/>
                <w:bCs w:val="1"/>
                <w:color w:val="auto"/>
                <w:w w:val="89"/>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780" w:type="dxa"/>
            <w:vAlign w:val="bottom"/>
          </w:tcPr>
          <w:p>
            <w:pPr>
              <w:jc w:val="center"/>
              <w:ind w:left="156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4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4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5"/>
        </w:trPr>
        <w:tc>
          <w:tcPr>
            <w:tcW w:w="3640" w:type="dxa"/>
            <w:vAlign w:val="bottom"/>
          </w:tcPr>
          <w:p>
            <w:pPr>
              <w:jc w:val="center"/>
              <w:ind w:right="59"/>
              <w:spacing w:after="0"/>
              <w:rPr>
                <w:sz w:val="20"/>
                <w:szCs w:val="20"/>
                <w:color w:val="auto"/>
              </w:rPr>
            </w:pPr>
            <w:r>
              <w:rPr>
                <w:rFonts w:ascii="Arial" w:cs="Arial" w:eastAsia="Arial" w:hAnsi="Arial"/>
                <w:sz w:val="18"/>
                <w:szCs w:val="18"/>
                <w:b w:val="1"/>
                <w:bCs w:val="1"/>
                <w:color w:val="auto"/>
                <w:w w:val="95"/>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0" w:lineRule="exact"/>
        <w:rPr>
          <w:sz w:val="24"/>
          <w:szCs w:val="24"/>
          <w:color w:val="auto"/>
        </w:rPr>
      </w:pPr>
    </w:p>
    <w:tbl>
      <w:tblPr>
        <w:tblLayout w:type="fixed"/>
        <w:tblInd w:w="14" w:type="dxa"/>
        <w:tblCellMar>
          <w:top w:w="0" w:type="dxa"/>
          <w:left w:w="0" w:type="dxa"/>
          <w:bottom w:w="0" w:type="dxa"/>
          <w:right w:w="0" w:type="dxa"/>
        </w:tblCellMar>
      </w:tblPr>
      <w:tr>
        <w:trPr>
          <w:trHeight w:val="162"/>
        </w:trPr>
        <w:tc>
          <w:tcPr>
            <w:tcW w:w="3760" w:type="dxa"/>
            <w:vAlign w:val="bottom"/>
            <w:tcBorders>
              <w:top w:val="single" w:sz="8" w:color="auto"/>
              <w:left w:val="single" w:sz="8" w:color="auto"/>
              <w:bottom w:val="single" w:sz="8" w:color="auto"/>
              <w:right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89"/>
              </w:rPr>
              <w:t>Title of each class</w:t>
            </w:r>
          </w:p>
        </w:tc>
        <w:tc>
          <w:tcPr>
            <w:tcW w:w="3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3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10"/>
        </w:trPr>
        <w:tc>
          <w:tcPr>
            <w:tcW w:w="3760" w:type="dxa"/>
            <w:vAlign w:val="bottom"/>
            <w:tcBorders>
              <w:left w:val="single" w:sz="8" w:color="auto"/>
              <w:bottom w:val="single" w:sz="8" w:color="auto"/>
              <w:right w:val="single" w:sz="8" w:color="auto"/>
            </w:tcBorders>
          </w:tcPr>
          <w:p>
            <w:pPr>
              <w:jc w:val="center"/>
              <w:ind w:left="59"/>
              <w:spacing w:after="0"/>
              <w:rPr>
                <w:sz w:val="20"/>
                <w:szCs w:val="20"/>
                <w:color w:val="auto"/>
              </w:rPr>
            </w:pPr>
            <w:r>
              <w:rPr>
                <w:rFonts w:ascii="Arial" w:cs="Arial" w:eastAsia="Arial" w:hAnsi="Arial"/>
                <w:sz w:val="18"/>
                <w:szCs w:val="18"/>
                <w:color w:val="auto"/>
                <w:w w:val="89"/>
              </w:rPr>
              <w:t>Common Stock, par value $0.01 per share</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TSLX</w:t>
            </w:r>
          </w:p>
        </w:tc>
        <w:tc>
          <w:tcPr>
            <w:tcW w:w="3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193675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517"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 –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Meeting of Stockholders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On May 28, 2020, TPG Specialty Lending, Inc. (the “Company”) held its annual meeting of stockholders. Stockholders considered two proposals as described in the Company’s proxy statement filed on April 17, 2020. The final results of the voting on each matter submitted to stockholders at the annual meeting are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1 – Election of Class III Directors. </w:t>
      </w:r>
      <w:r>
        <w:rPr>
          <w:rFonts w:ascii="Arial" w:cs="Arial" w:eastAsia="Arial" w:hAnsi="Arial"/>
          <w:sz w:val="18"/>
          <w:szCs w:val="18"/>
          <w:color w:val="auto"/>
        </w:rPr>
        <w:t>The stockholders elected the nominees for Class III director by the vote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Votes “For”</w:t>
            </w:r>
          </w:p>
        </w:tc>
        <w:tc>
          <w:tcPr>
            <w:tcW w:w="1980" w:type="dxa"/>
            <w:vAlign w:val="bottom"/>
            <w:gridSpan w:val="2"/>
          </w:tcPr>
          <w:p>
            <w:pPr>
              <w:ind w:left="400"/>
              <w:spacing w:after="0"/>
              <w:rPr>
                <w:sz w:val="20"/>
                <w:szCs w:val="20"/>
                <w:color w:val="auto"/>
              </w:rPr>
            </w:pPr>
            <w:r>
              <w:rPr>
                <w:rFonts w:ascii="Arial" w:cs="Arial" w:eastAsia="Arial" w:hAnsi="Arial"/>
                <w:sz w:val="14"/>
                <w:szCs w:val="14"/>
                <w:b w:val="1"/>
                <w:bCs w:val="1"/>
                <w:color w:val="auto"/>
              </w:rPr>
              <w:t>Votes “Withheld”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195"/>
        </w:trPr>
        <w:tc>
          <w:tcPr>
            <w:tcW w:w="1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Hurley Doddy</w:t>
            </w:r>
          </w:p>
        </w:tc>
        <w:tc>
          <w:tcPr>
            <w:tcW w:w="120" w:type="dxa"/>
            <w:vAlign w:val="bottom"/>
          </w:tcPr>
          <w:p>
            <w:pPr>
              <w:spacing w:after="0"/>
              <w:rPr>
                <w:sz w:val="16"/>
                <w:szCs w:val="16"/>
                <w:color w:val="auto"/>
              </w:rPr>
            </w:pPr>
          </w:p>
        </w:tc>
        <w:tc>
          <w:tcPr>
            <w:tcW w:w="1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30,028,471</w:t>
            </w:r>
          </w:p>
        </w:tc>
        <w:tc>
          <w:tcPr>
            <w:tcW w:w="80" w:type="dxa"/>
            <w:vAlign w:val="bottom"/>
          </w:tcPr>
          <w:p>
            <w:pPr>
              <w:spacing w:after="0"/>
              <w:rPr>
                <w:sz w:val="16"/>
                <w:szCs w:val="16"/>
                <w:color w:val="auto"/>
              </w:rPr>
            </w:pPr>
          </w:p>
        </w:tc>
        <w:tc>
          <w:tcPr>
            <w:tcW w:w="1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7,079,584</w:t>
            </w:r>
          </w:p>
        </w:tc>
        <w:tc>
          <w:tcPr>
            <w:tcW w:w="80" w:type="dxa"/>
            <w:vAlign w:val="bottom"/>
          </w:tcPr>
          <w:p>
            <w:pPr>
              <w:spacing w:after="0"/>
              <w:rPr>
                <w:sz w:val="16"/>
                <w:szCs w:val="16"/>
                <w:color w:val="auto"/>
              </w:rPr>
            </w:pPr>
          </w:p>
        </w:tc>
        <w:tc>
          <w:tcPr>
            <w:tcW w:w="1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18,787,551</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26,417,612</w:t>
            </w:r>
          </w:p>
        </w:tc>
        <w:tc>
          <w:tcPr>
            <w:tcW w:w="8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10,690,443</w:t>
            </w:r>
          </w:p>
        </w:tc>
        <w:tc>
          <w:tcPr>
            <w:tcW w:w="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18,787,551</w:t>
            </w: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Michael Fishman</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26,912,693</w:t>
            </w:r>
          </w:p>
        </w:tc>
        <w:tc>
          <w:tcPr>
            <w:tcW w:w="8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10,195,362</w:t>
            </w:r>
          </w:p>
        </w:tc>
        <w:tc>
          <w:tcPr>
            <w:tcW w:w="8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18,787,551</w:t>
            </w:r>
          </w:p>
        </w:tc>
      </w:tr>
    </w:tbl>
    <w:p>
      <w:pPr>
        <w:spacing w:after="0" w:line="19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Proposal 2 – Ratification of Appointment of Independent Registered Public Accounting Firm. </w:t>
      </w:r>
      <w:r>
        <w:rPr>
          <w:rFonts w:ascii="Arial" w:cs="Arial" w:eastAsia="Arial" w:hAnsi="Arial"/>
          <w:sz w:val="18"/>
          <w:szCs w:val="18"/>
          <w:color w:val="auto"/>
        </w:rPr>
        <w:t>The stockholders ratified the retention of KPMG</w:t>
      </w:r>
      <w:r>
        <w:rPr>
          <w:rFonts w:ascii="Arial" w:cs="Arial" w:eastAsia="Arial" w:hAnsi="Arial"/>
          <w:sz w:val="18"/>
          <w:szCs w:val="18"/>
          <w:b w:val="1"/>
          <w:bCs w:val="1"/>
          <w:color w:val="auto"/>
        </w:rPr>
        <w:t xml:space="preserve"> </w:t>
      </w:r>
      <w:r>
        <w:rPr>
          <w:rFonts w:ascii="Arial" w:cs="Arial" w:eastAsia="Arial" w:hAnsi="Arial"/>
          <w:sz w:val="18"/>
          <w:szCs w:val="18"/>
          <w:color w:val="auto"/>
        </w:rPr>
        <w:t>LLP as our independent registered public accounting firm for the fiscal year ending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Votes “For”</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Votes “Against”</w:t>
            </w:r>
          </w:p>
        </w:tc>
        <w:tc>
          <w:tcPr>
            <w:tcW w:w="1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Abstentions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1840" w:type="dxa"/>
            <w:vAlign w:val="bottom"/>
            <w:tcBorders>
              <w:top w:val="single" w:sz="8" w:color="auto"/>
            </w:tcBorders>
          </w:tcPr>
          <w:p>
            <w:pPr>
              <w:jc w:val="right"/>
              <w:ind w:right="439"/>
              <w:spacing w:after="0"/>
              <w:rPr>
                <w:sz w:val="20"/>
                <w:szCs w:val="20"/>
                <w:color w:val="auto"/>
              </w:rPr>
            </w:pPr>
            <w:r>
              <w:rPr>
                <w:rFonts w:ascii="Arial" w:cs="Arial" w:eastAsia="Arial" w:hAnsi="Arial"/>
                <w:sz w:val="18"/>
                <w:szCs w:val="18"/>
                <w:color w:val="auto"/>
              </w:rPr>
              <w:t>51,654,592</w:t>
            </w:r>
          </w:p>
        </w:tc>
        <w:tc>
          <w:tcPr>
            <w:tcW w:w="120" w:type="dxa"/>
            <w:vAlign w:val="bottom"/>
          </w:tcPr>
          <w:p>
            <w:pPr>
              <w:spacing w:after="0"/>
              <w:rPr>
                <w:sz w:val="19"/>
                <w:szCs w:val="19"/>
                <w:color w:val="auto"/>
              </w:rPr>
            </w:pPr>
          </w:p>
        </w:tc>
        <w:tc>
          <w:tcPr>
            <w:tcW w:w="1840" w:type="dxa"/>
            <w:vAlign w:val="bottom"/>
            <w:tcBorders>
              <w:top w:val="single" w:sz="8" w:color="auto"/>
            </w:tcBorders>
          </w:tcPr>
          <w:p>
            <w:pPr>
              <w:jc w:val="right"/>
              <w:ind w:right="479"/>
              <w:spacing w:after="0"/>
              <w:rPr>
                <w:sz w:val="20"/>
                <w:szCs w:val="20"/>
                <w:color w:val="auto"/>
              </w:rPr>
            </w:pPr>
            <w:r>
              <w:rPr>
                <w:rFonts w:ascii="Arial" w:cs="Arial" w:eastAsia="Arial" w:hAnsi="Arial"/>
                <w:sz w:val="18"/>
                <w:szCs w:val="18"/>
                <w:color w:val="auto"/>
              </w:rPr>
              <w:t>4,011,803</w:t>
            </w:r>
          </w:p>
        </w:tc>
        <w:tc>
          <w:tcPr>
            <w:tcW w:w="80" w:type="dxa"/>
            <w:vAlign w:val="bottom"/>
          </w:tcPr>
          <w:p>
            <w:pPr>
              <w:spacing w:after="0"/>
              <w:rPr>
                <w:sz w:val="19"/>
                <w:szCs w:val="19"/>
                <w:color w:val="auto"/>
              </w:rPr>
            </w:pPr>
          </w:p>
        </w:tc>
        <w:tc>
          <w:tcPr>
            <w:tcW w:w="1900" w:type="dxa"/>
            <w:vAlign w:val="bottom"/>
            <w:tcBorders>
              <w:top w:val="single" w:sz="8" w:color="auto"/>
            </w:tcBorders>
          </w:tcPr>
          <w:p>
            <w:pPr>
              <w:jc w:val="right"/>
              <w:ind w:right="579"/>
              <w:spacing w:after="0"/>
              <w:rPr>
                <w:sz w:val="20"/>
                <w:szCs w:val="20"/>
                <w:color w:val="auto"/>
              </w:rPr>
            </w:pPr>
            <w:r>
              <w:rPr>
                <w:rFonts w:ascii="Arial" w:cs="Arial" w:eastAsia="Arial" w:hAnsi="Arial"/>
                <w:sz w:val="18"/>
                <w:szCs w:val="18"/>
                <w:color w:val="auto"/>
              </w:rPr>
              <w:t>229,211</w:t>
            </w:r>
          </w:p>
        </w:tc>
        <w:tc>
          <w:tcPr>
            <w:tcW w:w="80" w:type="dxa"/>
            <w:vAlign w:val="bottom"/>
          </w:tcPr>
          <w:p>
            <w:pPr>
              <w:spacing w:after="0"/>
              <w:rPr>
                <w:sz w:val="19"/>
                <w:szCs w:val="19"/>
                <w:color w:val="auto"/>
              </w:rPr>
            </w:pPr>
          </w:p>
        </w:tc>
        <w:tc>
          <w:tcPr>
            <w:tcW w:w="184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May 28, 2020, the Company also held a special meeting of stockholders. Stockholders considered one proposal as described in the Company’s proxy statement filed on April 17, 2020. The final results of the voting on the matter submitted to stockholders at the special meeting are set forth below.</w:t>
      </w:r>
    </w:p>
    <w:p>
      <w:pPr>
        <w:spacing w:after="0" w:line="120" w:lineRule="exact"/>
        <w:rPr>
          <w:sz w:val="20"/>
          <w:szCs w:val="20"/>
          <w:color w:val="auto"/>
        </w:rPr>
      </w:pPr>
    </w:p>
    <w:p>
      <w:pPr>
        <w:jc w:val="both"/>
        <w:ind w:right="80"/>
        <w:spacing w:after="0" w:line="281" w:lineRule="auto"/>
        <w:rPr>
          <w:sz w:val="20"/>
          <w:szCs w:val="20"/>
          <w:color w:val="auto"/>
        </w:rPr>
      </w:pPr>
      <w:r>
        <w:rPr>
          <w:rFonts w:ascii="Arial" w:cs="Arial" w:eastAsia="Arial" w:hAnsi="Arial"/>
          <w:sz w:val="17"/>
          <w:szCs w:val="17"/>
          <w:b w:val="1"/>
          <w:bCs w:val="1"/>
          <w:color w:val="auto"/>
        </w:rPr>
        <w:t xml:space="preserve">Proposal 1 – Sales of Common Stock Below NAV. </w:t>
      </w:r>
      <w:r>
        <w:rPr>
          <w:rFonts w:ascii="Arial" w:cs="Arial" w:eastAsia="Arial" w:hAnsi="Arial"/>
          <w:sz w:val="17"/>
          <w:szCs w:val="17"/>
          <w:color w:val="auto"/>
        </w:rPr>
        <w:t>The stockholders approved the proposal to authorize the Company to sell or otherwise issue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its common stock at a price below its then-current net asset value per share in one or more offerings, in each case subject to the approval of its board of directors and subject to certain conditions as set forth in the proxy statement (including that the number of shares issued does not exceed 25% of the Company’s then-outstanding common stock immediately prior to each such offering), by the vote shown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vote on the proposal, including affiliated and unaffiliated shares,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Votes “For”</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Votes “Against”</w:t>
            </w:r>
          </w:p>
        </w:tc>
        <w:tc>
          <w:tcPr>
            <w:tcW w:w="1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Abstentions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1840" w:type="dxa"/>
            <w:vAlign w:val="bottom"/>
            <w:tcBorders>
              <w:top w:val="single" w:sz="8" w:color="auto"/>
            </w:tcBorders>
          </w:tcPr>
          <w:p>
            <w:pPr>
              <w:jc w:val="right"/>
              <w:ind w:right="439"/>
              <w:spacing w:after="0"/>
              <w:rPr>
                <w:sz w:val="20"/>
                <w:szCs w:val="20"/>
                <w:color w:val="auto"/>
              </w:rPr>
            </w:pPr>
            <w:r>
              <w:rPr>
                <w:rFonts w:ascii="Arial" w:cs="Arial" w:eastAsia="Arial" w:hAnsi="Arial"/>
                <w:sz w:val="18"/>
                <w:szCs w:val="18"/>
                <w:color w:val="auto"/>
              </w:rPr>
              <w:t>39,123,234</w:t>
            </w:r>
          </w:p>
        </w:tc>
        <w:tc>
          <w:tcPr>
            <w:tcW w:w="120" w:type="dxa"/>
            <w:vAlign w:val="bottom"/>
          </w:tcPr>
          <w:p>
            <w:pPr>
              <w:spacing w:after="0"/>
              <w:rPr>
                <w:sz w:val="19"/>
                <w:szCs w:val="19"/>
                <w:color w:val="auto"/>
              </w:rPr>
            </w:pPr>
          </w:p>
        </w:tc>
        <w:tc>
          <w:tcPr>
            <w:tcW w:w="1840" w:type="dxa"/>
            <w:vAlign w:val="bottom"/>
            <w:tcBorders>
              <w:top w:val="single" w:sz="8" w:color="auto"/>
            </w:tcBorders>
          </w:tcPr>
          <w:p>
            <w:pPr>
              <w:jc w:val="right"/>
              <w:ind w:right="479"/>
              <w:spacing w:after="0"/>
              <w:rPr>
                <w:sz w:val="20"/>
                <w:szCs w:val="20"/>
                <w:color w:val="auto"/>
              </w:rPr>
            </w:pPr>
            <w:r>
              <w:rPr>
                <w:rFonts w:ascii="Arial" w:cs="Arial" w:eastAsia="Arial" w:hAnsi="Arial"/>
                <w:sz w:val="18"/>
                <w:szCs w:val="18"/>
                <w:color w:val="auto"/>
              </w:rPr>
              <w:t>3,571,535</w:t>
            </w:r>
          </w:p>
        </w:tc>
        <w:tc>
          <w:tcPr>
            <w:tcW w:w="80" w:type="dxa"/>
            <w:vAlign w:val="bottom"/>
          </w:tcPr>
          <w:p>
            <w:pPr>
              <w:spacing w:after="0"/>
              <w:rPr>
                <w:sz w:val="19"/>
                <w:szCs w:val="19"/>
                <w:color w:val="auto"/>
              </w:rPr>
            </w:pPr>
          </w:p>
        </w:tc>
        <w:tc>
          <w:tcPr>
            <w:tcW w:w="1900" w:type="dxa"/>
            <w:vAlign w:val="bottom"/>
            <w:tcBorders>
              <w:top w:val="single" w:sz="8" w:color="auto"/>
            </w:tcBorders>
          </w:tcPr>
          <w:p>
            <w:pPr>
              <w:jc w:val="right"/>
              <w:ind w:right="579"/>
              <w:spacing w:after="0"/>
              <w:rPr>
                <w:sz w:val="20"/>
                <w:szCs w:val="20"/>
                <w:color w:val="auto"/>
              </w:rPr>
            </w:pPr>
            <w:r>
              <w:rPr>
                <w:rFonts w:ascii="Arial" w:cs="Arial" w:eastAsia="Arial" w:hAnsi="Arial"/>
                <w:sz w:val="18"/>
                <w:szCs w:val="18"/>
                <w:color w:val="auto"/>
              </w:rPr>
              <w:t>658,318</w:t>
            </w:r>
          </w:p>
        </w:tc>
        <w:tc>
          <w:tcPr>
            <w:tcW w:w="80" w:type="dxa"/>
            <w:vAlign w:val="bottom"/>
          </w:tcPr>
          <w:p>
            <w:pPr>
              <w:spacing w:after="0"/>
              <w:rPr>
                <w:sz w:val="19"/>
                <w:szCs w:val="19"/>
                <w:color w:val="auto"/>
              </w:rPr>
            </w:pPr>
          </w:p>
        </w:tc>
        <w:tc>
          <w:tcPr>
            <w:tcW w:w="184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vote on the proposal, adjusted for 18,559,963 affiliated shares,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Votes “For”</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Votes “Against”</w:t>
            </w:r>
          </w:p>
        </w:tc>
        <w:tc>
          <w:tcPr>
            <w:tcW w:w="1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Abstentions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1840" w:type="dxa"/>
            <w:vAlign w:val="bottom"/>
            <w:tcBorders>
              <w:top w:val="single" w:sz="8" w:color="auto"/>
            </w:tcBorders>
          </w:tcPr>
          <w:p>
            <w:pPr>
              <w:jc w:val="right"/>
              <w:ind w:right="439"/>
              <w:spacing w:after="0"/>
              <w:rPr>
                <w:sz w:val="20"/>
                <w:szCs w:val="20"/>
                <w:color w:val="auto"/>
              </w:rPr>
            </w:pPr>
            <w:r>
              <w:rPr>
                <w:rFonts w:ascii="Arial" w:cs="Arial" w:eastAsia="Arial" w:hAnsi="Arial"/>
                <w:sz w:val="18"/>
                <w:szCs w:val="18"/>
                <w:color w:val="auto"/>
              </w:rPr>
              <w:t>20,676,416</w:t>
            </w:r>
          </w:p>
        </w:tc>
        <w:tc>
          <w:tcPr>
            <w:tcW w:w="120" w:type="dxa"/>
            <w:vAlign w:val="bottom"/>
          </w:tcPr>
          <w:p>
            <w:pPr>
              <w:spacing w:after="0"/>
              <w:rPr>
                <w:sz w:val="19"/>
                <w:szCs w:val="19"/>
                <w:color w:val="auto"/>
              </w:rPr>
            </w:pPr>
          </w:p>
        </w:tc>
        <w:tc>
          <w:tcPr>
            <w:tcW w:w="1840" w:type="dxa"/>
            <w:vAlign w:val="bottom"/>
            <w:tcBorders>
              <w:top w:val="single" w:sz="8" w:color="auto"/>
            </w:tcBorders>
          </w:tcPr>
          <w:p>
            <w:pPr>
              <w:jc w:val="right"/>
              <w:ind w:right="479"/>
              <w:spacing w:after="0"/>
              <w:rPr>
                <w:sz w:val="20"/>
                <w:szCs w:val="20"/>
                <w:color w:val="auto"/>
              </w:rPr>
            </w:pPr>
            <w:r>
              <w:rPr>
                <w:rFonts w:ascii="Arial" w:cs="Arial" w:eastAsia="Arial" w:hAnsi="Arial"/>
                <w:sz w:val="18"/>
                <w:szCs w:val="18"/>
                <w:color w:val="auto"/>
              </w:rPr>
              <w:t>3,571,535</w:t>
            </w:r>
          </w:p>
        </w:tc>
        <w:tc>
          <w:tcPr>
            <w:tcW w:w="80" w:type="dxa"/>
            <w:vAlign w:val="bottom"/>
          </w:tcPr>
          <w:p>
            <w:pPr>
              <w:spacing w:after="0"/>
              <w:rPr>
                <w:sz w:val="19"/>
                <w:szCs w:val="19"/>
                <w:color w:val="auto"/>
              </w:rPr>
            </w:pPr>
          </w:p>
        </w:tc>
        <w:tc>
          <w:tcPr>
            <w:tcW w:w="1900" w:type="dxa"/>
            <w:vAlign w:val="bottom"/>
            <w:tcBorders>
              <w:top w:val="single" w:sz="8" w:color="auto"/>
            </w:tcBorders>
          </w:tcPr>
          <w:p>
            <w:pPr>
              <w:jc w:val="right"/>
              <w:ind w:right="579"/>
              <w:spacing w:after="0"/>
              <w:rPr>
                <w:sz w:val="20"/>
                <w:szCs w:val="20"/>
                <w:color w:val="auto"/>
              </w:rPr>
            </w:pPr>
            <w:r>
              <w:rPr>
                <w:rFonts w:ascii="Arial" w:cs="Arial" w:eastAsia="Arial" w:hAnsi="Arial"/>
                <w:sz w:val="18"/>
                <w:szCs w:val="18"/>
                <w:color w:val="auto"/>
              </w:rPr>
              <w:t>545,173</w:t>
            </w:r>
          </w:p>
        </w:tc>
        <w:tc>
          <w:tcPr>
            <w:tcW w:w="80" w:type="dxa"/>
            <w:vAlign w:val="bottom"/>
          </w:tcPr>
          <w:p>
            <w:pPr>
              <w:spacing w:after="0"/>
              <w:rPr>
                <w:sz w:val="19"/>
                <w:szCs w:val="19"/>
                <w:color w:val="auto"/>
              </w:rPr>
            </w:pPr>
          </w:p>
        </w:tc>
        <w:tc>
          <w:tcPr>
            <w:tcW w:w="184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0980"/>
          </w:cols>
          <w:pgMar w:left="440" w:top="27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251460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spacing w:after="0"/>
        <w:tabs>
          <w:tab w:leader="none" w:pos="5500" w:val="left"/>
          <w:tab w:leader="none" w:pos="5920" w:val="left"/>
        </w:tabs>
        <w:rPr>
          <w:sz w:val="20"/>
          <w:szCs w:val="20"/>
          <w:color w:val="auto"/>
        </w:rPr>
      </w:pPr>
      <w:r>
        <w:rPr>
          <w:rFonts w:ascii="Arial" w:cs="Arial" w:eastAsia="Arial" w:hAnsi="Arial"/>
          <w:sz w:val="18"/>
          <w:szCs w:val="18"/>
          <w:color w:val="auto"/>
        </w:rPr>
        <w:t>Date: May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000"/>
      </w:cols>
      <w:pgMar w:left="440" w:top="50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2020-05-28T16:49:39Z</dcterms:created>
  <dcterms:modified xsi:type="dcterms:W3CDTF">2020-05-28T16:49:39Z</dcterms:modified>
</cp:coreProperties>
</file>