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668655</wp:posOffset>
            </wp:positionH>
            <wp:positionV relativeFrom="page">
              <wp:posOffset>157480</wp:posOffset>
            </wp:positionV>
            <wp:extent cx="62242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4270" cy="7620"/>
                    </a:xfrm>
                    <a:prstGeom prst="rect">
                      <a:avLst/>
                    </a:prstGeom>
                    <a:noFill/>
                  </pic:spPr>
                </pic:pic>
              </a:graphicData>
            </a:graphic>
          </wp:anchor>
        </w:drawing>
        <w:drawing>
          <wp:anchor simplePos="0" relativeHeight="251657728" behindDoc="1" locked="0" layoutInCell="0" allowOverlap="1">
            <wp:simplePos x="0" y="0"/>
            <wp:positionH relativeFrom="page">
              <wp:posOffset>668655</wp:posOffset>
            </wp:positionH>
            <wp:positionV relativeFrom="page">
              <wp:posOffset>195580</wp:posOffset>
            </wp:positionV>
            <wp:extent cx="62242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4270" cy="7620"/>
                    </a:xfrm>
                    <a:prstGeom prst="rect">
                      <a:avLst/>
                    </a:prstGeom>
                    <a:noFill/>
                  </pic:spPr>
                </pic:pic>
              </a:graphicData>
            </a:graphic>
          </wp:anchor>
        </w:drawing>
        <w:t>UNITED STATES</w:t>
      </w:r>
    </w:p>
    <w:p>
      <w:pPr>
        <w:spacing w:after="0" w:line="15" w:lineRule="exact"/>
        <w:rPr>
          <w:sz w:val="24"/>
          <w:szCs w:val="24"/>
          <w:color w:val="auto"/>
        </w:rPr>
      </w:pPr>
    </w:p>
    <w:p>
      <w:pPr>
        <w:jc w:val="center"/>
        <w:ind w:right="-46"/>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6"/>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198755</wp:posOffset>
            </wp:positionV>
            <wp:extent cx="13119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46"/>
        <w:spacing w:after="0"/>
        <w:rPr>
          <w:sz w:val="20"/>
          <w:szCs w:val="20"/>
          <w:color w:val="auto"/>
        </w:rPr>
      </w:pPr>
      <w:r>
        <w:rPr>
          <w:rFonts w:ascii="Arial" w:cs="Arial" w:eastAsia="Arial" w:hAnsi="Arial"/>
          <w:sz w:val="29"/>
          <w:szCs w:val="29"/>
          <w:b w:val="1"/>
          <w:bCs w:val="1"/>
          <w:color w:val="auto"/>
        </w:rPr>
        <w:t>SCHEDULE 14A</w:t>
      </w:r>
    </w:p>
    <w:p>
      <w:pPr>
        <w:spacing w:after="0" w:line="195" w:lineRule="exact"/>
        <w:rPr>
          <w:sz w:val="24"/>
          <w:szCs w:val="24"/>
          <w:color w:val="auto"/>
        </w:rPr>
      </w:pPr>
    </w:p>
    <w:p>
      <w:pPr>
        <w:jc w:val="center"/>
        <w:ind w:right="-46"/>
        <w:spacing w:after="0"/>
        <w:rPr>
          <w:sz w:val="20"/>
          <w:szCs w:val="20"/>
          <w:color w:val="auto"/>
        </w:rPr>
      </w:pPr>
      <w:r>
        <w:rPr>
          <w:rFonts w:ascii="Arial" w:cs="Arial" w:eastAsia="Arial" w:hAnsi="Arial"/>
          <w:sz w:val="19"/>
          <w:szCs w:val="19"/>
          <w:b w:val="1"/>
          <w:bCs w:val="1"/>
          <w:color w:val="auto"/>
        </w:rPr>
        <w:t>Proxy Statement Pursuant to Section 14(a) of the</w:t>
      </w:r>
    </w:p>
    <w:p>
      <w:pPr>
        <w:spacing w:after="0" w:line="20" w:lineRule="exact"/>
        <w:rPr>
          <w:sz w:val="24"/>
          <w:szCs w:val="24"/>
          <w:color w:val="auto"/>
        </w:rPr>
      </w:pPr>
    </w:p>
    <w:p>
      <w:pPr>
        <w:jc w:val="center"/>
        <w:ind w:right="-46"/>
        <w:spacing w:after="0"/>
        <w:rPr>
          <w:sz w:val="20"/>
          <w:szCs w:val="20"/>
          <w:color w:val="auto"/>
        </w:rPr>
      </w:pPr>
      <w:r>
        <w:rPr>
          <w:rFonts w:ascii="Arial" w:cs="Arial" w:eastAsia="Arial" w:hAnsi="Arial"/>
          <w:sz w:val="19"/>
          <w:szCs w:val="19"/>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206375</wp:posOffset>
            </wp:positionV>
            <wp:extent cx="13119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left="7"/>
        <w:spacing w:after="0" w:line="184" w:lineRule="exact"/>
        <w:tabs>
          <w:tab w:leader="none" w:pos="2827"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6"/>
          <w:szCs w:val="16"/>
          <w:color w:val="auto"/>
        </w:rPr>
        <w:t>Check the appropriate box:</w:t>
      </w:r>
    </w:p>
    <w:p>
      <w:pPr>
        <w:spacing w:after="0" w:line="116" w:lineRule="exact"/>
        <w:rPr>
          <w:sz w:val="24"/>
          <w:szCs w:val="24"/>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0"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08"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04" w:lineRule="exact"/>
        <w:rPr>
          <w:sz w:val="24"/>
          <w:szCs w:val="24"/>
          <w:color w:val="auto"/>
        </w:rPr>
      </w:pPr>
    </w:p>
    <w:p>
      <w:pPr>
        <w:ind w:left="387" w:hanging="387"/>
        <w:spacing w:after="0"/>
        <w:tabs>
          <w:tab w:leader="none" w:pos="387"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04" w:lineRule="exact"/>
        <w:rPr>
          <w:sz w:val="24"/>
          <w:szCs w:val="24"/>
          <w:color w:val="auto"/>
        </w:rPr>
      </w:pPr>
    </w:p>
    <w:p>
      <w:pPr>
        <w:ind w:left="387" w:hanging="387"/>
        <w:spacing w:after="0"/>
        <w:tabs>
          <w:tab w:leader="none" w:pos="387"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267" w:lineRule="exact"/>
        <w:rPr>
          <w:sz w:val="24"/>
          <w:szCs w:val="24"/>
          <w:color w:val="auto"/>
        </w:rPr>
      </w:pPr>
    </w:p>
    <w:p>
      <w:pPr>
        <w:jc w:val="center"/>
        <w:ind w:right="-46"/>
        <w:spacing w:after="0"/>
        <w:rPr>
          <w:sz w:val="20"/>
          <w:szCs w:val="20"/>
          <w:color w:val="auto"/>
        </w:rPr>
      </w:pPr>
      <w:r>
        <w:rPr>
          <w:rFonts w:ascii="Arial" w:cs="Arial" w:eastAsia="Arial" w:hAnsi="Arial"/>
          <w:sz w:val="35"/>
          <w:szCs w:val="35"/>
          <w:b w:val="1"/>
          <w:bCs w:val="1"/>
          <w:color w:val="auto"/>
        </w:rPr>
        <w:t>TPG Specialty Lending, Inc.</w:t>
      </w:r>
    </w:p>
    <w:p>
      <w:pPr>
        <w:spacing w:after="0" w:line="37" w:lineRule="exact"/>
        <w:rPr>
          <w:sz w:val="24"/>
          <w:szCs w:val="24"/>
          <w:color w:val="auto"/>
        </w:rPr>
      </w:pPr>
    </w:p>
    <w:p>
      <w:pPr>
        <w:jc w:val="center"/>
        <w:ind w:right="-46"/>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311" w:lineRule="exact"/>
        <w:rPr>
          <w:sz w:val="24"/>
          <w:szCs w:val="24"/>
          <w:color w:val="auto"/>
        </w:rPr>
      </w:pPr>
    </w:p>
    <w:p>
      <w:pPr>
        <w:jc w:val="center"/>
        <w:ind w:right="-46"/>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78" w:lineRule="exact"/>
        <w:rPr>
          <w:sz w:val="24"/>
          <w:szCs w:val="24"/>
          <w:color w:val="auto"/>
        </w:rPr>
      </w:pPr>
    </w:p>
    <w:p>
      <w:pPr>
        <w:ind w:left="7"/>
        <w:spacing w:after="0"/>
        <w:rPr>
          <w:sz w:val="20"/>
          <w:szCs w:val="20"/>
          <w:color w:val="auto"/>
        </w:rPr>
      </w:pPr>
      <w:r>
        <w:rPr>
          <w:rFonts w:ascii="Arial" w:cs="Arial" w:eastAsia="Arial" w:hAnsi="Arial"/>
          <w:sz w:val="16"/>
          <w:szCs w:val="16"/>
          <w:color w:val="auto"/>
        </w:rPr>
        <w:t>Payment of Filing Fee (Check the appropriate box):</w:t>
      </w:r>
    </w:p>
    <w:p>
      <w:pPr>
        <w:spacing w:after="0" w:line="200" w:lineRule="exact"/>
        <w:rPr>
          <w:sz w:val="24"/>
          <w:szCs w:val="24"/>
          <w:color w:val="auto"/>
        </w:rPr>
      </w:pPr>
    </w:p>
    <w:p>
      <w:pPr>
        <w:ind w:left="407" w:hanging="407"/>
        <w:spacing w:after="0"/>
        <w:tabs>
          <w:tab w:leader="none" w:pos="407"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00" w:lineRule="exact"/>
        <w:rPr>
          <w:sz w:val="24"/>
          <w:szCs w:val="24"/>
          <w:color w:val="auto"/>
        </w:rPr>
      </w:pPr>
    </w:p>
    <w:p>
      <w:pPr>
        <w:ind w:left="407" w:hanging="407"/>
        <w:spacing w:after="0"/>
        <w:tabs>
          <w:tab w:leader="none" w:pos="407"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00" w:lineRule="exact"/>
        <w:rPr>
          <w:rFonts w:ascii="MS PGothic" w:cs="MS PGothic" w:eastAsia="MS PGothic" w:hAnsi="MS PGothic"/>
          <w:sz w:val="16"/>
          <w:szCs w:val="16"/>
          <w:color w:val="auto"/>
        </w:rPr>
      </w:pPr>
    </w:p>
    <w:p>
      <w:pPr>
        <w:ind w:left="787" w:hanging="379"/>
        <w:spacing w:after="0"/>
        <w:tabs>
          <w:tab w:leader="none" w:pos="787"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787" w:hanging="379"/>
        <w:spacing w:after="0"/>
        <w:tabs>
          <w:tab w:leader="none" w:pos="787"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787" w:right="220" w:hanging="379"/>
        <w:spacing w:after="0" w:line="277" w:lineRule="auto"/>
        <w:tabs>
          <w:tab w:leader="none" w:pos="787"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value of transaction computed pursuant to Exchange Act Rule 0-11 (set forth the amount on which the filing fee is calculated and state how it was determined):</w:t>
      </w:r>
    </w:p>
    <w:p>
      <w:pPr>
        <w:spacing w:after="0" w:line="392" w:lineRule="exact"/>
        <w:rPr>
          <w:rFonts w:ascii="Arial" w:cs="Arial" w:eastAsia="Arial" w:hAnsi="Arial"/>
          <w:sz w:val="16"/>
          <w:szCs w:val="16"/>
          <w:color w:val="auto"/>
        </w:rPr>
      </w:pPr>
    </w:p>
    <w:p>
      <w:pPr>
        <w:ind w:left="787" w:hanging="379"/>
        <w:spacing w:after="0"/>
        <w:tabs>
          <w:tab w:leader="none" w:pos="787"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787" w:hanging="379"/>
        <w:spacing w:after="0"/>
        <w:tabs>
          <w:tab w:leader="none" w:pos="787"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8" w:lineRule="exact"/>
        <w:rPr>
          <w:rFonts w:ascii="Arial" w:cs="Arial" w:eastAsia="Arial" w:hAnsi="Arial"/>
          <w:sz w:val="16"/>
          <w:szCs w:val="16"/>
          <w:color w:val="auto"/>
        </w:rPr>
      </w:pPr>
    </w:p>
    <w:p>
      <w:pPr>
        <w:ind w:left="407" w:hanging="407"/>
        <w:spacing w:after="0"/>
        <w:tabs>
          <w:tab w:leader="none" w:pos="407"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96" w:lineRule="exact"/>
        <w:rPr>
          <w:rFonts w:ascii="MS PGothic" w:cs="MS PGothic" w:eastAsia="MS PGothic" w:hAnsi="MS PGothic"/>
          <w:sz w:val="16"/>
          <w:szCs w:val="16"/>
          <w:color w:val="auto"/>
        </w:rPr>
      </w:pPr>
    </w:p>
    <w:p>
      <w:pPr>
        <w:ind w:left="407" w:hanging="407"/>
        <w:spacing w:after="0" w:line="312" w:lineRule="auto"/>
        <w:tabs>
          <w:tab w:leader="none" w:pos="407"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4" w:lineRule="exact"/>
        <w:rPr>
          <w:rFonts w:ascii="MS PGothic" w:cs="MS PGothic" w:eastAsia="MS PGothic" w:hAnsi="MS PGothic"/>
          <w:sz w:val="15"/>
          <w:szCs w:val="15"/>
          <w:color w:val="auto"/>
        </w:rPr>
      </w:pPr>
    </w:p>
    <w:p>
      <w:pPr>
        <w:ind w:left="787" w:hanging="379"/>
        <w:spacing w:after="0"/>
        <w:tabs>
          <w:tab w:leader="none" w:pos="787"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787" w:hanging="379"/>
        <w:spacing w:after="0"/>
        <w:tabs>
          <w:tab w:leader="none" w:pos="787"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787" w:hanging="379"/>
        <w:spacing w:after="0"/>
        <w:tabs>
          <w:tab w:leader="none" w:pos="787"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787" w:hanging="379"/>
        <w:spacing w:after="0"/>
        <w:tabs>
          <w:tab w:leader="none" w:pos="787"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503555</wp:posOffset>
            </wp:positionH>
            <wp:positionV relativeFrom="paragraph">
              <wp:posOffset>-3937635</wp:posOffset>
            </wp:positionV>
            <wp:extent cx="57207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20715" cy="762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-3540760</wp:posOffset>
            </wp:positionV>
            <wp:extent cx="572071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20715" cy="762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-3021965</wp:posOffset>
            </wp:positionV>
            <wp:extent cx="57207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20715" cy="762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-2625725</wp:posOffset>
            </wp:positionV>
            <wp:extent cx="572071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20715" cy="762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-2228850</wp:posOffset>
            </wp:positionV>
            <wp:extent cx="57207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20715" cy="762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-916940</wp:posOffset>
            </wp:positionV>
            <wp:extent cx="57207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20715" cy="762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-520065</wp:posOffset>
            </wp:positionV>
            <wp:extent cx="572071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20715" cy="762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-123190</wp:posOffset>
            </wp:positionV>
            <wp:extent cx="57207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20715" cy="762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272415</wp:posOffset>
            </wp:positionV>
            <wp:extent cx="57207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207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432435</wp:posOffset>
            </wp:positionV>
            <wp:extent cx="62242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242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470535</wp:posOffset>
            </wp:positionV>
            <wp:extent cx="622427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24270" cy="7620"/>
                    </a:xfrm>
                    <a:prstGeom prst="rect">
                      <a:avLst/>
                    </a:prstGeom>
                    <a:noFill/>
                  </pic:spPr>
                </pic:pic>
              </a:graphicData>
            </a:graphic>
          </wp:anchor>
        </w:drawing>
      </w:r>
    </w:p>
    <w:p>
      <w:pPr>
        <w:sectPr>
          <w:pgSz w:w="11900" w:h="16838" w:orient="portrait"/>
          <w:cols w:equalWidth="0" w:num="1">
            <w:col w:w="9767"/>
          </w:cols>
          <w:pgMar w:left="1053" w:top="475" w:right="107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To our Stockholders:</w:t>
      </w:r>
    </w:p>
    <w:p>
      <w:pPr>
        <w:spacing w:after="0" w:line="200" w:lineRule="exact"/>
        <w:rPr>
          <w:sz w:val="20"/>
          <w:szCs w:val="20"/>
          <w:color w:val="auto"/>
        </w:rPr>
      </w:pPr>
    </w:p>
    <w:p>
      <w:pPr>
        <w:ind w:right="400"/>
        <w:spacing w:after="0" w:line="351" w:lineRule="auto"/>
        <w:rPr>
          <w:sz w:val="20"/>
          <w:szCs w:val="20"/>
          <w:color w:val="auto"/>
        </w:rPr>
      </w:pPr>
      <w:r>
        <w:rPr>
          <w:rFonts w:ascii="Arial" w:cs="Arial" w:eastAsia="Arial" w:hAnsi="Arial"/>
          <w:sz w:val="14"/>
          <w:szCs w:val="14"/>
          <w:color w:val="auto"/>
        </w:rPr>
        <w:t>As you may already be aware, we will be holding a Special Meeting of TSLX Stockholders on October 8, 2018, where stockholders will vote on a proposal to approve the application of a 150% minimum asset coverage ratio to the Company, to be effective the day after the Special Meeting.</w:t>
      </w:r>
    </w:p>
    <w:p>
      <w:pPr>
        <w:spacing w:after="0" w:line="106"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We filed a definitive proxy statement related to the Special Meeting with the SEC on August 24, 2018. These materials highlight our and our Board’s belief that increasing leverage flexibility is in the best interest of the Company and its stockholders, given:</w:t>
      </w:r>
    </w:p>
    <w:p>
      <w:pPr>
        <w:spacing w:after="0" w:line="176" w:lineRule="exact"/>
        <w:rPr>
          <w:sz w:val="20"/>
          <w:szCs w:val="20"/>
          <w:color w:val="auto"/>
        </w:rPr>
      </w:pPr>
    </w:p>
    <w:p>
      <w:pPr>
        <w:ind w:left="760" w:right="360" w:hanging="287"/>
        <w:spacing w:after="0" w:line="258"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ability to increase the regulatory cushion through a lower minimum asset coverage requirement reduces risks from adverse market movements for the Company and stakeholders;</w:t>
      </w:r>
    </w:p>
    <w:p>
      <w:pPr>
        <w:spacing w:after="0" w:line="1" w:lineRule="exact"/>
        <w:rPr>
          <w:rFonts w:ascii="Arial" w:cs="Arial" w:eastAsia="Arial" w:hAnsi="Arial"/>
          <w:sz w:val="16"/>
          <w:szCs w:val="16"/>
          <w:color w:val="auto"/>
        </w:rPr>
      </w:pPr>
    </w:p>
    <w:p>
      <w:pPr>
        <w:ind w:left="760" w:hanging="287"/>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relative benefits of increasing the fundamental earnings power of the business outweigh the risks associated with greater leverage; and</w:t>
      </w:r>
    </w:p>
    <w:p>
      <w:pPr>
        <w:spacing w:after="0" w:line="31" w:lineRule="exact"/>
        <w:rPr>
          <w:rFonts w:ascii="Arial" w:cs="Arial" w:eastAsia="Arial" w:hAnsi="Arial"/>
          <w:sz w:val="14"/>
          <w:szCs w:val="14"/>
          <w:color w:val="auto"/>
        </w:rPr>
      </w:pPr>
    </w:p>
    <w:p>
      <w:pPr>
        <w:ind w:left="760" w:right="200" w:hanging="287"/>
        <w:spacing w:after="0" w:line="261"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Confirmation from S&amp;P, Fitch and Kroll that we would be able to maintain investment grade ratings under our revised financial policy of 0.9x-1.25x target debt-to-equity range.</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Board approved the application of the lower minimum asset coverage ratio to the Company on August 1, 2018, which means the lower ratio will be effective on August 1, 2019 regardless of the outcome of the proposal at the Special Meeting. However, we believe it is in the best interest of the Company and its stockholders to obtain regulatory relief and leverage flexibility as soon as practicable, which can be achieved through a stockholder vote.</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believe we have the right principles and risk management framework to protect our stockholders’ capital. Equally important, we believe we have the right human capital, as demonstrated by our investment track record, to utilize incremental leverage capacity to create long-term value for our stockholders.</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For your reference we have attached a presentation that walks you through our rationale for this proposal. We’re happy to get on the phone and answer any questions you may have because we value your input as stockholders of TSLX.</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Josh Easterly, Ian Simmonds, Bo Stanley, Lucy Lu and the TSLX team</w:t>
      </w:r>
    </w:p>
    <w:p>
      <w:pPr>
        <w:sectPr>
          <w:pgSz w:w="11900" w:h="16838" w:orient="portrait"/>
          <w:cols w:equalWidth="0" w:num="1">
            <w:col w:w="9760"/>
          </w:cols>
          <w:pgMar w:left="1060" w:top="259" w:right="107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2019-12-07T21:04:41Z</dcterms:created>
  <dcterms:modified xsi:type="dcterms:W3CDTF">2019-12-07T21:04:41Z</dcterms:modified>
</cp:coreProperties>
</file>