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August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147955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92"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73025</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5"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3"/>
              </w:rPr>
              <w:t>Delaware</w:t>
            </w:r>
          </w:p>
        </w:tc>
        <w:tc>
          <w:tcPr>
            <w:tcW w:w="3220" w:type="dxa"/>
            <w:vAlign w:val="bottom"/>
          </w:tcPr>
          <w:p>
            <w:pPr>
              <w:ind w:left="1060"/>
              <w:spacing w:after="0"/>
              <w:rPr>
                <w:sz w:val="20"/>
                <w:szCs w:val="20"/>
                <w:color w:val="auto"/>
              </w:rPr>
            </w:pPr>
            <w:r>
              <w:rPr>
                <w:rFonts w:ascii="Arial" w:cs="Arial" w:eastAsia="Arial" w:hAnsi="Arial"/>
                <w:sz w:val="18"/>
                <w:szCs w:val="18"/>
                <w:b w:val="1"/>
                <w:bCs w:val="1"/>
                <w:color w:val="auto"/>
              </w:rPr>
              <w:t>001-36364</w:t>
            </w:r>
          </w:p>
        </w:tc>
        <w:tc>
          <w:tcPr>
            <w:tcW w:w="250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740" w:type="dxa"/>
            <w:vAlign w:val="bottom"/>
          </w:tcPr>
          <w:p>
            <w:pPr>
              <w:jc w:val="center"/>
              <w:ind w:right="9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49" w:lineRule="exact"/>
              <w:rPr>
                <w:sz w:val="20"/>
                <w:szCs w:val="20"/>
                <w:color w:val="auto"/>
              </w:rPr>
            </w:pPr>
            <w:r>
              <w:rPr>
                <w:rFonts w:ascii="Arial" w:cs="Arial" w:eastAsia="Arial" w:hAnsi="Arial"/>
                <w:sz w:val="14"/>
                <w:szCs w:val="14"/>
                <w:b w:val="1"/>
                <w:bCs w:val="1"/>
                <w:color w:val="auto"/>
              </w:rPr>
              <w:t>(Commission</w:t>
            </w:r>
          </w:p>
        </w:tc>
        <w:tc>
          <w:tcPr>
            <w:tcW w:w="250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96"/>
              </w:rPr>
              <w:t>Identification No.)</w:t>
            </w:r>
          </w:p>
        </w:tc>
      </w:tr>
      <w:tr>
        <w:trPr>
          <w:trHeight w:val="277"/>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12"/>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18"/>
                <w:szCs w:val="18"/>
                <w:color w:val="auto"/>
              </w:rPr>
            </w:pPr>
          </w:p>
        </w:tc>
        <w:tc>
          <w:tcPr>
            <w:tcW w:w="25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500" w:type="dxa"/>
            <w:vAlign w:val="bottom"/>
          </w:tcPr>
          <w:p>
            <w:pPr>
              <w:jc w:val="center"/>
              <w:ind w:left="1281"/>
              <w:spacing w:after="0"/>
              <w:rPr>
                <w:sz w:val="20"/>
                <w:szCs w:val="20"/>
                <w:color w:val="auto"/>
              </w:rPr>
            </w:pPr>
            <w:r>
              <w:rPr>
                <w:rFonts w:ascii="Arial" w:cs="Arial" w:eastAsia="Arial" w:hAnsi="Arial"/>
                <w:sz w:val="14"/>
                <w:szCs w:val="14"/>
                <w:b w:val="1"/>
                <w:bCs w:val="1"/>
                <w:color w:val="auto"/>
                <w:w w:val="88"/>
              </w:rPr>
              <w:t>(zip code)</w:t>
            </w:r>
          </w:p>
        </w:tc>
      </w:tr>
    </w:tbl>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51435</wp:posOffset>
            </wp:positionV>
            <wp:extent cx="16459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101"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68"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72"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4, 2020, the registrant issued a press release announcing its financial results for the quarter ended June 30, 2020.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 August 4, 2020, the registrant issued a press release, included herewith as Exhibit 99.1, announcing the declaration of a third quarter 2020 base dividend per share of $0.41 to shareholders of record as of September 15, 2020, payable on October 15, 2020.</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20"/>
        <w:spacing w:after="0"/>
        <w:tabs>
          <w:tab w:leader="none" w:pos="12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August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800" w:type="dxa"/>
            <w:vAlign w:val="bottom"/>
            <w:gridSpan w:val="2"/>
          </w:tcPr>
          <w:p>
            <w:pPr>
              <w:ind w:left="1880"/>
              <w:spacing w:after="0"/>
              <w:rPr>
                <w:sz w:val="20"/>
                <w:szCs w:val="20"/>
                <w:color w:val="auto"/>
              </w:rPr>
            </w:pPr>
            <w:r>
              <w:rPr>
                <w:rFonts w:ascii="Arial" w:cs="Arial" w:eastAsia="Arial" w:hAnsi="Arial"/>
                <w:sz w:val="18"/>
                <w:szCs w:val="18"/>
                <w:color w:val="auto"/>
              </w:rPr>
              <w:t>SIXTH STREET SPECIALTY LENDING, INC.</w:t>
            </w:r>
          </w:p>
        </w:tc>
      </w:tr>
      <w:tr>
        <w:trPr>
          <w:trHeight w:val="230"/>
        </w:trPr>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August 4, 2020</w:t>
            </w:r>
          </w:p>
        </w:tc>
        <w:tc>
          <w:tcPr>
            <w:tcW w:w="7800" w:type="dxa"/>
            <w:vAlign w:val="bottom"/>
            <w:gridSpan w:val="2"/>
          </w:tcPr>
          <w:p>
            <w:pPr>
              <w:ind w:left="1880"/>
              <w:spacing w:after="0"/>
              <w:rPr>
                <w:sz w:val="20"/>
                <w:szCs w:val="20"/>
                <w:color w:val="auto"/>
              </w:rPr>
            </w:pPr>
            <w:r>
              <w:rPr>
                <w:rFonts w:ascii="Arial" w:cs="Arial" w:eastAsia="Arial" w:hAnsi="Arial"/>
                <w:sz w:val="18"/>
                <w:szCs w:val="18"/>
                <w:color w:val="auto"/>
              </w:rPr>
              <w:t>By:   /s/ Ian Simmonds</w:t>
            </w:r>
          </w:p>
        </w:tc>
      </w:tr>
      <w:tr>
        <w:trPr>
          <w:trHeight w:val="195"/>
        </w:trPr>
        <w:tc>
          <w:tcPr>
            <w:tcW w:w="34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4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4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36271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SECOND QUARTER 2020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Sixth Street Specialty Lending, Inc. Reports Second Quarter Net Investment Income Per Share of $0.59 and NAV Per Share of $16.08; Declares a Third Quarter Base Dividend Per Share of $0.41</w:t>
      </w:r>
    </w:p>
    <w:p>
      <w:pPr>
        <w:sectPr>
          <w:pgSz w:w="11900" w:h="16838" w:orient="portrait"/>
          <w:cols w:equalWidth="0" w:num="1">
            <w:col w:w="11240"/>
          </w:cols>
          <w:pgMar w:left="320" w:top="121" w:right="339" w:bottom="1440" w:gutter="0" w:footer="0" w:header="0"/>
        </w:sectPr>
      </w:pPr>
    </w:p>
    <w:p>
      <w:pPr>
        <w:spacing w:after="0" w:line="3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NEW YORK—August 4, 2020— Sixth Street Specialty Lending, Inc. (NYSE: TSLX, or the “Company”) today reported net investment income of $39.5 million, or $0.59 per share, and net income of $95.9 million, or $1.43 per share, for the second quarter ended June 30, 2020. These results correspond to an annualized return on equity (ROE) on net investment income and net income of 15.6% and 38.0%, respectively, and an annualized year-to-date ROE on net investment income and net income of 13.1% and 7.6%, respectively. The Company’s net investment income this quarter was supported by elevated prepayment and other fee activity in the portfolio, and the Company’s strong net income this quarter was primarily driven by unrealized gains from the impact of credit spread tightening on the valuation of the Company’s portfolio.</w:t>
      </w:r>
    </w:p>
    <w:p>
      <w:pPr>
        <w:spacing w:after="0" w:line="113"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Reported net asset value (NAV) per share was $16.08 at June 30, 2020 as compared to reported NAV per share of $15.57 at March 31, 2020, or adjusted NAV per share of $15.07 at March 31, 2020 (which accounts for the impact of the 50 cents aggregate special dividends per share that were paid during Q2). The leading driver of this quarter’s NAV per share growth was $0.72 per share of unrealized gains from the impact of credit spread tightening on the valuation of the Company’s investments.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announced that its Board of Directors has declared a third quarter 2020 base dividend of $0.41 per share for shareholders of record as of September 15, 2020, payable on October 15, 2020. No supplemental dividends were declared relating to Q2 earnings as a result of the NAV test on the Company’s dividend framework, which specifies that no supplemental dividends are declared if pro forma NAV per share (adjusted for the impact of any supplemental dividends) over the current and preceding quarter declines by more than 15 cents per share. Any downward impact to NAV per share as a result of special dividends are added back for the purposes of this NAV test.</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Company’s current outlook and assuming no material declines to NAV per share as a result of exogenous events (like the market volatility observed in March), the Company would expect to resume declaring supplemental dividends on over-earnings in Q3, provided that reported NAV per share at September 30, 2020 is greater than $14.92.</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134235" cy="248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$39.5</w:t>
            </w:r>
          </w:p>
        </w:tc>
      </w:tr>
      <w:tr>
        <w:trPr>
          <w:trHeight w:val="95"/>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1820" w:type="dxa"/>
            <w:vAlign w:val="bottom"/>
            <w:tcBorders>
              <w:bottom w:val="single" w:sz="8" w:color="D9DDE1"/>
            </w:tcBorders>
          </w:tcPr>
          <w:p>
            <w:pPr>
              <w:spacing w:after="0"/>
              <w:rPr>
                <w:sz w:val="8"/>
                <w:szCs w:val="8"/>
                <w:color w:val="auto"/>
              </w:rPr>
            </w:pPr>
          </w:p>
        </w:tc>
        <w:tc>
          <w:tcPr>
            <w:tcW w:w="820" w:type="dxa"/>
            <w:vAlign w:val="bottom"/>
            <w:tcBorders>
              <w:bottom w:val="single" w:sz="8" w:color="D9DDE1"/>
            </w:tcBorders>
          </w:tcPr>
          <w:p>
            <w:pPr>
              <w:spacing w:after="0"/>
              <w:rPr>
                <w:sz w:val="8"/>
                <w:szCs w:val="8"/>
                <w:color w:val="auto"/>
              </w:rPr>
            </w:pPr>
          </w:p>
        </w:tc>
      </w:tr>
      <w:tr>
        <w:trPr>
          <w:trHeight w:val="290"/>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$0.59</w:t>
            </w:r>
          </w:p>
        </w:tc>
      </w:tr>
      <w:tr>
        <w:trPr>
          <w:trHeight w:val="297"/>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1820" w:type="dxa"/>
            <w:vAlign w:val="bottom"/>
            <w:shd w:val="clear" w:color="auto" w:fill="0F2F50"/>
          </w:tcPr>
          <w:p>
            <w:pPr>
              <w:jc w:val="center"/>
              <w:ind w:left="10"/>
              <w:spacing w:after="0"/>
              <w:rPr>
                <w:sz w:val="20"/>
                <w:szCs w:val="20"/>
                <w:color w:val="auto"/>
              </w:rPr>
            </w:pPr>
            <w:r>
              <w:rPr>
                <w:rFonts w:ascii="Arial" w:cs="Arial" w:eastAsia="Arial" w:hAnsi="Arial"/>
                <w:sz w:val="18"/>
                <w:szCs w:val="18"/>
                <w:b w:val="1"/>
                <w:bCs w:val="1"/>
                <w:color w:val="FFFFFF"/>
                <w:w w:val="90"/>
              </w:rPr>
              <w:t>Net Income</w:t>
            </w:r>
          </w:p>
        </w:tc>
        <w:tc>
          <w:tcPr>
            <w:tcW w:w="82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1820" w:type="dxa"/>
            <w:vAlign w:val="bottom"/>
            <w:shd w:val="clear" w:color="auto" w:fill="0F2F50"/>
          </w:tcPr>
          <w:p>
            <w:pPr>
              <w:spacing w:after="0"/>
              <w:rPr>
                <w:sz w:val="8"/>
                <w:szCs w:val="8"/>
                <w:color w:val="auto"/>
              </w:rPr>
            </w:pPr>
          </w:p>
        </w:tc>
        <w:tc>
          <w:tcPr>
            <w:tcW w:w="820" w:type="dxa"/>
            <w:vAlign w:val="bottom"/>
            <w:shd w:val="clear" w:color="auto" w:fill="0F2F50"/>
          </w:tcPr>
          <w:p>
            <w:pPr>
              <w:spacing w:after="0"/>
              <w:rPr>
                <w:sz w:val="8"/>
                <w:szCs w:val="8"/>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$95.9</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1820" w:type="dxa"/>
            <w:vAlign w:val="bottom"/>
            <w:tcBorders>
              <w:bottom w:val="single" w:sz="8" w:color="D9DDE1"/>
            </w:tcBorders>
          </w:tcPr>
          <w:p>
            <w:pPr>
              <w:spacing w:after="0"/>
              <w:rPr>
                <w:sz w:val="8"/>
                <w:szCs w:val="8"/>
                <w:color w:val="auto"/>
              </w:rPr>
            </w:pPr>
          </w:p>
        </w:tc>
        <w:tc>
          <w:tcPr>
            <w:tcW w:w="82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$1.43</w:t>
            </w:r>
          </w:p>
        </w:tc>
      </w:tr>
      <w:tr>
        <w:trPr>
          <w:trHeight w:val="297"/>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1820" w:type="dxa"/>
            <w:vAlign w:val="bottom"/>
            <w:shd w:val="clear" w:color="auto" w:fill="0F2F50"/>
          </w:tcPr>
          <w:p>
            <w:pPr>
              <w:jc w:val="center"/>
              <w:ind w:left="10"/>
              <w:spacing w:after="0"/>
              <w:rPr>
                <w:sz w:val="20"/>
                <w:szCs w:val="20"/>
                <w:color w:val="auto"/>
              </w:rPr>
            </w:pPr>
            <w:r>
              <w:rPr>
                <w:rFonts w:ascii="Arial" w:cs="Arial" w:eastAsia="Arial" w:hAnsi="Arial"/>
                <w:sz w:val="18"/>
                <w:szCs w:val="18"/>
                <w:b w:val="1"/>
                <w:bCs w:val="1"/>
                <w:color w:val="FFFFFF"/>
                <w:w w:val="94"/>
              </w:rPr>
              <w:t>NAV</w:t>
            </w:r>
          </w:p>
        </w:tc>
        <w:tc>
          <w:tcPr>
            <w:tcW w:w="820" w:type="dxa"/>
            <w:vAlign w:val="bottom"/>
            <w:shd w:val="clear" w:color="auto" w:fill="0F2F50"/>
          </w:tcPr>
          <w:p>
            <w:pPr>
              <w:spacing w:after="0"/>
              <w:rPr>
                <w:sz w:val="24"/>
                <w:szCs w:val="24"/>
                <w:color w:val="auto"/>
              </w:rPr>
            </w:pPr>
          </w:p>
        </w:tc>
      </w:tr>
      <w:tr>
        <w:trPr>
          <w:trHeight w:val="95"/>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1820" w:type="dxa"/>
            <w:vAlign w:val="bottom"/>
            <w:shd w:val="clear" w:color="auto" w:fill="0F2F50"/>
          </w:tcPr>
          <w:p>
            <w:pPr>
              <w:spacing w:after="0"/>
              <w:rPr>
                <w:sz w:val="8"/>
                <w:szCs w:val="8"/>
                <w:color w:val="auto"/>
              </w:rPr>
            </w:pPr>
          </w:p>
        </w:tc>
        <w:tc>
          <w:tcPr>
            <w:tcW w:w="820" w:type="dxa"/>
            <w:vAlign w:val="bottom"/>
            <w:shd w:val="clear" w:color="auto" w:fill="0F2F50"/>
          </w:tcPr>
          <w:p>
            <w:pPr>
              <w:spacing w:after="0"/>
              <w:rPr>
                <w:sz w:val="8"/>
                <w:szCs w:val="8"/>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$1,083</w:t>
            </w:r>
          </w:p>
        </w:tc>
      </w:tr>
      <w:tr>
        <w:trPr>
          <w:trHeight w:val="94"/>
        </w:trPr>
        <w:tc>
          <w:tcPr>
            <w:tcW w:w="320" w:type="dxa"/>
            <w:vAlign w:val="bottom"/>
            <w:tcBorders>
              <w:bottom w:val="single" w:sz="8" w:color="D9DDE1"/>
            </w:tcBorders>
          </w:tcPr>
          <w:p>
            <w:pPr>
              <w:spacing w:after="0"/>
              <w:rPr>
                <w:sz w:val="8"/>
                <w:szCs w:val="8"/>
                <w:color w:val="auto"/>
              </w:rPr>
            </w:pPr>
          </w:p>
        </w:tc>
        <w:tc>
          <w:tcPr>
            <w:tcW w:w="400" w:type="dxa"/>
            <w:vAlign w:val="bottom"/>
            <w:tcBorders>
              <w:bottom w:val="single" w:sz="8" w:color="D9DDE1"/>
            </w:tcBorders>
          </w:tcPr>
          <w:p>
            <w:pPr>
              <w:spacing w:after="0"/>
              <w:rPr>
                <w:sz w:val="8"/>
                <w:szCs w:val="8"/>
                <w:color w:val="auto"/>
              </w:rPr>
            </w:pPr>
          </w:p>
        </w:tc>
        <w:tc>
          <w:tcPr>
            <w:tcW w:w="1820" w:type="dxa"/>
            <w:vAlign w:val="bottom"/>
            <w:tcBorders>
              <w:bottom w:val="single" w:sz="8" w:color="D9DDE1"/>
            </w:tcBorders>
          </w:tcPr>
          <w:p>
            <w:pPr>
              <w:spacing w:after="0"/>
              <w:rPr>
                <w:sz w:val="8"/>
                <w:szCs w:val="8"/>
                <w:color w:val="auto"/>
              </w:rPr>
            </w:pPr>
          </w:p>
        </w:tc>
        <w:tc>
          <w:tcPr>
            <w:tcW w:w="82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$16.08</w:t>
            </w:r>
          </w:p>
        </w:tc>
      </w:tr>
      <w:tr>
        <w:trPr>
          <w:trHeight w:val="297"/>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320" w:type="dxa"/>
            <w:vAlign w:val="bottom"/>
            <w:shd w:val="clear" w:color="auto" w:fill="0F2F50"/>
          </w:tcPr>
          <w:p>
            <w:pPr>
              <w:spacing w:after="0"/>
              <w:rPr>
                <w:sz w:val="24"/>
                <w:szCs w:val="24"/>
                <w:color w:val="auto"/>
              </w:rPr>
            </w:pPr>
          </w:p>
        </w:tc>
        <w:tc>
          <w:tcPr>
            <w:tcW w:w="400" w:type="dxa"/>
            <w:vAlign w:val="bottom"/>
            <w:shd w:val="clear" w:color="auto" w:fill="0F2F50"/>
          </w:tcPr>
          <w:p>
            <w:pPr>
              <w:spacing w:after="0"/>
              <w:rPr>
                <w:sz w:val="24"/>
                <w:szCs w:val="24"/>
                <w:color w:val="auto"/>
              </w:rPr>
            </w:pPr>
          </w:p>
        </w:tc>
        <w:tc>
          <w:tcPr>
            <w:tcW w:w="182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90"/>
              </w:rPr>
              <w:t>Dividend (per share)</w:t>
            </w:r>
          </w:p>
        </w:tc>
        <w:tc>
          <w:tcPr>
            <w:tcW w:w="820" w:type="dxa"/>
            <w:vAlign w:val="bottom"/>
            <w:shd w:val="clear" w:color="auto" w:fill="0F2F50"/>
          </w:tcPr>
          <w:p>
            <w:pPr>
              <w:spacing w:after="0"/>
              <w:rPr>
                <w:sz w:val="24"/>
                <w:szCs w:val="24"/>
                <w:color w:val="auto"/>
              </w:rPr>
            </w:pPr>
          </w:p>
        </w:tc>
      </w:tr>
      <w:tr>
        <w:trPr>
          <w:trHeight w:val="94"/>
        </w:trPr>
        <w:tc>
          <w:tcPr>
            <w:tcW w:w="320" w:type="dxa"/>
            <w:vAlign w:val="bottom"/>
            <w:shd w:val="clear" w:color="auto" w:fill="0F2F50"/>
          </w:tcPr>
          <w:p>
            <w:pPr>
              <w:spacing w:after="0"/>
              <w:rPr>
                <w:sz w:val="8"/>
                <w:szCs w:val="8"/>
                <w:color w:val="auto"/>
              </w:rPr>
            </w:pPr>
          </w:p>
        </w:tc>
        <w:tc>
          <w:tcPr>
            <w:tcW w:w="400" w:type="dxa"/>
            <w:vAlign w:val="bottom"/>
            <w:shd w:val="clear" w:color="auto" w:fill="0F2F50"/>
          </w:tcPr>
          <w:p>
            <w:pPr>
              <w:spacing w:after="0"/>
              <w:rPr>
                <w:sz w:val="8"/>
                <w:szCs w:val="8"/>
                <w:color w:val="auto"/>
              </w:rPr>
            </w:pPr>
          </w:p>
        </w:tc>
        <w:tc>
          <w:tcPr>
            <w:tcW w:w="1820" w:type="dxa"/>
            <w:vAlign w:val="bottom"/>
            <w:shd w:val="clear" w:color="auto" w:fill="0F2F50"/>
          </w:tcPr>
          <w:p>
            <w:pPr>
              <w:spacing w:after="0"/>
              <w:rPr>
                <w:sz w:val="8"/>
                <w:szCs w:val="8"/>
                <w:color w:val="auto"/>
              </w:rPr>
            </w:pPr>
          </w:p>
        </w:tc>
        <w:tc>
          <w:tcPr>
            <w:tcW w:w="820" w:type="dxa"/>
            <w:vAlign w:val="bottom"/>
            <w:shd w:val="clear" w:color="auto" w:fill="0F2F50"/>
          </w:tcPr>
          <w:p>
            <w:pPr>
              <w:spacing w:after="0"/>
              <w:rPr>
                <w:sz w:val="8"/>
                <w:szCs w:val="8"/>
                <w:color w:val="auto"/>
              </w:rPr>
            </w:pPr>
          </w:p>
        </w:tc>
      </w:tr>
      <w:tr>
        <w:trPr>
          <w:trHeight w:val="29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2020</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$0.41</w:t>
            </w:r>
          </w:p>
        </w:tc>
      </w:tr>
      <w:tr>
        <w:trPr>
          <w:trHeight w:val="95"/>
        </w:trPr>
        <w:tc>
          <w:tcPr>
            <w:tcW w:w="2540" w:type="dxa"/>
            <w:vAlign w:val="bottom"/>
            <w:tcBorders>
              <w:bottom w:val="single" w:sz="8" w:color="D9DDE1"/>
            </w:tcBorders>
            <w:gridSpan w:val="3"/>
          </w:tcPr>
          <w:p>
            <w:pPr>
              <w:spacing w:after="0"/>
              <w:rPr>
                <w:sz w:val="8"/>
                <w:szCs w:val="8"/>
                <w:color w:val="auto"/>
              </w:rPr>
            </w:pPr>
          </w:p>
        </w:tc>
        <w:tc>
          <w:tcPr>
            <w:tcW w:w="820" w:type="dxa"/>
            <w:vAlign w:val="bottom"/>
            <w:tcBorders>
              <w:bottom w:val="single" w:sz="8" w:color="D9DDE1"/>
            </w:tcBorders>
          </w:tcPr>
          <w:p>
            <w:pPr>
              <w:spacing w:after="0"/>
              <w:rPr>
                <w:sz w:val="8"/>
                <w:szCs w:val="8"/>
                <w:color w:val="auto"/>
              </w:rPr>
            </w:pPr>
          </w:p>
        </w:tc>
      </w:tr>
      <w:tr>
        <w:trPr>
          <w:trHeight w:val="290"/>
        </w:trPr>
        <w:tc>
          <w:tcPr>
            <w:tcW w:w="25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Q2’20 (Base):</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$1.60</w:t>
            </w:r>
          </w:p>
        </w:tc>
      </w:tr>
      <w:tr>
        <w:trPr>
          <w:trHeight w:val="81"/>
        </w:trPr>
        <w:tc>
          <w:tcPr>
            <w:tcW w:w="2540" w:type="dxa"/>
            <w:vAlign w:val="bottom"/>
            <w:tcBorders>
              <w:bottom w:val="single" w:sz="8" w:color="D9DDE1"/>
            </w:tcBorders>
            <w:gridSpan w:val="3"/>
          </w:tcPr>
          <w:p>
            <w:pPr>
              <w:spacing w:after="0"/>
              <w:rPr>
                <w:sz w:val="7"/>
                <w:szCs w:val="7"/>
                <w:color w:val="auto"/>
              </w:rPr>
            </w:pPr>
          </w:p>
        </w:tc>
        <w:tc>
          <w:tcPr>
            <w:tcW w:w="820" w:type="dxa"/>
            <w:vAlign w:val="bottom"/>
            <w:tcBorders>
              <w:bottom w:val="single" w:sz="8" w:color="D9DDE1"/>
            </w:tcBorders>
          </w:tcPr>
          <w:p>
            <w:pPr>
              <w:spacing w:after="0"/>
              <w:rPr>
                <w:sz w:val="7"/>
                <w:szCs w:val="7"/>
                <w:color w:val="auto"/>
              </w:rPr>
            </w:pPr>
          </w:p>
        </w:tc>
      </w:tr>
      <w:tr>
        <w:trPr>
          <w:trHeight w:val="291"/>
        </w:trPr>
        <w:tc>
          <w:tcPr>
            <w:tcW w:w="25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Q2’20 (Supp/Special):</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$0.64</w:t>
            </w:r>
          </w:p>
        </w:tc>
      </w:tr>
      <w:tr>
        <w:trPr>
          <w:trHeight w:val="81"/>
        </w:trPr>
        <w:tc>
          <w:tcPr>
            <w:tcW w:w="2540" w:type="dxa"/>
            <w:vAlign w:val="bottom"/>
            <w:tcBorders>
              <w:bottom w:val="single" w:sz="8" w:color="D9DDE1"/>
            </w:tcBorders>
            <w:gridSpan w:val="3"/>
          </w:tcPr>
          <w:p>
            <w:pPr>
              <w:spacing w:after="0"/>
              <w:rPr>
                <w:sz w:val="7"/>
                <w:szCs w:val="7"/>
                <w:color w:val="auto"/>
              </w:rPr>
            </w:pPr>
          </w:p>
        </w:tc>
        <w:tc>
          <w:tcPr>
            <w:tcW w:w="820" w:type="dxa"/>
            <w:vAlign w:val="bottom"/>
            <w:tcBorders>
              <w:bottom w:val="single" w:sz="8" w:color="D9DDE1"/>
            </w:tcBorders>
          </w:tcPr>
          <w:p>
            <w:pPr>
              <w:spacing w:after="0"/>
              <w:rPr>
                <w:sz w:val="7"/>
                <w:szCs w:val="7"/>
                <w:color w:val="auto"/>
              </w:rPr>
            </w:pPr>
          </w:p>
        </w:tc>
      </w:tr>
      <w:tr>
        <w:trPr>
          <w:trHeight w:val="290"/>
        </w:trPr>
        <w:tc>
          <w:tcPr>
            <w:tcW w:w="2540" w:type="dxa"/>
            <w:vAlign w:val="bottom"/>
            <w:gridSpan w:val="3"/>
          </w:tcPr>
          <w:p>
            <w:pPr>
              <w:ind w:left="60"/>
              <w:spacing w:after="0"/>
              <w:rPr>
                <w:sz w:val="20"/>
                <w:szCs w:val="20"/>
                <w:color w:val="auto"/>
              </w:rPr>
            </w:pPr>
            <w:r>
              <w:rPr>
                <w:rFonts w:ascii="Arial" w:cs="Arial" w:eastAsia="Arial" w:hAnsi="Arial"/>
                <w:sz w:val="18"/>
                <w:szCs w:val="18"/>
                <w:b w:val="1"/>
                <w:bCs w:val="1"/>
                <w:color w:val="auto"/>
              </w:rPr>
              <w:t>LTM Q2’20 (Total):</w:t>
            </w: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$2.24</w:t>
            </w:r>
          </w:p>
        </w:tc>
      </w:tr>
    </w:tbl>
    <w:p>
      <w:pPr>
        <w:spacing w:after="0" w:line="200" w:lineRule="exact"/>
        <w:rPr>
          <w:sz w:val="20"/>
          <w:szCs w:val="20"/>
          <w:color w:val="auto"/>
        </w:rPr>
      </w:pPr>
    </w:p>
    <w:p>
      <w:pPr>
        <w:sectPr>
          <w:pgSz w:w="11900" w:h="16838" w:orient="portrait"/>
          <w:cols w:equalWidth="0" w:num="2">
            <w:col w:w="7540" w:space="340"/>
            <w:col w:w="3360"/>
          </w:cols>
          <w:pgMar w:left="320" w:top="121"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226060</wp:posOffset>
            </wp:positionV>
            <wp:extent cx="1362710" cy="402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00" w:lineRule="exact"/>
        <w:rPr>
          <w:sz w:val="20"/>
          <w:szCs w:val="20"/>
          <w:color w:val="auto"/>
        </w:rPr>
      </w:pPr>
    </w:p>
    <w:p>
      <w:pPr>
        <w:spacing w:after="0" w:line="2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June 30, 2020, new investment commitments totaled $89.2 million. This compares to $134.0 million for the quarter ended March 31, 2020.</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June 30, 2020, the principal amount of new investments funded was $76.5 million in six new portfolio companies and six existing portfolio companies. For this period, the Company had $210.7 million aggregate principal amount in exits and repayments. For the quarter ended March 31, 2020, the principal amount of new investments funded was $80.3 million in three new portfolio companies and four existing portfolio companies. For this period, the Company had $211.9 million aggregate principal amount in exits and repayments.</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June 30, 2020 and March 31, 2020, the Company had investments in 65 and 62 portfolio companies, respectively, with an aggregate fair value of $1,983.8 million and $2,045.6 million, respectively. As of June 30, 2020, the average investment size in each portfolio company was $30.5 million based on fair value.</w:t>
      </w:r>
    </w:p>
    <w:p>
      <w:pPr>
        <w:spacing w:after="0" w:line="11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As of June 30, 2020, the Company’s portfolio based on fair value consisted of 95.7% first-lien debt investments, 0.4% second-lien debt investments, 0.4% mezzanine investments, and 3.5% equity and other investments. As of March 31, 2020, the Company’s portfolio based on fair value consisted of 97.1% first-lien debt investments, 0.2% second-lien debt investments, 0.1% mezzanine investments, and 2.6% equity and other investments.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2020 and March 31, 2020, approximately 96.1% and 97.3% of the portfolio was invested in secured debt, respectively.</w:t>
      </w:r>
    </w:p>
    <w:p>
      <w:pPr>
        <w:spacing w:after="0" w:line="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June 30, 2020, 98.8% of debt investments based on fair value in the portfolio bore interest at floating rates (when including investment specific hedges), with 98.5% of these subject to a weighted average LIBOR floor of approximately 1.15%.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March 31, 2020, the weighted average total yield</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of debt and income-producing securities at fair value (which includes interest income and amortization of fees and discounts) was 10.0% and 10.2%, respectively, and the weighted average total yield of debt and income-producing securities at amortized cost (which includes interest income and amortization of fees and discounts) was 10.0% and 9.9%, respectively.</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2020, 99.6% of the portfolio at fair value was meeting all payment and covenant requirements. The increase in this quarter’s non-accrual status was driven by the Company’s Neiman Marcus 1st lien term loan (not ABL FILO term loan) and the residual non-DIP roll up portions of the Company’s J.C. Penney 1st lien term loan and secured notes. Given expectations for less-than-par recoveries, the Company has applied the regularly scheduled cash interest payments it received to the amortized cost of these positions, all of which were acquired at prices less than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1262380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44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897890</wp:posOffset>
            </wp:positionV>
            <wp:extent cx="2134235" cy="248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Commitments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$89.2MM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Fundings / Net Fundings (Paydowns)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$76.5MM / ($134.1MM)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$30.5MM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(1.5%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2134235" cy="248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2134235" cy="248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Floating Rate Investments (% FV)</w:t>
      </w:r>
    </w:p>
    <w:p>
      <w:pPr>
        <w:spacing w:after="0" w:line="185"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626110</wp:posOffset>
            </wp:positionV>
            <wp:extent cx="2134235"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FFFFFF"/>
        </w:rPr>
        <w:t>Weighted Average Yields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95"/>
        </w:trPr>
        <w:tc>
          <w:tcPr>
            <w:tcW w:w="2380" w:type="dxa"/>
            <w:vAlign w:val="bottom"/>
            <w:tcBorders>
              <w:bottom w:val="single" w:sz="8" w:color="D9DDE1"/>
            </w:tcBorders>
          </w:tcPr>
          <w:p>
            <w:pPr>
              <w:spacing w:after="0"/>
              <w:rPr>
                <w:sz w:val="8"/>
                <w:szCs w:val="8"/>
                <w:color w:val="auto"/>
              </w:rPr>
            </w:pPr>
          </w:p>
        </w:tc>
        <w:tc>
          <w:tcPr>
            <w:tcW w:w="980" w:type="dxa"/>
            <w:vAlign w:val="bottom"/>
            <w:tcBorders>
              <w:bottom w:val="single" w:sz="8" w:color="D9DDE1"/>
            </w:tcBorders>
          </w:tcPr>
          <w:p>
            <w:pPr>
              <w:spacing w:after="0"/>
              <w:rPr>
                <w:sz w:val="8"/>
                <w:szCs w:val="8"/>
                <w:color w:val="auto"/>
              </w:rPr>
            </w:pPr>
          </w:p>
        </w:tc>
      </w:tr>
      <w:tr>
        <w:trPr>
          <w:trHeight w:val="290"/>
        </w:trPr>
        <w:tc>
          <w:tcPr>
            <w:tcW w:w="2380" w:type="dxa"/>
            <w:vAlign w:val="bottom"/>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540" w:space="340"/>
            <w:col w:w="3360"/>
          </w:cols>
          <w:pgMar w:left="320" w:top="121"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362710" cy="402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FOR THE THREE MONTHS ENDED JUNE 30, 2020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Investment Income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three months ended June 30, 2020 and 2019, investment income totaled $70.3 million and $62.4 million, respectively. The increase in total investment income primarily resulted from an increase in accelerated amortization of upfront fees from unscheduled paydowns, prepayment fees and other income.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Expenses</w:t>
      </w:r>
    </w:p>
    <w:p>
      <w:pPr>
        <w:spacing w:after="0" w:line="229"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Net expenses totaled $29.8 million and $30.3 million for the three months ended June 30, 2020 and 2019, respectively. The decrease in expenses was driven by lower interest expense resulting from a decrease in the average debt outstanding and a decrease in the average interest rate on debt outstanding.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June 30, 2020, the Company had $15.9 million in cash and cash equivalents (including $12.8 million of restricted cash), total principal value of debt outstanding of $874.9 million, and $1,080.4 million of undrawn capacity on its revolving credit facility, subject to borrowing base and other limitations. The Company’s weighted average interest rate on debt outstanding was 3.3% and 3.9% for the three months ended June 30, 2020 and March 31, 2020, respectively. At June 30, 2020, the Company’s debt to equity ratio was 0.81x, compared to 0.96x at March 31, 2020. Average debt to equity was 0.87x and 0.99x during the three months ended June 30, 2020 and March 31, 2020,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2134235"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$70.3MM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531495</wp:posOffset>
            </wp:positionV>
            <wp:extent cx="2134235" cy="248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24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Net Expenses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$29.8MM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540385</wp:posOffset>
            </wp:positionV>
            <wp:extent cx="2134235" cy="248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$874.9MM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300355</wp:posOffset>
            </wp:positionV>
            <wp:extent cx="2134235" cy="248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34235" cy="24892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FFFFFF"/>
        </w:rPr>
        <w:t>Debt-to-Equity Ratio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2020 Quarter End:</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0.81x</w:t>
            </w:r>
          </w:p>
        </w:tc>
      </w:tr>
      <w:tr>
        <w:trPr>
          <w:trHeight w:val="94"/>
        </w:trPr>
        <w:tc>
          <w:tcPr>
            <w:tcW w:w="320" w:type="dxa"/>
            <w:vAlign w:val="bottom"/>
            <w:tcBorders>
              <w:bottom w:val="single" w:sz="8" w:color="D9DDE1"/>
            </w:tcBorders>
          </w:tcPr>
          <w:p>
            <w:pPr>
              <w:spacing w:after="0"/>
              <w:rPr>
                <w:sz w:val="8"/>
                <w:szCs w:val="8"/>
                <w:color w:val="auto"/>
              </w:rPr>
            </w:pPr>
          </w:p>
        </w:tc>
        <w:tc>
          <w:tcPr>
            <w:tcW w:w="2020" w:type="dxa"/>
            <w:vAlign w:val="bottom"/>
            <w:tcBorders>
              <w:bottom w:val="single" w:sz="8" w:color="D9DDE1"/>
            </w:tcBorders>
          </w:tcPr>
          <w:p>
            <w:pPr>
              <w:spacing w:after="0"/>
              <w:rPr>
                <w:sz w:val="8"/>
                <w:szCs w:val="8"/>
                <w:color w:val="auto"/>
              </w:rPr>
            </w:pPr>
          </w:p>
        </w:tc>
        <w:tc>
          <w:tcPr>
            <w:tcW w:w="1020" w:type="dxa"/>
            <w:vAlign w:val="bottom"/>
            <w:tcBorders>
              <w:bottom w:val="single" w:sz="8" w:color="D9DDE1"/>
            </w:tcBorders>
          </w:tcPr>
          <w:p>
            <w:pPr>
              <w:spacing w:after="0"/>
              <w:rPr>
                <w:sz w:val="8"/>
                <w:szCs w:val="8"/>
                <w:color w:val="auto"/>
              </w:rPr>
            </w:pPr>
          </w:p>
        </w:tc>
      </w:tr>
      <w:tr>
        <w:trPr>
          <w:trHeight w:val="29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Q2</w:t>
            </w:r>
          </w:p>
        </w:tc>
        <w:tc>
          <w:tcPr>
            <w:tcW w:w="2020" w:type="dxa"/>
            <w:vAlign w:val="bottom"/>
          </w:tcPr>
          <w:p>
            <w:pPr>
              <w:ind w:left="20"/>
              <w:spacing w:after="0"/>
              <w:rPr>
                <w:sz w:val="20"/>
                <w:szCs w:val="20"/>
                <w:color w:val="auto"/>
              </w:rPr>
            </w:pPr>
            <w:r>
              <w:rPr>
                <w:rFonts w:ascii="Arial" w:cs="Arial" w:eastAsia="Arial" w:hAnsi="Arial"/>
                <w:sz w:val="18"/>
                <w:szCs w:val="18"/>
                <w:b w:val="1"/>
                <w:bCs w:val="1"/>
                <w:color w:val="auto"/>
              </w:rPr>
              <w:t>2020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540"/>
              <w:spacing w:after="0"/>
              <w:rPr>
                <w:sz w:val="20"/>
                <w:szCs w:val="20"/>
                <w:color w:val="auto"/>
              </w:rPr>
            </w:pPr>
            <w:r>
              <w:rPr>
                <w:rFonts w:ascii="Arial" w:cs="Arial" w:eastAsia="Arial" w:hAnsi="Arial"/>
                <w:sz w:val="18"/>
                <w:szCs w:val="18"/>
                <w:b w:val="1"/>
                <w:bCs w:val="1"/>
                <w:color w:val="auto"/>
              </w:rPr>
              <w:t>0.87x</w:t>
            </w:r>
          </w:p>
        </w:tc>
      </w:tr>
    </w:tbl>
    <w:p>
      <w:pPr>
        <w:spacing w:after="0" w:line="200" w:lineRule="exact"/>
        <w:rPr>
          <w:sz w:val="20"/>
          <w:szCs w:val="20"/>
          <w:color w:val="auto"/>
        </w:rPr>
      </w:pPr>
    </w:p>
    <w:p>
      <w:pPr>
        <w:sectPr>
          <w:pgSz w:w="11900" w:h="16838" w:orient="portrait"/>
          <w:cols w:equalWidth="0" w:num="2">
            <w:col w:w="7540" w:space="340"/>
            <w:col w:w="3360"/>
          </w:cols>
          <w:pgMar w:left="320" w:top="121" w:right="339" w:bottom="1440" w:gutter="0" w:footer="0" w:header="0"/>
          <w:type w:val="continuous"/>
        </w:sectPr>
      </w:pPr>
    </w:p>
    <w:p>
      <w:pPr>
        <w:spacing w:after="0" w:line="11" w:lineRule="exact"/>
        <w:rPr>
          <w:sz w:val="20"/>
          <w:szCs w:val="20"/>
          <w:color w:val="auto"/>
        </w:rPr>
      </w:pPr>
    </w:p>
    <w:p>
      <w:pPr>
        <w:jc w:val="both"/>
        <w:ind w:right="3700" w:firstLine="8"/>
        <w:spacing w:after="0" w:line="238" w:lineRule="auto"/>
        <w:tabs>
          <w:tab w:leader="none" w:pos="15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362710" cy="402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liquidity at June 30, 2020 and changes to unfunded commitments since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203200</wp:posOffset>
            </wp:positionV>
            <wp:extent cx="330898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8985"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3"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FFFFFF"/>
        </w:rPr>
        <w:t>Revolving Credit Facility</w:t>
      </w:r>
      <w:r>
        <w:rPr>
          <w:rFonts w:ascii="Arial" w:cs="Arial" w:eastAsia="Arial" w:hAnsi="Arial"/>
          <w:sz w:val="15"/>
          <w:szCs w:val="15"/>
          <w:b w:val="1"/>
          <w:bCs w:val="1"/>
          <w:color w:val="FFFFFF"/>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-136525</wp:posOffset>
            </wp:positionV>
            <wp:extent cx="340296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2965" cy="171450"/>
                    </a:xfrm>
                    <a:prstGeom prst="rect">
                      <a:avLst/>
                    </a:prstGeom>
                    <a:noFill/>
                  </pic:spPr>
                </pic:pic>
              </a:graphicData>
            </a:graphic>
          </wp:anchor>
        </w:drawing>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4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Revolver Capacity</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$1,315</w:t>
            </w:r>
          </w:p>
        </w:tc>
      </w:tr>
      <w:tr>
        <w:trPr>
          <w:trHeight w:val="199"/>
        </w:trPr>
        <w:tc>
          <w:tcPr>
            <w:tcW w:w="44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($235)</w:t>
            </w:r>
          </w:p>
        </w:tc>
      </w:tr>
      <w:tr>
        <w:trPr>
          <w:trHeight w:val="196"/>
        </w:trPr>
        <w:tc>
          <w:tcPr>
            <w:tcW w:w="44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w:t>
            </w:r>
          </w:p>
        </w:tc>
      </w:tr>
      <w:tr>
        <w:trPr>
          <w:trHeight w:val="196"/>
        </w:trPr>
        <w:tc>
          <w:tcPr>
            <w:tcW w:w="44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 Unfunded Commitments)</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$1,083</w:t>
            </w:r>
          </w:p>
        </w:tc>
      </w:tr>
      <w:tr>
        <w:trPr>
          <w:trHeight w:val="196"/>
        </w:trPr>
        <w:tc>
          <w:tcPr>
            <w:tcW w:w="442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Available Unfunded Commitments</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($73)</w:t>
            </w:r>
          </w:p>
        </w:tc>
      </w:tr>
      <w:tr>
        <w:trPr>
          <w:trHeight w:val="196"/>
        </w:trPr>
        <w:tc>
          <w:tcPr>
            <w:tcW w:w="442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$1,010</w:t>
            </w:r>
          </w:p>
        </w:tc>
      </w:tr>
    </w:tbl>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FFFFFF"/>
        </w:rPr>
        <w:t>Unfunded Commitment Activity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Unfunded Commitments (See Note 8 in 3/31/20 10-Q)</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$193</w:t>
            </w:r>
          </w:p>
        </w:tc>
      </w:tr>
      <w:tr>
        <w:trPr>
          <w:trHeight w:val="33"/>
        </w:trPr>
        <w:tc>
          <w:tcPr>
            <w:tcW w:w="4260" w:type="dxa"/>
            <w:vAlign w:val="bottom"/>
            <w:tcBorders>
              <w:bottom w:val="single" w:sz="8" w:color="ECEEF0"/>
            </w:tcBorders>
          </w:tcPr>
          <w:p>
            <w:pPr>
              <w:spacing w:after="0"/>
              <w:rPr>
                <w:sz w:val="2"/>
                <w:szCs w:val="2"/>
                <w:color w:val="auto"/>
              </w:rPr>
            </w:pPr>
          </w:p>
        </w:tc>
        <w:tc>
          <w:tcPr>
            <w:tcW w:w="940" w:type="dxa"/>
            <w:vAlign w:val="bottom"/>
            <w:tcBorders>
              <w:bottom w:val="single" w:sz="8" w:color="ECEEF0"/>
            </w:tcBorders>
          </w:tcPr>
          <w:p>
            <w:pPr>
              <w:spacing w:after="0"/>
              <w:rPr>
                <w:sz w:val="2"/>
                <w:szCs w:val="2"/>
                <w:color w:val="auto"/>
              </w:rPr>
            </w:pPr>
          </w:p>
        </w:tc>
      </w:tr>
      <w:tr>
        <w:trPr>
          <w:trHeight w:val="217"/>
        </w:trPr>
        <w:tc>
          <w:tcPr>
            <w:tcW w:w="4260" w:type="dxa"/>
            <w:vAlign w:val="bottom"/>
          </w:tcPr>
          <w:p>
            <w:pPr>
              <w:ind w:left="40"/>
              <w:spacing w:after="0"/>
              <w:rPr>
                <w:sz w:val="20"/>
                <w:szCs w:val="20"/>
                <w:color w:val="auto"/>
              </w:rPr>
            </w:pPr>
            <w:r>
              <w:rPr>
                <w:rFonts w:ascii="Arial" w:cs="Arial" w:eastAsia="Arial" w:hAnsi="Arial"/>
                <w:sz w:val="16"/>
                <w:szCs w:val="16"/>
                <w:color w:val="auto"/>
              </w:rPr>
              <w:t>Extinguished Unfunded Commitments</w:t>
            </w:r>
          </w:p>
        </w:tc>
        <w:tc>
          <w:tcPr>
            <w:tcW w:w="9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33"/>
        </w:trPr>
        <w:tc>
          <w:tcPr>
            <w:tcW w:w="4260" w:type="dxa"/>
            <w:vAlign w:val="bottom"/>
            <w:tcBorders>
              <w:bottom w:val="single" w:sz="8" w:color="ECEEF0"/>
            </w:tcBorders>
          </w:tcPr>
          <w:p>
            <w:pPr>
              <w:spacing w:after="0"/>
              <w:rPr>
                <w:sz w:val="2"/>
                <w:szCs w:val="2"/>
                <w:color w:val="auto"/>
              </w:rPr>
            </w:pPr>
          </w:p>
        </w:tc>
        <w:tc>
          <w:tcPr>
            <w:tcW w:w="940" w:type="dxa"/>
            <w:vAlign w:val="bottom"/>
            <w:tcBorders>
              <w:bottom w:val="single" w:sz="8" w:color="ECEEF0"/>
            </w:tcBorders>
          </w:tcPr>
          <w:p>
            <w:pPr>
              <w:spacing w:after="0"/>
              <w:rPr>
                <w:sz w:val="2"/>
                <w:szCs w:val="2"/>
                <w:color w:val="auto"/>
              </w:rPr>
            </w:pPr>
          </w:p>
        </w:tc>
      </w:tr>
      <w:tr>
        <w:trPr>
          <w:trHeight w:val="217"/>
        </w:trPr>
        <w:tc>
          <w:tcPr>
            <w:tcW w:w="4260" w:type="dxa"/>
            <w:vAlign w:val="bottom"/>
          </w:tcPr>
          <w:p>
            <w:pPr>
              <w:ind w:left="40"/>
              <w:spacing w:after="0"/>
              <w:rPr>
                <w:sz w:val="20"/>
                <w:szCs w:val="20"/>
                <w:color w:val="auto"/>
              </w:rPr>
            </w:pPr>
            <w:r>
              <w:rPr>
                <w:rFonts w:ascii="Arial" w:cs="Arial" w:eastAsia="Arial" w:hAnsi="Arial"/>
                <w:sz w:val="16"/>
                <w:szCs w:val="16"/>
                <w:color w:val="auto"/>
              </w:rPr>
              <w:t>New Unfunded Commitments</w:t>
            </w: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4260" w:type="dxa"/>
            <w:vAlign w:val="bottom"/>
            <w:tcBorders>
              <w:bottom w:val="single" w:sz="8" w:color="ECEEF0"/>
            </w:tcBorders>
          </w:tcPr>
          <w:p>
            <w:pPr>
              <w:spacing w:after="0"/>
              <w:rPr>
                <w:sz w:val="2"/>
                <w:szCs w:val="2"/>
                <w:color w:val="auto"/>
              </w:rPr>
            </w:pPr>
          </w:p>
        </w:tc>
        <w:tc>
          <w:tcPr>
            <w:tcW w:w="940" w:type="dxa"/>
            <w:vAlign w:val="bottom"/>
            <w:tcBorders>
              <w:bottom w:val="single" w:sz="8" w:color="ECEEF0"/>
            </w:tcBorders>
          </w:tcPr>
          <w:p>
            <w:pPr>
              <w:spacing w:after="0"/>
              <w:rPr>
                <w:sz w:val="2"/>
                <w:szCs w:val="2"/>
                <w:color w:val="auto"/>
              </w:rPr>
            </w:pPr>
          </w:p>
        </w:tc>
      </w:tr>
      <w:tr>
        <w:trPr>
          <w:trHeight w:val="217"/>
        </w:trPr>
        <w:tc>
          <w:tcPr>
            <w:tcW w:w="4260" w:type="dxa"/>
            <w:vAlign w:val="bottom"/>
          </w:tcPr>
          <w:p>
            <w:pPr>
              <w:ind w:left="40"/>
              <w:spacing w:after="0"/>
              <w:rPr>
                <w:sz w:val="20"/>
                <w:szCs w:val="20"/>
                <w:color w:val="auto"/>
              </w:rPr>
            </w:pPr>
            <w:r>
              <w:rPr>
                <w:rFonts w:ascii="Arial" w:cs="Arial" w:eastAsia="Arial" w:hAnsi="Arial"/>
                <w:sz w:val="16"/>
                <w:szCs w:val="16"/>
                <w:color w:val="auto"/>
              </w:rPr>
              <w:t>Drawdown of Unfunded Commitments</w:t>
            </w: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4260" w:type="dxa"/>
            <w:vAlign w:val="bottom"/>
            <w:tcBorders>
              <w:bottom w:val="single" w:sz="8" w:color="ECEEF0"/>
            </w:tcBorders>
          </w:tcPr>
          <w:p>
            <w:pPr>
              <w:spacing w:after="0"/>
              <w:rPr>
                <w:sz w:val="2"/>
                <w:szCs w:val="2"/>
                <w:color w:val="auto"/>
              </w:rPr>
            </w:pPr>
          </w:p>
        </w:tc>
        <w:tc>
          <w:tcPr>
            <w:tcW w:w="940" w:type="dxa"/>
            <w:vAlign w:val="bottom"/>
            <w:tcBorders>
              <w:bottom w:val="single" w:sz="8" w:color="ECEEF0"/>
            </w:tcBorders>
          </w:tcPr>
          <w:p>
            <w:pPr>
              <w:spacing w:after="0"/>
              <w:rPr>
                <w:sz w:val="2"/>
                <w:szCs w:val="2"/>
                <w:color w:val="auto"/>
              </w:rPr>
            </w:pPr>
          </w:p>
        </w:tc>
      </w:tr>
      <w:tr>
        <w:trPr>
          <w:trHeight w:val="217"/>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$152</w:t>
            </w:r>
          </w:p>
        </w:tc>
      </w:tr>
      <w:tr>
        <w:trPr>
          <w:trHeight w:val="33"/>
        </w:trPr>
        <w:tc>
          <w:tcPr>
            <w:tcW w:w="4260" w:type="dxa"/>
            <w:vAlign w:val="bottom"/>
            <w:tcBorders>
              <w:bottom w:val="single" w:sz="8" w:color="ECEEF0"/>
            </w:tcBorders>
          </w:tcPr>
          <w:p>
            <w:pPr>
              <w:spacing w:after="0"/>
              <w:rPr>
                <w:sz w:val="2"/>
                <w:szCs w:val="2"/>
                <w:color w:val="auto"/>
              </w:rPr>
            </w:pPr>
          </w:p>
        </w:tc>
        <w:tc>
          <w:tcPr>
            <w:tcW w:w="940" w:type="dxa"/>
            <w:vAlign w:val="bottom"/>
            <w:tcBorders>
              <w:bottom w:val="single" w:sz="8" w:color="ECEEF0"/>
            </w:tcBorders>
          </w:tcPr>
          <w:p>
            <w:pPr>
              <w:spacing w:after="0"/>
              <w:rPr>
                <w:sz w:val="2"/>
                <w:szCs w:val="2"/>
                <w:color w:val="auto"/>
              </w:rPr>
            </w:pPr>
          </w:p>
        </w:tc>
      </w:tr>
      <w:tr>
        <w:trPr>
          <w:trHeight w:val="250"/>
        </w:trPr>
        <w:tc>
          <w:tcPr>
            <w:tcW w:w="4260" w:type="dxa"/>
            <w:vAlign w:val="bottom"/>
            <w:tcBorders>
              <w:bottom w:val="single" w:sz="8" w:color="ECEEF0"/>
            </w:tcBorders>
          </w:tcPr>
          <w:p>
            <w:pPr>
              <w:ind w:left="40"/>
              <w:spacing w:after="0" w:line="250"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7"/>
                <w:szCs w:val="27"/>
                <w:color w:val="auto"/>
                <w:vertAlign w:val="superscript"/>
              </w:rPr>
              <w:t>1</w:t>
            </w:r>
          </w:p>
        </w:tc>
        <w:tc>
          <w:tcPr>
            <w:tcW w:w="9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($79)</w:t>
            </w:r>
          </w:p>
        </w:tc>
      </w:tr>
      <w:tr>
        <w:trPr>
          <w:trHeight w:val="217"/>
        </w:trPr>
        <w:tc>
          <w:tcPr>
            <w:tcW w:w="4260" w:type="dxa"/>
            <w:vAlign w:val="bottom"/>
          </w:tcPr>
          <w:p>
            <w:pPr>
              <w:ind w:left="40"/>
              <w:spacing w:after="0"/>
              <w:rPr>
                <w:sz w:val="20"/>
                <w:szCs w:val="20"/>
                <w:color w:val="auto"/>
              </w:rPr>
            </w:pPr>
            <w:r>
              <w:rPr>
                <w:rFonts w:ascii="Arial" w:cs="Arial" w:eastAsia="Arial" w:hAnsi="Arial"/>
                <w:sz w:val="16"/>
                <w:szCs w:val="16"/>
                <w:b w:val="1"/>
                <w:bCs w:val="1"/>
                <w:color w:val="auto"/>
              </w:rPr>
              <w:t>Available Unfunded Commitments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bl>
    <w:p>
      <w:pPr>
        <w:spacing w:after="0" w:line="104" w:lineRule="exact"/>
        <w:rPr>
          <w:sz w:val="20"/>
          <w:szCs w:val="20"/>
          <w:color w:val="auto"/>
        </w:rPr>
      </w:pPr>
    </w:p>
    <w:p>
      <w:pPr>
        <w:sectPr>
          <w:pgSz w:w="11900" w:h="16838" w:orient="portrait"/>
          <w:cols w:equalWidth="0" w:num="2">
            <w:col w:w="5400" w:space="340"/>
            <w:col w:w="5500"/>
          </w:cols>
          <w:pgMar w:left="320" w:top="121" w:right="339" w:bottom="1440" w:gutter="0" w:footer="0" w:header="0"/>
          <w:type w:val="continuous"/>
        </w:sectPr>
      </w:pPr>
    </w:p>
    <w:p>
      <w:pPr>
        <w:ind w:right="180" w:firstLine="8"/>
        <w:spacing w:after="0" w:line="297" w:lineRule="auto"/>
        <w:tabs>
          <w:tab w:leader="none" w:pos="108" w:val="left"/>
        </w:tabs>
        <w:numPr>
          <w:ilvl w:val="0"/>
          <w:numId w:val="3"/>
        </w:numPr>
        <w:rPr>
          <w:rFonts w:ascii="Arial" w:cs="Arial" w:eastAsia="Arial" w:hAnsi="Arial"/>
          <w:sz w:val="10"/>
          <w:szCs w:val="10"/>
          <w:color w:val="auto"/>
        </w:rPr>
      </w:pPr>
      <w:r>
        <w:rPr>
          <w:rFonts w:ascii="Arial" w:cs="Arial" w:eastAsia="Arial" w:hAnsi="Arial"/>
          <w:sz w:val="10"/>
          <w:szCs w:val="10"/>
          <w:color w:val="auto"/>
        </w:rPr>
        <w:t>Commitments may be subject to limitations on borrowings set forth in the agreements between the Company and the applicable portfolio company. As a result, portfolio companies may not be eligible to borrow the full commitment amount on such date. Note: May not sum due to rounding. As of June 30, 2020, the Company had an additional unfunded commitment of $65.0 million to fund investments to a new borrower that was not a current portfolio company as of June 30, 2020.</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June 30, 2020, the Company’s funding mix was comprised of 73% unsecured and 27% secured debt. As illustrated in the charts below, the Company’s earliest debt maturity is in August 2022 at $143 million, and the weighted average remaining life of investments funded with debt was 2.2 years, compared to a weighted average remaining maturity on debt of 4.2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74295</wp:posOffset>
            </wp:positionV>
            <wp:extent cx="5692140" cy="2992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299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firstLine="8"/>
        <w:spacing w:after="0" w:line="230" w:lineRule="auto"/>
        <w:tabs>
          <w:tab w:leader="none" w:pos="144"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Deferred Financing Costs and Interest Rate Fair Value Hedging. Deferred Financing Costs total $16.8M at 6/30/19, $15.6M at 9/30/19, $18.5M at 12/31/19, $21.4M at 3/31/20 and $19.7M at 6/30/20. Fair value hedge on interest rate swaps related to the 2024 notes total -$1.7 M at 12/31/19, $17.0M at 3/31/20 and $19.3M at 6/30/20.</w:t>
      </w:r>
    </w:p>
    <w:p>
      <w:pPr>
        <w:ind w:right="80" w:firstLine="8"/>
        <w:spacing w:after="0" w:line="221" w:lineRule="auto"/>
        <w:tabs>
          <w:tab w:leader="none" w:pos="144" w:val="left"/>
        </w:tabs>
        <w:numPr>
          <w:ilvl w:val="0"/>
          <w:numId w:val="4"/>
        </w:numPr>
        <w:rPr>
          <w:rFonts w:ascii="Arial" w:cs="Arial" w:eastAsia="Arial" w:hAnsi="Arial"/>
          <w:sz w:val="14"/>
          <w:szCs w:val="14"/>
          <w:color w:val="auto"/>
        </w:rPr>
      </w:pPr>
      <w:r>
        <w:rPr>
          <w:rFonts w:ascii="Arial" w:cs="Arial" w:eastAsia="Arial" w:hAnsi="Arial"/>
          <w:sz w:val="14"/>
          <w:szCs w:val="14"/>
          <w:color w:val="auto"/>
        </w:rPr>
        <w:t>Weighted by amortized cost of debt investments. Investments are financed by debt and permanent equity capital. This analysis assumes longer-dated investments are currently funded by permanent equity capital (54% of investments) and the remaining (shorter-dated) investments (46% of investments) are currently funded by debt financing. Permanent equity capital is defined as 6/30/20 net assets. Excludes unfunded commitments.</w:t>
      </w:r>
    </w:p>
    <w:p>
      <w:pPr>
        <w:ind w:left="160" w:hanging="152"/>
        <w:spacing w:after="0" w:line="221" w:lineRule="auto"/>
        <w:tabs>
          <w:tab w:leader="none" w:pos="1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Weighted by gross commitment amount.</w:t>
      </w:r>
    </w:p>
    <w:p>
      <w:pPr>
        <w:spacing w:after="0"/>
        <w:rPr>
          <w:sz w:val="20"/>
          <w:szCs w:val="20"/>
          <w:color w:val="auto"/>
        </w:rPr>
      </w:pPr>
      <w:r>
        <w:rPr>
          <w:rFonts w:ascii="Arial" w:cs="Arial" w:eastAsia="Arial" w:hAnsi="Arial"/>
          <w:sz w:val="14"/>
          <w:szCs w:val="14"/>
          <w:color w:val="auto"/>
        </w:rPr>
        <w:t>Note: Numbers may not sum to 100% due to rounding.</w:t>
      </w:r>
    </w:p>
    <w:p>
      <w:pPr>
        <w:spacing w:after="0" w:line="1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362710" cy="402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33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A conference call to discuss the Company’s financial results will be held live at 8:30 a.m. Eastern Time on August 5, 2020.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1749355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August 5 through August 12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1749355</w:t>
      </w: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1013"/>
        </w:trPr>
        <w:tc>
          <w:tcPr>
            <w:tcW w:w="5660" w:type="dxa"/>
            <w:vAlign w:val="bottom"/>
            <w:tcBorders>
              <w:bottom w:val="single" w:sz="8" w:color="A0ABB4"/>
            </w:tcBorders>
          </w:tcPr>
          <w:p>
            <w:pPr>
              <w:spacing w:after="0"/>
              <w:rPr>
                <w:sz w:val="20"/>
                <w:szCs w:val="20"/>
                <w:color w:val="auto"/>
              </w:rPr>
            </w:pPr>
            <w:r>
              <w:rPr>
                <w:rFonts w:ascii="Arial" w:cs="Arial" w:eastAsia="Arial" w:hAnsi="Arial"/>
                <w:sz w:val="32"/>
                <w:szCs w:val="32"/>
                <w:b w:val="1"/>
                <w:bCs w:val="1"/>
                <w:color w:val="auto"/>
              </w:rPr>
              <w:t>FINANCIAL HIGHLIGHTS</w:t>
            </w:r>
          </w:p>
        </w:tc>
        <w:tc>
          <w:tcPr>
            <w:tcW w:w="240" w:type="dxa"/>
            <w:vAlign w:val="bottom"/>
            <w:tcBorders>
              <w:bottom w:val="single" w:sz="8" w:color="A0ABB4"/>
            </w:tcBorders>
          </w:tcPr>
          <w:p>
            <w:pPr>
              <w:spacing w:after="0"/>
              <w:rPr>
                <w:sz w:val="24"/>
                <w:szCs w:val="24"/>
                <w:color w:val="auto"/>
              </w:rPr>
            </w:pPr>
          </w:p>
        </w:tc>
        <w:tc>
          <w:tcPr>
            <w:tcW w:w="1420" w:type="dxa"/>
            <w:vAlign w:val="bottom"/>
            <w:tcBorders>
              <w:bottom w:val="single" w:sz="8" w:color="A0ABB4"/>
            </w:tcBorders>
          </w:tcPr>
          <w:p>
            <w:pPr>
              <w:spacing w:after="0"/>
              <w:rPr>
                <w:sz w:val="24"/>
                <w:szCs w:val="24"/>
                <w:color w:val="auto"/>
              </w:rPr>
            </w:pPr>
          </w:p>
        </w:tc>
        <w:tc>
          <w:tcPr>
            <w:tcW w:w="280" w:type="dxa"/>
            <w:vAlign w:val="bottom"/>
            <w:tcBorders>
              <w:bottom w:val="single" w:sz="8" w:color="A0ABB4"/>
            </w:tcBorders>
          </w:tcPr>
          <w:p>
            <w:pPr>
              <w:spacing w:after="0"/>
              <w:rPr>
                <w:sz w:val="24"/>
                <w:szCs w:val="24"/>
                <w:color w:val="auto"/>
              </w:rPr>
            </w:pPr>
          </w:p>
        </w:tc>
        <w:tc>
          <w:tcPr>
            <w:tcW w:w="100" w:type="dxa"/>
            <w:vAlign w:val="bottom"/>
            <w:tcBorders>
              <w:bottom w:val="single" w:sz="8" w:color="A0ABB4"/>
            </w:tcBorders>
          </w:tcPr>
          <w:p>
            <w:pPr>
              <w:spacing w:after="0"/>
              <w:rPr>
                <w:sz w:val="24"/>
                <w:szCs w:val="24"/>
                <w:color w:val="auto"/>
              </w:rPr>
            </w:pPr>
          </w:p>
        </w:tc>
        <w:tc>
          <w:tcPr>
            <w:tcW w:w="1480" w:type="dxa"/>
            <w:vAlign w:val="bottom"/>
            <w:tcBorders>
              <w:bottom w:val="single" w:sz="8" w:color="A0ABB4"/>
            </w:tcBorders>
          </w:tcPr>
          <w:p>
            <w:pPr>
              <w:spacing w:after="0"/>
              <w:rPr>
                <w:sz w:val="24"/>
                <w:szCs w:val="24"/>
                <w:color w:val="auto"/>
              </w:rPr>
            </w:pPr>
          </w:p>
        </w:tc>
        <w:tc>
          <w:tcPr>
            <w:tcW w:w="280" w:type="dxa"/>
            <w:vAlign w:val="bottom"/>
            <w:tcBorders>
              <w:bottom w:val="single" w:sz="8" w:color="A0ABB4"/>
            </w:tcBorders>
          </w:tcPr>
          <w:p>
            <w:pPr>
              <w:spacing w:after="0"/>
              <w:rPr>
                <w:sz w:val="24"/>
                <w:szCs w:val="24"/>
                <w:color w:val="auto"/>
              </w:rPr>
            </w:pPr>
          </w:p>
        </w:tc>
        <w:tc>
          <w:tcPr>
            <w:tcW w:w="60" w:type="dxa"/>
            <w:vAlign w:val="bottom"/>
            <w:tcBorders>
              <w:bottom w:val="single" w:sz="8" w:color="A0ABB4"/>
            </w:tcBorders>
          </w:tcPr>
          <w:p>
            <w:pPr>
              <w:spacing w:after="0"/>
              <w:rPr>
                <w:sz w:val="24"/>
                <w:szCs w:val="24"/>
                <w:color w:val="auto"/>
              </w:rPr>
            </w:pPr>
          </w:p>
        </w:tc>
        <w:tc>
          <w:tcPr>
            <w:tcW w:w="220" w:type="dxa"/>
            <w:vAlign w:val="bottom"/>
            <w:tcBorders>
              <w:bottom w:val="single" w:sz="8" w:color="A0ABB4"/>
            </w:tcBorders>
          </w:tcPr>
          <w:p>
            <w:pPr>
              <w:spacing w:after="0"/>
              <w:rPr>
                <w:sz w:val="24"/>
                <w:szCs w:val="24"/>
                <w:color w:val="auto"/>
              </w:rPr>
            </w:pPr>
          </w:p>
        </w:tc>
        <w:tc>
          <w:tcPr>
            <w:tcW w:w="1320" w:type="dxa"/>
            <w:vAlign w:val="bottom"/>
            <w:tcBorders>
              <w:bottom w:val="single" w:sz="8" w:color="A0ABB4"/>
            </w:tcBorders>
          </w:tcPr>
          <w:p>
            <w:pPr>
              <w:spacing w:after="0"/>
              <w:rPr>
                <w:sz w:val="24"/>
                <w:szCs w:val="24"/>
                <w:color w:val="auto"/>
              </w:rPr>
            </w:pPr>
          </w:p>
        </w:tc>
        <w:tc>
          <w:tcPr>
            <w:tcW w:w="180" w:type="dxa"/>
            <w:vAlign w:val="bottom"/>
            <w:tcBorders>
              <w:bottom w:val="single" w:sz="8" w:color="A0ABB4"/>
            </w:tcBorders>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660" w:type="dxa"/>
            <w:vAlign w:val="bottom"/>
          </w:tcPr>
          <w:p>
            <w:pPr>
              <w:spacing w:after="0"/>
              <w:rPr>
                <w:sz w:val="20"/>
                <w:szCs w:val="20"/>
                <w:color w:val="auto"/>
              </w:rPr>
            </w:pPr>
            <w:r>
              <w:rPr>
                <w:rFonts w:ascii="Arial" w:cs="Arial" w:eastAsia="Arial" w:hAnsi="Arial"/>
                <w:sz w:val="18"/>
                <w:szCs w:val="18"/>
                <w:i w:val="1"/>
                <w:iCs w:val="1"/>
                <w:color w:val="auto"/>
              </w:rPr>
              <w:t>(Amounts in millions, except per share amounts)</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7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March 31, 2020</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56"/>
        </w:trPr>
        <w:tc>
          <w:tcPr>
            <w:tcW w:w="56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2,045.6</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2,018.6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2,081.7</w:t>
            </w:r>
          </w:p>
        </w:tc>
        <w:tc>
          <w:tcPr>
            <w:tcW w:w="28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2,089.7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Asset Value Per Share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Special Dividend Per Share </w:t>
            </w:r>
            <w:r>
              <w:rPr>
                <w:rFonts w:ascii="Arial" w:cs="Arial" w:eastAsia="Arial" w:hAnsi="Arial"/>
                <w:sz w:val="15"/>
                <w:szCs w:val="15"/>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8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60" w:type="dxa"/>
            <w:vAlign w:val="bottom"/>
          </w:tcPr>
          <w:p>
            <w:pPr>
              <w:spacing w:after="0"/>
              <w:rPr>
                <w:sz w:val="20"/>
                <w:szCs w:val="20"/>
                <w:color w:val="auto"/>
              </w:rPr>
            </w:pPr>
            <w:r>
              <w:rPr>
                <w:rFonts w:ascii="Arial" w:cs="Arial" w:eastAsia="Arial" w:hAnsi="Arial"/>
                <w:sz w:val="18"/>
                <w:szCs w:val="18"/>
                <w:color w:val="auto"/>
              </w:rPr>
              <w:t xml:space="preserve">Pro Forma Net Asset Value Per Share </w:t>
            </w:r>
            <w:r>
              <w:rPr>
                <w:rFonts w:ascii="Arial" w:cs="Arial" w:eastAsia="Arial" w:hAnsi="Arial"/>
                <w:sz w:val="15"/>
                <w:szCs w:val="15"/>
                <w:color w:val="auto"/>
              </w:rPr>
              <w:t>(2)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16.08</w:t>
            </w:r>
          </w:p>
        </w:tc>
        <w:tc>
          <w:tcPr>
            <w:tcW w:w="2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15.07</w:t>
            </w:r>
          </w:p>
        </w:tc>
        <w:tc>
          <w:tcPr>
            <w:tcW w:w="28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16.64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Investment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66.3</w:t>
            </w:r>
          </w:p>
        </w:tc>
        <w:tc>
          <w:tcPr>
            <w:tcW w:w="28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(53.1)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Net Investment Income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tcPr>
          <w:p>
            <w:pPr>
              <w:spacing w:after="0"/>
              <w:rPr>
                <w:sz w:val="19"/>
                <w:szCs w:val="19"/>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(1.31)</w:t>
            </w: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(0.80)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Annualized Return on Equity (Net Investment Income)</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Annualized Return on Equity (Net Income (Loss))</w:t>
            </w:r>
            <w:r>
              <w:rPr>
                <w:rFonts w:ascii="Arial" w:cs="Arial" w:eastAsia="Arial" w:hAnsi="Arial"/>
                <w:sz w:val="15"/>
                <w:szCs w:val="15"/>
                <w:color w:val="auto"/>
              </w:rPr>
              <w:t>(3)</w:t>
            </w:r>
          </w:p>
        </w:tc>
        <w:tc>
          <w:tcPr>
            <w:tcW w:w="24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56"/>
        </w:trPr>
        <w:tc>
          <w:tcPr>
            <w:tcW w:w="56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w w:val="97"/>
              </w:rPr>
              <w:t>Weighted Average Yield of Debt and Income Producing Securities at Fair</w:t>
            </w:r>
          </w:p>
        </w:tc>
        <w:tc>
          <w:tcPr>
            <w:tcW w:w="240" w:type="dxa"/>
            <w:vAlign w:val="bottom"/>
          </w:tcPr>
          <w:p>
            <w:pPr>
              <w:spacing w:after="0"/>
              <w:rPr>
                <w:sz w:val="18"/>
                <w:szCs w:val="18"/>
                <w:color w:val="auto"/>
              </w:rPr>
            </w:pPr>
          </w:p>
        </w:tc>
        <w:tc>
          <w:tcPr>
            <w:tcW w:w="17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22"/>
        </w:trPr>
        <w:tc>
          <w:tcPr>
            <w:tcW w:w="5660" w:type="dxa"/>
            <w:vAlign w:val="bottom"/>
            <w:vMerge w:val="restart"/>
          </w:tcPr>
          <w:p>
            <w:pPr>
              <w:spacing w:after="0"/>
              <w:rPr>
                <w:sz w:val="20"/>
                <w:szCs w:val="20"/>
                <w:color w:val="auto"/>
              </w:rPr>
            </w:pPr>
            <w:r>
              <w:rPr>
                <w:rFonts w:ascii="Arial" w:cs="Arial" w:eastAsia="Arial" w:hAnsi="Arial"/>
                <w:sz w:val="18"/>
                <w:szCs w:val="18"/>
                <w:color w:val="auto"/>
              </w:rPr>
              <w:t>Value</w:t>
            </w:r>
          </w:p>
        </w:tc>
        <w:tc>
          <w:tcPr>
            <w:tcW w:w="240" w:type="dxa"/>
            <w:vAlign w:val="bottom"/>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 Producing Securities at</w:t>
            </w:r>
          </w:p>
        </w:tc>
        <w:tc>
          <w:tcPr>
            <w:tcW w:w="240" w:type="dxa"/>
            <w:vAlign w:val="bottom"/>
            <w:shd w:val="clear" w:color="auto" w:fill="CFF0FC"/>
          </w:tcPr>
          <w:p>
            <w:pPr>
              <w:spacing w:after="0"/>
              <w:rPr>
                <w:sz w:val="18"/>
                <w:szCs w:val="18"/>
                <w:color w:val="auto"/>
              </w:rPr>
            </w:pPr>
          </w:p>
        </w:tc>
        <w:tc>
          <w:tcPr>
            <w:tcW w:w="17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17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9.9%</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22"/>
        </w:trPr>
        <w:tc>
          <w:tcPr>
            <w:tcW w:w="5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Amortized Cost</w:t>
            </w:r>
          </w:p>
        </w:tc>
        <w:tc>
          <w:tcPr>
            <w:tcW w:w="240" w:type="dxa"/>
            <w:vAlign w:val="bottom"/>
            <w:shd w:val="clear" w:color="auto" w:fill="CFF0FC"/>
          </w:tcPr>
          <w:p>
            <w:pPr>
              <w:spacing w:after="0"/>
              <w:rPr>
                <w:sz w:val="10"/>
                <w:szCs w:val="10"/>
                <w:color w:val="auto"/>
              </w:rPr>
            </w:pPr>
          </w:p>
        </w:tc>
        <w:tc>
          <w:tcPr>
            <w:tcW w:w="17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760" w:type="dxa"/>
            <w:vAlign w:val="bottom"/>
            <w:gridSpan w:val="2"/>
            <w:vMerge w:val="continue"/>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5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660" w:type="dxa"/>
            <w:vAlign w:val="bottom"/>
            <w:vMerge w:val="continue"/>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15"/>
                <w:szCs w:val="15"/>
                <w:color w:val="auto"/>
              </w:rPr>
              <w:t>(4)</w:t>
            </w:r>
          </w:p>
        </w:tc>
        <w:tc>
          <w:tcPr>
            <w:tcW w:w="24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99.4%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-4834890</wp:posOffset>
            </wp:positionV>
            <wp:extent cx="1362710" cy="402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189"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Reflects special dividends that were declared in Q1 2020 and paid in Q2 2020.</w:t>
      </w:r>
    </w:p>
    <w:p>
      <w:pPr>
        <w:ind w:left="160" w:hanging="152"/>
        <w:spacing w:after="0" w:line="221" w:lineRule="auto"/>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 and/or special dividends.</w:t>
      </w:r>
    </w:p>
    <w:p>
      <w:pPr>
        <w:ind w:left="160" w:hanging="152"/>
        <w:spacing w:after="0" w:line="221" w:lineRule="auto"/>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160" w:hanging="152"/>
        <w:spacing w:after="0"/>
        <w:tabs>
          <w:tab w:leader="none" w:pos="1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362710" cy="402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6271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2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$1,880,904 and $2,099,781,</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1,898,241</w:t>
            </w:r>
          </w:p>
        </w:tc>
        <w:tc>
          <w:tcPr>
            <w:tcW w:w="1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$48,928 and $49,445,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$88,685 and $88,811, respectively)</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33,067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Total investments at fair value (amortized cost of $2,018,517 and $2,238,037, respectively)</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1,983,844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2,245,928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$12,815 and $9,315, respectively)</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9,821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2,018,596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Debt (net of deferred financing costs of $19,712 and $18,471, respectively)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872,509</w:t>
            </w:r>
          </w:p>
        </w:tc>
        <w:tc>
          <w:tcPr>
            <w:tcW w:w="180" w:type="dxa"/>
            <w:vAlign w:val="bottom"/>
          </w:tcPr>
          <w:p>
            <w:pPr>
              <w:spacing w:after="0"/>
              <w:rPr>
                <w:sz w:val="19"/>
                <w:szCs w:val="19"/>
                <w:color w:val="auto"/>
              </w:rPr>
            </w:pP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1,094,467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935,995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3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issued and outstanding</w:t>
            </w:r>
          </w:p>
        </w:tc>
        <w:tc>
          <w:tcPr>
            <w:tcW w:w="3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20" w:type="dxa"/>
            <w:vAlign w:val="bottom"/>
          </w:tcPr>
          <w:p>
            <w:pPr>
              <w:spacing w:after="0"/>
              <w:rPr>
                <w:sz w:val="20"/>
                <w:szCs w:val="20"/>
                <w:color w:val="auto"/>
              </w:rPr>
            </w:pPr>
            <w:r>
              <w:rPr>
                <w:rFonts w:ascii="Arial" w:cs="Arial" w:eastAsia="Arial" w:hAnsi="Arial"/>
                <w:sz w:val="18"/>
                <w:szCs w:val="18"/>
                <w:color w:val="auto"/>
                <w:w w:val="97"/>
              </w:rPr>
              <w:t>Common stock, $0.01 par value; 400,000,000 shares authorized, 67,638,457   and 66,613,671</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w w:val="98"/>
              </w:rPr>
              <w:t>shares issued, respectively; and 67,342,413 and 66,524,591 shares outstanding, respectively</w:t>
            </w:r>
          </w:p>
        </w:tc>
        <w:tc>
          <w:tcPr>
            <w:tcW w:w="3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1,024,045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Treasury stock at cost; 296,044 and 89,080 shares held, respectively</w:t>
            </w:r>
          </w:p>
        </w:tc>
        <w:tc>
          <w:tcPr>
            <w:tcW w:w="3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3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62,171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1,082,601</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2,018,596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vMerge w:val="continue"/>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 w:name="page11"/>
    <w:bookmarkEnd w:id="10"/>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362710" cy="403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627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4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40" w:type="dxa"/>
            <w:vAlign w:val="bottom"/>
            <w:gridSpan w:val="6"/>
          </w:tcPr>
          <w:p>
            <w:pPr>
              <w:jc w:val="right"/>
              <w:ind w:right="102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3"/>
        </w:trPr>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June 30, 2020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4"/>
              </w:rPr>
              <w:t>June 30, 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6"/>
              </w:rPr>
              <w:t>June 30, 2020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4"/>
              </w:rPr>
              <w:t>June 30, 2019</w:t>
            </w:r>
          </w:p>
        </w:tc>
        <w:tc>
          <w:tcPr>
            <w:tcW w:w="0" w:type="dxa"/>
            <w:vAlign w:val="bottom"/>
          </w:tcPr>
          <w:p>
            <w:pPr>
              <w:spacing w:after="0"/>
              <w:rPr>
                <w:sz w:val="1"/>
                <w:szCs w:val="1"/>
                <w:color w:val="auto"/>
              </w:rPr>
            </w:pPr>
          </w:p>
        </w:tc>
      </w:tr>
      <w:tr>
        <w:trPr>
          <w:trHeight w:val="156"/>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Income</w:t>
            </w: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Investment income from non-controlled, non-affiliated investments: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from investments</w:t>
            </w:r>
          </w:p>
        </w:tc>
        <w:tc>
          <w:tcPr>
            <w:tcW w:w="1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61,115</w:t>
            </w:r>
          </w:p>
        </w:tc>
        <w:tc>
          <w:tcPr>
            <w:tcW w:w="14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57,632</w:t>
            </w:r>
          </w:p>
        </w:tc>
        <w:tc>
          <w:tcPr>
            <w:tcW w:w="14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121,881</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104,155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Dividend income</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876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6,439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1,940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9,227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4,018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non-affiliated investments</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67,999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59,572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131,984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108,173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non-controlled, affiliated investments: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1,245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2,482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500"/>
              <w:spacing w:after="0"/>
              <w:rPr>
                <w:sz w:val="20"/>
                <w:szCs w:val="20"/>
                <w:color w:val="auto"/>
              </w:rPr>
            </w:pPr>
            <w:r>
              <w:rPr>
                <w:rFonts w:ascii="Arial" w:cs="Arial" w:eastAsia="Arial" w:hAnsi="Arial"/>
                <w:sz w:val="13"/>
                <w:szCs w:val="13"/>
                <w:color w:val="auto"/>
              </w:rPr>
              <w:t>Total investment income from non-controlled, affiliated investments</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1,370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2,519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3,812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Investment income from controlled, affiliated investments: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Interest from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1,481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1,998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income</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tcPr>
          <w:p>
            <w:pPr>
              <w:ind w:left="500"/>
              <w:spacing w:after="0"/>
              <w:rPr>
                <w:sz w:val="20"/>
                <w:szCs w:val="20"/>
                <w:color w:val="auto"/>
              </w:rPr>
            </w:pPr>
            <w:r>
              <w:rPr>
                <w:rFonts w:ascii="Arial" w:cs="Arial" w:eastAsia="Arial" w:hAnsi="Arial"/>
                <w:sz w:val="13"/>
                <w:szCs w:val="13"/>
                <w:color w:val="auto"/>
              </w:rPr>
              <w:t>Total investment income from controlled, affiliated investments</w:t>
            </w: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971</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1,485</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shd w:val="clear" w:color="auto" w:fill="CFF0FC"/>
          </w:tcPr>
          <w:p>
            <w:pPr>
              <w:ind w:left="740"/>
              <w:spacing w:after="0"/>
              <w:rPr>
                <w:sz w:val="20"/>
                <w:szCs w:val="20"/>
                <w:color w:val="auto"/>
              </w:rPr>
            </w:pPr>
            <w:r>
              <w:rPr>
                <w:rFonts w:ascii="Arial" w:cs="Arial" w:eastAsia="Arial" w:hAnsi="Arial"/>
                <w:sz w:val="13"/>
                <w:szCs w:val="13"/>
                <w:b w:val="1"/>
                <w:bCs w:val="1"/>
                <w:color w:val="auto"/>
              </w:rPr>
              <w:t>Total Investment Income</w:t>
            </w: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70,234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62,427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136,504</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114,913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Interest</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9,851</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22,760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Management fees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7,666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7,373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15,831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13,995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Incentive fees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8,372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6,606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15,513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Professional fees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1,979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1,897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3,624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Directors’ fees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Other general and administrative</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1,702</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3,212</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3,033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Total expenses</w:t>
            </w: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29,765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30,285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61,363</w:t>
            </w: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55,833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20"/>
                <w:szCs w:val="20"/>
                <w:color w:val="auto"/>
              </w:rPr>
            </w:pPr>
            <w:r>
              <w:rPr>
                <w:rFonts w:ascii="Arial" w:cs="Arial" w:eastAsia="Arial" w:hAnsi="Arial"/>
                <w:sz w:val="13"/>
                <w:szCs w:val="13"/>
                <w:color w:val="auto"/>
              </w:rPr>
              <w:t>Management and incentive fees waived</w:t>
            </w:r>
          </w:p>
        </w:tc>
        <w:tc>
          <w:tcPr>
            <w:tcW w:w="16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53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3"/>
                <w:szCs w:val="13"/>
                <w:b w:val="1"/>
                <w:bCs w:val="1"/>
                <w:color w:val="auto"/>
              </w:rPr>
              <w:t>Net Expenses</w:t>
            </w: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29,765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30,285</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61,363</w:t>
            </w: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rPr>
                <w:sz w:val="13"/>
                <w:szCs w:val="13"/>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55,833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b w:val="1"/>
                <w:bCs w:val="1"/>
                <w:color w:val="auto"/>
              </w:rPr>
              <w:t>Net Investment Income Before Income Taxes</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40,469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32,142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75,141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59,080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color w:val="auto"/>
              </w:rPr>
              <w:t>Income taxes, including excise taxes</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2,010</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b w:val="1"/>
                <w:bCs w:val="1"/>
                <w:color w:val="auto"/>
              </w:rPr>
              <w:t>Net Investment Income</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39,469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31,142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73,131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57,780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Unrealized and Realized Gains (Losses)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spacing w:after="0"/>
              <w:rPr>
                <w:sz w:val="20"/>
                <w:szCs w:val="20"/>
                <w:color w:val="auto"/>
              </w:rPr>
            </w:pPr>
            <w:r>
              <w:rPr>
                <w:rFonts w:ascii="Arial" w:cs="Arial" w:eastAsia="Arial" w:hAnsi="Arial"/>
                <w:sz w:val="13"/>
                <w:szCs w:val="13"/>
                <w:color w:val="auto"/>
              </w:rPr>
              <w:t>Net change in unrealized gains (losses):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62,002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(30,757)</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Non-controlled, affiliated investments</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4,310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(1,215)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(4,299)</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(14,723)</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(7,966)</w:t>
            </w: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Translation of other assets and liabilities in foreign currencies</w:t>
            </w:r>
          </w:p>
        </w:tc>
        <w:tc>
          <w:tcPr>
            <w:tcW w:w="16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(8,379)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(764)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5,420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3"/>
                <w:szCs w:val="13"/>
                <w:color w:val="auto"/>
              </w:rPr>
              <w:t>(2,196)</w:t>
            </w: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rate swaps</w:t>
            </w: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6,124</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9,698</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20" w:type="dxa"/>
            <w:vAlign w:val="bottom"/>
          </w:tcPr>
          <w:p>
            <w:pPr>
              <w:ind w:left="740"/>
              <w:spacing w:after="0"/>
              <w:rPr>
                <w:sz w:val="20"/>
                <w:szCs w:val="20"/>
                <w:color w:val="auto"/>
              </w:rPr>
            </w:pPr>
            <w:r>
              <w:rPr>
                <w:rFonts w:ascii="Arial" w:cs="Arial" w:eastAsia="Arial" w:hAnsi="Arial"/>
                <w:sz w:val="13"/>
                <w:szCs w:val="13"/>
                <w:color w:val="auto"/>
              </w:rPr>
              <w:t>Total net change in unrealized gains (losses)</w:t>
            </w:r>
          </w:p>
        </w:tc>
        <w:tc>
          <w:tcPr>
            <w:tcW w:w="1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57,234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16,423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(27,446)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27,884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Realized gains (losses):</w:t>
            </w: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Non-controlled, non-affiliated investments</w:t>
            </w:r>
          </w:p>
        </w:tc>
        <w:tc>
          <w:tcPr>
            <w:tcW w:w="16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Controlled, affiliated investments</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(1,539)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(3,636)</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60"/>
              <w:spacing w:after="0"/>
              <w:rPr>
                <w:sz w:val="20"/>
                <w:szCs w:val="20"/>
                <w:color w:val="auto"/>
              </w:rPr>
            </w:pPr>
            <w:r>
              <w:rPr>
                <w:rFonts w:ascii="Arial" w:cs="Arial" w:eastAsia="Arial" w:hAnsi="Arial"/>
                <w:sz w:val="13"/>
                <w:szCs w:val="13"/>
                <w:color w:val="auto"/>
              </w:rPr>
              <w:t>Extinguishment of debt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3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Foreign currency transactions</w:t>
            </w:r>
          </w:p>
        </w:tc>
        <w:tc>
          <w:tcPr>
            <w:tcW w:w="1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(33)</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(92)</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740"/>
              <w:spacing w:after="0"/>
              <w:rPr>
                <w:sz w:val="20"/>
                <w:szCs w:val="20"/>
                <w:color w:val="auto"/>
              </w:rPr>
            </w:pPr>
            <w:r>
              <w:rPr>
                <w:rFonts w:ascii="Arial" w:cs="Arial" w:eastAsia="Arial" w:hAnsi="Arial"/>
                <w:sz w:val="13"/>
                <w:szCs w:val="13"/>
                <w:color w:val="auto"/>
              </w:rPr>
              <w:t>Total net realized gains (losses)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(833)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3"/>
                <w:szCs w:val="13"/>
                <w:color w:val="auto"/>
              </w:rPr>
              <w:t>(2,914)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shd w:val="clear" w:color="auto" w:fill="CFF0FC"/>
          </w:tcPr>
          <w:p>
            <w:pPr>
              <w:ind w:left="1000"/>
              <w:spacing w:after="0"/>
              <w:rPr>
                <w:sz w:val="20"/>
                <w:szCs w:val="20"/>
                <w:color w:val="auto"/>
              </w:rPr>
            </w:pPr>
            <w:r>
              <w:rPr>
                <w:rFonts w:ascii="Arial" w:cs="Arial" w:eastAsia="Arial" w:hAnsi="Arial"/>
                <w:sz w:val="13"/>
                <w:szCs w:val="13"/>
                <w:b w:val="1"/>
                <w:bCs w:val="1"/>
                <w:color w:val="auto"/>
              </w:rPr>
              <w:t>Total Net Unrealized and Realized Gains (Losses)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20" w:type="dxa"/>
            <w:vAlign w:val="bottom"/>
            <w:vMerge w:val="continue"/>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56,401</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16,653</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(30,360)</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Increase in Net Assets Resulting from Operations</w:t>
            </w: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320" w:type="dxa"/>
            <w:vAlign w:val="bottom"/>
            <w:vMerge w:val="continue"/>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95,870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47,795</w:t>
            </w:r>
          </w:p>
        </w:tc>
        <w:tc>
          <w:tcPr>
            <w:tcW w:w="14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42,771</w:t>
            </w:r>
          </w:p>
        </w:tc>
        <w:tc>
          <w:tcPr>
            <w:tcW w:w="160" w:type="dxa"/>
            <w:vAlign w:val="bottom"/>
          </w:tcPr>
          <w:p>
            <w:pPr>
              <w:spacing w:after="0"/>
              <w:rPr>
                <w:sz w:val="15"/>
                <w:szCs w:val="15"/>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86,541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3"/>
                <w:szCs w:val="13"/>
                <w:color w:val="auto"/>
              </w:rPr>
              <w:t>Earnings per common share—basic and diluted</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jc w:val="right"/>
              <w:ind w:right="13"/>
              <w:spacing w:after="0" w:line="143"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1.43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3"/>
              <w:spacing w:after="0" w:line="143" w:lineRule="exact"/>
              <w:rPr>
                <w:sz w:val="20"/>
                <w:szCs w:val="20"/>
                <w:color w:val="auto"/>
              </w:rPr>
            </w:pPr>
            <w:r>
              <w:rPr>
                <w:rFonts w:ascii="Arial" w:cs="Arial" w:eastAsia="Arial" w:hAnsi="Arial"/>
                <w:sz w:val="13"/>
                <w:szCs w:val="13"/>
                <w:color w:val="auto"/>
                <w:w w:val="82"/>
              </w:rPr>
              <w:t>$</w:t>
            </w: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0.72</w:t>
            </w:r>
          </w:p>
        </w:tc>
        <w:tc>
          <w:tcPr>
            <w:tcW w:w="14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0.64</w:t>
            </w:r>
          </w:p>
        </w:tc>
        <w:tc>
          <w:tcPr>
            <w:tcW w:w="160" w:type="dxa"/>
            <w:vAlign w:val="bottom"/>
            <w:shd w:val="clear" w:color="auto" w:fill="CFF0FC"/>
          </w:tcPr>
          <w:p>
            <w:pPr>
              <w:spacing w:after="0"/>
              <w:rPr>
                <w:sz w:val="12"/>
                <w:szCs w:val="12"/>
                <w:color w:val="auto"/>
              </w:rPr>
            </w:pPr>
          </w:p>
        </w:tc>
        <w:tc>
          <w:tcPr>
            <w:tcW w:w="260" w:type="dxa"/>
            <w:vAlign w:val="bottom"/>
            <w:gridSpan w:val="2"/>
            <w:shd w:val="clear" w:color="auto" w:fill="CFF0FC"/>
          </w:tcPr>
          <w:p>
            <w:pPr>
              <w:jc w:val="right"/>
              <w:ind w:right="100"/>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1.32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320" w:type="dxa"/>
            <w:vAlign w:val="bottom"/>
          </w:tcPr>
          <w:p>
            <w:pPr>
              <w:spacing w:after="0"/>
              <w:rPr>
                <w:sz w:val="20"/>
                <w:szCs w:val="20"/>
                <w:color w:val="auto"/>
              </w:rPr>
            </w:pPr>
            <w:r>
              <w:rPr>
                <w:rFonts w:ascii="Arial" w:cs="Arial" w:eastAsia="Arial" w:hAnsi="Arial"/>
                <w:sz w:val="13"/>
                <w:szCs w:val="13"/>
                <w:color w:val="auto"/>
              </w:rPr>
              <w:t>Weighted average shares of common stock outstanding—basic and diluted</w:t>
            </w: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66,957,883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65,982,373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66,807,081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65,789,976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1362710" cy="403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627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Company’s investment activity for quarter ended June 30, 2020 and 2019 is presented below (information presented herein is at par value unless otherwise indicated).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3380" w:type="dxa"/>
            <w:vAlign w:val="bottom"/>
            <w:gridSpan w:val="5"/>
          </w:tcPr>
          <w:p>
            <w:pPr>
              <w:jc w:val="right"/>
              <w:ind w:right="1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640" w:type="dxa"/>
            <w:vAlign w:val="bottom"/>
            <w:vMerge w:val="continue"/>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June 30, 2020</w:t>
            </w: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441.4</w:t>
            </w:r>
          </w:p>
        </w:tc>
        <w:tc>
          <w:tcPr>
            <w:tcW w:w="3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1,495.4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89.2</w:t>
            </w:r>
          </w:p>
        </w:tc>
        <w:tc>
          <w:tcPr>
            <w:tcW w:w="3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62.9</w:t>
            </w:r>
          </w:p>
        </w:tc>
        <w:tc>
          <w:tcPr>
            <w:tcW w:w="3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76.5</w:t>
            </w:r>
          </w:p>
        </w:tc>
        <w:tc>
          <w:tcPr>
            <w:tcW w:w="3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210.7</w:t>
            </w:r>
          </w:p>
        </w:tc>
        <w:tc>
          <w:tcPr>
            <w:tcW w:w="3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22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3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6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portfolio companies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new portfolio companies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in new portfolio companies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 years)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1"/>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at fixed rates</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1"/>
        </w:trPr>
        <w:tc>
          <w:tcPr>
            <w:tcW w:w="76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investment commitments</w:t>
            </w:r>
          </w:p>
        </w:tc>
        <w:tc>
          <w:tcPr>
            <w:tcW w:w="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1"/>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floating rate investment commitments </w:t>
            </w:r>
            <w:r>
              <w:rPr>
                <w:rFonts w:ascii="Arial" w:cs="Arial" w:eastAsia="Arial" w:hAnsi="Arial"/>
                <w:sz w:val="15"/>
                <w:szCs w:val="15"/>
                <w:b w:val="1"/>
                <w:bCs w:val="1"/>
                <w:color w:val="auto"/>
              </w:rPr>
              <w:t>(1)</w:t>
            </w:r>
          </w:p>
        </w:tc>
        <w:tc>
          <w:tcPr>
            <w:tcW w:w="220" w:type="dxa"/>
            <w:vAlign w:val="bottom"/>
            <w:shd w:val="clear" w:color="auto" w:fill="CFF0FC"/>
          </w:tcPr>
          <w:p>
            <w:pPr>
              <w:spacing w:after="0"/>
              <w:rPr>
                <w:sz w:val="20"/>
                <w:szCs w:val="20"/>
                <w:color w:val="auto"/>
              </w:rPr>
            </w:pP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1"/>
        </w:trPr>
        <w:tc>
          <w:tcPr>
            <w:tcW w:w="76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fully sold or paid down</w:t>
            </w:r>
          </w:p>
        </w:tc>
        <w:tc>
          <w:tcPr>
            <w:tcW w:w="22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1. Includes one fixed rate investment for the three months ended June 30, 2020, for which TSLX entered into an interest rate swap agreement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1362710" cy="403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627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approximately $34 billion of assets under management as of March 31, 2020. For more information, visit the Company’s website at www.sixthstreetspecialtylending.com.</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Sixth Street is a global investment firm with approximately $34 billion in assets under management and committed capital as of March 31, 2020. Sixth Street operates eight diversified, collaborative investment platforms across our growth investing, adjacencies, direct lending, fundamental public strategies, infrastructure, special situations, agriculture and par liquid credit businesses. Our long-term oriented, highly flexible capital base and “One Team” cultural philosophy allow us to invest thematically across sectors, geographies and asset classes. Founded in 2009, Sixth Street has more than 275 team members including over 140 investment professionals operating from nine locations around the world. For more information, visit www.sixthstreet.com.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expectations with respect to future dividends.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IRTSL@tssp.com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2020-08-04T15:12:21Z</dcterms:created>
  <dcterms:modified xsi:type="dcterms:W3CDTF">2020-08-04T15:12:21Z</dcterms:modified>
</cp:coreProperties>
</file>