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Co-Chief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w w:val="98"/>
              </w:rPr>
              <w:t>2A. Deemed</w:t>
            </w:r>
          </w:p>
        </w:tc>
        <w:tc>
          <w:tcPr>
            <w:tcW w:w="3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2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jc w:val="center"/>
              <w:ind w:right="6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6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  if any</w:t>
            </w:r>
          </w:p>
        </w:tc>
        <w:tc>
          <w:tcPr>
            <w:tcW w:w="3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86"/>
              </w:rPr>
              <w:t>11/07/2014</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108"/>
              <w:spacing w:after="0"/>
              <w:rPr>
                <w:sz w:val="20"/>
                <w:szCs w:val="20"/>
                <w:color w:val="auto"/>
              </w:rPr>
            </w:pPr>
            <w:r>
              <w:rPr>
                <w:rFonts w:ascii="Arial" w:cs="Arial" w:eastAsia="Arial" w:hAnsi="Arial"/>
                <w:sz w:val="18"/>
                <w:szCs w:val="18"/>
                <w:color w:val="0000FF"/>
              </w:rPr>
              <w:t>2,000</w:t>
            </w:r>
          </w:p>
        </w:tc>
        <w:tc>
          <w:tcPr>
            <w:tcW w:w="360" w:type="dxa"/>
            <w:vAlign w:val="bottom"/>
            <w:tcBorders>
              <w:bottom w:val="single" w:sz="8" w:color="2C2C2C"/>
            </w:tcBorders>
          </w:tcPr>
          <w:p>
            <w:pPr>
              <w:jc w:val="center"/>
              <w:ind w:left="83"/>
              <w:spacing w:after="0"/>
              <w:rPr>
                <w:sz w:val="20"/>
                <w:szCs w:val="20"/>
                <w:color w:val="auto"/>
              </w:rPr>
            </w:pPr>
            <w:r>
              <w:rPr>
                <w:rFonts w:ascii="Arial" w:cs="Arial" w:eastAsia="Arial" w:hAnsi="Arial"/>
                <w:sz w:val="18"/>
                <w:szCs w:val="18"/>
                <w:color w:val="0000FF"/>
                <w:w w:val="99"/>
              </w:rPr>
              <w:t>A</w:t>
            </w: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left="8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17.69</w:t>
            </w:r>
            <w:r>
              <w:rPr>
                <w:rFonts w:ascii="Arial" w:cs="Arial" w:eastAsia="Arial" w:hAnsi="Arial"/>
                <w:sz w:val="22"/>
                <w:szCs w:val="22"/>
                <w:color w:val="008000"/>
                <w:w w:val="87"/>
                <w:vertAlign w:val="superscript"/>
              </w:rPr>
              <w:t>(1)</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2,000</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88"/>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86"/>
              </w:rPr>
              <w:t>11/10/2014</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108"/>
              <w:spacing w:after="0"/>
              <w:rPr>
                <w:sz w:val="20"/>
                <w:szCs w:val="20"/>
                <w:color w:val="auto"/>
              </w:rPr>
            </w:pPr>
            <w:r>
              <w:rPr>
                <w:rFonts w:ascii="Arial" w:cs="Arial" w:eastAsia="Arial" w:hAnsi="Arial"/>
                <w:sz w:val="18"/>
                <w:szCs w:val="18"/>
                <w:color w:val="0000FF"/>
              </w:rPr>
              <w:t>1,430</w:t>
            </w:r>
          </w:p>
        </w:tc>
        <w:tc>
          <w:tcPr>
            <w:tcW w:w="360" w:type="dxa"/>
            <w:vAlign w:val="bottom"/>
            <w:tcBorders>
              <w:bottom w:val="single" w:sz="8" w:color="2C2C2C"/>
            </w:tcBorders>
          </w:tcPr>
          <w:p>
            <w:pPr>
              <w:jc w:val="center"/>
              <w:ind w:left="83"/>
              <w:spacing w:after="0"/>
              <w:rPr>
                <w:sz w:val="20"/>
                <w:szCs w:val="20"/>
                <w:color w:val="auto"/>
              </w:rPr>
            </w:pPr>
            <w:r>
              <w:rPr>
                <w:rFonts w:ascii="Arial" w:cs="Arial" w:eastAsia="Arial" w:hAnsi="Arial"/>
                <w:sz w:val="18"/>
                <w:szCs w:val="18"/>
                <w:color w:val="0000FF"/>
                <w:w w:val="99"/>
              </w:rPr>
              <w:t>A</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17.5986</w:t>
            </w:r>
            <w:r>
              <w:rPr>
                <w:rFonts w:ascii="Arial" w:cs="Arial" w:eastAsia="Arial" w:hAnsi="Arial"/>
                <w:sz w:val="22"/>
                <w:szCs w:val="22"/>
                <w:color w:val="008000"/>
                <w:w w:val="82"/>
                <w:vertAlign w:val="superscript"/>
              </w:rPr>
              <w:t>(2)(4)</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3,430</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88"/>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86"/>
              </w:rPr>
              <w:t>11/11/2014</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108"/>
              <w:spacing w:after="0"/>
              <w:rPr>
                <w:sz w:val="20"/>
                <w:szCs w:val="20"/>
                <w:color w:val="auto"/>
              </w:rPr>
            </w:pPr>
            <w:r>
              <w:rPr>
                <w:rFonts w:ascii="Arial" w:cs="Arial" w:eastAsia="Arial" w:hAnsi="Arial"/>
                <w:sz w:val="18"/>
                <w:szCs w:val="18"/>
                <w:color w:val="0000FF"/>
              </w:rPr>
              <w:t>3,000</w:t>
            </w:r>
          </w:p>
        </w:tc>
        <w:tc>
          <w:tcPr>
            <w:tcW w:w="360" w:type="dxa"/>
            <w:vAlign w:val="bottom"/>
            <w:tcBorders>
              <w:bottom w:val="single" w:sz="8" w:color="2C2C2C"/>
            </w:tcBorders>
          </w:tcPr>
          <w:p>
            <w:pPr>
              <w:jc w:val="center"/>
              <w:ind w:left="83"/>
              <w:spacing w:after="0"/>
              <w:rPr>
                <w:sz w:val="20"/>
                <w:szCs w:val="20"/>
                <w:color w:val="auto"/>
              </w:rPr>
            </w:pPr>
            <w:r>
              <w:rPr>
                <w:rFonts w:ascii="Arial" w:cs="Arial" w:eastAsia="Arial" w:hAnsi="Arial"/>
                <w:sz w:val="18"/>
                <w:szCs w:val="18"/>
                <w:color w:val="0000FF"/>
                <w:w w:val="99"/>
              </w:rPr>
              <w:t>A</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17.8708</w:t>
            </w:r>
            <w:r>
              <w:rPr>
                <w:rFonts w:ascii="Arial" w:cs="Arial" w:eastAsia="Arial" w:hAnsi="Arial"/>
                <w:sz w:val="22"/>
                <w:szCs w:val="22"/>
                <w:color w:val="008000"/>
                <w:w w:val="82"/>
                <w:vertAlign w:val="superscript"/>
              </w:rPr>
              <w:t>(3)(4)</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6,430</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88"/>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6,996.09</w:t>
            </w:r>
          </w:p>
        </w:tc>
        <w:tc>
          <w:tcPr>
            <w:tcW w:w="300" w:type="dxa"/>
            <w:vAlign w:val="bottom"/>
          </w:tcPr>
          <w:p>
            <w:pPr>
              <w:spacing w:after="0"/>
              <w:rPr>
                <w:sz w:val="18"/>
                <w:szCs w:val="18"/>
                <w:color w:val="auto"/>
              </w:rPr>
            </w:pPr>
          </w:p>
        </w:tc>
        <w:tc>
          <w:tcPr>
            <w:tcW w:w="580" w:type="dxa"/>
            <w:vAlign w:val="bottom"/>
            <w:vMerge w:val="restart"/>
          </w:tcPr>
          <w:p>
            <w:pPr>
              <w:jc w:val="center"/>
              <w:ind w:right="288"/>
              <w:spacing w:after="0"/>
              <w:rPr>
                <w:sz w:val="20"/>
                <w:szCs w:val="20"/>
                <w:color w:val="auto"/>
              </w:rPr>
            </w:pPr>
            <w:r>
              <w:rPr>
                <w:rFonts w:ascii="Arial" w:cs="Arial" w:eastAsia="Arial" w:hAnsi="Arial"/>
                <w:sz w:val="18"/>
                <w:szCs w:val="18"/>
                <w:color w:val="0000FF"/>
              </w:rPr>
              <w:t>I</w:t>
            </w:r>
          </w:p>
        </w:tc>
        <w:tc>
          <w:tcPr>
            <w:tcW w:w="1020" w:type="dxa"/>
            <w:vAlign w:val="bottom"/>
            <w:gridSpan w:val="3"/>
          </w:tcPr>
          <w:p>
            <w:pPr>
              <w:ind w:left="6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(5)</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jc w:val="center"/>
              <w:ind w:left="4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3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92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were purchased in multiple transactions, each at the price of $17.69.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$17.59 to $17.60,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$17.80 to $17.95, inclusive.</w:t>
      </w:r>
    </w:p>
    <w:p>
      <w:pPr>
        <w:spacing w:after="0" w:line="41"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undertakes to provide to TPG Specialty Lending, Inc. (the "Issuer"), any security holder of the Issuer, or the staff of the Securities and Exchange Commission (the "Commission"), upon request, full information regarding the number of shares sold at each separate price within the range set forth in footnotes (2) and (3) to this Form 4.</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2,799,817 shares of Common Stock of the Issuer, including 6,996.09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Easterly pursuant to the authorization and designation letter dated March 10, 2014, which was previously filed with the Commission as an exhibit to a Form 4 filed by Mr. Easterly on March 27, 2014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11/12/2014</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6"/>
              </w:rPr>
              <w:t>Joshua Easterly (6)</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2019-12-16T08:27:41Z</dcterms:created>
  <dcterms:modified xsi:type="dcterms:W3CDTF">2019-12-16T08:27:41Z</dcterms:modified>
</cp:coreProperties>
</file>