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TPG SPECIALTY LENDING, INC.</w:t>
      </w:r>
    </w:p>
    <w:p>
      <w:pPr>
        <w:ind w:left="12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 Common Stock, $.01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12/31/2011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51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1" w:lineRule="exact"/>
        <w:rPr>
          <w:sz w:val="24"/>
          <w:szCs w:val="24"/>
          <w:color w:val="auto"/>
        </w:rPr>
      </w:pPr>
    </w:p>
    <w:p>
      <w:pPr>
        <w:ind w:right="26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OTR-Nominee Name for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Teachers Retirement Board of Ohio, 31-1312155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  (b) [_]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Columbus, Ohio USA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14,460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14,460</w:t>
      </w: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14,460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Shares*:[_]</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8.19%</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EP</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FOOTNOTES</w:t>
      </w:r>
    </w:p>
    <w:p>
      <w:pPr>
        <w:spacing w:after="0" w:line="4" w:lineRule="exact"/>
        <w:rPr>
          <w:rFonts w:ascii="Courier New" w:cs="Courier New" w:eastAsia="Courier New" w:hAnsi="Courier New"/>
          <w:sz w:val="18"/>
          <w:szCs w:val="18"/>
          <w:color w:val="auto"/>
        </w:rPr>
      </w:pPr>
    </w:p>
    <w:p>
      <w:pPr>
        <w:ind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Includes 0 shares of common stock reserved for issuance upon exercise of stock options which are exercisable as of the date of filing of this Schedule 13G</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13G</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 Name of Issuer</w:t>
      </w:r>
    </w:p>
    <w:p>
      <w:pPr>
        <w:spacing w:after="0" w:line="4" w:lineRule="exact"/>
        <w:rPr>
          <w:sz w:val="24"/>
          <w:szCs w:val="24"/>
          <w:color w:val="auto"/>
        </w:rPr>
      </w:pPr>
    </w:p>
    <w:p>
      <w:pPr>
        <w:ind w:left="320" w:right="2939"/>
        <w:spacing w:after="0" w:line="235" w:lineRule="auto"/>
        <w:rPr>
          <w:sz w:val="20"/>
          <w:szCs w:val="20"/>
          <w:color w:val="auto"/>
        </w:rPr>
      </w:pPr>
      <w:r>
        <w:rPr>
          <w:rFonts w:ascii="Courier New" w:cs="Courier New" w:eastAsia="Courier New" w:hAnsi="Courier New"/>
          <w:sz w:val="18"/>
          <w:szCs w:val="18"/>
          <w:color w:val="auto"/>
        </w:rPr>
        <w:t>This Statement on Schedule 13G relates to the shares of Instrument TPG Specialty Lending, Inc.</w:t>
      </w:r>
    </w:p>
    <w:p>
      <w:pPr>
        <w:spacing w:after="0" w:line="203" w:lineRule="exact"/>
        <w:rPr>
          <w:sz w:val="24"/>
          <w:szCs w:val="24"/>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320" w:right="6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301 Commerce Street, Suite 3300 Fort Worth, TX 76102</w:t>
      </w:r>
    </w:p>
    <w:p>
      <w:pPr>
        <w:sectPr>
          <w:pgSz w:w="11900" w:h="16853"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jc w:val="both"/>
        <w:ind w:left="320" w:right="7159" w:firstLine="4"/>
        <w:spacing w:after="0" w:line="268" w:lineRule="auto"/>
        <w:tabs>
          <w:tab w:leader="none" w:pos="7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This Statement is filed by</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OTR - Nominee Name for The State Teachers Retirement Board of Ohio</w:t>
      </w:r>
    </w:p>
    <w:p>
      <w:pPr>
        <w:spacing w:after="0" w:line="201"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320"/>
        <w:spacing w:after="0" w:line="238" w:lineRule="auto"/>
        <w:rPr>
          <w:sz w:val="20"/>
          <w:szCs w:val="20"/>
          <w:color w:val="auto"/>
        </w:rPr>
      </w:pPr>
      <w:r>
        <w:rPr>
          <w:rFonts w:ascii="Courier New" w:cs="Courier New" w:eastAsia="Courier New" w:hAnsi="Courier New"/>
          <w:sz w:val="18"/>
          <w:szCs w:val="18"/>
          <w:color w:val="auto"/>
        </w:rPr>
        <w:t>The business address of</w:t>
      </w:r>
    </w:p>
    <w:p>
      <w:pPr>
        <w:ind w:left="320"/>
        <w:spacing w:after="0"/>
        <w:rPr>
          <w:sz w:val="20"/>
          <w:szCs w:val="20"/>
          <w:color w:val="auto"/>
        </w:rPr>
      </w:pPr>
      <w:r>
        <w:rPr>
          <w:rFonts w:ascii="Courier New" w:cs="Courier New" w:eastAsia="Courier New" w:hAnsi="Courier New"/>
          <w:sz w:val="18"/>
          <w:szCs w:val="18"/>
          <w:color w:val="auto"/>
        </w:rPr>
        <w:t>OTR - Nominee Name for The State Teachers Retirement Board of Ohio is</w:t>
      </w:r>
    </w:p>
    <w:p>
      <w:pPr>
        <w:ind w:left="320"/>
        <w:spacing w:after="0" w:line="237" w:lineRule="auto"/>
        <w:rPr>
          <w:sz w:val="20"/>
          <w:szCs w:val="20"/>
          <w:color w:val="auto"/>
        </w:rPr>
      </w:pPr>
      <w:r>
        <w:rPr>
          <w:rFonts w:ascii="Courier New" w:cs="Courier New" w:eastAsia="Courier New" w:hAnsi="Courier New"/>
          <w:sz w:val="18"/>
          <w:szCs w:val="18"/>
          <w:color w:val="auto"/>
        </w:rPr>
        <w:t>275 East Broad Street</w:t>
      </w:r>
    </w:p>
    <w:p>
      <w:pPr>
        <w:ind w:left="320"/>
        <w:spacing w:after="0" w:line="238" w:lineRule="auto"/>
        <w:tabs>
          <w:tab w:leader="none" w:pos="1980" w:val="left"/>
        </w:tabs>
        <w:rPr>
          <w:sz w:val="20"/>
          <w:szCs w:val="20"/>
          <w:color w:val="auto"/>
        </w:rPr>
      </w:pPr>
      <w:r>
        <w:rPr>
          <w:rFonts w:ascii="Courier New" w:cs="Courier New" w:eastAsia="Courier New" w:hAnsi="Courier New"/>
          <w:sz w:val="18"/>
          <w:szCs w:val="18"/>
          <w:color w:val="auto"/>
        </w:rPr>
        <w:t>Columbus, Ohio</w:t>
        <w:tab/>
        <w:t>43215</w:t>
      </w:r>
    </w:p>
    <w:p>
      <w:pPr>
        <w:spacing w:after="0" w:line="202" w:lineRule="exact"/>
        <w:rPr>
          <w:sz w:val="20"/>
          <w:szCs w:val="20"/>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Not Applicable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320"/>
        <w:spacing w:after="0" w:line="238" w:lineRule="auto"/>
        <w:rPr>
          <w:sz w:val="20"/>
          <w:szCs w:val="20"/>
          <w:color w:val="auto"/>
        </w:rPr>
      </w:pPr>
      <w:r>
        <w:rPr>
          <w:rFonts w:ascii="Courier New" w:cs="Courier New" w:eastAsia="Courier New" w:hAnsi="Courier New"/>
          <w:sz w:val="18"/>
          <w:szCs w:val="18"/>
          <w:color w:val="auto"/>
        </w:rPr>
        <w:t>The securities are shares of COM, Common Stock, $.01 par value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 CUSIP No.:</w:t>
      </w:r>
    </w:p>
    <w:p>
      <w:pPr>
        <w:ind w:left="320"/>
        <w:spacing w:after="0" w:line="238" w:lineRule="auto"/>
        <w:rPr>
          <w:sz w:val="20"/>
          <w:szCs w:val="20"/>
          <w:color w:val="auto"/>
        </w:rPr>
      </w:pPr>
      <w:r>
        <w:rPr>
          <w:rFonts w:ascii="Courier New" w:cs="Courier New" w:eastAsia="Courier New" w:hAnsi="Courier New"/>
          <w:sz w:val="18"/>
          <w:szCs w:val="18"/>
          <w:color w:val="auto"/>
        </w:rPr>
        <w:t>The CUSIP Number for the investment is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 Filing: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 Broker or dealer registered under section 15 of the Act (15 U.S.C. 78o) (b)[ ] Bank as defined in section 3(a)(6) of the Act (15 U.S.C. 78c).</w:t>
      </w:r>
    </w:p>
    <w:p>
      <w:pPr>
        <w:spacing w:after="0" w:line="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 ] Insurance company as defined in section 3(a)(19) of the Act (15USC 78c) (d)[ ] Investment company registered under section 8 of the</w:t>
      </w:r>
    </w:p>
    <w:p>
      <w:pPr>
        <w:ind w:left="740"/>
        <w:spacing w:after="0"/>
        <w:rPr>
          <w:sz w:val="20"/>
          <w:szCs w:val="20"/>
          <w:color w:val="auto"/>
        </w:rPr>
      </w:pPr>
      <w:r>
        <w:rPr>
          <w:rFonts w:ascii="Courier New" w:cs="Courier New" w:eastAsia="Courier New" w:hAnsi="Courier New"/>
          <w:sz w:val="18"/>
          <w:szCs w:val="18"/>
          <w:color w:val="auto"/>
        </w:rPr>
        <w:t>Investment Company Act of 1940 (15 U.S.C. 90a-8)</w:t>
      </w:r>
    </w:p>
    <w:p>
      <w:pPr>
        <w:spacing w:after="0" w:line="4"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(e)[ ] An investment adviser in accordance with 240.13d-1(b)(1)(ii)(E); (f)[*] An employee benefit plan or endowment fund in accordance with</w:t>
      </w:r>
    </w:p>
    <w:p>
      <w:pPr>
        <w:ind w:left="740"/>
        <w:spacing w:after="0" w:line="233" w:lineRule="auto"/>
        <w:rPr>
          <w:sz w:val="20"/>
          <w:szCs w:val="20"/>
          <w:color w:val="auto"/>
        </w:rPr>
      </w:pPr>
      <w:r>
        <w:rPr>
          <w:rFonts w:ascii="Courier New" w:cs="Courier New" w:eastAsia="Courier New" w:hAnsi="Courier New"/>
          <w:sz w:val="18"/>
          <w:szCs w:val="18"/>
          <w:color w:val="auto"/>
        </w:rPr>
        <w:t>240.13d-1(b)(1)(ii)(F);</w:t>
      </w:r>
    </w:p>
    <w:p>
      <w:pPr>
        <w:spacing w:after="0" w:line="208"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207" w:lineRule="exact"/>
        <w:rPr>
          <w:sz w:val="20"/>
          <w:szCs w:val="20"/>
          <w:color w:val="auto"/>
        </w:rPr>
      </w:pPr>
    </w:p>
    <w:p>
      <w:pPr>
        <w:ind w:left="740" w:right="3039" w:hanging="736"/>
        <w:spacing w:after="0" w:line="235" w:lineRule="auto"/>
        <w:rPr>
          <w:sz w:val="20"/>
          <w:szCs w:val="20"/>
          <w:color w:val="auto"/>
        </w:rPr>
      </w:pPr>
      <w:r>
        <w:rPr>
          <w:rFonts w:ascii="Courier New" w:cs="Courier New" w:eastAsia="Courier New" w:hAnsi="Courier New"/>
          <w:sz w:val="18"/>
          <w:szCs w:val="18"/>
          <w:color w:val="auto"/>
        </w:rPr>
        <w:t>(g)[ ] A parent holding company or control person in accordance with 240.13d-1(b)(1)(ii)(G);</w:t>
      </w:r>
    </w:p>
    <w:p>
      <w:pPr>
        <w:spacing w:after="0" w:line="6" w:lineRule="exact"/>
        <w:rPr>
          <w:sz w:val="20"/>
          <w:szCs w:val="20"/>
          <w:color w:val="auto"/>
        </w:rPr>
      </w:pPr>
    </w:p>
    <w:p>
      <w:pPr>
        <w:ind w:left="740" w:right="3679" w:hanging="736"/>
        <w:spacing w:after="0" w:line="235" w:lineRule="auto"/>
        <w:rPr>
          <w:sz w:val="20"/>
          <w:szCs w:val="20"/>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6" w:lineRule="exact"/>
        <w:rPr>
          <w:sz w:val="20"/>
          <w:szCs w:val="20"/>
          <w:color w:val="auto"/>
        </w:rPr>
      </w:pPr>
    </w:p>
    <w:p>
      <w:pPr>
        <w:ind w:left="740" w:right="2319" w:hanging="736"/>
        <w:spacing w:after="0" w:line="236"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 U.S.C. 80a-3)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38" w:lineRule="auto"/>
        <w:rPr>
          <w:sz w:val="20"/>
          <w:szCs w:val="20"/>
          <w:color w:val="auto"/>
        </w:rPr>
      </w:pPr>
      <w:r>
        <w:rPr>
          <w:rFonts w:ascii="Courier New" w:cs="Courier New" w:eastAsia="Courier New" w:hAnsi="Courier New"/>
          <w:sz w:val="18"/>
          <w:szCs w:val="18"/>
          <w:color w:val="auto"/>
        </w:rPr>
        <w:t>STRS owns 14,460 shares of TPG Specialty Lending,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Percent of Class:</w:t>
      </w:r>
    </w:p>
    <w:p>
      <w:pPr>
        <w:spacing w:after="0" w:line="238" w:lineRule="auto"/>
        <w:rPr>
          <w:sz w:val="20"/>
          <w:szCs w:val="20"/>
          <w:color w:val="auto"/>
        </w:rPr>
      </w:pPr>
      <w:r>
        <w:rPr>
          <w:rFonts w:ascii="Courier New" w:cs="Courier New" w:eastAsia="Courier New" w:hAnsi="Courier New"/>
          <w:sz w:val="18"/>
          <w:szCs w:val="18"/>
          <w:color w:val="auto"/>
        </w:rPr>
        <w:t>STRS believes that there are presently 176,533</w:t>
      </w:r>
    </w:p>
    <w:p>
      <w:pPr>
        <w:spacing w:after="0" w:line="5"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outstanding shares of TPG Specialty Lending, Inc.; therefore, STRS' ownership of 14,460 shares of TPG Specialty Lending, Inc. stock is 8.19% of this class.</w:t>
      </w:r>
    </w:p>
    <w:p>
      <w:pPr>
        <w:spacing w:after="0" w:line="16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Power:</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14,460</w:t>
      </w:r>
    </w:p>
    <w:p>
      <w:pPr>
        <w:ind w:left="960" w:hanging="531"/>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060" w:hanging="631"/>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14,460</w:t>
      </w:r>
    </w:p>
    <w:p>
      <w:pPr>
        <w:ind w:left="960" w:hanging="531"/>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320" w:right="2099"/>
        <w:spacing w:after="0" w:line="279" w:lineRule="auto"/>
        <w:rPr>
          <w:sz w:val="20"/>
          <w:szCs w:val="20"/>
          <w:color w:val="auto"/>
        </w:rPr>
      </w:pPr>
      <w:r>
        <w:rPr>
          <w:rFonts w:ascii="Courier New" w:cs="Courier New" w:eastAsia="Courier New" w:hAnsi="Courier New"/>
          <w:sz w:val="16"/>
          <w:szCs w:val="16"/>
          <w:color w:val="auto"/>
        </w:rPr>
        <w:t>If this statements is being filed to report the fact that as of the date hereof the reporting person has ceased to be the beneficial owner of more than five (5) percent of the class of securities, check the following [ ].</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7 IDENTIFICATION AND CLASSIFICATION OF SUBSIDIARY WHICH ACQUIRED THE</w:t>
      </w:r>
    </w:p>
    <w:p>
      <w:pPr>
        <w:ind w:left="860"/>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02/08/2012</w:t>
      </w:r>
    </w:p>
    <w:p>
      <w:pPr>
        <w:spacing w:after="0" w:line="238" w:lineRule="auto"/>
        <w:rPr>
          <w:sz w:val="20"/>
          <w:szCs w:val="20"/>
          <w:color w:val="auto"/>
        </w:rPr>
      </w:pPr>
      <w:r>
        <w:rPr>
          <w:rFonts w:ascii="Courier New" w:cs="Courier New" w:eastAsia="Courier New" w:hAnsi="Courier New"/>
          <w:sz w:val="18"/>
          <w:szCs w:val="18"/>
          <w:color w:val="auto"/>
        </w:rPr>
        <w:t>OTR - Nominee Name for The State Teachers Retirement Board of Ohio</w:t>
      </w:r>
    </w:p>
    <w:p>
      <w:pPr>
        <w:spacing w:after="0"/>
        <w:rPr>
          <w:sz w:val="20"/>
          <w:szCs w:val="20"/>
          <w:color w:val="auto"/>
        </w:rPr>
      </w:pPr>
      <w:r>
        <w:rPr>
          <w:rFonts w:ascii="Courier New" w:cs="Courier New" w:eastAsia="Courier New" w:hAnsi="Courier New"/>
          <w:sz w:val="18"/>
          <w:szCs w:val="18"/>
          <w:color w:val="auto"/>
        </w:rPr>
        <w:t>275 East Broad Street</w:t>
      </w:r>
    </w:p>
    <w:p>
      <w:pPr>
        <w:spacing w:after="0"/>
        <w:tabs>
          <w:tab w:leader="none" w:pos="1680" w:val="left"/>
        </w:tabs>
        <w:rPr>
          <w:sz w:val="20"/>
          <w:szCs w:val="20"/>
          <w:color w:val="auto"/>
        </w:rPr>
      </w:pPr>
      <w:r>
        <w:rPr>
          <w:rFonts w:ascii="Courier New" w:cs="Courier New" w:eastAsia="Courier New" w:hAnsi="Courier New"/>
          <w:sz w:val="18"/>
          <w:szCs w:val="18"/>
          <w:color w:val="auto"/>
        </w:rPr>
        <w:t>Columbus, Ohio</w:t>
      </w:r>
      <w:r>
        <w:rPr>
          <w:sz w:val="20"/>
          <w:szCs w:val="20"/>
          <w:color w:val="auto"/>
        </w:rPr>
        <w:tab/>
      </w:r>
      <w:r>
        <w:rPr>
          <w:rFonts w:ascii="Courier New" w:cs="Courier New" w:eastAsia="Courier New" w:hAnsi="Courier New"/>
          <w:sz w:val="16"/>
          <w:szCs w:val="16"/>
          <w:color w:val="auto"/>
        </w:rPr>
        <w:t>43215</w:t>
      </w:r>
    </w:p>
    <w:p>
      <w:pPr>
        <w:spacing w:after="0" w:line="238" w:lineRule="auto"/>
        <w:rPr>
          <w:sz w:val="20"/>
          <w:szCs w:val="20"/>
          <w:color w:val="auto"/>
        </w:rPr>
      </w:pPr>
      <w:r>
        <w:rPr>
          <w:rFonts w:ascii="Courier New" w:cs="Courier New" w:eastAsia="Courier New" w:hAnsi="Courier New"/>
          <w:sz w:val="18"/>
          <w:szCs w:val="18"/>
          <w:color w:val="auto"/>
        </w:rPr>
        <w:t>STEPHEN A. MITCHELL</w:t>
      </w:r>
    </w:p>
    <w:p>
      <w:pPr>
        <w:spacing w:after="0"/>
        <w:rPr>
          <w:sz w:val="20"/>
          <w:szCs w:val="20"/>
          <w:color w:val="auto"/>
        </w:rPr>
      </w:pPr>
      <w:r>
        <w:rPr>
          <w:rFonts w:ascii="Courier New" w:cs="Courier New" w:eastAsia="Courier New" w:hAnsi="Courier New"/>
          <w:sz w:val="18"/>
          <w:szCs w:val="18"/>
          <w:color w:val="auto"/>
        </w:rPr>
        <w:t>/s/Stephen A. Mitchell</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Stephen A. Mitchell</w:t>
      </w:r>
    </w:p>
    <w:p>
      <w:pPr>
        <w:spacing w:after="0" w:line="237" w:lineRule="auto"/>
        <w:rPr>
          <w:sz w:val="20"/>
          <w:szCs w:val="20"/>
          <w:color w:val="auto"/>
        </w:rPr>
      </w:pPr>
      <w:r>
        <w:rPr>
          <w:rFonts w:ascii="Courier New" w:cs="Courier New" w:eastAsia="Courier New" w:hAnsi="Courier New"/>
          <w:sz w:val="18"/>
          <w:szCs w:val="18"/>
          <w:color w:val="auto"/>
        </w:rPr>
        <w:t>Deputy Executive Director, Investments</w:t>
      </w:r>
    </w:p>
    <w:p>
      <w:pPr>
        <w:spacing w:after="0"/>
        <w:rPr>
          <w:sz w:val="20"/>
          <w:szCs w:val="20"/>
          <w:color w:val="auto"/>
        </w:rPr>
      </w:pPr>
      <w:r>
        <w:rPr>
          <w:rFonts w:ascii="Courier New" w:cs="Courier New" w:eastAsia="Courier New" w:hAnsi="Courier New"/>
          <w:sz w:val="18"/>
          <w:szCs w:val="18"/>
          <w:color w:val="auto"/>
        </w:rPr>
        <w:t>614-227-4003</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2019-12-09T19:04:58Z</dcterms:created>
  <dcterms:modified xsi:type="dcterms:W3CDTF">2019-12-09T19:04:58Z</dcterms:modified>
</cp:coreProperties>
</file>