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1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Pr>
          <w:p>
            <w:pPr>
              <w:ind w:left="260"/>
              <w:spacing w:after="0"/>
              <w:rPr>
                <w:sz w:val="20"/>
                <w:szCs w:val="20"/>
                <w:color w:val="auto"/>
              </w:rPr>
            </w:pPr>
            <w:r>
              <w:rPr>
                <w:rFonts w:ascii="Arial" w:cs="Arial" w:eastAsia="Arial" w:hAnsi="Arial"/>
                <w:sz w:val="18"/>
                <w:szCs w:val="18"/>
                <w:b w:val="1"/>
                <w:bCs w:val="1"/>
                <w:color w:val="auto"/>
              </w:rPr>
              <w:t>001-36364</w:t>
            </w:r>
          </w:p>
        </w:tc>
        <w:tc>
          <w:tcPr>
            <w:tcW w:w="20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12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2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of Incorporation)</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100" w:type="dxa"/>
            <w:vAlign w:val="bottom"/>
            <w:gridSpan w:val="2"/>
          </w:tcPr>
          <w:p>
            <w:pPr>
              <w:jc w:val="center"/>
              <w:ind w:right="482"/>
              <w:spacing w:after="0"/>
              <w:rPr>
                <w:sz w:val="20"/>
                <w:szCs w:val="20"/>
                <w:color w:val="auto"/>
              </w:rPr>
            </w:pPr>
            <w:r>
              <w:rPr>
                <w:rFonts w:ascii="Arial" w:cs="Arial" w:eastAsia="Arial" w:hAnsi="Arial"/>
                <w:sz w:val="18"/>
                <w:szCs w:val="18"/>
                <w:b w:val="1"/>
                <w:bCs w:val="1"/>
                <w:color w:val="auto"/>
                <w:w w:val="89"/>
              </w:rPr>
              <w:t>301 Commerce Street, Suite 3300</w:t>
            </w:r>
          </w:p>
        </w:tc>
        <w:tc>
          <w:tcPr>
            <w:tcW w:w="2040" w:type="dxa"/>
            <w:vAlign w:val="bottom"/>
          </w:tcPr>
          <w:p>
            <w:pPr>
              <w:spacing w:after="0"/>
              <w:rPr>
                <w:sz w:val="24"/>
                <w:szCs w:val="24"/>
                <w:color w:val="auto"/>
              </w:rPr>
            </w:pPr>
          </w:p>
        </w:tc>
      </w:tr>
      <w:tr>
        <w:trPr>
          <w:trHeight w:val="225"/>
        </w:trPr>
        <w:tc>
          <w:tcPr>
            <w:tcW w:w="3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7"/>
              </w:rPr>
              <w:t>Fort Worth, TX</w:t>
            </w:r>
          </w:p>
        </w:tc>
        <w:tc>
          <w:tcPr>
            <w:tcW w:w="1980" w:type="dxa"/>
            <w:vAlign w:val="bottom"/>
          </w:tcPr>
          <w:p>
            <w:pPr>
              <w:spacing w:after="0"/>
              <w:rPr>
                <w:sz w:val="19"/>
                <w:szCs w:val="19"/>
                <w:color w:val="auto"/>
              </w:rPr>
            </w:pPr>
          </w:p>
        </w:tc>
        <w:tc>
          <w:tcPr>
            <w:tcW w:w="20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5100" w:type="dxa"/>
            <w:vAlign w:val="bottom"/>
            <w:gridSpan w:val="2"/>
          </w:tcPr>
          <w:p>
            <w:pPr>
              <w:jc w:val="center"/>
              <w:ind w:right="48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4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November 7, 2016, the registrant issued a press release announcing its financial results for the quarter ended September 30, 2016. The text of the press release is included as Exhibit 99.1 to this Form 8-K.</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On November 7, 2016, the registrant issued a press release, included herewith as Exhibit 99.1, announcing the declaration of a fourth fiscal quarter 2016 dividend of $0.39 per share, payable on or about January 31, 2017 to stockholders of record as of December 31, 2016.</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7, 2016</w:t>
      </w:r>
    </w:p>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6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November 7,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TPG Specialty Lending, Inc. Announces Quarter Ended September 30, 2016 Financial Results and Board Declares Quarterly Dividend of $0.39 Per Share for the Fourth Fiscal Quarter of 2016</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NEW YORK—(BUSINESS WIRE)—November 7, 2016— TPG Specialty Lending, Inc. (NYSE: TSLX, or the “Company”) today reported net investment income of $30.6 million, or $0.51 per share, for the quarter ended September 30, 2016. Net asset value per share was $15.78 at September 30, 2016 as compared to $15.55 at June 30, 2016. The Company’s Board of Directors previously declared a third quarter dividend of $0.39 per share, payable to stockholders of record as of September 30, 2016 that was paid on October 31, 2016.</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December 31, 2016, payable on or about January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(amounts in millions,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20" w:type="dxa"/>
            <w:vAlign w:val="bottom"/>
            <w:gridSpan w:val="3"/>
          </w:tcPr>
          <w:p>
            <w:pPr>
              <w:jc w:val="center"/>
              <w:ind w:right="72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80" w:type="dxa"/>
            <w:vAlign w:val="bottom"/>
            <w:gridSpan w:val="2"/>
            <w:vMerge w:val="restart"/>
          </w:tcPr>
          <w:p>
            <w:pPr>
              <w:jc w:val="right"/>
              <w:ind w:right="101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rPr>
              <w:t>(unaudited)</w:t>
            </w:r>
          </w:p>
        </w:tc>
        <w:tc>
          <w:tcPr>
            <w:tcW w:w="720" w:type="dxa"/>
            <w:vAlign w:val="bottom"/>
          </w:tcPr>
          <w:p>
            <w:pPr>
              <w:spacing w:after="0"/>
              <w:rPr>
                <w:sz w:val="10"/>
                <w:szCs w:val="10"/>
                <w:color w:val="auto"/>
              </w:rPr>
            </w:pPr>
          </w:p>
        </w:tc>
        <w:tc>
          <w:tcPr>
            <w:tcW w:w="17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June 30, 2016</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1,643.6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1,611.0</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10"/>
              <w:spacing w:after="0"/>
              <w:rPr>
                <w:sz w:val="20"/>
                <w:szCs w:val="20"/>
                <w:color w:val="auto"/>
              </w:rPr>
            </w:pPr>
            <w:r>
              <w:rPr>
                <w:rFonts w:ascii="Arial" w:cs="Arial" w:eastAsia="Arial" w:hAnsi="Arial"/>
                <w:sz w:val="18"/>
                <w:szCs w:val="18"/>
                <w:color w:val="auto"/>
              </w:rPr>
              <w:t>1,665.2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1,628.8</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15.55</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10"/>
              <w:spacing w:after="0"/>
              <w:rPr>
                <w:sz w:val="20"/>
                <w:szCs w:val="20"/>
                <w:color w:val="auto"/>
              </w:rPr>
            </w:pPr>
            <w:r>
              <w:rPr>
                <w:rFonts w:ascii="Arial" w:cs="Arial" w:eastAsia="Arial" w:hAnsi="Arial"/>
                <w:sz w:val="18"/>
                <w:szCs w:val="18"/>
                <w:color w:val="auto"/>
              </w:rPr>
              <w:t>53.9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46.0</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25.5</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10"/>
              <w:spacing w:after="0"/>
              <w:rPr>
                <w:sz w:val="20"/>
                <w:szCs w:val="20"/>
                <w:color w:val="auto"/>
              </w:rPr>
            </w:pPr>
            <w:r>
              <w:rPr>
                <w:rFonts w:ascii="Arial" w:cs="Arial" w:eastAsia="Arial" w:hAnsi="Arial"/>
                <w:sz w:val="18"/>
                <w:szCs w:val="18"/>
                <w:color w:val="auto"/>
              </w:rPr>
              <w:t>36.9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49.6</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0.43</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1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0.41</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0.84</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10"/>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Securities at Fair Value</w:t>
            </w:r>
          </w:p>
        </w:tc>
        <w:tc>
          <w:tcPr>
            <w:tcW w:w="780" w:type="dxa"/>
            <w:vAlign w:val="bottom"/>
          </w:tcPr>
          <w:p>
            <w:pPr>
              <w:spacing w:after="0"/>
              <w:rPr>
                <w:sz w:val="20"/>
                <w:szCs w:val="20"/>
                <w:color w:val="auto"/>
              </w:rPr>
            </w:pPr>
          </w:p>
        </w:tc>
        <w:tc>
          <w:tcPr>
            <w:tcW w:w="1900" w:type="dxa"/>
            <w:vAlign w:val="bottom"/>
          </w:tcPr>
          <w:p>
            <w:pPr>
              <w:jc w:val="right"/>
              <w:ind w:right="87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 Producing</w:t>
            </w:r>
          </w:p>
        </w:tc>
        <w:tc>
          <w:tcPr>
            <w:tcW w:w="7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at Amortized Cost</w:t>
            </w:r>
          </w:p>
        </w:tc>
        <w:tc>
          <w:tcPr>
            <w:tcW w:w="78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7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w w:val="97"/>
              </w:rPr>
              <w:t>Percentage of Debt Investment Commitments at Floating Rates</w:t>
            </w:r>
          </w:p>
        </w:tc>
        <w:tc>
          <w:tcPr>
            <w:tcW w:w="780" w:type="dxa"/>
            <w:vAlign w:val="bottom"/>
          </w:tcPr>
          <w:p>
            <w:pPr>
              <w:spacing w:after="0"/>
              <w:rPr>
                <w:sz w:val="24"/>
                <w:szCs w:val="24"/>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color w:val="auto"/>
              </w:rPr>
              <w:t>98%</w:t>
            </w:r>
            <w:r>
              <w:rPr>
                <w:rFonts w:ascii="Arial" w:cs="Arial" w:eastAsia="Arial" w:hAnsi="Arial"/>
                <w:sz w:val="15"/>
                <w:szCs w:val="15"/>
                <w:color w:val="auto"/>
              </w:rPr>
              <w:t>(1)</w:t>
            </w:r>
          </w:p>
        </w:tc>
        <w:tc>
          <w:tcPr>
            <w:tcW w:w="180" w:type="dxa"/>
            <w:vAlign w:val="bottom"/>
          </w:tcPr>
          <w:p>
            <w:pPr>
              <w:spacing w:after="0"/>
              <w:rPr>
                <w:sz w:val="24"/>
                <w:szCs w:val="24"/>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r>
              <w:rPr>
                <w:rFonts w:ascii="Arial" w:cs="Arial" w:eastAsia="Arial" w:hAnsi="Arial"/>
                <w:sz w:val="15"/>
                <w:szCs w:val="15"/>
                <w:color w:val="auto"/>
              </w:rPr>
              <w:t>(1)</w:t>
            </w:r>
          </w:p>
        </w:tc>
        <w:tc>
          <w:tcPr>
            <w:tcW w:w="7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Includes one fixed rate investment for which we entered into an interest rate swap agreement to swap to a floating rate.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November 8, 2016.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84395988</w:t>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8 through November 22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the Company’s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84395988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three months ended September 30, 2016, gross originations totaled $318.1 million. This compares to $199.7 million for the three months ended June 30, 2016 and $184.8 million for the three months ended September 30, 2015.</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months ended September 30, 2016, the Company made new investment commitments of $194.2 million in six new portfolio companies. For this period, the Company had $199.2 million aggregate principal amount in exits and repayments, resulting in a net portfolio decrease of $8.8 million aggregate principal amount.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September 30, 2015, the Company made new investment commitments of $184.8 million, $160.9 million to six new portfolio companies and $23.9 million to five existing portfolio companies. For this period, the Company had $148.4 million aggregate principal amount in exits and repayments, resulting in a net portfolio increase of $15.8 million aggregate principal amount.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2016 and June 30, 2016, the Company had investments in 52 and 50 portfolio companies, respectively, with an aggregate fair value of $1,643.6 million and $1,611.0 million, respectively.</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September 30, 2016, the portfolio based on fair value consisted of 94.4% first-lien debt investments, 3.2% second-lien debt investments, 0.9% mezzanine and unsecured debt investments and 1.5% equity and other investments. As of June 30, 2016, the portfolio based on fair value consisted of 92.9% first-lien debt investments, 3.7% second-lien debt investments, 1.9% mezzanine and unsecured debt investments, and 1.5% equity and other investments.</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2016, 97.9% of debt investments based on fair value in the Company’s portfolio bore interest at floating rates (when including investment specific hedges), with 94.8% of these subject to interest rate floors. The Company’s credit facility bears interest at floating rates, and the Company’s Convertible Senior Notes, which bear interest at a fixed rate, have been entered into fixed-to-floating interest rate swaps in order to continue to align the interest rates of the Company’s liabilities with its investment portfolio.</w:t>
      </w:r>
    </w:p>
    <w:p>
      <w:pPr>
        <w:sectPr>
          <w:pgSz w:w="11900" w:h="16838" w:orient="portrait"/>
          <w:cols w:equalWidth="0" w:num="1">
            <w:col w:w="11380"/>
          </w:cols>
          <w:pgMar w:left="240" w:top="274" w:right="279" w:bottom="1440" w:gutter="0" w:footer="0" w:header="0"/>
        </w:sectPr>
      </w:pPr>
    </w:p>
    <w:bookmarkStart w:id="5" w:name="page6"/>
    <w:bookmarkEnd w:id="5"/>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September 30, 2016 and June 30, 2016, the weighted average total yield of debt and income producing securities at fair value (which includes interest income and amortization of fees and discounts) was 10.3% and 10.6%, respectively, and the weighted average total yield of debt and income producing securities at amortized cost (which includes interest income and amortization of fees and discounts) was 10.3% and 10.5%, respectively.</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September 30, 2016, 99.5% of debt investments based on fair value were meeting all payment and covenant requirements. One investment was on non-accrual status at September 30, 2016, and was subsequently restructured post quarter end into a performing credit and equity investment.</w:t>
      </w:r>
    </w:p>
    <w:p>
      <w:pPr>
        <w:spacing w:after="0" w:line="143" w:lineRule="exact"/>
        <w:rPr>
          <w:sz w:val="20"/>
          <w:szCs w:val="20"/>
          <w:color w:val="auto"/>
        </w:rPr>
      </w:pPr>
    </w:p>
    <w:p>
      <w:pPr>
        <w:ind w:right="138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September 30, 2016 compared to the Three Months Ended September 30, 2015 </w:t>
      </w:r>
      <w:r>
        <w:rPr>
          <w:rFonts w:ascii="Arial" w:cs="Arial" w:eastAsia="Arial" w:hAnsi="Arial"/>
          <w:sz w:val="18"/>
          <w:szCs w:val="18"/>
          <w:b w:val="1"/>
          <w:bCs w:val="1"/>
          <w:i w:val="1"/>
          <w:iCs w:val="1"/>
          <w:color w:val="auto"/>
        </w:rPr>
        <w:t>Investment Income</w:t>
      </w:r>
    </w:p>
    <w:p>
      <w:pPr>
        <w:ind w:right="200"/>
        <w:spacing w:after="0" w:line="259" w:lineRule="auto"/>
        <w:rPr>
          <w:sz w:val="20"/>
          <w:szCs w:val="20"/>
          <w:color w:val="auto"/>
        </w:rPr>
      </w:pPr>
      <w:r>
        <w:rPr>
          <w:rFonts w:ascii="Arial" w:cs="Arial" w:eastAsia="Arial" w:hAnsi="Arial"/>
          <w:sz w:val="18"/>
          <w:szCs w:val="18"/>
          <w:color w:val="auto"/>
        </w:rPr>
        <w:t>For the three months ended September 30, 2016 and 2015, investment income totaled $53.9 million and $46.8 million, respectively. The increase in investment income was primarily driven by an increase in the average size of the total investment portfolio, higher syndication, amendment and other fees, partially offset by lower accelerated amortization of upfront fees and no prepayment fees from unscheduled paydowns, as compared to the same period in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Net expenses totaled $22.7 million and $20.5 million for the three months ended September 30, 2016 and 2015, respectively. The increase in net expenses was primarily due to higher management and incentive fees, and higher professional fees as a result of increased costs associated with servicing a growing investment portfolio and our corporate actions with respect to our investment in the common stock of TICC Capital Corp.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As of September 30, 2016, the Company had $3.9 million in cash and cash equivalents, total debt outstanding of $690.8 million, and $245.5 million of undrawn commitments on its revolving credit facility, subject to borrowing base and other limitations. The weighted average interest rate on average debt outstanding was 2.7% for the three months ended September 30, 2016 and 2.6% for the three months ended September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by Fitch Ratings and Standard and Poor’s, each with a stable outlook.</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43,986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124,931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Dividend income</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Total investment income from controlled, affiliated investments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129,856</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5,460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57,004</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Management and incentive fees waived</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79,265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Translation of assets and liabilities in foreign currencies</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transactions</w:t>
            </w: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Total realized gains (losses)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Unrealized and 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59,523,695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54,017,302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58,229,549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53,969,423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September 30, 2016</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(amortized cost of $1,570,297 and $1,443,017, respectively)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1,578,148</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Controlled, affiliated investments (amortized cost of $95,633 and $86,659, respectively)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$1,665,930 and $1,529,676, respectively)</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1,643,572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3,928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1,665,220</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1,506,568</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 of $8,633 and $10,365, respectively)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680,115</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6,145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23,236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Payables to affiliate</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724,751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Common stock, $0.01 par value; 400,000,000 shares authorized, 59,669,593 and 54,166,959 shares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issued, respectively; and 59,580,513 and 54,163,960 shares outstanding, respectively</w:t>
            </w: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898,363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28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(1,359)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unrealized losses</w:t>
            </w:r>
          </w:p>
        </w:tc>
        <w:tc>
          <w:tcPr>
            <w:tcW w:w="28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(5,232)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940,469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1,506,568</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September 30, 2016 and 2015 is presented below (information presented herein is at par value unless otherwise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2016</w:t>
            </w: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originations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318.1</w:t>
            </w:r>
          </w:p>
        </w:tc>
        <w:tc>
          <w:tcPr>
            <w:tcW w:w="580" w:type="dxa"/>
            <w:vAlign w:val="bottom"/>
          </w:tcPr>
          <w:p>
            <w:pPr>
              <w:spacing w:after="0"/>
              <w:rPr>
                <w:sz w:val="18"/>
                <w:szCs w:val="18"/>
                <w:color w:val="auto"/>
              </w:rPr>
            </w:pPr>
          </w:p>
        </w:tc>
        <w:tc>
          <w:tcPr>
            <w:tcW w:w="9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Syndications/sell downs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 new investment commitments</w:t>
            </w:r>
          </w:p>
        </w:tc>
        <w:tc>
          <w:tcPr>
            <w:tcW w:w="44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First-lien</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190.4</w:t>
            </w:r>
          </w:p>
        </w:tc>
        <w:tc>
          <w:tcPr>
            <w:tcW w:w="580" w:type="dxa"/>
            <w:vAlign w:val="bottom"/>
          </w:tcPr>
          <w:p>
            <w:pPr>
              <w:spacing w:after="0"/>
              <w:rPr>
                <w:sz w:val="18"/>
                <w:szCs w:val="18"/>
                <w:color w:val="auto"/>
              </w:rPr>
            </w:pPr>
          </w:p>
        </w:tc>
        <w:tc>
          <w:tcPr>
            <w:tcW w:w="9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First-lien</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174.9</w:t>
            </w:r>
          </w:p>
        </w:tc>
        <w:tc>
          <w:tcPr>
            <w:tcW w:w="580" w:type="dxa"/>
            <w:vAlign w:val="bottom"/>
          </w:tcPr>
          <w:p>
            <w:pPr>
              <w:spacing w:after="0"/>
              <w:rPr>
                <w:sz w:val="18"/>
                <w:szCs w:val="18"/>
                <w:color w:val="auto"/>
              </w:rPr>
            </w:pPr>
          </w:p>
        </w:tc>
        <w:tc>
          <w:tcPr>
            <w:tcW w:w="9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Number of new investment commitments in new</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portfolio companies</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Average new investment commitment amount in new</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portfolio companies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20"/>
                <w:szCs w:val="20"/>
                <w:color w:val="auto"/>
              </w:rPr>
            </w:pPr>
          </w:p>
        </w:tc>
        <w:tc>
          <w:tcPr>
            <w:tcW w:w="9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commitments in new portfolio companies (in years)</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floating rates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fixed rates</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commitments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 average spread over LIBOR of new floating</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rate investment commitments</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Weighted average interest rate on investments sold or</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paid down</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$18 billion of assets under management as of June 30, 2016, and the broader TPG platform, a global private investment firm with approximately $73 billion of assets under management as of June 30, 2016. For more information, visit the Company’s website at www.tpgspecialtylending.com.</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2019-12-08T21:08:44Z</dcterms:created>
  <dcterms:modified xsi:type="dcterms:W3CDTF">2019-12-08T21:08:44Z</dcterms:modified>
</cp:coreProperties>
</file>