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4154d8k.htm"/>
      <w:bookmarkStart w:id="1" w:name="ksd841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22,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 Submission of Matters to a Vote of Security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May 22, 2025, Sixth Street Specialty Lending, Inc. (the “Company”) held its annual meeting of stockholders. Stockholders considered two proposals as described in the Company’s proxy statement filed on April 10, 2025. The final results of the voting on each matter submitted to stockholders at the annual meeting are set forth below. </w:t>
      </w:r>
    </w:p>
    <w:p>
      <w:pPr>
        <w:pStyle w:val="TextBody"/>
        <w:bidi w:val="0"/>
        <w:spacing w:before="240" w:after="0"/>
        <w:jc w:val="left"/>
        <w:rPr>
          <w:rFonts w:ascii="Times New Roman" w:hAnsi="Times New Roman"/>
          <w:sz w:val="20"/>
        </w:rPr>
      </w:pPr>
      <w:r>
        <w:rPr>
          <w:rFonts w:ascii="Times New Roman" w:hAnsi="Times New Roman"/>
          <w:b/>
          <w:sz w:val="20"/>
        </w:rPr>
        <w:t>Proposal 1 – Election of Class</w:t>
      </w:r>
      <w:r>
        <w:rPr>
          <w:rFonts w:ascii="Times New Roman" w:hAnsi="Times New Roman"/>
          <w:sz w:val="20"/>
        </w:rPr>
        <w:t> </w:t>
      </w:r>
      <w:r>
        <w:rPr>
          <w:rFonts w:ascii="Times New Roman" w:hAnsi="Times New Roman"/>
          <w:b/>
          <w:sz w:val="20"/>
        </w:rPr>
        <w:t xml:space="preserve">II Directors. </w:t>
      </w:r>
      <w:r>
        <w:rPr>
          <w:rFonts w:ascii="Times New Roman" w:hAnsi="Times New Roman"/>
          <w:sz w:val="20"/>
        </w:rPr>
        <w:t xml:space="preserve">The stockholders elected the nominees for Class II director by the vote shown below. </w:t>
      </w:r>
    </w:p>
    <w:p>
      <w:pPr>
        <w:pStyle w:val="TextBody"/>
        <w:bidi w:val="0"/>
        <w:spacing w:before="0" w:after="0"/>
        <w:jc w:val="left"/>
        <w:rPr/>
      </w:pPr>
      <w:r>
        <w:rPr/>
        <w:t> </w:t>
      </w:r>
    </w:p>
    <w:tbl>
      <w:tblPr>
        <w:tblW w:w="7233" w:type="dxa"/>
        <w:jc w:val="left"/>
        <w:tblInd w:w="0" w:type="dxa"/>
        <w:tblLayout w:type="fixed"/>
        <w:tblCellMar>
          <w:top w:w="0" w:type="dxa"/>
          <w:left w:w="0" w:type="dxa"/>
          <w:bottom w:w="0" w:type="dxa"/>
          <w:right w:w="0" w:type="dxa"/>
        </w:tblCellMar>
      </w:tblPr>
      <w:tblGrid>
        <w:gridCol w:w="1685"/>
        <w:gridCol w:w="120"/>
        <w:gridCol w:w="65"/>
        <w:gridCol w:w="1199"/>
        <w:gridCol w:w="60"/>
        <w:gridCol w:w="120"/>
        <w:gridCol w:w="104"/>
        <w:gridCol w:w="1730"/>
        <w:gridCol w:w="60"/>
        <w:gridCol w:w="120"/>
        <w:gridCol w:w="98"/>
        <w:gridCol w:w="1797"/>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33,248,892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7,959,009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31,365,774</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32,468,225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8,739,676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31,365,774</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34,863,801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6,344,100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31,365,774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Proposal 2 – Ratification of Appointment of Independent Registered Public Accounting Firm. </w:t>
      </w:r>
      <w:r>
        <w:rPr>
          <w:rFonts w:ascii="Times New Roman" w:hAnsi="Times New Roman"/>
          <w:sz w:val="20"/>
        </w:rPr>
        <w:t xml:space="preserve">The stockholders ratified the retention of KPMG LLP as our independent registered public accounting firm for the fiscal year ending December 31, 2025.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115"/>
        <w:gridCol w:w="60"/>
        <w:gridCol w:w="120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71,383,579</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521,703</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668,393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May 22, 2025, the Company also convened a special meeting of stockholders (the “Special Meeting”). At the Special Meeting, there were not present or represented by proxy a sufficient number of shares of the Company’s common stock to constitute a quorum. Accordingly, the Company adjourned the Special Meeting without any business being conducted. The adjourned meeting will reconvene on June 20, 2025 at 9:00 a.m., Eastern Time, at the offices of Simpson Thacher &amp; Bartlett LLP, 425 Lexington Avenue, 30th Floor, 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stockholders at the Special Meeting. The proposal is described in detail in the Company’s definitive proxy statement for the Special Meeting as filed with the Securities and Exchange Commission on April 10, 2025. The close of business on March 31, 2025 will continue to be the record date for the determination of stockholders of the Company entitled to vote at the reconvened Special Meeting. During the period of the adjournment, the Company will solicit proxies from its stockholders with respect to the proposal. Proxies previously submitted in respect of the Special Meeting will be voted at the reconvened meeting unless properly revoked.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32" w:type="dxa"/>
        <w:jc w:val="left"/>
        <w:tblInd w:w="0" w:type="dxa"/>
        <w:tblLayout w:type="fixed"/>
        <w:tblCellMar>
          <w:top w:w="0" w:type="dxa"/>
          <w:left w:w="0" w:type="dxa"/>
          <w:bottom w:w="0" w:type="dxa"/>
          <w:right w:w="0" w:type="dxa"/>
        </w:tblCellMar>
      </w:tblPr>
      <w:tblGrid>
        <w:gridCol w:w="1940"/>
        <w:gridCol w:w="60"/>
        <w:gridCol w:w="23"/>
        <w:gridCol w:w="60"/>
        <w:gridCol w:w="532"/>
        <w:gridCol w:w="87"/>
        <w:gridCol w:w="423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423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9" w:type="dxa"/>
            <w:gridSpan w:val="3"/>
            <w:tcBorders/>
            <w:vAlign w:val="center"/>
          </w:tcPr>
          <w:p>
            <w:pPr>
              <w:pStyle w:val="TableContents"/>
              <w:bidi w:val="0"/>
              <w:spacing w:before="0" w:after="283"/>
              <w:jc w:val="left"/>
              <w:rPr/>
            </w:pPr>
            <w:r>
              <w:rPr/>
              <w:t>SIXTH STREET SPECIALTY LENDING,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92" w:type="dxa"/>
            <w:gridSpan w:val="2"/>
            <w:tcBorders/>
            <w:vAlign w:val="center"/>
          </w:tcPr>
          <w:p>
            <w:pPr>
              <w:pStyle w:val="TableContents"/>
              <w:bidi w:val="0"/>
              <w:spacing w:before="0" w:after="283"/>
              <w:jc w:val="left"/>
              <w:rPr>
                <w:sz w:val="4"/>
                <w:szCs w:val="4"/>
              </w:rPr>
            </w:pPr>
            <w:r>
              <w:rPr>
                <w:sz w:val="4"/>
                <w:szCs w:val="4"/>
              </w:rPr>
            </w:r>
          </w:p>
        </w:tc>
        <w:tc>
          <w:tcPr>
            <w:tcW w:w="4317"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23,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By:</w:t>
            </w:r>
          </w:p>
        </w:tc>
        <w:tc>
          <w:tcPr>
            <w:tcW w:w="87" w:type="dxa"/>
            <w:tcBorders/>
            <w:vAlign w:val="center"/>
          </w:tcPr>
          <w:p>
            <w:pPr>
              <w:pStyle w:val="TableContents"/>
              <w:bidi w:val="0"/>
              <w:spacing w:before="0" w:after="283"/>
              <w:jc w:val="left"/>
              <w:rPr/>
            </w:pPr>
            <w:r>
              <w:rPr/>
              <w:t> </w:t>
            </w:r>
          </w:p>
        </w:tc>
        <w:tc>
          <w:tcPr>
            <w:tcW w:w="42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pPr>
            <w:r>
              <w:rPr/>
              <w:t> </w:t>
            </w:r>
          </w:p>
        </w:tc>
        <w:tc>
          <w:tcPr>
            <w:tcW w:w="4230" w:type="dxa"/>
            <w:tcBorders/>
            <w:vAlign w:val="center"/>
          </w:tcPr>
          <w:p>
            <w:pPr>
              <w:pStyle w:val="TableContents"/>
              <w:bidi w:val="0"/>
              <w:spacing w:before="0" w:after="283"/>
              <w:jc w:val="left"/>
              <w:rPr/>
            </w:pPr>
            <w:r>
              <w:rPr/>
              <w:t>Name: 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pPr>
            <w:r>
              <w:rPr/>
              <w:t> </w:t>
            </w:r>
          </w:p>
        </w:tc>
        <w:tc>
          <w:tcPr>
            <w:tcW w:w="4230" w:type="dxa"/>
            <w:tcBorders/>
            <w:vAlign w:val="center"/>
          </w:tcPr>
          <w:p>
            <w:pPr>
              <w:pStyle w:val="TableContents"/>
              <w:bidi w:val="0"/>
              <w:spacing w:before="0" w:after="283"/>
              <w:jc w:val="left"/>
              <w:rPr/>
            </w:pPr>
            <w:r>
              <w:rPr/>
              <w:t>Title: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709</Words>
  <Characters>3911</Characters>
  <CharactersWithSpaces>4648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