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497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333-231271</w:t>
      </w:r>
    </w:p>
    <w:p>
      <w:pPr>
        <w:spacing w:after="0" w:line="139" w:lineRule="exact"/>
        <w:rPr>
          <w:sz w:val="24"/>
          <w:szCs w:val="24"/>
          <w:color w:val="auto"/>
        </w:rPr>
      </w:pPr>
    </w:p>
    <w:p>
      <w:pPr>
        <w:ind w:left="200" w:right="120"/>
        <w:spacing w:after="0" w:line="261" w:lineRule="auto"/>
        <w:rPr>
          <w:sz w:val="20"/>
          <w:szCs w:val="20"/>
          <w:color w:val="auto"/>
        </w:rPr>
      </w:pPr>
      <w:r>
        <w:rPr>
          <w:rFonts w:ascii="Arial" w:cs="Arial" w:eastAsia="Arial" w:hAnsi="Arial"/>
          <w:sz w:val="18"/>
          <w:szCs w:val="18"/>
          <w:b w:val="1"/>
          <w:bCs w:val="1"/>
          <w:color w:val="FF4338"/>
        </w:rPr>
        <w:t>The information in this preliminary prospectus supplement is not complete and may be changed. A registration statement relating to these securities has been filed with and declared effective by the Securities and Exchange Commission. This preliminary prospectus supplement and the accompanying prospectus are not an offer to sell these securities and are not soliciting an offer to buy these securities in any jurisdiction where the offer or sale is not permitted.</w:t>
      </w:r>
    </w:p>
    <w:p>
      <w:pPr>
        <w:spacing w:after="0" w:line="108"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FF4338"/>
        </w:rPr>
        <w:t>Subject to Completion</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FF4338"/>
        </w:rPr>
        <w:t>Preliminary Prospectus Supplement dated October 25, 2019</w:t>
      </w:r>
    </w:p>
    <w:p>
      <w:pPr>
        <w:spacing w:after="0" w:line="12" w:lineRule="exact"/>
        <w:rPr>
          <w:sz w:val="24"/>
          <w:szCs w:val="24"/>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PROSPECTUS SUPPLEMENT</w:t>
      </w:r>
    </w:p>
    <w:p>
      <w:pPr>
        <w:spacing w:after="0" w:line="25"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(To Prospectus dated May 7, 2019)</w:t>
      </w:r>
    </w:p>
    <w:p>
      <w:pPr>
        <w:spacing w:after="0" w:line="15" w:lineRule="exact"/>
        <w:rPr>
          <w:sz w:val="24"/>
          <w:szCs w:val="24"/>
          <w:color w:val="auto"/>
        </w:rPr>
      </w:pPr>
    </w:p>
    <w:p>
      <w:pPr>
        <w:jc w:val="center"/>
        <w:ind w:right="440"/>
        <w:spacing w:after="0"/>
        <w:rPr>
          <w:sz w:val="20"/>
          <w:szCs w:val="20"/>
          <w:color w:val="auto"/>
        </w:rPr>
      </w:pP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61595</wp:posOffset>
            </wp:positionV>
            <wp:extent cx="1337945"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 Notes due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74295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2" w:lineRule="exact"/>
        <w:rPr>
          <w:sz w:val="24"/>
          <w:szCs w:val="24"/>
          <w:color w:val="auto"/>
        </w:rPr>
      </w:pPr>
    </w:p>
    <w:p>
      <w:pPr>
        <w:ind w:left="640"/>
        <w:spacing w:after="0"/>
        <w:tabs>
          <w:tab w:leader="none" w:pos="1920" w:val="left"/>
          <w:tab w:leader="none" w:pos="3980" w:val="left"/>
          <w:tab w:leader="none" w:pos="5300" w:val="left"/>
          <w:tab w:leader="none" w:pos="9260" w:val="left"/>
          <w:tab w:leader="none" w:pos="9620" w:val="left"/>
        </w:tabs>
        <w:rPr>
          <w:sz w:val="20"/>
          <w:szCs w:val="20"/>
          <w:color w:val="auto"/>
        </w:rPr>
      </w:pPr>
      <w:r>
        <w:rPr>
          <w:rFonts w:ascii="Arial" w:cs="Arial" w:eastAsia="Arial" w:hAnsi="Arial"/>
          <w:sz w:val="14"/>
          <w:szCs w:val="14"/>
          <w:color w:val="auto"/>
        </w:rPr>
        <w:t>We are offering $</w:t>
      </w:r>
      <w:r>
        <w:rPr>
          <w:sz w:val="20"/>
          <w:szCs w:val="20"/>
          <w:color w:val="auto"/>
        </w:rPr>
        <w:tab/>
      </w:r>
      <w:r>
        <w:rPr>
          <w:rFonts w:ascii="Arial" w:cs="Arial" w:eastAsia="Arial" w:hAnsi="Arial"/>
          <w:sz w:val="14"/>
          <w:szCs w:val="14"/>
          <w:color w:val="auto"/>
        </w:rPr>
        <w:t>in aggregate principal amount of</w:t>
        <w:tab/>
        <w:t>% notes due</w:t>
      </w:r>
      <w:r>
        <w:rPr>
          <w:sz w:val="20"/>
          <w:szCs w:val="20"/>
          <w:color w:val="auto"/>
        </w:rPr>
        <w:tab/>
      </w:r>
      <w:r>
        <w:rPr>
          <w:rFonts w:ascii="Arial" w:cs="Arial" w:eastAsia="Arial" w:hAnsi="Arial"/>
          <w:sz w:val="14"/>
          <w:szCs w:val="14"/>
          <w:color w:val="auto"/>
        </w:rPr>
        <w:t>, which we refer to as the Notes. The Notes will mature on</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 We will pay interest on</w:t>
      </w:r>
    </w:p>
    <w:p>
      <w:pPr>
        <w:ind w:left="200"/>
        <w:spacing w:after="0"/>
        <w:tabs>
          <w:tab w:leader="none" w:pos="1560" w:val="left"/>
          <w:tab w:leader="none" w:pos="2380" w:val="left"/>
          <w:tab w:leader="none" w:pos="4340" w:val="left"/>
        </w:tabs>
        <w:rPr>
          <w:sz w:val="20"/>
          <w:szCs w:val="20"/>
          <w:color w:val="auto"/>
        </w:rPr>
      </w:pPr>
      <w:r>
        <w:rPr>
          <w:rFonts w:ascii="Arial" w:cs="Arial" w:eastAsia="Arial" w:hAnsi="Arial"/>
          <w:sz w:val="14"/>
          <w:szCs w:val="14"/>
          <w:color w:val="auto"/>
        </w:rPr>
        <w:t>the Notes on</w:t>
      </w:r>
      <w:r>
        <w:rPr>
          <w:sz w:val="20"/>
          <w:szCs w:val="20"/>
          <w:color w:val="auto"/>
        </w:rPr>
        <w:tab/>
      </w:r>
      <w:r>
        <w:rPr>
          <w:rFonts w:ascii="Arial" w:cs="Arial" w:eastAsia="Arial" w:hAnsi="Arial"/>
          <w:sz w:val="14"/>
          <w:szCs w:val="14"/>
          <w:color w:val="auto"/>
        </w:rPr>
        <w:t>and</w:t>
      </w:r>
      <w:r>
        <w:rPr>
          <w:sz w:val="20"/>
          <w:szCs w:val="20"/>
          <w:color w:val="auto"/>
        </w:rPr>
        <w:tab/>
      </w:r>
      <w:r>
        <w:rPr>
          <w:rFonts w:ascii="Arial" w:cs="Arial" w:eastAsia="Arial" w:hAnsi="Arial"/>
          <w:sz w:val="14"/>
          <w:szCs w:val="14"/>
          <w:color w:val="auto"/>
        </w:rPr>
        <w:t>of each year, beginning</w:t>
      </w:r>
      <w:r>
        <w:rPr>
          <w:sz w:val="20"/>
          <w:szCs w:val="20"/>
          <w:color w:val="auto"/>
        </w:rPr>
        <w:tab/>
      </w:r>
      <w:r>
        <w:rPr>
          <w:rFonts w:ascii="Arial" w:cs="Arial" w:eastAsia="Arial" w:hAnsi="Arial"/>
          <w:sz w:val="13"/>
          <w:szCs w:val="13"/>
          <w:color w:val="auto"/>
        </w:rPr>
        <w:t>, 2020. We may redeem the Notes in whole or in part at any time or from time to time at the redemption price</w:t>
      </w:r>
    </w:p>
    <w:p>
      <w:pPr>
        <w:ind w:left="200" w:right="100"/>
        <w:spacing w:after="0" w:line="232" w:lineRule="auto"/>
        <w:rPr>
          <w:sz w:val="20"/>
          <w:szCs w:val="20"/>
          <w:color w:val="auto"/>
        </w:rPr>
      </w:pPr>
      <w:r>
        <w:rPr>
          <w:rFonts w:ascii="Arial" w:cs="Arial" w:eastAsia="Arial" w:hAnsi="Arial"/>
          <w:sz w:val="14"/>
          <w:szCs w:val="14"/>
          <w:color w:val="auto"/>
        </w:rPr>
        <w:t>discussed under the caption “Description of Notes—Optional Redemption” in this prospectus supplement. In addition, holders of the Notes can require us to repurchase the Notes at 100% of their principal amount upon the occurrence of a Change of Control Repurchase Event (as defined herein). The Notes will be issued in minimum denominations of $2,000 and integral multiples of $1,000 in excess thereof.</w:t>
      </w:r>
    </w:p>
    <w:p>
      <w:pPr>
        <w:spacing w:after="0" w:line="1" w:lineRule="exact"/>
        <w:rPr>
          <w:sz w:val="24"/>
          <w:szCs w:val="24"/>
          <w:color w:val="auto"/>
        </w:rPr>
      </w:pPr>
    </w:p>
    <w:p>
      <w:pPr>
        <w:ind w:left="200" w:right="280" w:firstLine="441"/>
        <w:spacing w:after="0" w:line="243" w:lineRule="auto"/>
        <w:rPr>
          <w:sz w:val="20"/>
          <w:szCs w:val="20"/>
          <w:color w:val="auto"/>
        </w:rPr>
      </w:pPr>
      <w:r>
        <w:rPr>
          <w:rFonts w:ascii="Arial" w:cs="Arial" w:eastAsia="Arial" w:hAnsi="Arial"/>
          <w:sz w:val="14"/>
          <w:szCs w:val="14"/>
          <w:color w:val="auto"/>
        </w:rPr>
        <w:t>The Notes will be our direct, general unsecured obligations and rank pari passu, or equal, with all existing and future unsecured unsubordinated indebtedness issued by us, but will rank senior to our future indebtedness that is expressly subordinated in right of payment to the Notes.</w:t>
      </w:r>
    </w:p>
    <w:p>
      <w:pPr>
        <w:spacing w:after="0" w:line="5" w:lineRule="exact"/>
        <w:rPr>
          <w:sz w:val="24"/>
          <w:szCs w:val="24"/>
          <w:color w:val="auto"/>
        </w:rPr>
      </w:pPr>
    </w:p>
    <w:p>
      <w:pPr>
        <w:jc w:val="both"/>
        <w:ind w:left="200" w:right="320" w:firstLine="441"/>
        <w:spacing w:after="0" w:line="238" w:lineRule="auto"/>
        <w:rPr>
          <w:sz w:val="20"/>
          <w:szCs w:val="20"/>
          <w:color w:val="auto"/>
        </w:rPr>
      </w:pPr>
      <w:r>
        <w:rPr>
          <w:rFonts w:ascii="Arial" w:cs="Arial" w:eastAsia="Arial" w:hAnsi="Arial"/>
          <w:sz w:val="14"/>
          <w:szCs w:val="14"/>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7" w:lineRule="exact"/>
        <w:rPr>
          <w:sz w:val="24"/>
          <w:szCs w:val="24"/>
          <w:color w:val="auto"/>
        </w:rPr>
      </w:pPr>
    </w:p>
    <w:p>
      <w:pPr>
        <w:ind w:left="200" w:right="120" w:firstLine="441"/>
        <w:spacing w:after="0" w:line="246" w:lineRule="auto"/>
        <w:rPr>
          <w:sz w:val="20"/>
          <w:szCs w:val="20"/>
          <w:color w:val="auto"/>
        </w:rPr>
      </w:pPr>
      <w:r>
        <w:rPr>
          <w:rFonts w:ascii="Arial" w:cs="Arial" w:eastAsia="Arial" w:hAnsi="Arial"/>
          <w:sz w:val="14"/>
          <w:szCs w:val="14"/>
          <w:color w:val="auto"/>
        </w:rPr>
        <w:t>As of June 30, 2019, our investment portfolio consisted of investments in 56 portfolio companies with an aggregate fair value of $2,060.5 million. We intend to continue to pursue an investment strategy focused on direct origination of loans to middle-market companies principally domiciled in the United States.</w:t>
      </w:r>
    </w:p>
    <w:p>
      <w:pPr>
        <w:spacing w:after="0" w:line="1" w:lineRule="exact"/>
        <w:rPr>
          <w:sz w:val="24"/>
          <w:szCs w:val="24"/>
          <w:color w:val="auto"/>
        </w:rPr>
      </w:pPr>
    </w:p>
    <w:p>
      <w:pPr>
        <w:ind w:left="200" w:right="220" w:firstLine="441"/>
        <w:spacing w:after="0" w:line="234" w:lineRule="auto"/>
        <w:rPr>
          <w:sz w:val="20"/>
          <w:szCs w:val="20"/>
          <w:color w:val="auto"/>
        </w:rPr>
      </w:pPr>
      <w:r>
        <w:rPr>
          <w:rFonts w:ascii="Arial" w:cs="Arial" w:eastAsia="Arial" w:hAnsi="Arial"/>
          <w:sz w:val="14"/>
          <w:szCs w:val="14"/>
          <w:color w:val="auto"/>
        </w:rPr>
        <w:t>We are an externally managed, closed-end, non-diversified management investment company. TSL Advisers, LLC, or the Adviser, acts as our investment adviser and administrator. We and the Adviser are part of the TPG Sixth Street Partners platform, which had over $32 billion of assets under management as of June 30, 2019. TPG Sixth Street Partners is a global finance and investment firm in a strategic partnership with TPG, the global alternative asset firm.</w:t>
      </w:r>
    </w:p>
    <w:p>
      <w:pPr>
        <w:spacing w:after="0" w:line="9" w:lineRule="exact"/>
        <w:rPr>
          <w:sz w:val="24"/>
          <w:szCs w:val="24"/>
          <w:color w:val="auto"/>
        </w:rPr>
      </w:pPr>
    </w:p>
    <w:p>
      <w:pPr>
        <w:ind w:left="200" w:right="20" w:firstLine="441"/>
        <w:spacing w:after="0" w:line="231" w:lineRule="auto"/>
        <w:rPr>
          <w:sz w:val="20"/>
          <w:szCs w:val="20"/>
          <w:color w:val="auto"/>
        </w:rPr>
      </w:pPr>
      <w:r>
        <w:rPr>
          <w:rFonts w:ascii="Arial" w:cs="Arial" w:eastAsia="Arial" w:hAnsi="Arial"/>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9" w:lineRule="exact"/>
        <w:rPr>
          <w:sz w:val="24"/>
          <w:szCs w:val="24"/>
          <w:color w:val="auto"/>
        </w:rPr>
      </w:pPr>
    </w:p>
    <w:p>
      <w:pPr>
        <w:jc w:val="both"/>
        <w:ind w:left="200" w:right="60" w:firstLine="441"/>
        <w:spacing w:after="0" w:line="238" w:lineRule="auto"/>
        <w:rPr>
          <w:sz w:val="20"/>
          <w:szCs w:val="20"/>
          <w:color w:val="auto"/>
        </w:rPr>
      </w:pPr>
      <w:r>
        <w:rPr>
          <w:rFonts w:ascii="Arial" w:cs="Arial" w:eastAsia="Arial" w:hAnsi="Arial"/>
          <w:sz w:val="14"/>
          <w:szCs w:val="14"/>
          <w:color w:val="auto"/>
        </w:rPr>
        <w:t>Substantially all of our debt investments have variable interest rates that reset periodically based on interest rate benchmarks such as the London Interbank Offered Rate, the Canadian Dollar Offered Rate, the Bank Bill Swap Bid Rate, the Euro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50800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90" w:lineRule="exact"/>
        <w:rPr>
          <w:sz w:val="24"/>
          <w:szCs w:val="24"/>
          <w:color w:val="auto"/>
        </w:rPr>
      </w:pPr>
    </w:p>
    <w:p>
      <w:pPr>
        <w:ind w:left="200" w:right="300" w:firstLine="441"/>
        <w:spacing w:after="0" w:line="304" w:lineRule="auto"/>
        <w:rPr>
          <w:rFonts w:ascii="Arial" w:cs="Arial" w:eastAsia="Arial" w:hAnsi="Arial"/>
          <w:sz w:val="15"/>
          <w:szCs w:val="15"/>
          <w:b w:val="1"/>
          <w:bCs w:val="1"/>
          <w:color w:val="auto"/>
        </w:rPr>
      </w:pPr>
      <w:r>
        <w:rPr>
          <w:rFonts w:ascii="Arial" w:cs="Arial" w:eastAsia="Arial" w:hAnsi="Arial"/>
          <w:sz w:val="15"/>
          <w:szCs w:val="15"/>
          <w:b w:val="1"/>
          <w:bCs w:val="1"/>
          <w:color w:val="auto"/>
        </w:rPr>
        <w:t>Investing in the Notes involves risks, including the risk of leverage, that are described in the “</w:t>
      </w:r>
      <w:hyperlink w:anchor="page13">
        <w:r>
          <w:rPr>
            <w:rFonts w:ascii="Arial" w:cs="Arial" w:eastAsia="Arial" w:hAnsi="Arial"/>
            <w:sz w:val="15"/>
            <w:szCs w:val="15"/>
            <w:b w:val="1"/>
            <w:bCs w:val="1"/>
            <w:u w:val="single" w:color="auto"/>
            <w:color w:val="0000EE"/>
          </w:rPr>
          <w:t>Risk Factors</w:t>
        </w:r>
      </w:hyperlink>
      <w:r>
        <w:rPr>
          <w:rFonts w:ascii="Arial" w:cs="Arial" w:eastAsia="Arial" w:hAnsi="Arial"/>
          <w:sz w:val="15"/>
          <w:szCs w:val="15"/>
          <w:b w:val="1"/>
          <w:bCs w:val="1"/>
          <w:color w:val="auto"/>
        </w:rPr>
        <w:t>” section beginning on page S-10 of this prospectus supplement and page 23 of the accompanying prospectus and in the documents incorporated by reference herein and therein.</w:t>
      </w:r>
    </w:p>
    <w:p>
      <w:pPr>
        <w:ind w:left="200" w:right="120" w:firstLine="441"/>
        <w:spacing w:after="0" w:line="247" w:lineRule="auto"/>
        <w:rPr>
          <w:sz w:val="20"/>
          <w:szCs w:val="20"/>
          <w:color w:val="auto"/>
        </w:rPr>
      </w:pPr>
      <w:r>
        <w:rPr>
          <w:rFonts w:ascii="Arial" w:cs="Arial" w:eastAsia="Arial" w:hAnsi="Arial"/>
          <w:sz w:val="13"/>
          <w:szCs w:val="13"/>
          <w:color w:val="auto"/>
        </w:rPr>
        <w:t>Please read this prospectus supplement and the accompanying prospectus, including any information incorporated by reference herein or therein, before investing and keep such documents for future reference. This prospectus supplement and the accompanying prospectus,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supplement and the accompanying prospectus or incorporated by reference herein or therein. We also file periodic and current reports, proxy statements and other information about us with the Securities and Exchange Commission. This information is available free of charge by contacting us at 888 7th Avenue, 35th Floor, New York, NY 10106, Attention: TSLX Investor Relations, by emailing us at IRTSL@tpg.com or visiting our website at http://www.tpgspecialtylending.com. Information on our website is not incorporated into or a part of this prospectus supplement or the accompanying prospectus. The Securities and Exchange Commission also maintains a website at http://www.sec.gov that contains this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57150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78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Per Note</w:t>
            </w:r>
          </w:p>
        </w:tc>
        <w:tc>
          <w:tcPr>
            <w:tcW w:w="2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 (1)</w:t>
            </w:r>
          </w:p>
        </w:tc>
        <w:tc>
          <w:tcPr>
            <w:tcW w:w="29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9"/>
              </w:rPr>
              <w:t>%</w:t>
            </w:r>
          </w:p>
        </w:tc>
        <w:tc>
          <w:tcPr>
            <w:tcW w:w="2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right w:val="single" w:sz="8" w:color="CCEEFF"/>
            </w:tcBorders>
            <w:shd w:val="clear" w:color="auto" w:fill="CCEEFF"/>
          </w:tcPr>
          <w:p>
            <w:pPr>
              <w:jc w:val="right"/>
              <w:ind w:right="461"/>
              <w:spacing w:after="0"/>
              <w:rPr>
                <w:sz w:val="20"/>
                <w:szCs w:val="20"/>
                <w:color w:val="auto"/>
              </w:rPr>
            </w:pPr>
            <w:r>
              <w:rPr>
                <w:rFonts w:ascii="Arial" w:cs="Arial" w:eastAsia="Arial" w:hAnsi="Arial"/>
                <w:sz w:val="10"/>
                <w:szCs w:val="10"/>
                <w:color w:val="auto"/>
                <w:w w:val="71"/>
              </w:rPr>
              <w:t>$</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tcPr>
          <w:p>
            <w:pPr>
              <w:spacing w:after="0" w:line="149" w:lineRule="exact"/>
              <w:rPr>
                <w:sz w:val="20"/>
                <w:szCs w:val="20"/>
                <w:color w:val="auto"/>
              </w:rPr>
            </w:pPr>
            <w:r>
              <w:rPr>
                <w:rFonts w:ascii="Arial" w:cs="Arial" w:eastAsia="Arial" w:hAnsi="Arial"/>
                <w:sz w:val="14"/>
                <w:szCs w:val="14"/>
                <w:color w:val="auto"/>
              </w:rPr>
              <w:t>Underwriting discount (sales load)</w:t>
            </w:r>
          </w:p>
        </w:tc>
        <w:tc>
          <w:tcPr>
            <w:tcW w:w="3780" w:type="dxa"/>
            <w:vAlign w:val="bottom"/>
            <w:gridSpan w:val="3"/>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61"/>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to us, before expenses (2)</w:t>
            </w:r>
          </w:p>
        </w:tc>
        <w:tc>
          <w:tcPr>
            <w:tcW w:w="3780" w:type="dxa"/>
            <w:vAlign w:val="bottom"/>
            <w:gridSpan w:val="3"/>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461"/>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980" w:type="dxa"/>
            <w:vAlign w:val="bottom"/>
            <w:gridSpan w:val="8"/>
          </w:tcPr>
          <w:p>
            <w:pPr>
              <w:spacing w:after="0"/>
              <w:rPr>
                <w:sz w:val="11"/>
                <w:szCs w:val="11"/>
                <w:color w:val="auto"/>
              </w:rPr>
            </w:pPr>
          </w:p>
        </w:tc>
        <w:tc>
          <w:tcPr>
            <w:tcW w:w="700" w:type="dxa"/>
            <w:vAlign w:val="bottom"/>
          </w:tcPr>
          <w:p>
            <w:pPr>
              <w:spacing w:after="0"/>
              <w:rPr>
                <w:sz w:val="11"/>
                <w:szCs w:val="11"/>
                <w:color w:val="auto"/>
              </w:rPr>
            </w:pPr>
          </w:p>
        </w:tc>
      </w:tr>
      <w:tr>
        <w:trPr>
          <w:trHeight w:val="164"/>
        </w:trPr>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(1)</w:t>
            </w:r>
          </w:p>
        </w:tc>
        <w:tc>
          <w:tcPr>
            <w:tcW w:w="9900" w:type="dxa"/>
            <w:vAlign w:val="bottom"/>
            <w:gridSpan w:val="9"/>
          </w:tcPr>
          <w:p>
            <w:pPr>
              <w:ind w:left="140"/>
              <w:spacing w:after="0"/>
              <w:rPr>
                <w:sz w:val="20"/>
                <w:szCs w:val="20"/>
                <w:color w:val="auto"/>
              </w:rPr>
            </w:pPr>
            <w:r>
              <w:rPr>
                <w:rFonts w:ascii="Arial" w:cs="Arial" w:eastAsia="Arial" w:hAnsi="Arial"/>
                <w:sz w:val="14"/>
                <w:szCs w:val="14"/>
                <w:color w:val="auto"/>
                <w:w w:val="95"/>
              </w:rPr>
              <w:t>The public offering price set forth above does not include accrued interest, if any. Interest on the Notes must be paid by the purchaser if the Notes are delivered after</w:t>
            </w:r>
          </w:p>
        </w:tc>
        <w:tc>
          <w:tcPr>
            <w:tcW w:w="700" w:type="dxa"/>
            <w:vAlign w:val="bottom"/>
          </w:tcPr>
          <w:p>
            <w:pPr>
              <w:jc w:val="right"/>
              <w:spacing w:after="0"/>
              <w:rPr>
                <w:sz w:val="20"/>
                <w:szCs w:val="20"/>
                <w:color w:val="auto"/>
              </w:rPr>
            </w:pPr>
            <w:r>
              <w:rPr>
                <w:rFonts w:ascii="Arial" w:cs="Arial" w:eastAsia="Arial" w:hAnsi="Arial"/>
                <w:sz w:val="14"/>
                <w:szCs w:val="14"/>
                <w:color w:val="auto"/>
              </w:rPr>
              <w:t>, 2019.</w:t>
            </w:r>
          </w:p>
        </w:tc>
      </w:tr>
      <w:tr>
        <w:trPr>
          <w:trHeight w:val="182"/>
        </w:trPr>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w w:val="93"/>
              </w:rPr>
              <w:t>(2)</w:t>
            </w:r>
          </w:p>
        </w:tc>
        <w:tc>
          <w:tcPr>
            <w:tcW w:w="4840" w:type="dxa"/>
            <w:vAlign w:val="bottom"/>
            <w:gridSpan w:val="3"/>
          </w:tcPr>
          <w:p>
            <w:pPr>
              <w:ind w:left="140"/>
              <w:spacing w:after="0"/>
              <w:rPr>
                <w:sz w:val="20"/>
                <w:szCs w:val="20"/>
                <w:color w:val="auto"/>
              </w:rPr>
            </w:pPr>
            <w:r>
              <w:rPr>
                <w:rFonts w:ascii="Arial" w:cs="Arial" w:eastAsia="Arial" w:hAnsi="Arial"/>
                <w:sz w:val="14"/>
                <w:szCs w:val="14"/>
                <w:color w:val="auto"/>
                <w:w w:val="94"/>
              </w:rPr>
              <w:t>Before deducting expenses payable by us related to this offering, estimated at $</w:t>
            </w:r>
          </w:p>
        </w:tc>
        <w:tc>
          <w:tcPr>
            <w:tcW w:w="2980" w:type="dxa"/>
            <w:vAlign w:val="bottom"/>
          </w:tcPr>
          <w:p>
            <w:pPr>
              <w:jc w:val="right"/>
              <w:ind w:right="2729"/>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r>
    </w:tbl>
    <w:p>
      <w:pPr>
        <w:spacing w:after="0" w:line="3" w:lineRule="exact"/>
        <w:rPr>
          <w:sz w:val="24"/>
          <w:szCs w:val="24"/>
          <w:color w:val="auto"/>
        </w:rPr>
      </w:pPr>
    </w:p>
    <w:p>
      <w:pPr>
        <w:ind w:left="200" w:right="1040" w:firstLine="441"/>
        <w:spacing w:after="0" w:line="249" w:lineRule="auto"/>
        <w:rPr>
          <w:sz w:val="20"/>
          <w:szCs w:val="20"/>
          <w:color w:val="auto"/>
        </w:rPr>
      </w:pPr>
      <w:r>
        <w:rPr>
          <w:rFonts w:ascii="Arial" w:cs="Arial" w:eastAsia="Arial" w:hAnsi="Arial"/>
          <w:sz w:val="14"/>
          <w:szCs w:val="14"/>
          <w:b w:val="1"/>
          <w:bCs w:val="1"/>
          <w:color w:val="auto"/>
        </w:rPr>
        <w:t>THE NOTES ARE NOT DEPOSITS OR OTHER OBLIGATIONS OF A BANK AND ARE NOT INSURED BY THE FEDERAL DEPOSIT INSURANCE CORPORATION OR ANY OTHER GOVERNMENT AGENCY.</w:t>
      </w:r>
    </w:p>
    <w:p>
      <w:pPr>
        <w:spacing w:after="0" w:line="1" w:lineRule="exact"/>
        <w:rPr>
          <w:sz w:val="24"/>
          <w:szCs w:val="24"/>
          <w:color w:val="auto"/>
        </w:rPr>
      </w:pPr>
    </w:p>
    <w:p>
      <w:pPr>
        <w:ind w:left="200" w:right="420" w:firstLine="441"/>
        <w:spacing w:after="0" w:line="243"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5" w:lineRule="exact"/>
        <w:rPr>
          <w:sz w:val="24"/>
          <w:szCs w:val="24"/>
          <w:color w:val="auto"/>
        </w:rPr>
      </w:pPr>
    </w:p>
    <w:p>
      <w:pPr>
        <w:ind w:left="640"/>
        <w:spacing w:after="0"/>
        <w:tabs>
          <w:tab w:leader="none" w:pos="7720" w:val="left"/>
        </w:tabs>
        <w:rPr>
          <w:sz w:val="20"/>
          <w:szCs w:val="20"/>
          <w:color w:val="auto"/>
        </w:rPr>
      </w:pPr>
      <w:r>
        <w:rPr>
          <w:rFonts w:ascii="Arial" w:cs="Arial" w:eastAsia="Arial" w:hAnsi="Arial"/>
          <w:sz w:val="14"/>
          <w:szCs w:val="14"/>
          <w:color w:val="auto"/>
        </w:rPr>
        <w:t>Delivery of the Notes in book-entry form only through The Depository Trust Company will be made on or about</w:t>
      </w:r>
      <w:r>
        <w:rPr>
          <w:sz w:val="20"/>
          <w:szCs w:val="20"/>
          <w:color w:val="auto"/>
        </w:rPr>
        <w:tab/>
      </w:r>
      <w:r>
        <w:rPr>
          <w:rFonts w:ascii="Arial" w:cs="Arial" w:eastAsia="Arial" w:hAnsi="Arial"/>
          <w:sz w:val="13"/>
          <w:szCs w:val="13"/>
          <w:color w:val="auto"/>
        </w:rPr>
        <w:t>, 2019.</w:t>
      </w:r>
    </w:p>
    <w:p>
      <w:pPr>
        <w:spacing w:after="0" w:line="28" w:lineRule="exact"/>
        <w:rPr>
          <w:sz w:val="24"/>
          <w:szCs w:val="24"/>
          <w:color w:val="auto"/>
        </w:rPr>
      </w:pPr>
    </w:p>
    <w:p>
      <w:pPr>
        <w:jc w:val="center"/>
        <w:ind w:right="-199"/>
        <w:spacing w:after="0"/>
        <w:rPr>
          <w:sz w:val="20"/>
          <w:szCs w:val="20"/>
          <w:color w:val="auto"/>
        </w:rPr>
      </w:pPr>
      <w:r>
        <w:rPr>
          <w:rFonts w:ascii="Arial" w:cs="Arial" w:eastAsia="Arial" w:hAnsi="Arial"/>
          <w:sz w:val="14"/>
          <w:szCs w:val="14"/>
          <w:i w:val="1"/>
          <w:iCs w:val="1"/>
          <w:color w:val="auto"/>
        </w:rPr>
        <w:t>Joint Book-Running Managers</w:t>
      </w:r>
    </w:p>
    <w:p>
      <w:pPr>
        <w:spacing w:after="0" w:line="33"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BofA Securities</w:t>
      </w:r>
    </w:p>
    <w:p>
      <w:pPr>
        <w:spacing w:after="0" w:line="100" w:lineRule="exact"/>
        <w:rPr>
          <w:sz w:val="24"/>
          <w:szCs w:val="24"/>
          <w:color w:val="auto"/>
        </w:rPr>
      </w:pPr>
    </w:p>
    <w:p>
      <w:pPr>
        <w:ind w:left="1440"/>
        <w:spacing w:after="0"/>
        <w:tabs>
          <w:tab w:leader="none" w:pos="5880" w:val="left"/>
          <w:tab w:leader="none" w:pos="8880" w:val="left"/>
        </w:tabs>
        <w:rPr>
          <w:sz w:val="20"/>
          <w:szCs w:val="20"/>
          <w:color w:val="auto"/>
        </w:rPr>
      </w:pPr>
      <w:r>
        <w:rPr>
          <w:rFonts w:ascii="Arial" w:cs="Arial" w:eastAsia="Arial" w:hAnsi="Arial"/>
          <w:sz w:val="16"/>
          <w:szCs w:val="16"/>
          <w:b w:val="1"/>
          <w:bCs w:val="1"/>
          <w:color w:val="auto"/>
        </w:rPr>
        <w:t>J.P. Morgan</w:t>
      </w:r>
      <w:r>
        <w:rPr>
          <w:sz w:val="20"/>
          <w:szCs w:val="20"/>
          <w:color w:val="auto"/>
        </w:rPr>
        <w:tab/>
      </w:r>
      <w:r>
        <w:rPr>
          <w:rFonts w:ascii="Arial" w:cs="Arial" w:eastAsia="Arial" w:hAnsi="Arial"/>
          <w:sz w:val="16"/>
          <w:szCs w:val="16"/>
          <w:b w:val="1"/>
          <w:bCs w:val="1"/>
          <w:color w:val="auto"/>
        </w:rPr>
        <w:t>Citigroup</w:t>
      </w:r>
      <w:r>
        <w:rPr>
          <w:sz w:val="20"/>
          <w:szCs w:val="20"/>
          <w:color w:val="auto"/>
        </w:rPr>
        <w:tab/>
      </w:r>
      <w:r>
        <w:rPr>
          <w:rFonts w:ascii="Arial" w:cs="Arial" w:eastAsia="Arial" w:hAnsi="Arial"/>
          <w:sz w:val="14"/>
          <w:szCs w:val="14"/>
          <w:b w:val="1"/>
          <w:bCs w:val="1"/>
          <w:color w:val="auto"/>
        </w:rPr>
        <w:t>SunTrust Robinson Humphrey</w:t>
      </w:r>
    </w:p>
    <w:p>
      <w:pPr>
        <w:spacing w:after="0" w:line="100" w:lineRule="exact"/>
        <w:rPr>
          <w:sz w:val="24"/>
          <w:szCs w:val="24"/>
          <w:color w:val="auto"/>
        </w:rPr>
      </w:pPr>
    </w:p>
    <w:p>
      <w:pPr>
        <w:ind w:left="200"/>
        <w:spacing w:after="0"/>
        <w:tabs>
          <w:tab w:leader="none" w:pos="2220" w:val="left"/>
          <w:tab w:leader="none" w:pos="4280" w:val="left"/>
          <w:tab w:leader="none" w:pos="5760" w:val="left"/>
          <w:tab w:leader="none" w:pos="7340" w:val="left"/>
          <w:tab w:leader="none" w:pos="9140" w:val="left"/>
          <w:tab w:leader="none" w:pos="10760" w:val="left"/>
        </w:tabs>
        <w:rPr>
          <w:sz w:val="20"/>
          <w:szCs w:val="20"/>
          <w:color w:val="auto"/>
        </w:rPr>
      </w:pPr>
      <w:r>
        <w:rPr>
          <w:rFonts w:ascii="Arial" w:cs="Arial" w:eastAsia="Arial" w:hAnsi="Arial"/>
          <w:sz w:val="16"/>
          <w:szCs w:val="16"/>
          <w:b w:val="1"/>
          <w:bCs w:val="1"/>
          <w:color w:val="auto"/>
        </w:rPr>
        <w:t>Mizuho</w:t>
      </w:r>
      <w:r>
        <w:rPr>
          <w:sz w:val="20"/>
          <w:szCs w:val="20"/>
          <w:color w:val="auto"/>
        </w:rPr>
        <w:tab/>
      </w:r>
      <w:r>
        <w:rPr>
          <w:rFonts w:ascii="Arial" w:cs="Arial" w:eastAsia="Arial" w:hAnsi="Arial"/>
          <w:sz w:val="16"/>
          <w:szCs w:val="16"/>
          <w:b w:val="1"/>
          <w:bCs w:val="1"/>
          <w:color w:val="auto"/>
        </w:rPr>
        <w:t>Goldman Sachs &amp;</w:t>
      </w:r>
      <w:r>
        <w:rPr>
          <w:sz w:val="20"/>
          <w:szCs w:val="20"/>
          <w:color w:val="auto"/>
        </w:rPr>
        <w:tab/>
      </w:r>
      <w:r>
        <w:rPr>
          <w:rFonts w:ascii="Arial" w:cs="Arial" w:eastAsia="Arial" w:hAnsi="Arial"/>
          <w:sz w:val="16"/>
          <w:szCs w:val="16"/>
          <w:b w:val="1"/>
          <w:bCs w:val="1"/>
          <w:color w:val="auto"/>
        </w:rPr>
        <w:t>Morgan</w:t>
      </w:r>
      <w:r>
        <w:rPr>
          <w:sz w:val="20"/>
          <w:szCs w:val="20"/>
          <w:color w:val="auto"/>
        </w:rPr>
        <w:tab/>
      </w:r>
      <w:r>
        <w:rPr>
          <w:rFonts w:ascii="Arial" w:cs="Arial" w:eastAsia="Arial" w:hAnsi="Arial"/>
          <w:sz w:val="16"/>
          <w:szCs w:val="16"/>
          <w:b w:val="1"/>
          <w:bCs w:val="1"/>
          <w:color w:val="auto"/>
        </w:rPr>
        <w:t>RBC Capital</w:t>
      </w:r>
      <w:r>
        <w:rPr>
          <w:sz w:val="20"/>
          <w:szCs w:val="20"/>
          <w:color w:val="auto"/>
        </w:rPr>
        <w:tab/>
      </w:r>
      <w:r>
        <w:rPr>
          <w:rFonts w:ascii="Arial" w:cs="Arial" w:eastAsia="Arial" w:hAnsi="Arial"/>
          <w:sz w:val="16"/>
          <w:szCs w:val="16"/>
          <w:b w:val="1"/>
          <w:bCs w:val="1"/>
          <w:color w:val="auto"/>
        </w:rPr>
        <w:t>SMBC Nikko</w:t>
      </w:r>
      <w:r>
        <w:rPr>
          <w:sz w:val="20"/>
          <w:szCs w:val="20"/>
          <w:color w:val="auto"/>
        </w:rPr>
        <w:tab/>
      </w:r>
      <w:r>
        <w:rPr>
          <w:rFonts w:ascii="Arial" w:cs="Arial" w:eastAsia="Arial" w:hAnsi="Arial"/>
          <w:sz w:val="16"/>
          <w:szCs w:val="16"/>
          <w:b w:val="1"/>
          <w:bCs w:val="1"/>
          <w:color w:val="auto"/>
        </w:rPr>
        <w:t>MUFG</w:t>
      </w:r>
      <w:r>
        <w:rPr>
          <w:sz w:val="20"/>
          <w:szCs w:val="20"/>
          <w:color w:val="auto"/>
        </w:rPr>
        <w:tab/>
      </w:r>
      <w:r>
        <w:rPr>
          <w:rFonts w:ascii="Arial" w:cs="Arial" w:eastAsia="Arial" w:hAnsi="Arial"/>
          <w:sz w:val="15"/>
          <w:szCs w:val="15"/>
          <w:b w:val="1"/>
          <w:bCs w:val="1"/>
          <w:color w:val="auto"/>
        </w:rPr>
        <w:t>HSBC</w:t>
      </w:r>
    </w:p>
    <w:p>
      <w:pPr>
        <w:spacing w:after="0" w:line="26" w:lineRule="exact"/>
        <w:rPr>
          <w:sz w:val="24"/>
          <w:szCs w:val="24"/>
          <w:color w:val="auto"/>
        </w:rPr>
      </w:pPr>
    </w:p>
    <w:p>
      <w:pPr>
        <w:ind w:left="200"/>
        <w:spacing w:after="0"/>
        <w:tabs>
          <w:tab w:leader="none" w:pos="2540" w:val="left"/>
          <w:tab w:leader="none" w:pos="4300" w:val="left"/>
          <w:tab w:leader="none" w:pos="5920" w:val="left"/>
        </w:tabs>
        <w:rPr>
          <w:sz w:val="20"/>
          <w:szCs w:val="20"/>
          <w:color w:val="auto"/>
        </w:rPr>
      </w:pPr>
      <w:r>
        <w:rPr>
          <w:rFonts w:ascii="Arial" w:cs="Arial" w:eastAsia="Arial" w:hAnsi="Arial"/>
          <w:sz w:val="16"/>
          <w:szCs w:val="16"/>
          <w:b w:val="1"/>
          <w:bCs w:val="1"/>
          <w:color w:val="auto"/>
        </w:rPr>
        <w:t>Securities</w:t>
      </w:r>
      <w:r>
        <w:rPr>
          <w:sz w:val="20"/>
          <w:szCs w:val="20"/>
          <w:color w:val="auto"/>
        </w:rPr>
        <w:tab/>
      </w:r>
      <w:r>
        <w:rPr>
          <w:rFonts w:ascii="Arial" w:cs="Arial" w:eastAsia="Arial" w:hAnsi="Arial"/>
          <w:sz w:val="16"/>
          <w:szCs w:val="16"/>
          <w:b w:val="1"/>
          <w:bCs w:val="1"/>
          <w:color w:val="auto"/>
        </w:rPr>
        <w:t>Co. LLC</w:t>
      </w:r>
      <w:r>
        <w:rPr>
          <w:sz w:val="20"/>
          <w:szCs w:val="20"/>
          <w:color w:val="auto"/>
        </w:rPr>
        <w:tab/>
      </w:r>
      <w:r>
        <w:rPr>
          <w:rFonts w:ascii="Arial" w:cs="Arial" w:eastAsia="Arial" w:hAnsi="Arial"/>
          <w:sz w:val="16"/>
          <w:szCs w:val="16"/>
          <w:b w:val="1"/>
          <w:bCs w:val="1"/>
          <w:color w:val="auto"/>
        </w:rPr>
        <w:t>Stanley</w:t>
      </w:r>
      <w:r>
        <w:rPr>
          <w:sz w:val="20"/>
          <w:szCs w:val="20"/>
          <w:color w:val="auto"/>
        </w:rPr>
        <w:tab/>
      </w:r>
      <w:r>
        <w:rPr>
          <w:rFonts w:ascii="Arial" w:cs="Arial" w:eastAsia="Arial" w:hAnsi="Arial"/>
          <w:sz w:val="15"/>
          <w:szCs w:val="15"/>
          <w:b w:val="1"/>
          <w:bCs w:val="1"/>
          <w:color w:val="auto"/>
        </w:rPr>
        <w:t>Markets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84455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p>
      <w:pPr>
        <w:spacing w:after="0" w:line="164" w:lineRule="exact"/>
        <w:rPr>
          <w:sz w:val="24"/>
          <w:szCs w:val="24"/>
          <w:color w:val="auto"/>
        </w:rPr>
      </w:pPr>
    </w:p>
    <w:p>
      <w:pPr>
        <w:ind w:left="3940"/>
        <w:spacing w:after="0"/>
        <w:tabs>
          <w:tab w:leader="none" w:pos="7060" w:val="left"/>
        </w:tabs>
        <w:rPr>
          <w:sz w:val="20"/>
          <w:szCs w:val="20"/>
          <w:color w:val="auto"/>
        </w:rPr>
      </w:pPr>
      <w:r>
        <w:rPr>
          <w:rFonts w:ascii="Arial" w:cs="Arial" w:eastAsia="Arial" w:hAnsi="Arial"/>
          <w:sz w:val="14"/>
          <w:szCs w:val="14"/>
          <w:b w:val="1"/>
          <w:bCs w:val="1"/>
          <w:color w:val="auto"/>
        </w:rPr>
        <w:t>The date of this prospectus supplement is</w:t>
      </w:r>
      <w:r>
        <w:rPr>
          <w:sz w:val="20"/>
          <w:szCs w:val="20"/>
          <w:color w:val="auto"/>
        </w:rPr>
        <w:tab/>
      </w:r>
      <w:r>
        <w:rPr>
          <w:rFonts w:ascii="Arial" w:cs="Arial" w:eastAsia="Arial" w:hAnsi="Arial"/>
          <w:sz w:val="13"/>
          <w:szCs w:val="13"/>
          <w:b w:val="1"/>
          <w:bCs w:val="1"/>
          <w:color w:val="auto"/>
        </w:rPr>
        <w:t>, 2019.</w:t>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have not, and the underwriters have not, authorized anyone to give you any information other than in this prospectus supplement, the accompanying prospectus or any information that we have incorporated by reference herein or therein,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as well as the information incorporated by reference herein or therein, is accurate only as of the date of such documents. Our business, financial condition, results of operations and prospects may have changed since that date. We will update these documents to reflect material changes only as required by law.</w:t>
      </w:r>
    </w:p>
    <w:p>
      <w:pPr>
        <w:spacing w:after="0" w:line="37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Prospectus Supplement</w:t>
      </w:r>
    </w:p>
    <w:p>
      <w:pPr>
        <w:spacing w:after="0" w:line="11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580" w:type="dxa"/>
            <w:vAlign w:val="bottom"/>
            <w:gridSpan w:val="2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INFORMATION INCORPORATED BY REFERENCE</w:t>
              </w:r>
            </w:hyperlink>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0580" w:type="dxa"/>
            <w:vAlign w:val="bottom"/>
            <w:gridSpan w:val="24"/>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jc w:val="right"/>
              <w:spacing w:after="0" w:line="170" w:lineRule="exact"/>
              <w:rPr>
                <w:sz w:val="20"/>
                <w:szCs w:val="20"/>
                <w:color w:val="auto"/>
              </w:rPr>
            </w:pPr>
            <w:r>
              <w:rPr>
                <w:rFonts w:ascii="Arial" w:cs="Arial" w:eastAsia="Arial" w:hAnsi="Arial"/>
                <w:sz w:val="18"/>
                <w:szCs w:val="18"/>
                <w:color w:val="auto"/>
                <w:w w:val="99"/>
              </w:rPr>
              <w:t>S-1</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SPECIAL NOTE REGARDING FORWARD-LOOKING STATEMENTS</w:t>
              </w:r>
            </w:hyperlink>
          </w:p>
        </w:tc>
        <w:tc>
          <w:tcPr>
            <w:tcW w:w="52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S-2</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THE COMPANY</w:t>
              </w:r>
            </w:hyperlink>
          </w:p>
        </w:tc>
        <w:tc>
          <w:tcPr>
            <w:tcW w:w="9280" w:type="dxa"/>
            <w:vAlign w:val="bottom"/>
            <w:gridSpan w:val="20"/>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S-3</w:t>
            </w:r>
          </w:p>
        </w:tc>
        <w:tc>
          <w:tcPr>
            <w:tcW w:w="0" w:type="dxa"/>
            <w:vAlign w:val="bottom"/>
          </w:tcPr>
          <w:p>
            <w:pPr>
              <w:spacing w:after="0"/>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SPECIFIC TERMS OF THE NOTES AND THE OFFERING</w:t>
              </w:r>
            </w:hyperlink>
          </w:p>
        </w:tc>
        <w:tc>
          <w:tcPr>
            <w:tcW w:w="1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S-6</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13">
              <w:r>
                <w:rPr>
                  <w:rFonts w:ascii="Arial" w:cs="Arial" w:eastAsia="Arial" w:hAnsi="Arial"/>
                  <w:sz w:val="18"/>
                  <w:szCs w:val="18"/>
                  <w:color w:val="0000EE"/>
                  <w:w w:val="93"/>
                </w:rPr>
                <w:t>RISK FACTORS</w:t>
              </w:r>
            </w:hyperlink>
          </w:p>
        </w:tc>
        <w:tc>
          <w:tcPr>
            <w:tcW w:w="3200" w:type="dxa"/>
            <w:vAlign w:val="bottom"/>
            <w:tcBorders>
              <w:top w:val="single" w:sz="8" w:color="0000EE"/>
            </w:tcBorders>
            <w:gridSpan w:val="15"/>
          </w:tcPr>
          <w:p>
            <w:pPr>
              <w:spacing w:after="0"/>
              <w:rPr>
                <w:sz w:val="17"/>
                <w:szCs w:val="17"/>
                <w:color w:val="auto"/>
              </w:rPr>
            </w:pPr>
          </w:p>
        </w:tc>
        <w:tc>
          <w:tcPr>
            <w:tcW w:w="6120" w:type="dxa"/>
            <w:vAlign w:val="bottom"/>
            <w:gridSpan w:val="7"/>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USE OF PROCEEDS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S-15</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19">
              <w:r>
                <w:rPr>
                  <w:rFonts w:ascii="Arial" w:cs="Arial" w:eastAsia="Arial" w:hAnsi="Arial"/>
                  <w:sz w:val="18"/>
                  <w:szCs w:val="18"/>
                  <w:color w:val="0000EE"/>
                  <w:w w:val="93"/>
                </w:rPr>
                <w:t>SENIOR SECURITIES</w:t>
              </w:r>
            </w:hyperlink>
          </w:p>
        </w:tc>
        <w:tc>
          <w:tcPr>
            <w:tcW w:w="8860" w:type="dxa"/>
            <w:vAlign w:val="bottom"/>
            <w:gridSpan w:val="16"/>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rFonts w:ascii="Arial" w:cs="Arial" w:eastAsia="Arial" w:hAnsi="Arial"/>
                <w:sz w:val="18"/>
                <w:szCs w:val="18"/>
                <w:color w:val="0000EE"/>
                <w:w w:val="98"/>
              </w:rPr>
            </w:pPr>
            <w:hyperlink w:anchor="page20">
              <w:r>
                <w:rPr>
                  <w:rFonts w:ascii="Arial" w:cs="Arial" w:eastAsia="Arial" w:hAnsi="Arial"/>
                  <w:sz w:val="18"/>
                  <w:szCs w:val="18"/>
                  <w:color w:val="0000EE"/>
                  <w:w w:val="98"/>
                </w:rPr>
                <w:t>CAPITALIZATION</w:t>
              </w:r>
            </w:hyperlink>
          </w:p>
        </w:tc>
        <w:tc>
          <w:tcPr>
            <w:tcW w:w="9120" w:type="dxa"/>
            <w:vAlign w:val="bottom"/>
            <w:gridSpan w:val="18"/>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196"/>
        </w:trPr>
        <w:tc>
          <w:tcPr>
            <w:tcW w:w="8920" w:type="dxa"/>
            <w:vAlign w:val="bottom"/>
            <w:tcBorders>
              <w:bottom w:val="single" w:sz="8" w:color="0000EE"/>
            </w:tcBorders>
            <w:gridSpan w:val="23"/>
          </w:tcPr>
          <w:p>
            <w:pPr>
              <w:spacing w:after="0" w:line="196" w:lineRule="exact"/>
              <w:rPr>
                <w:rFonts w:ascii="Arial" w:cs="Arial" w:eastAsia="Arial" w:hAnsi="Arial"/>
                <w:sz w:val="18"/>
                <w:szCs w:val="18"/>
                <w:color w:val="0000EE"/>
                <w:w w:val="97"/>
              </w:rPr>
            </w:pPr>
            <w:hyperlink w:anchor="page21">
              <w:r>
                <w:rPr>
                  <w:rFonts w:ascii="Arial" w:cs="Arial" w:eastAsia="Arial" w:hAnsi="Arial"/>
                  <w:sz w:val="18"/>
                  <w:szCs w:val="18"/>
                  <w:color w:val="0000EE"/>
                  <w:w w:val="97"/>
                </w:rPr>
                <w:t>MANAGEMENT’S DISCUSSION AND ANALYSIS OF FINANCIAL CONDITION AND RESULTS OF OPERATIONS</w:t>
              </w:r>
            </w:hyperlink>
          </w:p>
        </w:tc>
        <w:tc>
          <w:tcPr>
            <w:tcW w:w="166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S-18</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22">
              <w:r>
                <w:rPr>
                  <w:rFonts w:ascii="Arial" w:cs="Arial" w:eastAsia="Arial" w:hAnsi="Arial"/>
                  <w:sz w:val="18"/>
                  <w:szCs w:val="18"/>
                  <w:color w:val="0000EE"/>
                  <w:w w:val="93"/>
                </w:rPr>
                <w:t>DESCRIPTION OF NOTES</w:t>
              </w:r>
            </w:hyperlink>
          </w:p>
        </w:tc>
        <w:tc>
          <w:tcPr>
            <w:tcW w:w="8500" w:type="dxa"/>
            <w:vAlign w:val="bottom"/>
            <w:gridSpan w:val="13"/>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S-19</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20"/>
          </w:tcPr>
          <w:p>
            <w:pPr>
              <w:spacing w:after="0" w:line="196" w:lineRule="exact"/>
              <w:rPr>
                <w:rFonts w:ascii="Arial" w:cs="Arial" w:eastAsia="Arial" w:hAnsi="Arial"/>
                <w:sz w:val="18"/>
                <w:szCs w:val="18"/>
                <w:color w:val="0000EE"/>
                <w:w w:val="96"/>
              </w:rPr>
            </w:pPr>
            <w:hyperlink w:anchor="page35">
              <w:r>
                <w:rPr>
                  <w:rFonts w:ascii="Arial" w:cs="Arial" w:eastAsia="Arial" w:hAnsi="Arial"/>
                  <w:sz w:val="18"/>
                  <w:szCs w:val="18"/>
                  <w:color w:val="0000EE"/>
                  <w:w w:val="96"/>
                </w:rPr>
                <w:t>MATERIAL U.S. FEDERAL INCOME TAX CONSIDERATIONS</w:t>
              </w:r>
            </w:hyperlink>
          </w:p>
        </w:tc>
        <w:tc>
          <w:tcPr>
            <w:tcW w:w="5700" w:type="dxa"/>
            <w:vAlign w:val="bottom"/>
            <w:gridSpan w:val="4"/>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S-32</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38">
              <w:r>
                <w:rPr>
                  <w:rFonts w:ascii="Arial" w:cs="Arial" w:eastAsia="Arial" w:hAnsi="Arial"/>
                  <w:sz w:val="18"/>
                  <w:szCs w:val="18"/>
                  <w:color w:val="0000EE"/>
                  <w:w w:val="97"/>
                </w:rPr>
                <w:t>UNDERWRITING</w:t>
              </w:r>
            </w:hyperlink>
          </w:p>
        </w:tc>
        <w:tc>
          <w:tcPr>
            <w:tcW w:w="9180" w:type="dxa"/>
            <w:vAlign w:val="bottom"/>
            <w:gridSpan w:val="19"/>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S-35</w:t>
            </w:r>
          </w:p>
        </w:tc>
        <w:tc>
          <w:tcPr>
            <w:tcW w:w="0" w:type="dxa"/>
            <w:vAlign w:val="bottom"/>
          </w:tcPr>
          <w:p>
            <w:pPr>
              <w:spacing w:after="0"/>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LEGAL MATTERS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S-42</w:t>
            </w:r>
          </w:p>
        </w:tc>
        <w:tc>
          <w:tcPr>
            <w:tcW w:w="0" w:type="dxa"/>
            <w:vAlign w:val="bottom"/>
          </w:tcPr>
          <w:p>
            <w:pPr>
              <w:spacing w:after="0"/>
              <w:rPr>
                <w:sz w:val="1"/>
                <w:szCs w:val="1"/>
                <w:color w:val="auto"/>
              </w:rPr>
            </w:pPr>
          </w:p>
        </w:tc>
      </w:tr>
      <w:tr>
        <w:trPr>
          <w:trHeight w:val="561"/>
        </w:trPr>
        <w:tc>
          <w:tcPr>
            <w:tcW w:w="9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00" w:type="dxa"/>
            <w:vAlign w:val="bottom"/>
            <w:gridSpan w:val="4"/>
          </w:tcPr>
          <w:p>
            <w:pPr>
              <w:jc w:val="center"/>
              <w:ind w:right="4420"/>
              <w:spacing w:after="0"/>
              <w:rPr>
                <w:sz w:val="20"/>
                <w:szCs w:val="20"/>
                <w:color w:val="auto"/>
              </w:rPr>
            </w:pPr>
            <w:r>
              <w:rPr>
                <w:rFonts w:ascii="Arial" w:cs="Arial" w:eastAsia="Arial" w:hAnsi="Arial"/>
                <w:sz w:val="18"/>
                <w:szCs w:val="18"/>
                <w:b w:val="1"/>
                <w:bCs w:val="1"/>
                <w:color w:val="auto"/>
                <w:w w:val="85"/>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40" w:type="dxa"/>
            <w:vAlign w:val="bottom"/>
            <w:gridSpan w:val="6"/>
          </w:tcPr>
          <w:p>
            <w:pPr>
              <w:jc w:val="center"/>
              <w:ind w:right="408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40" w:type="dxa"/>
            <w:vAlign w:val="bottom"/>
            <w:gridSpan w:val="12"/>
            <w:vMerge w:val="restart"/>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ABOUT THIS PROSPECTUS</w:t>
              </w:r>
            </w:hyperlink>
          </w:p>
        </w:tc>
        <w:tc>
          <w:tcPr>
            <w:tcW w:w="8340" w:type="dxa"/>
            <w:vAlign w:val="bottom"/>
            <w:gridSpan w:val="12"/>
            <w:vMerge w:val="restart"/>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240" w:type="dxa"/>
            <w:vAlign w:val="bottom"/>
            <w:tcBorders>
              <w:bottom w:val="single" w:sz="8" w:color="0000EE"/>
            </w:tcBorders>
            <w:gridSpan w:val="12"/>
            <w:vMerge w:val="continue"/>
          </w:tcPr>
          <w:p>
            <w:pPr>
              <w:spacing w:after="0"/>
              <w:rPr>
                <w:sz w:val="14"/>
                <w:szCs w:val="14"/>
                <w:color w:val="auto"/>
              </w:rPr>
            </w:pPr>
          </w:p>
        </w:tc>
        <w:tc>
          <w:tcPr>
            <w:tcW w:w="8340" w:type="dxa"/>
            <w:vAlign w:val="bottom"/>
            <w:gridSpan w:val="1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SUMMARY</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62">
              <w:r>
                <w:rPr>
                  <w:rFonts w:ascii="Arial" w:cs="Arial" w:eastAsia="Arial" w:hAnsi="Arial"/>
                  <w:sz w:val="18"/>
                  <w:szCs w:val="18"/>
                  <w:color w:val="0000EE"/>
                  <w:w w:val="93"/>
                </w:rPr>
                <w:t>THE OFFERING</w:t>
              </w:r>
            </w:hyperlink>
          </w:p>
        </w:tc>
        <w:tc>
          <w:tcPr>
            <w:tcW w:w="9300" w:type="dxa"/>
            <w:vAlign w:val="bottom"/>
            <w:gridSpan w:val="21"/>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FEES AND EXPENSES</w:t>
              </w:r>
            </w:hyperlink>
          </w:p>
        </w:tc>
        <w:tc>
          <w:tcPr>
            <w:tcW w:w="8780" w:type="dxa"/>
            <w:vAlign w:val="bottom"/>
            <w:gridSpan w:val="15"/>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SELECTED FINANCIAL DATA AND OTHER INFORMATION</w:t>
              </w:r>
            </w:hyperlink>
          </w:p>
        </w:tc>
        <w:tc>
          <w:tcPr>
            <w:tcW w:w="5780" w:type="dxa"/>
            <w:vAlign w:val="bottom"/>
            <w:gridSpan w:val="5"/>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4"/>
          </w:tcPr>
          <w:p>
            <w:pPr>
              <w:spacing w:after="0" w:line="196" w:lineRule="exact"/>
              <w:rPr>
                <w:rFonts w:ascii="Arial" w:cs="Arial" w:eastAsia="Arial" w:hAnsi="Arial"/>
                <w:sz w:val="18"/>
                <w:szCs w:val="18"/>
                <w:color w:val="0000EE"/>
                <w:w w:val="97"/>
              </w:rPr>
            </w:pPr>
            <w:hyperlink w:anchor="page71">
              <w:r>
                <w:rPr>
                  <w:rFonts w:ascii="Arial" w:cs="Arial" w:eastAsia="Arial" w:hAnsi="Arial"/>
                  <w:sz w:val="18"/>
                  <w:szCs w:val="18"/>
                  <w:color w:val="0000EE"/>
                  <w:w w:val="97"/>
                </w:rPr>
                <w:t>SELECTED QUARTERLY FINANCIAL DATA</w:t>
              </w:r>
            </w:hyperlink>
          </w:p>
        </w:tc>
        <w:tc>
          <w:tcPr>
            <w:tcW w:w="7040" w:type="dxa"/>
            <w:vAlign w:val="bottom"/>
            <w:gridSpan w:val="10"/>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72">
              <w:r>
                <w:rPr>
                  <w:rFonts w:ascii="Arial" w:cs="Arial" w:eastAsia="Arial" w:hAnsi="Arial"/>
                  <w:sz w:val="18"/>
                  <w:szCs w:val="18"/>
                  <w:color w:val="0000EE"/>
                  <w:w w:val="93"/>
                </w:rPr>
                <w:t>RISK FACTORS</w:t>
              </w:r>
            </w:hyperlink>
          </w:p>
        </w:tc>
        <w:tc>
          <w:tcPr>
            <w:tcW w:w="9320" w:type="dxa"/>
            <w:vAlign w:val="bottom"/>
            <w:gridSpan w:val="22"/>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78">
              <w:r>
                <w:rPr>
                  <w:rFonts w:ascii="Arial" w:cs="Arial" w:eastAsia="Arial" w:hAnsi="Arial"/>
                  <w:sz w:val="18"/>
                  <w:szCs w:val="18"/>
                  <w:color w:val="0000EE"/>
                  <w:w w:val="95"/>
                </w:rPr>
                <w:t>SPECIAL NOTE REGARDING FORWARD-LOOKING STATEMENTS</w:t>
              </w:r>
            </w:hyperlink>
          </w:p>
        </w:tc>
        <w:tc>
          <w:tcPr>
            <w:tcW w:w="5240" w:type="dxa"/>
            <w:vAlign w:val="bottom"/>
            <w:gridSpan w:val="3"/>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USE OF PROCEEDS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30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PRICE RANGE OF COMMON STOCK AND DISTRIBUTIONS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300" w:type="dxa"/>
            <w:vAlign w:val="bottom"/>
            <w:gridSpan w:val="4"/>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23"/>
          </w:tcPr>
          <w:p>
            <w:pPr>
              <w:spacing w:after="0" w:line="196" w:lineRule="exact"/>
              <w:rPr>
                <w:rFonts w:ascii="Arial" w:cs="Arial" w:eastAsia="Arial" w:hAnsi="Arial"/>
                <w:sz w:val="18"/>
                <w:szCs w:val="18"/>
                <w:color w:val="0000EE"/>
                <w:w w:val="97"/>
              </w:rPr>
            </w:pPr>
            <w:hyperlink w:anchor="page83">
              <w:r>
                <w:rPr>
                  <w:rFonts w:ascii="Arial" w:cs="Arial" w:eastAsia="Arial" w:hAnsi="Arial"/>
                  <w:sz w:val="18"/>
                  <w:szCs w:val="18"/>
                  <w:color w:val="0000EE"/>
                  <w:w w:val="97"/>
                </w:rPr>
                <w:t>MANAGEMENT’S DISCUSSION AND ANALYSIS OF FINANCIAL CONDITION AND RESULTS OF OPERATIONS</w:t>
              </w:r>
            </w:hyperlink>
          </w:p>
        </w:tc>
        <w:tc>
          <w:tcPr>
            <w:tcW w:w="166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84">
              <w:r>
                <w:rPr>
                  <w:rFonts w:ascii="Arial" w:cs="Arial" w:eastAsia="Arial" w:hAnsi="Arial"/>
                  <w:sz w:val="18"/>
                  <w:szCs w:val="18"/>
                  <w:color w:val="0000EE"/>
                  <w:w w:val="93"/>
                </w:rPr>
                <w:t>SENIOR SECURITIES</w:t>
              </w:r>
            </w:hyperlink>
          </w:p>
        </w:tc>
        <w:tc>
          <w:tcPr>
            <w:tcW w:w="8860" w:type="dxa"/>
            <w:vAlign w:val="bottom"/>
            <w:gridSpan w:val="16"/>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85">
              <w:r>
                <w:rPr>
                  <w:rFonts w:ascii="Arial" w:cs="Arial" w:eastAsia="Arial" w:hAnsi="Arial"/>
                  <w:sz w:val="18"/>
                  <w:szCs w:val="18"/>
                  <w:color w:val="0000EE"/>
                  <w:w w:val="96"/>
                </w:rPr>
                <w:t>THE COMPANY</w:t>
              </w:r>
            </w:hyperlink>
          </w:p>
        </w:tc>
        <w:tc>
          <w:tcPr>
            <w:tcW w:w="9280" w:type="dxa"/>
            <w:vAlign w:val="bottom"/>
            <w:gridSpan w:val="20"/>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86">
              <w:r>
                <w:rPr>
                  <w:rFonts w:ascii="Arial" w:cs="Arial" w:eastAsia="Arial" w:hAnsi="Arial"/>
                  <w:sz w:val="18"/>
                  <w:szCs w:val="18"/>
                  <w:color w:val="0000EE"/>
                  <w:w w:val="93"/>
                </w:rPr>
                <w:t>PORTFOLIO COMPANIES</w:t>
              </w:r>
            </w:hyperlink>
          </w:p>
        </w:tc>
        <w:tc>
          <w:tcPr>
            <w:tcW w:w="8520" w:type="dxa"/>
            <w:vAlign w:val="bottom"/>
            <w:gridSpan w:val="14"/>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MANAGEMENT</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300" w:type="dxa"/>
            <w:vAlign w:val="bottom"/>
            <w:gridSpan w:val="4"/>
            <w:shd w:val="clear" w:color="auto" w:fill="0000EE"/>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15"/>
          </w:tcPr>
          <w:p>
            <w:pPr>
              <w:spacing w:after="0" w:line="196" w:lineRule="exact"/>
              <w:rPr>
                <w:rFonts w:ascii="Arial" w:cs="Arial" w:eastAsia="Arial" w:hAnsi="Arial"/>
                <w:sz w:val="18"/>
                <w:szCs w:val="18"/>
                <w:color w:val="0000EE"/>
                <w:w w:val="97"/>
              </w:rPr>
            </w:pPr>
            <w:hyperlink w:anchor="page91">
              <w:r>
                <w:rPr>
                  <w:rFonts w:ascii="Arial" w:cs="Arial" w:eastAsia="Arial" w:hAnsi="Arial"/>
                  <w:sz w:val="18"/>
                  <w:szCs w:val="18"/>
                  <w:color w:val="0000EE"/>
                  <w:w w:val="97"/>
                </w:rPr>
                <w:t>MANAGEMENT AND OTHER AGREEMENTS</w:t>
              </w:r>
            </w:hyperlink>
          </w:p>
        </w:tc>
        <w:tc>
          <w:tcPr>
            <w:tcW w:w="6940" w:type="dxa"/>
            <w:vAlign w:val="bottom"/>
            <w:gridSpan w:val="9"/>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91">
              <w:r>
                <w:rPr>
                  <w:rFonts w:ascii="Arial" w:cs="Arial" w:eastAsia="Arial" w:hAnsi="Arial"/>
                  <w:sz w:val="18"/>
                  <w:szCs w:val="18"/>
                  <w:color w:val="0000EE"/>
                  <w:w w:val="95"/>
                </w:rPr>
                <w:t>RELATED-PARTY TRANSACTIONS AND CERTAIN RELATIONSHIPS</w:t>
              </w:r>
            </w:hyperlink>
          </w:p>
        </w:tc>
        <w:tc>
          <w:tcPr>
            <w:tcW w:w="5080" w:type="dxa"/>
            <w:vAlign w:val="bottom"/>
            <w:gridSpan w:val="2"/>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0580" w:type="dxa"/>
            <w:vAlign w:val="bottom"/>
            <w:gridSpan w:val="24"/>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CONTROL PERSONS AND PRINCIPAL STOCKHOLDERS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6"/>
              </w:rPr>
            </w:pPr>
            <w:hyperlink w:anchor="page92">
              <w:r>
                <w:rPr>
                  <w:rFonts w:ascii="Arial" w:cs="Arial" w:eastAsia="Arial" w:hAnsi="Arial"/>
                  <w:sz w:val="18"/>
                  <w:szCs w:val="18"/>
                  <w:color w:val="0000EE"/>
                  <w:w w:val="96"/>
                </w:rPr>
                <w:t>DETERMINATION OF NET ASSET VALUE</w:t>
              </w:r>
            </w:hyperlink>
          </w:p>
        </w:tc>
        <w:tc>
          <w:tcPr>
            <w:tcW w:w="1160" w:type="dxa"/>
            <w:vAlign w:val="bottom"/>
            <w:tcBorders>
              <w:top w:val="single" w:sz="8" w:color="0000EE"/>
            </w:tcBorders>
            <w:gridSpan w:val="5"/>
          </w:tcPr>
          <w:p>
            <w:pPr>
              <w:spacing w:after="0"/>
              <w:rPr>
                <w:sz w:val="17"/>
                <w:szCs w:val="17"/>
                <w:color w:val="auto"/>
              </w:rPr>
            </w:pPr>
          </w:p>
        </w:tc>
        <w:tc>
          <w:tcPr>
            <w:tcW w:w="6040" w:type="dxa"/>
            <w:vAlign w:val="bottom"/>
            <w:gridSpan w:val="6"/>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460" w:type="dxa"/>
            <w:vAlign w:val="bottom"/>
            <w:gridSpan w:val="19"/>
            <w:vMerge w:val="restart"/>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SALES OF COMMON STOCK BELOW NET ASSET VALUE</w:t>
              </w:r>
            </w:hyperlink>
          </w:p>
        </w:tc>
        <w:tc>
          <w:tcPr>
            <w:tcW w:w="25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460" w:type="dxa"/>
            <w:vAlign w:val="bottom"/>
            <w:gridSpan w:val="19"/>
            <w:vMerge w:val="continue"/>
          </w:tcPr>
          <w:p>
            <w:pPr>
              <w:spacing w:after="0"/>
              <w:rPr>
                <w:sz w:val="13"/>
                <w:szCs w:val="13"/>
                <w:color w:val="auto"/>
              </w:rPr>
            </w:pPr>
          </w:p>
        </w:tc>
        <w:tc>
          <w:tcPr>
            <w:tcW w:w="222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0"/>
        </w:trPr>
        <w:tc>
          <w:tcPr>
            <w:tcW w:w="4640" w:type="dxa"/>
            <w:vAlign w:val="bottom"/>
            <w:tcBorders>
              <w:top w:val="single" w:sz="8" w:color="0000EE"/>
            </w:tcBorders>
            <w:gridSpan w:val="16"/>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DIVIDEND REINVESTMENT PLAN</w:t>
              </w:r>
            </w:hyperlink>
          </w:p>
        </w:tc>
        <w:tc>
          <w:tcPr>
            <w:tcW w:w="3820" w:type="dxa"/>
            <w:vAlign w:val="bottom"/>
            <w:gridSpan w:val="3"/>
          </w:tcPr>
          <w:p>
            <w:pPr>
              <w:spacing w:after="0"/>
              <w:rPr>
                <w:sz w:val="18"/>
                <w:szCs w:val="18"/>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101">
              <w:r>
                <w:rPr>
                  <w:rFonts w:ascii="Arial" w:cs="Arial" w:eastAsia="Arial" w:hAnsi="Arial"/>
                  <w:sz w:val="18"/>
                  <w:szCs w:val="18"/>
                  <w:color w:val="0000EE"/>
                  <w:w w:val="96"/>
                </w:rPr>
                <w:t>MATERIAL U.S. FEDERAL INCOME TAX CONSIDERATIONS</w:t>
              </w:r>
            </w:hyperlink>
          </w:p>
        </w:tc>
        <w:tc>
          <w:tcPr>
            <w:tcW w:w="3580" w:type="dxa"/>
            <w:vAlign w:val="bottom"/>
            <w:gridSpan w:val="2"/>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109">
              <w:r>
                <w:rPr>
                  <w:rFonts w:ascii="Arial" w:cs="Arial" w:eastAsia="Arial" w:hAnsi="Arial"/>
                  <w:sz w:val="18"/>
                  <w:szCs w:val="18"/>
                  <w:color w:val="0000EE"/>
                  <w:w w:val="93"/>
                </w:rPr>
                <w:t>DESCRIPTION OF OUR SECURITIES</w:t>
              </w:r>
            </w:hyperlink>
          </w:p>
        </w:tc>
        <w:tc>
          <w:tcPr>
            <w:tcW w:w="5520" w:type="dxa"/>
            <w:vAlign w:val="bottom"/>
            <w:gridSpan w:val="11"/>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109">
              <w:r>
                <w:rPr>
                  <w:rFonts w:ascii="Arial" w:cs="Arial" w:eastAsia="Arial" w:hAnsi="Arial"/>
                  <w:sz w:val="18"/>
                  <w:szCs w:val="18"/>
                  <w:color w:val="0000EE"/>
                  <w:w w:val="95"/>
                </w:rPr>
                <w:t>DESCRIPTION OF OUR CAPITAL STOCK</w:t>
              </w:r>
            </w:hyperlink>
          </w:p>
        </w:tc>
        <w:tc>
          <w:tcPr>
            <w:tcW w:w="5160" w:type="dxa"/>
            <w:vAlign w:val="bottom"/>
            <w:gridSpan w:val="9"/>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14">
              <w:r>
                <w:rPr>
                  <w:rFonts w:ascii="Arial" w:cs="Arial" w:eastAsia="Arial" w:hAnsi="Arial"/>
                  <w:sz w:val="18"/>
                  <w:szCs w:val="18"/>
                  <w:color w:val="0000EE"/>
                  <w:w w:val="93"/>
                </w:rPr>
                <w:t>DESCRIPTION OF OUR PREFERRED STOCK</w:t>
              </w:r>
            </w:hyperlink>
          </w:p>
        </w:tc>
        <w:tc>
          <w:tcPr>
            <w:tcW w:w="4880" w:type="dxa"/>
            <w:vAlign w:val="bottom"/>
            <w:gridSpan w:val="7"/>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0000EE"/>
            </w:tcBorders>
            <w:gridSpan w:val="13"/>
          </w:tcPr>
          <w:p>
            <w:pPr>
              <w:spacing w:after="0" w:line="196" w:lineRule="exact"/>
              <w:rPr>
                <w:rFonts w:ascii="Arial" w:cs="Arial" w:eastAsia="Arial" w:hAnsi="Arial"/>
                <w:sz w:val="18"/>
                <w:szCs w:val="18"/>
                <w:color w:val="0000EE"/>
                <w:w w:val="94"/>
              </w:rPr>
            </w:pPr>
            <w:hyperlink w:anchor="page116">
              <w:r>
                <w:rPr>
                  <w:rFonts w:ascii="Arial" w:cs="Arial" w:eastAsia="Arial" w:hAnsi="Arial"/>
                  <w:sz w:val="18"/>
                  <w:szCs w:val="18"/>
                  <w:color w:val="0000EE"/>
                  <w:w w:val="94"/>
                </w:rPr>
                <w:t>DESCRIPTION OF OUR SUBSCRIPTION RIGHTS</w:t>
              </w:r>
            </w:hyperlink>
          </w:p>
        </w:tc>
        <w:tc>
          <w:tcPr>
            <w:tcW w:w="4560" w:type="dxa"/>
            <w:vAlign w:val="bottom"/>
            <w:gridSpan w:val="6"/>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8460" w:type="dxa"/>
            <w:vAlign w:val="bottom"/>
            <w:gridSpan w:val="19"/>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DESCRIPTION OF OUR WARRANTS</w:t>
              </w:r>
            </w:hyperlink>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120">
              <w:r>
                <w:rPr>
                  <w:rFonts w:ascii="Arial" w:cs="Arial" w:eastAsia="Arial" w:hAnsi="Arial"/>
                  <w:sz w:val="18"/>
                  <w:szCs w:val="18"/>
                  <w:color w:val="0000EE"/>
                  <w:w w:val="94"/>
                </w:rPr>
                <w:t>DESCRIPTION OF OUR DEBT SECURITIES</w:t>
              </w:r>
            </w:hyperlink>
          </w:p>
        </w:tc>
        <w:tc>
          <w:tcPr>
            <w:tcW w:w="5000" w:type="dxa"/>
            <w:vAlign w:val="bottom"/>
            <w:gridSpan w:val="8"/>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8460" w:type="dxa"/>
            <w:vAlign w:val="bottom"/>
            <w:gridSpan w:val="19"/>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SHARES ELIGIBLE FOR FUTURE SALE</w:t>
              </w:r>
            </w:hyperlink>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31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REGULATION</w:t>
              </w:r>
            </w:hyperlink>
          </w:p>
        </w:tc>
        <w:tc>
          <w:tcPr>
            <w:tcW w:w="5280" w:type="dxa"/>
            <w:vAlign w:val="bottom"/>
            <w:gridSpan w:val="10"/>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w:anchor="page135">
              <w:r>
                <w:rPr>
                  <w:rFonts w:ascii="Arial" w:cs="Arial" w:eastAsia="Arial" w:hAnsi="Arial"/>
                  <w:sz w:val="18"/>
                  <w:szCs w:val="18"/>
                  <w:color w:val="0000EE"/>
                  <w:w w:val="97"/>
                </w:rPr>
                <w:t>CUSTODIAN, TRANSFER AND DIVIDEND PAYING AGENT AND REGISTRAR</w:t>
              </w:r>
            </w:hyperlink>
          </w:p>
        </w:tc>
        <w:tc>
          <w:tcPr>
            <w:tcW w:w="2220" w:type="dxa"/>
            <w:vAlign w:val="bottom"/>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8460" w:type="dxa"/>
            <w:vAlign w:val="bottom"/>
            <w:gridSpan w:val="19"/>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BROKERAGE ALLOCATION AND OTHER PRACTICES</w:t>
              </w:r>
            </w:hyperlink>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36">
              <w:r>
                <w:rPr>
                  <w:rFonts w:ascii="Arial" w:cs="Arial" w:eastAsia="Arial" w:hAnsi="Arial"/>
                  <w:sz w:val="18"/>
                  <w:szCs w:val="18"/>
                  <w:color w:val="0000EE"/>
                  <w:w w:val="97"/>
                </w:rPr>
                <w:t>PLAN OF DISTRIBUTION</w:t>
              </w:r>
            </w:hyperlink>
          </w:p>
        </w:tc>
        <w:tc>
          <w:tcPr>
            <w:tcW w:w="2320" w:type="dxa"/>
            <w:vAlign w:val="bottom"/>
            <w:tcBorders>
              <w:top w:val="single" w:sz="8" w:color="0000EE"/>
            </w:tcBorders>
            <w:gridSpan w:val="11"/>
          </w:tcPr>
          <w:p>
            <w:pPr>
              <w:spacing w:after="0"/>
              <w:rPr>
                <w:sz w:val="17"/>
                <w:szCs w:val="17"/>
                <w:color w:val="auto"/>
              </w:rPr>
            </w:pPr>
          </w:p>
        </w:tc>
        <w:tc>
          <w:tcPr>
            <w:tcW w:w="4080" w:type="dxa"/>
            <w:vAlign w:val="bottom"/>
            <w:gridSpan w:val="4"/>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138">
              <w:r>
                <w:rPr>
                  <w:rFonts w:ascii="Arial" w:cs="Arial" w:eastAsia="Arial" w:hAnsi="Arial"/>
                  <w:sz w:val="18"/>
                  <w:szCs w:val="18"/>
                  <w:color w:val="0000EE"/>
                  <w:w w:val="96"/>
                </w:rPr>
                <w:t>LEGAL MATTERS</w:t>
              </w:r>
            </w:hyperlink>
          </w:p>
        </w:tc>
        <w:tc>
          <w:tcPr>
            <w:tcW w:w="7000" w:type="dxa"/>
            <w:vAlign w:val="bottom"/>
            <w:gridSpan w:val="16"/>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38">
              <w:r>
                <w:rPr>
                  <w:rFonts w:ascii="Arial" w:cs="Arial" w:eastAsia="Arial" w:hAnsi="Arial"/>
                  <w:sz w:val="18"/>
                  <w:szCs w:val="18"/>
                  <w:color w:val="0000EE"/>
                  <w:w w:val="90"/>
                </w:rPr>
                <w:t>EXPERTS</w:t>
              </w:r>
            </w:hyperlink>
          </w:p>
        </w:tc>
        <w:tc>
          <w:tcPr>
            <w:tcW w:w="7680" w:type="dxa"/>
            <w:vAlign w:val="bottom"/>
            <w:gridSpan w:val="18"/>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138">
              <w:r>
                <w:rPr>
                  <w:rFonts w:ascii="Arial" w:cs="Arial" w:eastAsia="Arial" w:hAnsi="Arial"/>
                  <w:sz w:val="18"/>
                  <w:szCs w:val="18"/>
                  <w:color w:val="0000EE"/>
                  <w:w w:val="99"/>
                </w:rPr>
                <w:t>AVAILABLE INFORMATION</w:t>
              </w:r>
            </w:hyperlink>
          </w:p>
        </w:tc>
        <w:tc>
          <w:tcPr>
            <w:tcW w:w="6180" w:type="dxa"/>
            <w:vAlign w:val="bottom"/>
            <w:gridSpan w:val="14"/>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8460" w:type="dxa"/>
            <w:vAlign w:val="bottom"/>
            <w:gridSpan w:val="19"/>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INFORMATION INCORPORATED BY REFERENCE</w:t>
              </w:r>
            </w:hyperlink>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supplement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 This prospectus supplement incorporates by reference the documents listed below:</w:t>
      </w:r>
    </w:p>
    <w:p>
      <w:pPr>
        <w:spacing w:after="0" w:line="95" w:lineRule="exact"/>
        <w:rPr>
          <w:sz w:val="20"/>
          <w:szCs w:val="20"/>
          <w:color w:val="auto"/>
        </w:rPr>
      </w:pPr>
    </w:p>
    <w:p>
      <w:pPr>
        <w:ind w:left="1180" w:hanging="436"/>
        <w:spacing w:after="0" w:line="264" w:lineRule="auto"/>
        <w:tabs>
          <w:tab w:leader="none" w:pos="1180" w:val="left"/>
        </w:tabs>
        <w:numPr>
          <w:ilvl w:val="0"/>
          <w:numId w:val="1"/>
        </w:numPr>
        <w:rPr>
          <w:rFonts w:ascii="Arial" w:cs="Arial" w:eastAsia="Arial" w:hAnsi="Arial"/>
          <w:sz w:val="18"/>
          <w:szCs w:val="18"/>
          <w:color w:val="0000EE"/>
        </w:rPr>
      </w:pPr>
      <w:r>
        <w:rPr>
          <w:rFonts w:ascii="Arial" w:cs="Arial" w:eastAsia="Arial" w:hAnsi="Arial"/>
          <w:sz w:val="18"/>
          <w:szCs w:val="18"/>
          <w:color w:val="auto"/>
        </w:rPr>
        <w:t xml:space="preserve">our Annual Report on </w:t>
      </w:r>
      <w:hyperlink r:id="rId1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December 31, 2018, filed with the SEC on February 20, 2019 (the “2018 </w:t>
      </w:r>
      <w:hyperlink r:id="rId17">
        <w:r>
          <w:rPr>
            <w:rFonts w:ascii="Arial" w:cs="Arial" w:eastAsia="Arial" w:hAnsi="Arial"/>
            <w:sz w:val="18"/>
            <w:szCs w:val="18"/>
            <w:color w:val="auto"/>
          </w:rPr>
          <w:t xml:space="preserve">Annual Report”), including the information specifically incorporated by reference into the Form 10-K from our </w:t>
        </w:r>
        <w:r>
          <w:rPr>
            <w:rFonts w:ascii="Arial" w:cs="Arial" w:eastAsia="Arial" w:hAnsi="Arial"/>
            <w:sz w:val="18"/>
            <w:szCs w:val="18"/>
            <w:u w:val="single" w:color="auto"/>
            <w:color w:val="0000EE"/>
          </w:rPr>
          <w:t>Definitive Proxy Statement</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on Schedule 14A</w:t>
        </w:r>
        <w:r>
          <w:rPr>
            <w:rFonts w:ascii="Arial" w:cs="Arial" w:eastAsia="Arial" w:hAnsi="Arial"/>
            <w:sz w:val="18"/>
            <w:szCs w:val="18"/>
            <w:color w:val="0000EE"/>
          </w:rPr>
          <w:t xml:space="preserve"> </w:t>
        </w:r>
        <w:r>
          <w:rPr>
            <w:rFonts w:ascii="Arial" w:cs="Arial" w:eastAsia="Arial" w:hAnsi="Arial"/>
            <w:sz w:val="18"/>
            <w:szCs w:val="18"/>
            <w:color w:val="000000"/>
          </w:rPr>
          <w:t>relating to our 2019 Annual Meeting of Stockholders, filed with the SEC on April 5, 2019;</w:t>
        </w:r>
      </w:hyperlink>
    </w:p>
    <w:p>
      <w:pPr>
        <w:spacing w:after="0" w:line="86" w:lineRule="exact"/>
        <w:rPr>
          <w:rFonts w:ascii="Arial" w:cs="Arial" w:eastAsia="Arial" w:hAnsi="Arial"/>
          <w:sz w:val="18"/>
          <w:szCs w:val="18"/>
          <w:color w:val="0000EE"/>
        </w:rPr>
      </w:pPr>
    </w:p>
    <w:p>
      <w:pPr>
        <w:ind w:left="1180" w:right="180" w:hanging="436"/>
        <w:spacing w:after="0" w:line="264" w:lineRule="auto"/>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three months ended March 31, 2019, filed with the SEC on </w:t>
      </w:r>
      <w:hyperlink r:id="rId18">
        <w:r>
          <w:rPr>
            <w:rFonts w:ascii="Arial" w:cs="Arial" w:eastAsia="Arial" w:hAnsi="Arial"/>
            <w:sz w:val="18"/>
            <w:szCs w:val="18"/>
            <w:u w:val="single" w:color="auto"/>
            <w:color w:val="0000EE"/>
          </w:rPr>
          <w:t>May 2,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(the “2019 Q1 Quarterly Report”) and the three months ended June 30, 2019, filed with the SEC on </w:t>
      </w:r>
      <w:hyperlink r:id="rId19">
        <w:r>
          <w:rPr>
            <w:rFonts w:ascii="Arial" w:cs="Arial" w:eastAsia="Arial" w:hAnsi="Arial"/>
            <w:sz w:val="18"/>
            <w:szCs w:val="18"/>
            <w:u w:val="single" w:color="auto"/>
            <w:color w:val="0000EE"/>
          </w:rPr>
          <w:t>August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(the “2019 Q2 Quarterly Report”); and</w:t>
      </w:r>
    </w:p>
    <w:p>
      <w:pPr>
        <w:spacing w:after="0" w:line="86" w:lineRule="exact"/>
        <w:rPr>
          <w:rFonts w:ascii="Arial" w:cs="Arial" w:eastAsia="Arial" w:hAnsi="Arial"/>
          <w:sz w:val="18"/>
          <w:szCs w:val="18"/>
          <w:color w:val="auto"/>
        </w:rPr>
      </w:pPr>
    </w:p>
    <w:p>
      <w:pPr>
        <w:ind w:left="1180" w:right="300" w:hanging="436"/>
        <w:spacing w:after="0" w:line="277" w:lineRule="auto"/>
        <w:tabs>
          <w:tab w:leader="none" w:pos="1180" w:val="left"/>
        </w:tabs>
        <w:numPr>
          <w:ilvl w:val="0"/>
          <w:numId w:val="1"/>
        </w:numPr>
        <w:rPr>
          <w:rFonts w:ascii="Arial" w:cs="Arial" w:eastAsia="Arial" w:hAnsi="Arial"/>
          <w:sz w:val="18"/>
          <w:szCs w:val="18"/>
          <w:color w:val="0000EE"/>
        </w:rPr>
      </w:pPr>
      <w:hyperlink r:id="rId20">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February 1,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14,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15,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16,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14,</w:t>
        </w:r>
      </w:hyperlink>
      <w:r>
        <w:rPr>
          <w:rFonts w:ascii="Arial" w:cs="Arial" w:eastAsia="Arial" w:hAnsi="Arial"/>
          <w:sz w:val="18"/>
          <w:szCs w:val="18"/>
          <w:color w:val="auto"/>
        </w:rPr>
        <w:t xml:space="preserve"> </w:t>
      </w:r>
      <w:hyperlink r:id="rId20">
        <w:r>
          <w:rPr>
            <w:rFonts w:ascii="Arial" w:cs="Arial" w:eastAsia="Arial" w:hAnsi="Arial"/>
            <w:sz w:val="18"/>
            <w:szCs w:val="18"/>
            <w:u w:val="single" w:color="auto"/>
            <w:color w:val="0000EE"/>
          </w:rPr>
          <w:t>2019</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1">
        <w:r>
          <w:rPr>
            <w:rFonts w:ascii="Arial" w:cs="Arial" w:eastAsia="Arial" w:hAnsi="Arial"/>
            <w:sz w:val="18"/>
            <w:szCs w:val="18"/>
            <w:u w:val="single" w:color="auto"/>
            <w:color w:val="0000EE"/>
          </w:rPr>
          <w:t>September 13, 2019</w:t>
        </w:r>
      </w:hyperlink>
      <w:hyperlink r:id="rId20">
        <w:r>
          <w:rPr>
            <w:rFonts w:ascii="Arial" w:cs="Arial" w:eastAsia="Arial" w:hAnsi="Arial"/>
            <w:sz w:val="18"/>
            <w:szCs w:val="18"/>
            <w:color w:val="000000"/>
          </w:rPr>
          <w:t>.</w:t>
        </w:r>
      </w:hyperlink>
    </w:p>
    <w:p>
      <w:pPr>
        <w:spacing w:after="0" w:line="170" w:lineRule="exact"/>
        <w:rPr>
          <w:rFonts w:ascii="Arial" w:cs="Arial" w:eastAsia="Arial" w:hAnsi="Arial"/>
          <w:sz w:val="18"/>
          <w:szCs w:val="18"/>
          <w:color w:val="0000EE"/>
        </w:rPr>
      </w:pPr>
    </w:p>
    <w:p>
      <w:pPr>
        <w:ind w:left="200" w:right="40" w:firstLine="441"/>
        <w:spacing w:after="0" w:line="293" w:lineRule="auto"/>
        <w:rPr>
          <w:sz w:val="20"/>
          <w:szCs w:val="20"/>
          <w:color w:val="auto"/>
        </w:rPr>
      </w:pPr>
      <w:r>
        <w:rPr>
          <w:rFonts w:ascii="Arial" w:cs="Arial" w:eastAsia="Arial" w:hAnsi="Arial"/>
          <w:sz w:val="16"/>
          <w:szCs w:val="16"/>
          <w:color w:val="auto"/>
        </w:rPr>
        <w:t>We incorporate by reference into this prospectus supplement additional documents that we may file with the SEC under Sections 13(a), 13(c), 14 or 15(d) of the Securities Exchange Act of 1934, as amended, or the Exchange Act, until all of the securities offered by this prospectus supplement and the accompanying prospectus have been sold or we otherwise terminate the offering of these securities; provided, however, the information “furnished” under Item 2.02 or Item 7.01 of Form 8-K or other information “furnished” to the SEC which is not deemed filed is not incorporated by reference in this prospectus supplement and any accompanying prospectus. Information that we file with the SEC will automatically update and may supersede information in this prospectus supplement, the accompanying prospectus and information previously filed with the SEC.</w:t>
      </w:r>
    </w:p>
    <w:p>
      <w:pPr>
        <w:spacing w:after="0" w:line="165" w:lineRule="exact"/>
        <w:rPr>
          <w:rFonts w:ascii="Arial" w:cs="Arial" w:eastAsia="Arial" w:hAnsi="Arial"/>
          <w:sz w:val="18"/>
          <w:szCs w:val="18"/>
          <w:color w:val="0000EE"/>
        </w:rPr>
      </w:pPr>
    </w:p>
    <w:p>
      <w:pPr>
        <w:ind w:left="200" w:right="20" w:firstLine="441"/>
        <w:spacing w:after="0" w:line="312"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supplement is delivered, upon written request of any such person, a copy of any or all of the documents that has been or may be incorporated by reference into this prospectus supplement (excluding certain exhibits to the documents) at no cost. Any such request may be made by contacting us in writing at the following address:</w:t>
      </w:r>
    </w:p>
    <w:p>
      <w:pPr>
        <w:spacing w:after="0" w:line="39"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TPG Specialty Lending, Inc.</w:t>
      </w:r>
    </w:p>
    <w:p>
      <w:pPr>
        <w:spacing w:after="0" w:line="23"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888 7th Avenue, 35th Floor</w:t>
      </w:r>
    </w:p>
    <w:p>
      <w:pPr>
        <w:spacing w:after="0" w:line="9"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New York, NY 10106</w:t>
      </w:r>
    </w:p>
    <w:p>
      <w:pPr>
        <w:spacing w:after="0" w:line="9"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Attention: TSLX Investor Relations</w:t>
      </w:r>
    </w:p>
    <w:p>
      <w:pPr>
        <w:spacing w:after="0" w:line="9"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Email: IRTSL@tpg.com.</w:t>
      </w:r>
    </w:p>
    <w:p>
      <w:pPr>
        <w:spacing w:after="0" w:line="211" w:lineRule="exact"/>
        <w:rPr>
          <w:rFonts w:ascii="Arial" w:cs="Arial" w:eastAsia="Arial" w:hAnsi="Arial"/>
          <w:sz w:val="18"/>
          <w:szCs w:val="18"/>
          <w:color w:val="0000EE"/>
        </w:rPr>
      </w:pPr>
    </w:p>
    <w:p>
      <w:pPr>
        <w:ind w:left="200" w:firstLine="441"/>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or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121"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9" w:lineRule="exact"/>
        <w:rPr>
          <w:sz w:val="20"/>
          <w:szCs w:val="20"/>
          <w:color w:val="auto"/>
        </w:rPr>
      </w:pPr>
    </w:p>
    <w:p>
      <w:pPr>
        <w:jc w:val="both"/>
        <w:ind w:left="200" w:right="520" w:firstLine="441"/>
        <w:spacing w:after="0" w:line="264" w:lineRule="auto"/>
        <w:rPr>
          <w:sz w:val="20"/>
          <w:szCs w:val="20"/>
          <w:color w:val="auto"/>
        </w:rPr>
      </w:pPr>
      <w:r>
        <w:rPr>
          <w:rFonts w:ascii="Arial" w:cs="Arial" w:eastAsia="Arial" w:hAnsi="Arial"/>
          <w:sz w:val="18"/>
          <w:szCs w:val="18"/>
          <w:color w:val="auto"/>
        </w:rPr>
        <w:t>In addition to factors identified elsewhere in this prospectus supplement, the accompanying prospectus and the documents incorporated by reference herein or therein, the following factors, among others, could cause actual results to differ materially from forward-looking statements or historical performance:</w:t>
      </w:r>
    </w:p>
    <w:p>
      <w:pPr>
        <w:spacing w:after="0" w:line="87" w:lineRule="exact"/>
        <w:rPr>
          <w:sz w:val="20"/>
          <w:szCs w:val="20"/>
          <w:color w:val="auto"/>
        </w:rPr>
      </w:pPr>
    </w:p>
    <w:p>
      <w:pPr>
        <w:ind w:left="1180" w:right="40" w:hanging="436"/>
        <w:spacing w:after="0" w:line="277"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jc w:val="both"/>
        <w:ind w:left="1180" w:right="140" w:hanging="436"/>
        <w:spacing w:after="0" w:line="264"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1180" w:right="40" w:hanging="436"/>
        <w:spacing w:after="0" w:line="259"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prospectus supplement, the accompanying prospectus and in Part I, Item 1A of our 2018 Annual Report and Part II, Item 1A of our 2019 Q1 Quarterly Report and 2019 Q2 Quarterly Report, any subsequent Quarterly Reports on Form 10-Q or Current Reports on Form 8-K we file after the date of this prospectus supplement, and those discussed in other documents we file with the SEC.</w:t>
      </w:r>
    </w:p>
    <w:p>
      <w:pPr>
        <w:spacing w:after="0" w:line="18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in this prospectus supplement, the accompanying prospectus and in Part I, Item 1A of our 2018 Annual Report and Part II, Item 1A of our 2019 Q1 Quarterly Report and 2019 Q2 Quarterly Report, any subsequent Quarterly Reports on Form 10-Q or Current Reports on Form 8-K we file after the date of this prospectus supplement, and those discussed in other documents we file with the SEC and elsewhere in this prospectus supplement, the accompanying prospectus and the documents incorporated by reference herein or therein. You should not place undue reliance on these forward-looking statements, which apply only as of the date of this prospectus supplement. We do not undertake any obligation to update or revise any forward-looking statements or any other information contained herein or therein, except as required by applicable law.</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i w:val="1"/>
          <w:iCs w:val="1"/>
          <w:color w:val="auto"/>
        </w:rPr>
        <w:t>This summary highlights some of the information contained elsewhere or incorporated by reference in this prospectus supplement and the accompanying prospectus. It is not complete and may not contain all of the information that you may want to consider. You should read this entire prospectus supplement, the accompanying prospectus, any free writing prospectus relating to this offering and the documents incorporated by reference in this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or incorporated by reference in this prospectus supplement and the accompanying prospectus.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As used in the prospectus supplement and the accompanying prospectus, except where the context suggests otherwise, references to:</w:t>
      </w:r>
    </w:p>
    <w:p>
      <w:pPr>
        <w:spacing w:after="0" w:line="142" w:lineRule="exact"/>
        <w:rPr>
          <w:sz w:val="20"/>
          <w:szCs w:val="20"/>
          <w:color w:val="auto"/>
        </w:rPr>
      </w:pPr>
    </w:p>
    <w:p>
      <w:pPr>
        <w:ind w:left="1180" w:right="30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“TSLX,”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1180" w:right="36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“TSSP” refers to TPG Sixth Street Partners, LLC;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June 30, 2019, we have originated more than $11.2 billion aggregate principal amount of investments and retained approximately $5.7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3"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June 30, 2019, our core portfolio companies, which excludes certain investments that fall outside of our typical borrower profile and represent 79.1% of our total investments based on fair value, had weighted average annual revenue of $107.8 million and weighted average annual EBITDA of $32.6 million.</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70"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(including restructurings).</w:t>
      </w:r>
    </w:p>
    <w:p>
      <w:pPr>
        <w:spacing w:after="0" w:line="170"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As of June 30, 2019, our portfolio based on fair value consisted of 97.3% first-lien debt investments, 0.3% second-lien debt investments, 0.1% mezzanine debt investments, and 2.3% equity and other investments. As of June 30, 2019, 99.4% of our debt investments based on fair value bore interest at floating rates (when including investment specific hedges), with 94.7% of these subject to interest rate floors, which we believe helps act as a portfolio-wide hedge against inflation.</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As of June 30, 2019 and December 31, 2018, we had investments in 56 and 46 portfolio companies, respectively, with an aggregate fair value of $2,060.5 million and $1,706.0 million, respectively.</w:t>
      </w:r>
    </w:p>
    <w:p>
      <w:pPr>
        <w:spacing w:after="0" w:line="170"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For the three months ended June 30, 2019, the principal amount of new investments funded was $344.0 million in 12 new portfolio companies and two existing portfolio companies. For this period, we had $128.1 million aggregate principal amount in exits and repayments.</w:t>
      </w:r>
    </w:p>
    <w:p>
      <w:pPr>
        <w:spacing w:after="0" w:line="147"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For the year ended December 31, 2018, the principal amount of new investments funded was $816.9 million in 19 new portfolio companies and 14 existing portfolio companies. For this period, we had $790.3 million aggregate principal amount in exits and repayments.</w:t>
      </w:r>
    </w:p>
    <w:p>
      <w:pPr>
        <w:spacing w:after="0" w:line="14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As of June 30, 2019, the largest single investment based on fair value represented 4.2% of our total investment portfolio. As of June 30, 2019, the average investment size in each of our portfolio companies was approximately $36.8 million based on fair value. As of June 30, 2019, the largest industry represented 19.8% of our total investment portfolio based on fair value.</w:t>
      </w:r>
    </w:p>
    <w:p>
      <w:pPr>
        <w:spacing w:after="0" w:line="181"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Since we began investing in 2011 through June 30, 2019, weighted by capital invested, our exited investments have generated an average realized gross internal rate of return to us of 18.7% (based on total capital invested of $3.6 billion and total proceeds from these exited investments of $4.4 billion). Eighty nine percent of these exited investments resulted in a realized gross internal rate of return to us of 10% or greater. For a description of how we calculate gross internal rates of return, see “Management’s Discussion and Analysis of Financial Condition and Results of Operations—Results of Operations—Realized Gross Internal Rate of Return” in Part I, Item 2 of our 2019 Q2 Quarterly Report, which is incorporated herein by reference.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2018 Annual Report, which is incorporated by reference in the accompanying prospectus, for more information on these requirements.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Robert “Bo” Stanley and David Stiepleman.</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TSSP is a global finance and investment firm with over $32 billion of assets under management as of June 30, 2019. TSSP is in a strategic partnership with TPG, the global alternative asset firm. TSSP’s core platforms include TPG Specialty Lending, TSL Europe, which is aimed at European middle-market loan originations, TSSP Adjacent Opportunities, which has the flexibility to invest across all of TSSP’s private credit market investments, TSSP Opportunities Partners, which focuses on actively managed opportunistic investments across the credit cycle, TPG Institutional Credit Partners, which is a “public-side” credit investment platform focused on investment opportunities in broadly syndicated leveraged loan markets, and TSSP Capital Solutions, which provides financing solutions to growing companies. TSSP has a long-term oriented, highly flexible capital base that allows it to invest across industries, geographies, capital structures and asset classes. TSSP has extensive experience with highly complex, global public and private investments executed through primary originations, secondary market purchases and restructurings, and has a team of over 225 investment and operating professionals. As of June 30, 2019, thirty three (33) of these personnel are dedicated to our business, including twenty five (25) investment professionals.</w:t>
      </w:r>
    </w:p>
    <w:p>
      <w:pPr>
        <w:spacing w:after="0" w:line="178"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Our Adviser consults with TSSP in connection with a substantial number of our investments. The TSSP platform provides us with a breadth of large and scalable investment resources. We believe we benefit from TSSP’s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connection with this offering, we intend to enter into interest rate swaps to better align the interest rates of our liabilities with our investment portfolio, which consists of predominately floating rate loans.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principal executive offices are located at 301 Commerce Street, Suite 3300, Fort Worth, TX 76102 and our telephone number is (817) 871-4000. Our corporate website is located at http://www.tpgspecialtylending.com. Information on our website is not incorporated into or a part of this prospectus supplement or the accompanying prospectus.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SPECIFIC TERMS OF THE NOTES AND THE OFFERING</w:t>
      </w:r>
    </w:p>
    <w:p>
      <w:pPr>
        <w:spacing w:after="0" w:line="229"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i w:val="1"/>
          <w:iCs w:val="1"/>
          <w:color w:val="auto"/>
        </w:rPr>
        <w:t>This prospectus supplement sets forth certain terms of the Notes that we are offering pursuant to this prospectus supplement and supplements the accompanying prospectus that is attached to the back of this prospectus supplement. This section outlines certain legal and financial terms of the Notes. You should read this section together with the more detailed description of the Notes under the heading “Description of Notes” in this prospectus supplement and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 as amended from time to time, the “indenture”.</w:t>
      </w:r>
    </w:p>
    <w:p>
      <w:pPr>
        <w:sectPr>
          <w:pgSz w:w="11900" w:h="16838" w:orient="portrait"/>
          <w:cols w:equalWidth="0" w:num="1">
            <w:col w:w="11220"/>
          </w:cols>
          <w:pgMar w:left="240" w:top="459" w:right="439" w:bottom="1440" w:gutter="0" w:footer="0" w:header="0"/>
        </w:sectPr>
      </w:pPr>
    </w:p>
    <w:p>
      <w:pPr>
        <w:spacing w:after="0" w:line="20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Issuer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TPG Specialty Lending, Inc., a Delaware corporation</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Title of the Securities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 Notes due</w:t>
      </w:r>
    </w:p>
    <w:p>
      <w:pPr>
        <w:spacing w:after="0" w:line="200" w:lineRule="exact"/>
        <w:rPr>
          <w:sz w:val="20"/>
          <w:szCs w:val="20"/>
          <w:color w:val="auto"/>
        </w:rPr>
      </w:pPr>
    </w:p>
    <w:p>
      <w:pPr>
        <w:sectPr>
          <w:pgSz w:w="11900" w:h="16838" w:orient="portrait"/>
          <w:cols w:equalWidth="0" w:num="2">
            <w:col w:w="3860" w:space="720"/>
            <w:col w:w="664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Initial Aggregate Principal Amount Being Offered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22" w:lineRule="exact"/>
        <w:rPr>
          <w:sz w:val="20"/>
          <w:szCs w:val="20"/>
          <w:color w:val="auto"/>
        </w:rPr>
      </w:pPr>
    </w:p>
    <w:p>
      <w:pPr>
        <w:sectPr>
          <w:pgSz w:w="11900" w:h="16838" w:orient="portrait"/>
          <w:cols w:equalWidth="0" w:num="2">
            <w:col w:w="3840" w:space="560"/>
            <w:col w:w="682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Initial Public Offering Price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 of the aggregate principal amount of Notes</w:t>
      </w:r>
    </w:p>
    <w:p>
      <w:pPr>
        <w:spacing w:after="0" w:line="211" w:lineRule="exact"/>
        <w:rPr>
          <w:sz w:val="20"/>
          <w:szCs w:val="20"/>
          <w:color w:val="auto"/>
        </w:rPr>
      </w:pPr>
    </w:p>
    <w:p>
      <w:pPr>
        <w:sectPr>
          <w:pgSz w:w="11900" w:h="16838" w:orient="portrait"/>
          <w:cols w:equalWidth="0" w:num="2">
            <w:col w:w="3860" w:space="720"/>
            <w:col w:w="6640"/>
          </w:cols>
          <w:pgMar w:left="240" w:top="459" w:right="43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 Rate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11" w:lineRule="exact"/>
        <w:rPr>
          <w:sz w:val="20"/>
          <w:szCs w:val="20"/>
          <w:color w:val="auto"/>
        </w:rPr>
      </w:pPr>
    </w:p>
    <w:p>
      <w:pPr>
        <w:sectPr>
          <w:pgSz w:w="11900" w:h="16838" w:orient="portrait"/>
          <w:cols w:equalWidth="0" w:num="2">
            <w:col w:w="3860" w:space="720"/>
            <w:col w:w="664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Yield to Maturity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22" w:lineRule="exact"/>
        <w:rPr>
          <w:sz w:val="20"/>
          <w:szCs w:val="20"/>
          <w:color w:val="auto"/>
        </w:rPr>
      </w:pPr>
    </w:p>
    <w:p>
      <w:pPr>
        <w:sectPr>
          <w:pgSz w:w="11900" w:h="16838" w:orient="portrait"/>
          <w:cols w:equalWidth="0" w:num="2">
            <w:col w:w="3860" w:space="720"/>
            <w:col w:w="6640"/>
          </w:cols>
          <w:pgMar w:left="240" w:top="459" w:right="43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 2019</w:t>
      </w:r>
    </w:p>
    <w:p>
      <w:pPr>
        <w:spacing w:after="0" w:line="200" w:lineRule="exact"/>
        <w:rPr>
          <w:sz w:val="20"/>
          <w:szCs w:val="20"/>
          <w:color w:val="auto"/>
        </w:rPr>
      </w:pPr>
    </w:p>
    <w:p>
      <w:pPr>
        <w:sectPr>
          <w:pgSz w:w="11900" w:h="16838" w:orient="portrait"/>
          <w:cols w:equalWidth="0" w:num="2">
            <w:col w:w="4400" w:space="720"/>
            <w:col w:w="6100"/>
          </w:cols>
          <w:pgMar w:left="240" w:top="459" w:right="439" w:bottom="1440" w:gutter="0" w:footer="0" w:header="0"/>
          <w:type w:val="continuous"/>
        </w:sectPr>
      </w:pPr>
    </w:p>
    <w:p>
      <w:pPr>
        <w:spacing w:after="0" w:line="100"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 Date</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color w:val="auto"/>
        </w:rPr>
        <w:t>, 2019</w:t>
      </w:r>
    </w:p>
    <w:p>
      <w:pPr>
        <w:spacing w:after="0" w:line="200" w:lineRule="exact"/>
        <w:rPr>
          <w:sz w:val="20"/>
          <w:szCs w:val="20"/>
          <w:color w:val="auto"/>
        </w:rPr>
      </w:pPr>
    </w:p>
    <w:p>
      <w:pPr>
        <w:sectPr>
          <w:pgSz w:w="11900" w:h="16838" w:orient="portrait"/>
          <w:cols w:equalWidth="0" w:num="2">
            <w:col w:w="4400" w:space="720"/>
            <w:col w:w="6100"/>
          </w:cols>
          <w:pgMar w:left="240" w:top="459" w:right="439" w:bottom="1440" w:gutter="0" w:footer="0" w:header="0"/>
          <w:type w:val="continuous"/>
        </w:sectPr>
      </w:pPr>
    </w:p>
    <w:p>
      <w:pPr>
        <w:spacing w:after="0" w:line="10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Maturity Date</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34" w:lineRule="exact"/>
        <w:rPr>
          <w:sz w:val="20"/>
          <w:szCs w:val="20"/>
          <w:color w:val="auto"/>
        </w:rPr>
      </w:pPr>
    </w:p>
    <w:p>
      <w:pPr>
        <w:sectPr>
          <w:pgSz w:w="11900" w:h="16838" w:orient="portrait"/>
          <w:cols w:equalWidth="0" w:num="2">
            <w:col w:w="4400" w:space="720"/>
            <w:col w:w="6100"/>
          </w:cols>
          <w:pgMar w:left="240" w:top="459" w:right="43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 commencing</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 2020</w:t>
      </w:r>
    </w:p>
    <w:p>
      <w:pPr>
        <w:spacing w:after="0" w:line="200" w:lineRule="exact"/>
        <w:rPr>
          <w:sz w:val="20"/>
          <w:szCs w:val="20"/>
          <w:color w:val="auto"/>
        </w:rPr>
      </w:pPr>
    </w:p>
    <w:p>
      <w:pPr>
        <w:sectPr>
          <w:pgSz w:w="11900" w:h="16838" w:orient="portrait"/>
          <w:cols w:equalWidth="0" w:num="4">
            <w:col w:w="4440" w:space="720"/>
            <w:col w:w="300" w:space="720"/>
            <w:col w:w="1060" w:space="720"/>
            <w:col w:w="3260"/>
          </w:cols>
          <w:pgMar w:left="240" w:top="459" w:right="43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Ranking of Notes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The Notes will be our direct, general unsecured obligations and will rank:</w:t>
      </w:r>
    </w:p>
    <w:p>
      <w:pPr>
        <w:spacing w:after="0" w:line="167"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4600" w:right="360" w:hanging="164"/>
        <w:spacing w:after="0" w:line="277" w:lineRule="auto"/>
        <w:tabs>
          <w:tab w:leader="none" w:pos="4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senior in right of payment to all of our future indebtedness or other obligations that are expressly subordinated, or junior, in right of payment to the Notes;</w:t>
      </w:r>
    </w:p>
    <w:p>
      <w:pPr>
        <w:spacing w:after="0" w:line="75" w:lineRule="exact"/>
        <w:rPr>
          <w:rFonts w:ascii="Arial" w:cs="Arial" w:eastAsia="Arial" w:hAnsi="Arial"/>
          <w:sz w:val="18"/>
          <w:szCs w:val="18"/>
          <w:color w:val="auto"/>
        </w:rPr>
      </w:pPr>
    </w:p>
    <w:p>
      <w:pPr>
        <w:ind w:left="4600" w:hanging="164"/>
        <w:spacing w:after="0" w:line="270" w:lineRule="auto"/>
        <w:tabs>
          <w:tab w:leader="none" w:pos="4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pari passu, or equal, in right of payment with all of our existing and future indebtedness or other obligations that are not so subordinated, or junior, including, without limitation, as of September 30, 2019, approximately $115.0 million aggregate principal amount of outstanding indebtedness under our convertible notes due December 2019, which we refer to as the 2019 Convertible Notes, approximately $172.5 million aggregate principal amount of outstanding indebtedness under our convertible notes due December 2022, which we refer to as the 2022 Convertible Notes, and together with the 2019 Convertible Notes, the Convertible Notes, and approximately $150.0 million aggregate principal amount of outstanding indebtedness under our unsecured notes due January 2023, which we refer to as the 2023 Notes;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20"/>
          </w:cols>
          <w:pgMar w:left="24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0" w:right="100" w:hanging="164"/>
        <w:spacing w:after="0" w:line="293" w:lineRule="auto"/>
        <w:tabs>
          <w:tab w:leader="none" w:pos="4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effectively subordinated, or junior, to any of our secured indebtedness or other obligations (including unsecured indebtedness that we later secure) to the extent of the value of the assets securing such indebtedness, including, without limitation, approximately $481.2 million aggregate principal amount of outstanding indebtedness as of September 30, 2019 under our Senior Secured Revolving Credit Agreement, dated August 23, 2012, as amended, which we refer to as the Revolving Credit Facility; and</w:t>
      </w:r>
    </w:p>
    <w:p>
      <w:pPr>
        <w:spacing w:after="0" w:line="70" w:lineRule="exact"/>
        <w:rPr>
          <w:rFonts w:ascii="Arial" w:cs="Arial" w:eastAsia="Arial" w:hAnsi="Arial"/>
          <w:sz w:val="16"/>
          <w:szCs w:val="16"/>
          <w:color w:val="auto"/>
        </w:rPr>
      </w:pPr>
    </w:p>
    <w:p>
      <w:pPr>
        <w:ind w:left="4600" w:right="220" w:hanging="164"/>
        <w:spacing w:after="0" w:line="264" w:lineRule="auto"/>
        <w:tabs>
          <w:tab w:leader="none" w:pos="4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structurally subordinated, or junior, to all existing and future indebtedness and other obligations (including trade payables) incurred by our subsidiaries, financing vehicles or similar facilities.</w:t>
      </w:r>
    </w:p>
    <w:p>
      <w:pPr>
        <w:spacing w:after="0" w:line="208" w:lineRule="exact"/>
        <w:rPr>
          <w:sz w:val="20"/>
          <w:szCs w:val="20"/>
          <w:color w:val="auto"/>
        </w:rPr>
      </w:pPr>
    </w:p>
    <w:p>
      <w:pPr>
        <w:ind w:left="4400" w:right="160"/>
        <w:spacing w:after="0" w:line="285" w:lineRule="auto"/>
        <w:rPr>
          <w:sz w:val="20"/>
          <w:szCs w:val="20"/>
          <w:color w:val="auto"/>
        </w:rPr>
      </w:pPr>
      <w:r>
        <w:rPr>
          <w:rFonts w:ascii="Arial" w:cs="Arial" w:eastAsia="Arial" w:hAnsi="Arial"/>
          <w:sz w:val="16"/>
          <w:szCs w:val="16"/>
          <w:color w:val="auto"/>
        </w:rPr>
        <w:t>As of September 30, 2019, our total consolidated indebtedness was approximately $918.7 million aggregate principal amount outstanding, of which approximately $481.2 million was secured indebtedness at the TSLX level and none of which was indebtedness of our subsidiaries. After giving effect to the issuance of the Notes, and assuming the net proceeds therefrom are used to repay outstanding borrowings under the Revolving Credit Facility, our</w:t>
      </w:r>
    </w:p>
    <w:p>
      <w:pPr>
        <w:spacing w:after="0" w:line="2" w:lineRule="exact"/>
        <w:rPr>
          <w:sz w:val="20"/>
          <w:szCs w:val="20"/>
          <w:color w:val="auto"/>
        </w:rPr>
      </w:pPr>
    </w:p>
    <w:p>
      <w:pPr>
        <w:ind w:left="4400" w:right="280"/>
        <w:spacing w:after="0" w:line="290" w:lineRule="auto"/>
        <w:rPr>
          <w:sz w:val="20"/>
          <w:szCs w:val="20"/>
          <w:color w:val="auto"/>
        </w:rPr>
      </w:pPr>
      <w:r>
        <w:rPr>
          <w:rFonts w:ascii="Arial" w:cs="Arial" w:eastAsia="Arial" w:hAnsi="Arial"/>
          <w:sz w:val="17"/>
          <w:szCs w:val="17"/>
          <w:color w:val="auto"/>
        </w:rPr>
        <w:t>total consolidated indebtedness would have been approximately $ million aggregate principal amount outstanding as of September 30, 2019. See “Capitalization.”</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Denominations</w:t>
            </w:r>
          </w:p>
        </w:tc>
        <w:tc>
          <w:tcPr>
            <w:tcW w:w="8120" w:type="dxa"/>
            <w:vAlign w:val="bottom"/>
            <w:gridSpan w:val="4"/>
          </w:tcPr>
          <w:p>
            <w:pPr>
              <w:ind w:left="1320"/>
              <w:spacing w:after="0"/>
              <w:rPr>
                <w:sz w:val="20"/>
                <w:szCs w:val="20"/>
                <w:color w:val="auto"/>
              </w:rPr>
            </w:pPr>
            <w:r>
              <w:rPr>
                <w:rFonts w:ascii="Arial" w:cs="Arial" w:eastAsia="Arial" w:hAnsi="Arial"/>
                <w:sz w:val="18"/>
                <w:szCs w:val="18"/>
                <w:color w:val="auto"/>
                <w:w w:val="91"/>
              </w:rPr>
              <w:t>We will issue the Notes in denominations of $2,000 and integral multiples of $1,000 in excess</w:t>
            </w:r>
          </w:p>
        </w:tc>
      </w:tr>
      <w:tr>
        <w:trPr>
          <w:trHeight w:val="230"/>
        </w:trPr>
        <w:tc>
          <w:tcPr>
            <w:tcW w:w="2880" w:type="dxa"/>
            <w:vAlign w:val="bottom"/>
          </w:tcPr>
          <w:p>
            <w:pPr>
              <w:spacing w:after="0"/>
              <w:rPr>
                <w:sz w:val="20"/>
                <w:szCs w:val="20"/>
                <w:color w:val="auto"/>
              </w:rPr>
            </w:pPr>
          </w:p>
        </w:tc>
        <w:tc>
          <w:tcPr>
            <w:tcW w:w="4340" w:type="dxa"/>
            <w:vAlign w:val="bottom"/>
          </w:tcPr>
          <w:p>
            <w:pPr>
              <w:ind w:left="1320"/>
              <w:spacing w:after="0"/>
              <w:rPr>
                <w:sz w:val="20"/>
                <w:szCs w:val="20"/>
                <w:color w:val="auto"/>
              </w:rPr>
            </w:pPr>
            <w:r>
              <w:rPr>
                <w:rFonts w:ascii="Arial" w:cs="Arial" w:eastAsia="Arial" w:hAnsi="Arial"/>
                <w:sz w:val="18"/>
                <w:szCs w:val="18"/>
                <w:color w:val="auto"/>
              </w:rPr>
              <w:t>thereof.</w:t>
            </w:r>
          </w:p>
        </w:tc>
        <w:tc>
          <w:tcPr>
            <w:tcW w:w="5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45"/>
        </w:trPr>
        <w:tc>
          <w:tcPr>
            <w:tcW w:w="2880" w:type="dxa"/>
            <w:vAlign w:val="bottom"/>
          </w:tcPr>
          <w:p>
            <w:pPr>
              <w:spacing w:after="0"/>
              <w:rPr>
                <w:sz w:val="20"/>
                <w:szCs w:val="20"/>
                <w:color w:val="auto"/>
              </w:rPr>
            </w:pPr>
            <w:r>
              <w:rPr>
                <w:rFonts w:ascii="Arial" w:cs="Arial" w:eastAsia="Arial" w:hAnsi="Arial"/>
                <w:sz w:val="18"/>
                <w:szCs w:val="18"/>
                <w:color w:val="auto"/>
              </w:rPr>
              <w:t>Optional Redemption</w:t>
            </w:r>
          </w:p>
        </w:tc>
        <w:tc>
          <w:tcPr>
            <w:tcW w:w="8120" w:type="dxa"/>
            <w:vAlign w:val="bottom"/>
            <w:gridSpan w:val="4"/>
          </w:tcPr>
          <w:p>
            <w:pPr>
              <w:ind w:left="1320"/>
              <w:spacing w:after="0"/>
              <w:rPr>
                <w:sz w:val="20"/>
                <w:szCs w:val="20"/>
                <w:color w:val="auto"/>
              </w:rPr>
            </w:pPr>
            <w:r>
              <w:rPr>
                <w:rFonts w:ascii="Arial" w:cs="Arial" w:eastAsia="Arial" w:hAnsi="Arial"/>
                <w:sz w:val="18"/>
                <w:szCs w:val="18"/>
                <w:color w:val="auto"/>
                <w:w w:val="94"/>
              </w:rPr>
              <w:t>We may redeem some or all of the Notes at any time, or from time to time, at a redemption</w:t>
            </w:r>
          </w:p>
        </w:tc>
      </w:tr>
      <w:tr>
        <w:trPr>
          <w:trHeight w:val="216"/>
        </w:trPr>
        <w:tc>
          <w:tcPr>
            <w:tcW w:w="2880" w:type="dxa"/>
            <w:vAlign w:val="bottom"/>
          </w:tcPr>
          <w:p>
            <w:pPr>
              <w:spacing w:after="0"/>
              <w:rPr>
                <w:sz w:val="18"/>
                <w:szCs w:val="18"/>
                <w:color w:val="auto"/>
              </w:rPr>
            </w:pPr>
          </w:p>
        </w:tc>
        <w:tc>
          <w:tcPr>
            <w:tcW w:w="8120" w:type="dxa"/>
            <w:vAlign w:val="bottom"/>
            <w:gridSpan w:val="4"/>
          </w:tcPr>
          <w:p>
            <w:pPr>
              <w:ind w:left="1320"/>
              <w:spacing w:after="0"/>
              <w:rPr>
                <w:sz w:val="20"/>
                <w:szCs w:val="20"/>
                <w:color w:val="auto"/>
              </w:rPr>
            </w:pPr>
            <w:r>
              <w:rPr>
                <w:rFonts w:ascii="Arial" w:cs="Arial" w:eastAsia="Arial" w:hAnsi="Arial"/>
                <w:sz w:val="18"/>
                <w:szCs w:val="18"/>
                <w:color w:val="auto"/>
                <w:w w:val="91"/>
              </w:rPr>
              <w:t>price equal to the greater of (1) 100% of the principal amount of the Notes to be redeemed or</w:t>
            </w:r>
          </w:p>
        </w:tc>
      </w:tr>
      <w:tr>
        <w:trPr>
          <w:trHeight w:val="216"/>
        </w:trPr>
        <w:tc>
          <w:tcPr>
            <w:tcW w:w="2880" w:type="dxa"/>
            <w:vAlign w:val="bottom"/>
          </w:tcPr>
          <w:p>
            <w:pPr>
              <w:spacing w:after="0"/>
              <w:rPr>
                <w:sz w:val="18"/>
                <w:szCs w:val="18"/>
                <w:color w:val="auto"/>
              </w:rPr>
            </w:pPr>
          </w:p>
        </w:tc>
        <w:tc>
          <w:tcPr>
            <w:tcW w:w="8120" w:type="dxa"/>
            <w:vAlign w:val="bottom"/>
            <w:gridSpan w:val="4"/>
          </w:tcPr>
          <w:p>
            <w:pPr>
              <w:ind w:left="1320"/>
              <w:spacing w:after="0"/>
              <w:rPr>
                <w:sz w:val="20"/>
                <w:szCs w:val="20"/>
                <w:color w:val="auto"/>
              </w:rPr>
            </w:pPr>
            <w:r>
              <w:rPr>
                <w:rFonts w:ascii="Arial" w:cs="Arial" w:eastAsia="Arial" w:hAnsi="Arial"/>
                <w:sz w:val="18"/>
                <w:szCs w:val="18"/>
                <w:color w:val="auto"/>
                <w:w w:val="97"/>
              </w:rPr>
              <w:t>(2) the sum of the present values of the remaining scheduled payments of principal and</w:t>
            </w:r>
          </w:p>
        </w:tc>
      </w:tr>
      <w:tr>
        <w:trPr>
          <w:trHeight w:val="216"/>
        </w:trPr>
        <w:tc>
          <w:tcPr>
            <w:tcW w:w="2880" w:type="dxa"/>
            <w:vAlign w:val="bottom"/>
          </w:tcPr>
          <w:p>
            <w:pPr>
              <w:spacing w:after="0"/>
              <w:rPr>
                <w:sz w:val="18"/>
                <w:szCs w:val="18"/>
                <w:color w:val="auto"/>
              </w:rPr>
            </w:pPr>
          </w:p>
        </w:tc>
        <w:tc>
          <w:tcPr>
            <w:tcW w:w="8120" w:type="dxa"/>
            <w:vAlign w:val="bottom"/>
            <w:gridSpan w:val="4"/>
          </w:tcPr>
          <w:p>
            <w:pPr>
              <w:ind w:left="1320"/>
              <w:spacing w:after="0"/>
              <w:rPr>
                <w:sz w:val="20"/>
                <w:szCs w:val="20"/>
                <w:color w:val="auto"/>
              </w:rPr>
            </w:pPr>
            <w:r>
              <w:rPr>
                <w:rFonts w:ascii="Arial" w:cs="Arial" w:eastAsia="Arial" w:hAnsi="Arial"/>
                <w:sz w:val="18"/>
                <w:szCs w:val="18"/>
                <w:color w:val="auto"/>
                <w:w w:val="89"/>
              </w:rPr>
              <w:t>interest (exclusive of accrued and unpaid interest to the date of redemption) on the Notes to be</w:t>
            </w:r>
          </w:p>
        </w:tc>
      </w:tr>
      <w:tr>
        <w:trPr>
          <w:trHeight w:val="216"/>
        </w:trPr>
        <w:tc>
          <w:tcPr>
            <w:tcW w:w="2880" w:type="dxa"/>
            <w:vAlign w:val="bottom"/>
          </w:tcPr>
          <w:p>
            <w:pPr>
              <w:spacing w:after="0"/>
              <w:rPr>
                <w:sz w:val="18"/>
                <w:szCs w:val="18"/>
                <w:color w:val="auto"/>
              </w:rPr>
            </w:pPr>
          </w:p>
        </w:tc>
        <w:tc>
          <w:tcPr>
            <w:tcW w:w="8120" w:type="dxa"/>
            <w:vAlign w:val="bottom"/>
            <w:gridSpan w:val="4"/>
          </w:tcPr>
          <w:p>
            <w:pPr>
              <w:ind w:left="1320"/>
              <w:spacing w:after="0"/>
              <w:rPr>
                <w:sz w:val="20"/>
                <w:szCs w:val="20"/>
                <w:color w:val="auto"/>
              </w:rPr>
            </w:pPr>
            <w:r>
              <w:rPr>
                <w:rFonts w:ascii="Arial" w:cs="Arial" w:eastAsia="Arial" w:hAnsi="Arial"/>
                <w:sz w:val="18"/>
                <w:szCs w:val="18"/>
                <w:color w:val="auto"/>
                <w:w w:val="88"/>
              </w:rPr>
              <w:t>redeemed, discounted to the redemption date on a semi-annual basis (assuming a 360-day year</w:t>
            </w:r>
          </w:p>
        </w:tc>
      </w:tr>
      <w:tr>
        <w:trPr>
          <w:trHeight w:val="216"/>
        </w:trPr>
        <w:tc>
          <w:tcPr>
            <w:tcW w:w="2880" w:type="dxa"/>
            <w:vAlign w:val="bottom"/>
          </w:tcPr>
          <w:p>
            <w:pPr>
              <w:spacing w:after="0"/>
              <w:rPr>
                <w:sz w:val="18"/>
                <w:szCs w:val="18"/>
                <w:color w:val="auto"/>
              </w:rPr>
            </w:pPr>
          </w:p>
        </w:tc>
        <w:tc>
          <w:tcPr>
            <w:tcW w:w="6940" w:type="dxa"/>
            <w:vAlign w:val="bottom"/>
            <w:gridSpan w:val="3"/>
          </w:tcPr>
          <w:p>
            <w:pPr>
              <w:ind w:left="1320"/>
              <w:spacing w:after="0"/>
              <w:rPr>
                <w:sz w:val="20"/>
                <w:szCs w:val="20"/>
                <w:color w:val="auto"/>
              </w:rPr>
            </w:pPr>
            <w:r>
              <w:rPr>
                <w:rFonts w:ascii="Arial" w:cs="Arial" w:eastAsia="Arial" w:hAnsi="Arial"/>
                <w:sz w:val="18"/>
                <w:szCs w:val="18"/>
                <w:color w:val="auto"/>
                <w:w w:val="92"/>
              </w:rPr>
              <w:t>consisting of twelve 30-day months) using the applicable Treasury Rate plus</w:t>
            </w:r>
          </w:p>
        </w:tc>
        <w:tc>
          <w:tcPr>
            <w:tcW w:w="1180" w:type="dxa"/>
            <w:vAlign w:val="bottom"/>
          </w:tcPr>
          <w:p>
            <w:pPr>
              <w:ind w:left="280"/>
              <w:spacing w:after="0"/>
              <w:rPr>
                <w:sz w:val="20"/>
                <w:szCs w:val="20"/>
                <w:color w:val="auto"/>
              </w:rPr>
            </w:pPr>
            <w:r>
              <w:rPr>
                <w:rFonts w:ascii="Arial" w:cs="Arial" w:eastAsia="Arial" w:hAnsi="Arial"/>
                <w:sz w:val="18"/>
                <w:szCs w:val="18"/>
                <w:color w:val="auto"/>
                <w:w w:val="87"/>
              </w:rPr>
              <w:t>basis points,</w:t>
            </w:r>
          </w:p>
        </w:tc>
      </w:tr>
      <w:tr>
        <w:trPr>
          <w:trHeight w:val="216"/>
        </w:trPr>
        <w:tc>
          <w:tcPr>
            <w:tcW w:w="2880" w:type="dxa"/>
            <w:vAlign w:val="bottom"/>
          </w:tcPr>
          <w:p>
            <w:pPr>
              <w:spacing w:after="0"/>
              <w:rPr>
                <w:sz w:val="18"/>
                <w:szCs w:val="18"/>
                <w:color w:val="auto"/>
              </w:rPr>
            </w:pPr>
          </w:p>
        </w:tc>
        <w:tc>
          <w:tcPr>
            <w:tcW w:w="8120" w:type="dxa"/>
            <w:vAlign w:val="bottom"/>
            <w:gridSpan w:val="4"/>
          </w:tcPr>
          <w:p>
            <w:pPr>
              <w:ind w:left="1320"/>
              <w:spacing w:after="0"/>
              <w:rPr>
                <w:sz w:val="20"/>
                <w:szCs w:val="20"/>
                <w:color w:val="auto"/>
              </w:rPr>
            </w:pPr>
            <w:r>
              <w:rPr>
                <w:rFonts w:ascii="Arial" w:cs="Arial" w:eastAsia="Arial" w:hAnsi="Arial"/>
                <w:sz w:val="18"/>
                <w:szCs w:val="18"/>
                <w:color w:val="auto"/>
                <w:w w:val="89"/>
              </w:rPr>
              <w:t xml:space="preserve">plus, in each case, accrued and unpaid interest to the redemption date; </w:t>
            </w:r>
            <w:r>
              <w:rPr>
                <w:rFonts w:ascii="Arial" w:cs="Arial" w:eastAsia="Arial" w:hAnsi="Arial"/>
                <w:sz w:val="18"/>
                <w:szCs w:val="18"/>
                <w:i w:val="1"/>
                <w:iCs w:val="1"/>
                <w:color w:val="auto"/>
                <w:w w:val="89"/>
              </w:rPr>
              <w:t>provided</w:t>
            </w:r>
            <w:r>
              <w:rPr>
                <w:rFonts w:ascii="Arial" w:cs="Arial" w:eastAsia="Arial" w:hAnsi="Arial"/>
                <w:sz w:val="18"/>
                <w:szCs w:val="18"/>
                <w:color w:val="auto"/>
                <w:w w:val="89"/>
              </w:rPr>
              <w:t>, however, that</w:t>
            </w:r>
          </w:p>
        </w:tc>
      </w:tr>
      <w:tr>
        <w:trPr>
          <w:trHeight w:val="216"/>
        </w:trPr>
        <w:tc>
          <w:tcPr>
            <w:tcW w:w="2880" w:type="dxa"/>
            <w:vAlign w:val="bottom"/>
          </w:tcPr>
          <w:p>
            <w:pPr>
              <w:spacing w:after="0"/>
              <w:rPr>
                <w:sz w:val="18"/>
                <w:szCs w:val="18"/>
                <w:color w:val="auto"/>
              </w:rPr>
            </w:pPr>
          </w:p>
        </w:tc>
        <w:tc>
          <w:tcPr>
            <w:tcW w:w="4340" w:type="dxa"/>
            <w:vAlign w:val="bottom"/>
          </w:tcPr>
          <w:p>
            <w:pPr>
              <w:ind w:left="1320"/>
              <w:spacing w:after="0"/>
              <w:rPr>
                <w:sz w:val="20"/>
                <w:szCs w:val="20"/>
                <w:color w:val="auto"/>
              </w:rPr>
            </w:pPr>
            <w:r>
              <w:rPr>
                <w:rFonts w:ascii="Arial" w:cs="Arial" w:eastAsia="Arial" w:hAnsi="Arial"/>
                <w:sz w:val="18"/>
                <w:szCs w:val="18"/>
                <w:color w:val="auto"/>
              </w:rPr>
              <w:t>if we redeem any Notes on or after</w:t>
            </w:r>
          </w:p>
        </w:tc>
        <w:tc>
          <w:tcPr>
            <w:tcW w:w="5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020" w:type="dxa"/>
            <w:vAlign w:val="bottom"/>
          </w:tcPr>
          <w:p>
            <w:pPr>
              <w:ind w:left="280"/>
              <w:spacing w:after="0"/>
              <w:rPr>
                <w:sz w:val="20"/>
                <w:szCs w:val="20"/>
                <w:color w:val="auto"/>
              </w:rPr>
            </w:pPr>
            <w:r>
              <w:rPr>
                <w:rFonts w:ascii="Arial" w:cs="Arial" w:eastAsia="Arial" w:hAnsi="Arial"/>
                <w:sz w:val="18"/>
                <w:szCs w:val="18"/>
                <w:color w:val="auto"/>
              </w:rPr>
              <w:t>(the date falling</w:t>
            </w:r>
          </w:p>
        </w:tc>
        <w:tc>
          <w:tcPr>
            <w:tcW w:w="1180" w:type="dxa"/>
            <w:vAlign w:val="bottom"/>
          </w:tcPr>
          <w:p>
            <w:pPr>
              <w:ind w:left="120"/>
              <w:spacing w:after="0"/>
              <w:rPr>
                <w:sz w:val="20"/>
                <w:szCs w:val="20"/>
                <w:color w:val="auto"/>
              </w:rPr>
            </w:pPr>
            <w:r>
              <w:rPr>
                <w:rFonts w:ascii="Arial" w:cs="Arial" w:eastAsia="Arial" w:hAnsi="Arial"/>
                <w:sz w:val="18"/>
                <w:szCs w:val="18"/>
                <w:color w:val="auto"/>
              </w:rPr>
              <w:t>prior to the</w:t>
            </w:r>
          </w:p>
        </w:tc>
      </w:tr>
      <w:tr>
        <w:trPr>
          <w:trHeight w:val="216"/>
        </w:trPr>
        <w:tc>
          <w:tcPr>
            <w:tcW w:w="2880" w:type="dxa"/>
            <w:vAlign w:val="bottom"/>
          </w:tcPr>
          <w:p>
            <w:pPr>
              <w:spacing w:after="0"/>
              <w:rPr>
                <w:sz w:val="18"/>
                <w:szCs w:val="18"/>
                <w:color w:val="auto"/>
              </w:rPr>
            </w:pPr>
          </w:p>
        </w:tc>
        <w:tc>
          <w:tcPr>
            <w:tcW w:w="8120" w:type="dxa"/>
            <w:vAlign w:val="bottom"/>
            <w:gridSpan w:val="4"/>
          </w:tcPr>
          <w:p>
            <w:pPr>
              <w:ind w:left="1320"/>
              <w:spacing w:after="0"/>
              <w:rPr>
                <w:sz w:val="20"/>
                <w:szCs w:val="20"/>
                <w:color w:val="auto"/>
              </w:rPr>
            </w:pPr>
            <w:r>
              <w:rPr>
                <w:rFonts w:ascii="Arial" w:cs="Arial" w:eastAsia="Arial" w:hAnsi="Arial"/>
                <w:sz w:val="18"/>
                <w:szCs w:val="18"/>
                <w:color w:val="auto"/>
                <w:w w:val="94"/>
              </w:rPr>
              <w:t>maturity date of the Notes), the redemption price for the Notes will be equal to 100% of the</w:t>
            </w:r>
          </w:p>
        </w:tc>
      </w:tr>
      <w:tr>
        <w:trPr>
          <w:trHeight w:val="216"/>
        </w:trPr>
        <w:tc>
          <w:tcPr>
            <w:tcW w:w="2880" w:type="dxa"/>
            <w:vAlign w:val="bottom"/>
          </w:tcPr>
          <w:p>
            <w:pPr>
              <w:spacing w:after="0"/>
              <w:rPr>
                <w:sz w:val="18"/>
                <w:szCs w:val="18"/>
                <w:color w:val="auto"/>
              </w:rPr>
            </w:pPr>
          </w:p>
        </w:tc>
        <w:tc>
          <w:tcPr>
            <w:tcW w:w="8120" w:type="dxa"/>
            <w:vAlign w:val="bottom"/>
            <w:gridSpan w:val="4"/>
          </w:tcPr>
          <w:p>
            <w:pPr>
              <w:ind w:left="1320"/>
              <w:spacing w:after="0"/>
              <w:rPr>
                <w:sz w:val="20"/>
                <w:szCs w:val="20"/>
                <w:color w:val="auto"/>
              </w:rPr>
            </w:pPr>
            <w:r>
              <w:rPr>
                <w:rFonts w:ascii="Arial" w:cs="Arial" w:eastAsia="Arial" w:hAnsi="Arial"/>
                <w:sz w:val="18"/>
                <w:szCs w:val="18"/>
                <w:color w:val="auto"/>
                <w:w w:val="90"/>
              </w:rPr>
              <w:t>principal amount of the Notes to be redeemed, plus accrued and unpaid interest, if any, to, but</w:t>
            </w:r>
          </w:p>
        </w:tc>
      </w:tr>
      <w:tr>
        <w:trPr>
          <w:trHeight w:val="216"/>
        </w:trPr>
        <w:tc>
          <w:tcPr>
            <w:tcW w:w="2880" w:type="dxa"/>
            <w:vAlign w:val="bottom"/>
          </w:tcPr>
          <w:p>
            <w:pPr>
              <w:spacing w:after="0"/>
              <w:rPr>
                <w:sz w:val="18"/>
                <w:szCs w:val="18"/>
                <w:color w:val="auto"/>
              </w:rPr>
            </w:pPr>
          </w:p>
        </w:tc>
        <w:tc>
          <w:tcPr>
            <w:tcW w:w="8120" w:type="dxa"/>
            <w:vAlign w:val="bottom"/>
            <w:gridSpan w:val="4"/>
          </w:tcPr>
          <w:p>
            <w:pPr>
              <w:ind w:left="1320"/>
              <w:spacing w:after="0"/>
              <w:rPr>
                <w:sz w:val="20"/>
                <w:szCs w:val="20"/>
                <w:color w:val="auto"/>
              </w:rPr>
            </w:pPr>
            <w:r>
              <w:rPr>
                <w:rFonts w:ascii="Arial" w:cs="Arial" w:eastAsia="Arial" w:hAnsi="Arial"/>
                <w:sz w:val="18"/>
                <w:szCs w:val="18"/>
                <w:color w:val="auto"/>
                <w:w w:val="95"/>
              </w:rPr>
              <w:t>excluding, the date of redemption. Any exercise of our option to redeem the Notes will be</w:t>
            </w:r>
          </w:p>
        </w:tc>
      </w:tr>
      <w:tr>
        <w:trPr>
          <w:trHeight w:val="230"/>
        </w:trPr>
        <w:tc>
          <w:tcPr>
            <w:tcW w:w="2880" w:type="dxa"/>
            <w:vAlign w:val="bottom"/>
          </w:tcPr>
          <w:p>
            <w:pPr>
              <w:spacing w:after="0"/>
              <w:rPr>
                <w:sz w:val="20"/>
                <w:szCs w:val="20"/>
                <w:color w:val="auto"/>
              </w:rPr>
            </w:pPr>
          </w:p>
        </w:tc>
        <w:tc>
          <w:tcPr>
            <w:tcW w:w="4340" w:type="dxa"/>
            <w:vAlign w:val="bottom"/>
          </w:tcPr>
          <w:p>
            <w:pPr>
              <w:ind w:left="1320"/>
              <w:spacing w:after="0"/>
              <w:rPr>
                <w:sz w:val="20"/>
                <w:szCs w:val="20"/>
                <w:color w:val="auto"/>
              </w:rPr>
            </w:pPr>
            <w:r>
              <w:rPr>
                <w:rFonts w:ascii="Arial" w:cs="Arial" w:eastAsia="Arial" w:hAnsi="Arial"/>
                <w:sz w:val="18"/>
                <w:szCs w:val="18"/>
                <w:color w:val="auto"/>
                <w:w w:val="98"/>
              </w:rPr>
              <w:t>done in compliance with the 1940 Act.</w:t>
            </w:r>
          </w:p>
        </w:tc>
        <w:tc>
          <w:tcPr>
            <w:tcW w:w="5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45"/>
        </w:trPr>
        <w:tc>
          <w:tcPr>
            <w:tcW w:w="2880" w:type="dxa"/>
            <w:vAlign w:val="bottom"/>
          </w:tcPr>
          <w:p>
            <w:pPr>
              <w:spacing w:after="0"/>
              <w:rPr>
                <w:sz w:val="20"/>
                <w:szCs w:val="20"/>
                <w:color w:val="auto"/>
              </w:rPr>
            </w:pPr>
            <w:r>
              <w:rPr>
                <w:rFonts w:ascii="Arial" w:cs="Arial" w:eastAsia="Arial" w:hAnsi="Arial"/>
                <w:sz w:val="18"/>
                <w:szCs w:val="18"/>
                <w:color w:val="auto"/>
              </w:rPr>
              <w:t>Sinking Fund</w:t>
            </w:r>
          </w:p>
        </w:tc>
        <w:tc>
          <w:tcPr>
            <w:tcW w:w="8120" w:type="dxa"/>
            <w:vAlign w:val="bottom"/>
            <w:gridSpan w:val="4"/>
          </w:tcPr>
          <w:p>
            <w:pPr>
              <w:ind w:left="1320"/>
              <w:spacing w:after="0"/>
              <w:rPr>
                <w:sz w:val="20"/>
                <w:szCs w:val="20"/>
                <w:color w:val="auto"/>
              </w:rPr>
            </w:pPr>
            <w:r>
              <w:rPr>
                <w:rFonts w:ascii="Arial" w:cs="Arial" w:eastAsia="Arial" w:hAnsi="Arial"/>
                <w:sz w:val="18"/>
                <w:szCs w:val="18"/>
                <w:color w:val="auto"/>
              </w:rPr>
              <w:t>The Notes will not be subject to any sinking fund. A sinking fund is a reserve fund</w:t>
            </w:r>
          </w:p>
        </w:tc>
      </w:tr>
      <w:tr>
        <w:trPr>
          <w:trHeight w:val="230"/>
        </w:trPr>
        <w:tc>
          <w:tcPr>
            <w:tcW w:w="2880" w:type="dxa"/>
            <w:vAlign w:val="bottom"/>
          </w:tcPr>
          <w:p>
            <w:pPr>
              <w:spacing w:after="0"/>
              <w:rPr>
                <w:sz w:val="20"/>
                <w:szCs w:val="20"/>
                <w:color w:val="auto"/>
              </w:rPr>
            </w:pPr>
          </w:p>
        </w:tc>
        <w:tc>
          <w:tcPr>
            <w:tcW w:w="6940" w:type="dxa"/>
            <w:vAlign w:val="bottom"/>
            <w:gridSpan w:val="3"/>
          </w:tcPr>
          <w:p>
            <w:pPr>
              <w:ind w:left="1320"/>
              <w:spacing w:after="0"/>
              <w:rPr>
                <w:sz w:val="20"/>
                <w:szCs w:val="20"/>
                <w:color w:val="auto"/>
              </w:rPr>
            </w:pPr>
            <w:r>
              <w:rPr>
                <w:rFonts w:ascii="Arial" w:cs="Arial" w:eastAsia="Arial" w:hAnsi="Arial"/>
                <w:sz w:val="18"/>
                <w:szCs w:val="18"/>
                <w:color w:val="auto"/>
              </w:rPr>
              <w:t>accumulated over a period of time for the retirement of debt.</w:t>
            </w:r>
          </w:p>
        </w:tc>
        <w:tc>
          <w:tcPr>
            <w:tcW w:w="1180" w:type="dxa"/>
            <w:vAlign w:val="bottom"/>
          </w:tcPr>
          <w:p>
            <w:pPr>
              <w:spacing w:after="0"/>
              <w:rPr>
                <w:sz w:val="20"/>
                <w:szCs w:val="20"/>
                <w:color w:val="auto"/>
              </w:rPr>
            </w:pPr>
          </w:p>
        </w:tc>
      </w:tr>
    </w:tbl>
    <w:p>
      <w:pPr>
        <w:spacing w:after="0" w:line="2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Offer to Purchase upon a Change of Control Repurchase  If a Change of Control Repurchase Event occurs prior to maturity, unless we have exercised</w:t>
      </w:r>
    </w:p>
    <w:p>
      <w:pPr>
        <w:spacing w:after="0" w:line="46" w:lineRule="exact"/>
        <w:rPr>
          <w:sz w:val="20"/>
          <w:szCs w:val="20"/>
          <w:color w:val="auto"/>
        </w:rPr>
      </w:pPr>
    </w:p>
    <w:p>
      <w:pPr>
        <w:ind w:left="4400" w:right="140" w:hanging="4119"/>
        <w:spacing w:after="0" w:line="261" w:lineRule="auto"/>
        <w:tabs>
          <w:tab w:leader="none" w:pos="4380" w:val="left"/>
        </w:tabs>
        <w:rPr>
          <w:sz w:val="20"/>
          <w:szCs w:val="20"/>
          <w:color w:val="auto"/>
        </w:rPr>
      </w:pPr>
      <w:r>
        <w:rPr>
          <w:rFonts w:ascii="Arial" w:cs="Arial" w:eastAsia="Arial" w:hAnsi="Arial"/>
          <w:sz w:val="18"/>
          <w:szCs w:val="18"/>
          <w:color w:val="auto"/>
        </w:rPr>
        <w:t>Event</w:t>
      </w:r>
      <w:r>
        <w:rPr>
          <w:sz w:val="20"/>
          <w:szCs w:val="20"/>
          <w:color w:val="auto"/>
        </w:rPr>
        <w:tab/>
      </w:r>
      <w:r>
        <w:rPr>
          <w:rFonts w:ascii="Arial" w:cs="Arial" w:eastAsia="Arial" w:hAnsi="Arial"/>
          <w:sz w:val="18"/>
          <w:szCs w:val="18"/>
          <w:color w:val="auto"/>
        </w:rPr>
        <w:t>our right to redeem the Notes in full, holders will have the right, at their option, to require us to repurchase</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00"/>
          </w:cols>
          <w:pgMar w:left="240" w:top="459" w:right="4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36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58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2240" w:type="dxa"/>
            <w:vAlign w:val="bottom"/>
          </w:tcPr>
          <w:p>
            <w:pPr>
              <w:spacing w:after="0"/>
              <w:rPr>
                <w:sz w:val="24"/>
                <w:szCs w:val="24"/>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1"/>
              </w:rPr>
              <w:t>for cash some or all of the Notes at a repurchase price equal to 100% of the principal amount</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4"/>
              </w:rPr>
              <w:t>of the Notes being repurchased, plus accrued and unpaid interest to, but not including, the</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rPr>
              <w:t>repurchase date.</w:t>
            </w:r>
          </w:p>
        </w:tc>
      </w:tr>
      <w:tr>
        <w:trPr>
          <w:trHeight w:val="458"/>
        </w:trPr>
        <w:tc>
          <w:tcPr>
            <w:tcW w:w="3600" w:type="dxa"/>
            <w:vAlign w:val="bottom"/>
            <w:gridSpan w:val="2"/>
          </w:tcPr>
          <w:p>
            <w:pPr>
              <w:ind w:left="200"/>
              <w:spacing w:after="0"/>
              <w:rPr>
                <w:sz w:val="20"/>
                <w:szCs w:val="20"/>
                <w:color w:val="auto"/>
              </w:rPr>
            </w:pPr>
            <w:r>
              <w:rPr>
                <w:rFonts w:ascii="Arial" w:cs="Arial" w:eastAsia="Arial" w:hAnsi="Arial"/>
                <w:sz w:val="18"/>
                <w:szCs w:val="18"/>
                <w:color w:val="auto"/>
              </w:rPr>
              <w:t>Legal Defeasance</w:t>
            </w:r>
          </w:p>
        </w:tc>
        <w:tc>
          <w:tcPr>
            <w:tcW w:w="7580" w:type="dxa"/>
            <w:vAlign w:val="bottom"/>
          </w:tcPr>
          <w:p>
            <w:pPr>
              <w:ind w:left="800"/>
              <w:spacing w:after="0"/>
              <w:rPr>
                <w:sz w:val="20"/>
                <w:szCs w:val="20"/>
                <w:color w:val="auto"/>
              </w:rPr>
            </w:pPr>
            <w:r>
              <w:rPr>
                <w:rFonts w:ascii="Arial" w:cs="Arial" w:eastAsia="Arial" w:hAnsi="Arial"/>
                <w:sz w:val="18"/>
                <w:szCs w:val="18"/>
                <w:color w:val="auto"/>
                <w:w w:val="90"/>
              </w:rPr>
              <w:t>The Notes are subject to legal defeasance by us, which means that, subject to the satisfaction</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3"/>
              </w:rPr>
              <w:t>of certain conditions, including, but not limited to, (i) depositing in trust for the benefit of the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7"/>
              </w:rPr>
              <w:t>holders of the Notes a combination of money and U.S. government or U.S. government</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89"/>
              </w:rPr>
              <w:t>agency notes or bonds that will generate enough cash to make interest, principal and any other</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0"/>
              </w:rPr>
              <w:t>payments on the Notes on their various due dates and (ii) delivering to the Trustee an opinion</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5"/>
              </w:rPr>
              <w:t>of counsel as described herein under “Description of Notes—Satisfaction and Discharge;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1"/>
              </w:rPr>
              <w:t>Defeasance,” we can legally release ourselves from all payment and other obligations on the</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rPr>
              <w:t>Notes.</w:t>
            </w:r>
          </w:p>
        </w:tc>
      </w:tr>
      <w:tr>
        <w:trPr>
          <w:trHeight w:val="445"/>
        </w:trPr>
        <w:tc>
          <w:tcPr>
            <w:tcW w:w="3600" w:type="dxa"/>
            <w:vAlign w:val="bottom"/>
            <w:gridSpan w:val="2"/>
          </w:tcPr>
          <w:p>
            <w:pPr>
              <w:ind w:left="200"/>
              <w:spacing w:after="0"/>
              <w:rPr>
                <w:sz w:val="20"/>
                <w:szCs w:val="20"/>
                <w:color w:val="auto"/>
              </w:rPr>
            </w:pPr>
            <w:r>
              <w:rPr>
                <w:rFonts w:ascii="Arial" w:cs="Arial" w:eastAsia="Arial" w:hAnsi="Arial"/>
                <w:sz w:val="18"/>
                <w:szCs w:val="18"/>
                <w:color w:val="auto"/>
              </w:rPr>
              <w:t>Covenant Defeasance</w:t>
            </w:r>
          </w:p>
        </w:tc>
        <w:tc>
          <w:tcPr>
            <w:tcW w:w="7580" w:type="dxa"/>
            <w:vAlign w:val="bottom"/>
          </w:tcPr>
          <w:p>
            <w:pPr>
              <w:ind w:left="800"/>
              <w:spacing w:after="0"/>
              <w:rPr>
                <w:sz w:val="20"/>
                <w:szCs w:val="20"/>
                <w:color w:val="auto"/>
              </w:rPr>
            </w:pPr>
            <w:r>
              <w:rPr>
                <w:rFonts w:ascii="Arial" w:cs="Arial" w:eastAsia="Arial" w:hAnsi="Arial"/>
                <w:sz w:val="18"/>
                <w:szCs w:val="18"/>
                <w:color w:val="auto"/>
                <w:w w:val="98"/>
              </w:rPr>
              <w:t>The Notes are subject to covenant defeasance by us, which means that, subject to the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5"/>
              </w:rPr>
              <w:t>satisfaction of certain conditions, including, but not limited to, (i) depositing in trust for the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6"/>
              </w:rPr>
              <w:t>benefit of the holders of the Notes a combination of money and U.S. government or U.S.</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1"/>
              </w:rPr>
              <w:t>government agency notes or bonds that will generate enough cash to make interest, principal</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5"/>
              </w:rPr>
              <w:t>and any other payments on the Notes on their various due dates and (ii) delivering to the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2"/>
              </w:rPr>
              <w:t>Trustee an opinion of counsel as described herein under “Description of Notes—Satisfaction</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0"/>
              </w:rPr>
              <w:t>and Discharge; Defeasance,” we will be released from some of the restrictive covenants in the</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rPr>
              <w:t>indenture.</w:t>
            </w:r>
          </w:p>
        </w:tc>
      </w:tr>
      <w:tr>
        <w:trPr>
          <w:trHeight w:val="445"/>
        </w:trPr>
        <w:tc>
          <w:tcPr>
            <w:tcW w:w="3600" w:type="dxa"/>
            <w:vAlign w:val="bottom"/>
            <w:gridSpan w:val="2"/>
          </w:tcPr>
          <w:p>
            <w:pPr>
              <w:ind w:left="200"/>
              <w:spacing w:after="0"/>
              <w:rPr>
                <w:sz w:val="20"/>
                <w:szCs w:val="20"/>
                <w:color w:val="auto"/>
              </w:rPr>
            </w:pPr>
            <w:r>
              <w:rPr>
                <w:rFonts w:ascii="Arial" w:cs="Arial" w:eastAsia="Arial" w:hAnsi="Arial"/>
                <w:sz w:val="18"/>
                <w:szCs w:val="18"/>
                <w:color w:val="auto"/>
              </w:rPr>
              <w:t>Form of Notes</w:t>
            </w:r>
          </w:p>
        </w:tc>
        <w:tc>
          <w:tcPr>
            <w:tcW w:w="7580" w:type="dxa"/>
            <w:vAlign w:val="bottom"/>
          </w:tcPr>
          <w:p>
            <w:pPr>
              <w:ind w:left="800"/>
              <w:spacing w:after="0"/>
              <w:rPr>
                <w:sz w:val="20"/>
                <w:szCs w:val="20"/>
                <w:color w:val="auto"/>
              </w:rPr>
            </w:pPr>
            <w:r>
              <w:rPr>
                <w:rFonts w:ascii="Arial" w:cs="Arial" w:eastAsia="Arial" w:hAnsi="Arial"/>
                <w:sz w:val="18"/>
                <w:szCs w:val="18"/>
                <w:color w:val="auto"/>
                <w:w w:val="91"/>
              </w:rPr>
              <w:t>The Notes will be represented by global securities that will be deposited and registered in the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2"/>
              </w:rPr>
              <w:t>name of The Depository Trust Company, or DTC, or its nominee. This means that, except in</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4"/>
              </w:rPr>
              <w:t>limited circumstances, you will not receive certificates for the Notes. Beneficial interests in</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3"/>
              </w:rPr>
              <w:t>the Notes will be represented through book-entry accounts of financial institutions acting on</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2"/>
              </w:rPr>
              <w:t>behalf of beneficial owners as direct and indirect participants in DTC. Investors may elect to</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3"/>
              </w:rPr>
              <w:t>hold interests in the Notes through either DTC, if they are a participant, or indirectly through</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rPr>
              <w:t>organizations that are participants in DTC.</w:t>
            </w:r>
          </w:p>
        </w:tc>
      </w:tr>
      <w:tr>
        <w:trPr>
          <w:trHeight w:val="459"/>
        </w:trPr>
        <w:tc>
          <w:tcPr>
            <w:tcW w:w="3600" w:type="dxa"/>
            <w:vAlign w:val="bottom"/>
            <w:gridSpan w:val="2"/>
          </w:tcPr>
          <w:p>
            <w:pPr>
              <w:ind w:left="200"/>
              <w:spacing w:after="0"/>
              <w:rPr>
                <w:sz w:val="20"/>
                <w:szCs w:val="20"/>
                <w:color w:val="auto"/>
              </w:rPr>
            </w:pPr>
            <w:r>
              <w:rPr>
                <w:rFonts w:ascii="Arial" w:cs="Arial" w:eastAsia="Arial" w:hAnsi="Arial"/>
                <w:sz w:val="18"/>
                <w:szCs w:val="18"/>
                <w:color w:val="auto"/>
              </w:rPr>
              <w:t>Trustee, Paying Agent and Registrar</w:t>
            </w:r>
          </w:p>
        </w:tc>
        <w:tc>
          <w:tcPr>
            <w:tcW w:w="7580" w:type="dxa"/>
            <w:vAlign w:val="bottom"/>
          </w:tcPr>
          <w:p>
            <w:pPr>
              <w:ind w:left="800"/>
              <w:spacing w:after="0"/>
              <w:rPr>
                <w:sz w:val="20"/>
                <w:szCs w:val="20"/>
                <w:color w:val="auto"/>
              </w:rPr>
            </w:pPr>
            <w:r>
              <w:rPr>
                <w:rFonts w:ascii="Arial" w:cs="Arial" w:eastAsia="Arial" w:hAnsi="Arial"/>
                <w:sz w:val="18"/>
                <w:szCs w:val="18"/>
                <w:color w:val="auto"/>
              </w:rPr>
              <w:t>Wells Fargo Bank, National Association</w:t>
            </w:r>
          </w:p>
        </w:tc>
      </w:tr>
      <w:tr>
        <w:trPr>
          <w:trHeight w:val="458"/>
        </w:trPr>
        <w:tc>
          <w:tcPr>
            <w:tcW w:w="3600" w:type="dxa"/>
            <w:vAlign w:val="bottom"/>
            <w:gridSpan w:val="2"/>
          </w:tcPr>
          <w:p>
            <w:pPr>
              <w:ind w:left="200"/>
              <w:spacing w:after="0"/>
              <w:rPr>
                <w:sz w:val="20"/>
                <w:szCs w:val="20"/>
                <w:color w:val="auto"/>
              </w:rPr>
            </w:pPr>
            <w:r>
              <w:rPr>
                <w:rFonts w:ascii="Arial" w:cs="Arial" w:eastAsia="Arial" w:hAnsi="Arial"/>
                <w:sz w:val="18"/>
                <w:szCs w:val="18"/>
                <w:color w:val="auto"/>
              </w:rPr>
              <w:t>Events of Default</w:t>
            </w:r>
          </w:p>
        </w:tc>
        <w:tc>
          <w:tcPr>
            <w:tcW w:w="7580" w:type="dxa"/>
            <w:vAlign w:val="bottom"/>
          </w:tcPr>
          <w:p>
            <w:pPr>
              <w:ind w:left="800"/>
              <w:spacing w:after="0"/>
              <w:rPr>
                <w:sz w:val="20"/>
                <w:szCs w:val="20"/>
                <w:color w:val="auto"/>
              </w:rPr>
            </w:pPr>
            <w:r>
              <w:rPr>
                <w:rFonts w:ascii="Arial" w:cs="Arial" w:eastAsia="Arial" w:hAnsi="Arial"/>
                <w:sz w:val="18"/>
                <w:szCs w:val="18"/>
                <w:color w:val="auto"/>
                <w:w w:val="94"/>
              </w:rPr>
              <w:t>If an event of default (as described under “Description of Notes”) on the Notes occurs, the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0"/>
              </w:rPr>
              <w:t>principal amount of the Notes, plus accrued and unpaid interest, may be declared immediately</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0"/>
              </w:rPr>
              <w:t>due and payable, subject to conditions set forth in the indenture. These amounts automatically</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w w:val="96"/>
              </w:rPr>
              <w:t>become due and payable in the case of certain types of bankruptcy or insolvency events</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rPr>
              <w:t>involving us.</w:t>
            </w:r>
          </w:p>
        </w:tc>
      </w:tr>
      <w:tr>
        <w:trPr>
          <w:trHeight w:val="445"/>
        </w:trPr>
        <w:tc>
          <w:tcPr>
            <w:tcW w:w="3600" w:type="dxa"/>
            <w:vAlign w:val="bottom"/>
            <w:gridSpan w:val="2"/>
          </w:tcPr>
          <w:p>
            <w:pPr>
              <w:ind w:left="200"/>
              <w:spacing w:after="0"/>
              <w:rPr>
                <w:sz w:val="20"/>
                <w:szCs w:val="20"/>
                <w:color w:val="auto"/>
              </w:rPr>
            </w:pPr>
            <w:r>
              <w:rPr>
                <w:rFonts w:ascii="Arial" w:cs="Arial" w:eastAsia="Arial" w:hAnsi="Arial"/>
                <w:sz w:val="18"/>
                <w:szCs w:val="18"/>
                <w:color w:val="auto"/>
              </w:rPr>
              <w:t>Other Covenants</w:t>
            </w:r>
          </w:p>
        </w:tc>
        <w:tc>
          <w:tcPr>
            <w:tcW w:w="7580" w:type="dxa"/>
            <w:vAlign w:val="bottom"/>
          </w:tcPr>
          <w:p>
            <w:pPr>
              <w:ind w:left="800"/>
              <w:spacing w:after="0"/>
              <w:rPr>
                <w:sz w:val="20"/>
                <w:szCs w:val="20"/>
                <w:color w:val="auto"/>
              </w:rPr>
            </w:pPr>
            <w:r>
              <w:rPr>
                <w:rFonts w:ascii="Arial" w:cs="Arial" w:eastAsia="Arial" w:hAnsi="Arial"/>
                <w:sz w:val="18"/>
                <w:szCs w:val="18"/>
                <w:color w:val="auto"/>
                <w:w w:val="99"/>
              </w:rPr>
              <w:t>In addition to the covenants described in the accompanying prospectus, the following</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580" w:type="dxa"/>
            <w:vAlign w:val="bottom"/>
          </w:tcPr>
          <w:p>
            <w:pPr>
              <w:ind w:left="800"/>
              <w:spacing w:after="0"/>
              <w:rPr>
                <w:sz w:val="20"/>
                <w:szCs w:val="20"/>
                <w:color w:val="auto"/>
              </w:rPr>
            </w:pPr>
            <w:r>
              <w:rPr>
                <w:rFonts w:ascii="Arial" w:cs="Arial" w:eastAsia="Arial" w:hAnsi="Arial"/>
                <w:sz w:val="18"/>
                <w:szCs w:val="18"/>
                <w:color w:val="auto"/>
              </w:rPr>
              <w:t>covenants shall apply to the Notes:</w:t>
            </w:r>
          </w:p>
        </w:tc>
      </w:tr>
      <w:tr>
        <w:trPr>
          <w:trHeight w:val="323"/>
        </w:trPr>
        <w:tc>
          <w:tcPr>
            <w:tcW w:w="1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580" w:type="dxa"/>
            <w:vAlign w:val="bottom"/>
          </w:tcPr>
          <w:p>
            <w:pPr>
              <w:ind w:left="840"/>
              <w:spacing w:after="0"/>
              <w:rPr>
                <w:sz w:val="20"/>
                <w:szCs w:val="20"/>
                <w:color w:val="auto"/>
              </w:rPr>
            </w:pPr>
            <w:r>
              <w:rPr>
                <w:rFonts w:ascii="Arial" w:cs="Arial" w:eastAsia="Arial" w:hAnsi="Arial"/>
                <w:sz w:val="18"/>
                <w:szCs w:val="18"/>
                <w:color w:val="auto"/>
                <w:w w:val="95"/>
              </w:rPr>
              <w:t>• We agree that for the period of time during which the Notes are outstanding, we will not</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1000"/>
              <w:spacing w:after="0"/>
              <w:rPr>
                <w:sz w:val="20"/>
                <w:szCs w:val="20"/>
                <w:color w:val="auto"/>
              </w:rPr>
            </w:pPr>
            <w:r>
              <w:rPr>
                <w:rFonts w:ascii="Arial" w:cs="Arial" w:eastAsia="Arial" w:hAnsi="Arial"/>
                <w:sz w:val="18"/>
                <w:szCs w:val="18"/>
                <w:color w:val="auto"/>
              </w:rPr>
              <w:t>violate, whether or not we are subject thereto, Section 18(a)(1)(A) as modified by</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580" w:type="dxa"/>
            <w:vAlign w:val="bottom"/>
          </w:tcPr>
          <w:p>
            <w:pPr>
              <w:ind w:left="1000"/>
              <w:spacing w:after="0"/>
              <w:rPr>
                <w:sz w:val="20"/>
                <w:szCs w:val="20"/>
                <w:color w:val="auto"/>
              </w:rPr>
            </w:pPr>
            <w:r>
              <w:rPr>
                <w:rFonts w:ascii="Arial" w:cs="Arial" w:eastAsia="Arial" w:hAnsi="Arial"/>
                <w:sz w:val="18"/>
                <w:szCs w:val="18"/>
                <w:color w:val="auto"/>
                <w:w w:val="91"/>
              </w:rPr>
              <w:t>Section 61(a) of the 1940 Act or any successor provisions, but giving effect, in either case,</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580" w:type="dxa"/>
            <w:vAlign w:val="bottom"/>
          </w:tcPr>
          <w:p>
            <w:pPr>
              <w:ind w:left="1000"/>
              <w:spacing w:after="0"/>
              <w:rPr>
                <w:sz w:val="20"/>
                <w:szCs w:val="20"/>
                <w:color w:val="auto"/>
              </w:rPr>
            </w:pPr>
            <w:r>
              <w:rPr>
                <w:rFonts w:ascii="Arial" w:cs="Arial" w:eastAsia="Arial" w:hAnsi="Arial"/>
                <w:sz w:val="18"/>
                <w:szCs w:val="18"/>
                <w:color w:val="auto"/>
              </w:rPr>
              <w:t>to any exemptive relief granted to us by the SEC.</w:t>
            </w:r>
          </w:p>
        </w:tc>
      </w:tr>
      <w:tr>
        <w:trPr>
          <w:trHeight w:val="365"/>
        </w:trPr>
        <w:tc>
          <w:tcPr>
            <w:tcW w:w="1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580" w:type="dxa"/>
            <w:vAlign w:val="bottom"/>
          </w:tcPr>
          <w:p>
            <w:pPr>
              <w:ind w:left="1980"/>
              <w:spacing w:after="0"/>
              <w:rPr>
                <w:sz w:val="20"/>
                <w:szCs w:val="20"/>
                <w:color w:val="auto"/>
              </w:rPr>
            </w:pPr>
            <w:r>
              <w:rPr>
                <w:rFonts w:ascii="Arial" w:cs="Arial" w:eastAsia="Arial" w:hAnsi="Arial"/>
                <w:sz w:val="18"/>
                <w:szCs w:val="18"/>
                <w:color w:val="auto"/>
              </w:rPr>
              <w:t>S-8</w:t>
            </w:r>
          </w:p>
        </w:tc>
      </w:tr>
    </w:tbl>
    <w:p>
      <w:pPr>
        <w:ind w:left="1980"/>
        <w:spacing w:after="0"/>
        <w:rPr>
          <w:sz w:val="20"/>
          <w:szCs w:val="20"/>
          <w:color w:val="auto"/>
        </w:rPr>
        <w:sectPr>
          <w:pgSz w:w="11900" w:h="16838" w:orient="portrait"/>
          <w:cols w:equalWidth="0" w:num="1">
            <w:col w:w="11180"/>
          </w:cols>
          <w:pgMar w:left="24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207"/>
        </w:trPr>
        <w:tc>
          <w:tcPr>
            <w:tcW w:w="390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732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2540" w:type="dxa"/>
            <w:vAlign w:val="bottom"/>
          </w:tcPr>
          <w:p>
            <w:pPr>
              <w:spacing w:after="0"/>
              <w:rPr>
                <w:sz w:val="24"/>
                <w:szCs w:val="24"/>
                <w:color w:val="auto"/>
              </w:rPr>
            </w:pPr>
          </w:p>
        </w:tc>
        <w:tc>
          <w:tcPr>
            <w:tcW w:w="7320" w:type="dxa"/>
            <w:vAlign w:val="bottom"/>
          </w:tcPr>
          <w:p>
            <w:pPr>
              <w:ind w:left="540"/>
              <w:spacing w:after="0"/>
              <w:rPr>
                <w:sz w:val="20"/>
                <w:szCs w:val="20"/>
                <w:color w:val="auto"/>
              </w:rPr>
            </w:pPr>
            <w:r>
              <w:rPr>
                <w:rFonts w:ascii="Arial" w:cs="Arial" w:eastAsia="Arial" w:hAnsi="Arial"/>
                <w:sz w:val="18"/>
                <w:szCs w:val="18"/>
                <w:color w:val="auto"/>
                <w:w w:val="94"/>
              </w:rPr>
              <w:t>• If, at any time, we are not subject to the reporting requirements of Sections 13 or 15(d) of</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3"/>
              </w:rPr>
              <w:t>the Exchange Act to file any periodic reports with the SEC, we agree to furnish to holders</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0"/>
              </w:rPr>
              <w:t>of the Notes and the Trustee, for the period of time during which the Notes are outstanding,</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1"/>
              </w:rPr>
              <w:t>our audited annual consolidated financial statements, within 90 days of our fiscal year end,</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9"/>
              </w:rPr>
              <w:t>and unaudited interim consolidated financial statements, within 45 days of our fiscal</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8"/>
              </w:rPr>
              <w:t>quarter end (other than our fourth fiscal quarter). All such financial statements will be</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w w:val="94"/>
              </w:rPr>
              <w:t>prepared, in all material respects, in accordance with applicable United States generally</w:t>
            </w:r>
          </w:p>
        </w:tc>
      </w:tr>
      <w:tr>
        <w:trPr>
          <w:trHeight w:val="230"/>
        </w:trPr>
        <w:tc>
          <w:tcPr>
            <w:tcW w:w="1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accepted accounting principles, or GAAP.</w:t>
            </w:r>
          </w:p>
        </w:tc>
      </w:tr>
      <w:tr>
        <w:trPr>
          <w:trHeight w:val="445"/>
        </w:trPr>
        <w:tc>
          <w:tcPr>
            <w:tcW w:w="3900" w:type="dxa"/>
            <w:vAlign w:val="bottom"/>
            <w:gridSpan w:val="2"/>
          </w:tcPr>
          <w:p>
            <w:pPr>
              <w:ind w:left="200"/>
              <w:spacing w:after="0"/>
              <w:rPr>
                <w:sz w:val="20"/>
                <w:szCs w:val="20"/>
                <w:color w:val="auto"/>
              </w:rPr>
            </w:pPr>
            <w:r>
              <w:rPr>
                <w:rFonts w:ascii="Arial" w:cs="Arial" w:eastAsia="Arial" w:hAnsi="Arial"/>
                <w:sz w:val="18"/>
                <w:szCs w:val="18"/>
                <w:color w:val="auto"/>
              </w:rPr>
              <w:t>No Established Trading Market</w:t>
            </w:r>
          </w:p>
        </w:tc>
        <w:tc>
          <w:tcPr>
            <w:tcW w:w="7320" w:type="dxa"/>
            <w:vAlign w:val="bottom"/>
          </w:tcPr>
          <w:p>
            <w:pPr>
              <w:ind w:left="500"/>
              <w:spacing w:after="0"/>
              <w:rPr>
                <w:sz w:val="20"/>
                <w:szCs w:val="20"/>
                <w:color w:val="auto"/>
              </w:rPr>
            </w:pPr>
            <w:r>
              <w:rPr>
                <w:rFonts w:ascii="Arial" w:cs="Arial" w:eastAsia="Arial" w:hAnsi="Arial"/>
                <w:sz w:val="18"/>
                <w:szCs w:val="18"/>
                <w:color w:val="auto"/>
                <w:w w:val="91"/>
              </w:rPr>
              <w:t>The Notes are a new issue of securities with no established trading market. The Notes will not</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4"/>
              </w:rPr>
              <w:t>be listed on any securities exchange or quoted on any automated dealer quotation system.</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5"/>
              </w:rPr>
              <w:t>Although certain of the underwriters have informed us that they currently intend to make a</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0"/>
              </w:rPr>
              <w:t>market in the Notes, as permitted by applicable laws and regulations, they are not obligated to</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2"/>
              </w:rPr>
              <w:t>do so and may discontinue any such market making activities at any time without notice. See</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7"/>
              </w:rPr>
              <w:t>“Underwriting.” Accordingly, we cannot assure you that a liquid market for the Notes will</w:t>
            </w:r>
          </w:p>
        </w:tc>
      </w:tr>
      <w:tr>
        <w:trPr>
          <w:trHeight w:val="230"/>
        </w:trPr>
        <w:tc>
          <w:tcPr>
            <w:tcW w:w="1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rPr>
              <w:t>develop or be maintained.</w:t>
            </w:r>
          </w:p>
        </w:tc>
      </w:tr>
      <w:tr>
        <w:trPr>
          <w:trHeight w:val="445"/>
        </w:trPr>
        <w:tc>
          <w:tcPr>
            <w:tcW w:w="3900" w:type="dxa"/>
            <w:vAlign w:val="bottom"/>
            <w:gridSpan w:val="2"/>
          </w:tcPr>
          <w:p>
            <w:pPr>
              <w:ind w:left="200"/>
              <w:spacing w:after="0"/>
              <w:rPr>
                <w:sz w:val="20"/>
                <w:szCs w:val="20"/>
                <w:color w:val="auto"/>
              </w:rPr>
            </w:pPr>
            <w:r>
              <w:rPr>
                <w:rFonts w:ascii="Arial" w:cs="Arial" w:eastAsia="Arial" w:hAnsi="Arial"/>
                <w:sz w:val="18"/>
                <w:szCs w:val="18"/>
                <w:color w:val="auto"/>
              </w:rPr>
              <w:t>Global Clearance and Settlement Procedures</w:t>
            </w:r>
          </w:p>
        </w:tc>
        <w:tc>
          <w:tcPr>
            <w:tcW w:w="7320" w:type="dxa"/>
            <w:vAlign w:val="bottom"/>
          </w:tcPr>
          <w:p>
            <w:pPr>
              <w:ind w:left="500"/>
              <w:spacing w:after="0"/>
              <w:rPr>
                <w:sz w:val="20"/>
                <w:szCs w:val="20"/>
                <w:color w:val="auto"/>
              </w:rPr>
            </w:pPr>
            <w:r>
              <w:rPr>
                <w:rFonts w:ascii="Arial" w:cs="Arial" w:eastAsia="Arial" w:hAnsi="Arial"/>
                <w:sz w:val="18"/>
                <w:szCs w:val="18"/>
                <w:color w:val="auto"/>
                <w:w w:val="97"/>
              </w:rPr>
              <w:t>Interests in the Notes will trade in DTC’s Same Day Funds Settlement System, and any</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2"/>
              </w:rPr>
              <w:t>permitted secondary market trading activity in such Notes will, therefore, be required by DTC</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2"/>
              </w:rPr>
              <w:t>to be settled in immediately available funds. None of the Company, the Trustee or the paying</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2"/>
              </w:rPr>
              <w:t>agent will have any responsibility or liability for the performance by DTC or its participants or</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2"/>
              </w:rPr>
              <w:t>indirect participants of their respective obligations under the rules and procedures governing</w:t>
            </w:r>
          </w:p>
        </w:tc>
      </w:tr>
      <w:tr>
        <w:trPr>
          <w:trHeight w:val="230"/>
        </w:trPr>
        <w:tc>
          <w:tcPr>
            <w:tcW w:w="1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rPr>
              <w:t>their operations.</w:t>
            </w:r>
          </w:p>
        </w:tc>
      </w:tr>
      <w:tr>
        <w:trPr>
          <w:trHeight w:val="445"/>
        </w:trPr>
        <w:tc>
          <w:tcPr>
            <w:tcW w:w="3900" w:type="dxa"/>
            <w:vAlign w:val="bottom"/>
            <w:gridSpan w:val="2"/>
          </w:tcPr>
          <w:p>
            <w:pPr>
              <w:ind w:left="200"/>
              <w:spacing w:after="0"/>
              <w:rPr>
                <w:sz w:val="20"/>
                <w:szCs w:val="20"/>
                <w:color w:val="auto"/>
              </w:rPr>
            </w:pPr>
            <w:r>
              <w:rPr>
                <w:rFonts w:ascii="Arial" w:cs="Arial" w:eastAsia="Arial" w:hAnsi="Arial"/>
                <w:sz w:val="18"/>
                <w:szCs w:val="18"/>
                <w:color w:val="auto"/>
              </w:rPr>
              <w:t>Governing Law</w:t>
            </w:r>
          </w:p>
        </w:tc>
        <w:tc>
          <w:tcPr>
            <w:tcW w:w="7320" w:type="dxa"/>
            <w:vAlign w:val="bottom"/>
          </w:tcPr>
          <w:p>
            <w:pPr>
              <w:ind w:left="500"/>
              <w:spacing w:after="0"/>
              <w:rPr>
                <w:sz w:val="20"/>
                <w:szCs w:val="20"/>
                <w:color w:val="auto"/>
              </w:rPr>
            </w:pPr>
            <w:r>
              <w:rPr>
                <w:rFonts w:ascii="Arial" w:cs="Arial" w:eastAsia="Arial" w:hAnsi="Arial"/>
                <w:sz w:val="18"/>
                <w:szCs w:val="18"/>
                <w:color w:val="auto"/>
                <w:w w:val="90"/>
              </w:rPr>
              <w:t>The Notes and the indenture will be governed by and construed in accordance with the laws of</w:t>
            </w:r>
          </w:p>
        </w:tc>
      </w:tr>
      <w:tr>
        <w:trPr>
          <w:trHeight w:val="230"/>
        </w:trPr>
        <w:tc>
          <w:tcPr>
            <w:tcW w:w="1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rPr>
              <w:t>the State of New York.</w:t>
            </w:r>
          </w:p>
        </w:tc>
      </w:tr>
      <w:tr>
        <w:trPr>
          <w:trHeight w:val="365"/>
        </w:trPr>
        <w:tc>
          <w:tcPr>
            <w:tcW w:w="1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320" w:type="dxa"/>
            <w:vAlign w:val="bottom"/>
          </w:tcPr>
          <w:p>
            <w:pPr>
              <w:ind w:left="1680"/>
              <w:spacing w:after="0"/>
              <w:rPr>
                <w:sz w:val="20"/>
                <w:szCs w:val="20"/>
                <w:color w:val="auto"/>
              </w:rPr>
            </w:pPr>
            <w:r>
              <w:rPr>
                <w:rFonts w:ascii="Arial" w:cs="Arial" w:eastAsia="Arial" w:hAnsi="Arial"/>
                <w:sz w:val="18"/>
                <w:szCs w:val="18"/>
                <w:color w:val="auto"/>
              </w:rPr>
              <w:t>S-9</w:t>
            </w:r>
          </w:p>
        </w:tc>
      </w:tr>
    </w:tbl>
    <w:p>
      <w:pPr>
        <w:ind w:left="1680"/>
        <w:spacing w:after="0"/>
        <w:rPr>
          <w:sz w:val="20"/>
          <w:szCs w:val="20"/>
          <w:color w:val="auto"/>
        </w:rPr>
        <w:sectPr>
          <w:pgSz w:w="11900" w:h="16838" w:orient="portrait"/>
          <w:cols w:equalWidth="0" w:num="1">
            <w:col w:w="11220"/>
          </w:cols>
          <w:pgMar w:left="24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i w:val="1"/>
          <w:iCs w:val="1"/>
          <w:color w:val="auto"/>
        </w:rPr>
        <w:t>Investing in our securities involves a number of significant risks. You should carefully consider the risks set out below and the risk factors incorporated by reference in Part I, Item 1A, “Risk Factors,” in our 2018 Annual Report and Part 1, Item IA, “Risk Factors,” in our 2019 Q1 Quarterly Report and our 2019 Q2 Quarterly Report, and in any subsequent Quarterly Reports on Form 10-Q or Current Reports on Form 8-K we file after the date of this prospectus supplement, together with the other information set forth in this prospectus supplement, the accompanying prospectus, the documents incorporated by reference herein and therein, including our consolidated financial statements and the related notes thereto, and any free writing prospectus that we may authorize for use in connection with this offering, as updated by our subsequent filings under the Exchange Act, before making a decision about investing in our securities. The risks and uncertainties set out below and discussed in our 2018 Annual Report and our 2019</w:t>
      </w:r>
    </w:p>
    <w:p>
      <w:pPr>
        <w:spacing w:after="0" w:line="3" w:lineRule="exact"/>
        <w:rPr>
          <w:sz w:val="20"/>
          <w:szCs w:val="20"/>
          <w:color w:val="auto"/>
        </w:rPr>
      </w:pPr>
    </w:p>
    <w:p>
      <w:pPr>
        <w:jc w:val="both"/>
        <w:ind w:left="200" w:right="160"/>
        <w:spacing w:after="0" w:line="277" w:lineRule="auto"/>
        <w:rPr>
          <w:sz w:val="20"/>
          <w:szCs w:val="20"/>
          <w:color w:val="auto"/>
        </w:rPr>
      </w:pPr>
      <w:r>
        <w:rPr>
          <w:rFonts w:ascii="Arial" w:cs="Arial" w:eastAsia="Arial" w:hAnsi="Arial"/>
          <w:sz w:val="17"/>
          <w:szCs w:val="17"/>
          <w:i w:val="1"/>
          <w:iCs w:val="1"/>
          <w:color w:val="auto"/>
        </w:rPr>
        <w:t>Q1 Quarterly Report and 2019 Q2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jc w:val="both"/>
        <w:ind w:left="200" w:right="160"/>
        <w:spacing w:after="0" w:line="277" w:lineRule="auto"/>
        <w:rPr>
          <w:sz w:val="20"/>
          <w:szCs w:val="20"/>
          <w:color w:val="auto"/>
        </w:rPr>
      </w:pPr>
      <w:r>
        <w:rPr>
          <w:rFonts w:ascii="Arial" w:cs="Arial" w:eastAsia="Arial" w:hAnsi="Arial"/>
          <w:sz w:val="18"/>
          <w:szCs w:val="18"/>
          <w:b w:val="1"/>
          <w:bCs w:val="1"/>
          <w:i w:val="1"/>
          <w:iCs w:val="1"/>
          <w:color w:val="auto"/>
        </w:rPr>
        <w:t>The Notes will be unsecured and therefore will be effectively subordinated to any secured indebtedness we have currently incurred or may incur in the future.</w:t>
      </w:r>
    </w:p>
    <w:p>
      <w:pPr>
        <w:spacing w:after="0" w:line="62"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Notes will not be secured by any of our assets or any of the assets of our subsidiaries. As a result, the Notes will be effectively subordinated, or junior, to any secured indebtedness or other obligations we or our subsidiaries have currently incurred and may incur in the future (or any indebtedness that is initially unsecured that we later secure)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September 30, 2019, we had approximately $481.2 million aggregate principal amount of outstanding indebtedness under the Revolving Credit Facility. The Revolving Credit Facility is secured by a perfected first-priority security interest in substantially all the portfolio investments held by us and each guarantor party thereto; the indebtedness thereunder is therefore effectively senior to the Notes to the extent of the value of such assets.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Notes will be structurally subordinated to the indebtedness and other liabilities of our subsidiaries.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Notes are obligations exclusively of TSLX and not of any of our subsidiaries. None of our subsidiaries is a guarantor of the Notes and the Notes are not required to be guaranteed by any subsidiaries we may acquire or create in the future. Except to the extent we are a creditor with recognized claims against our subsidiaries, all claims of creditors (including trade creditors) and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or junior, to all existing and future indebtedness and other obligations (including trade payables) incurred by any of our subsidiaries, financing vehicles or similar facilities and any subsidiaries, financing vehicles or similar facilities that we may in the future acquire or establish. Our subsidiaries may incur substantial additional indebtedness in the future, all of which would be structurally senior to the Notes.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Our current indebtedness could adversely affect our business, financial condition and results of operations and our ability to meet our payment obligations under the Notes and our other debt.</w:t>
      </w:r>
    </w:p>
    <w:p>
      <w:pPr>
        <w:spacing w:after="0" w:line="62"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As of September 30, 2019 our total consolidated indebtedness was approximately $918.7 million aggregate principal amount outstanding, of which approximately $481.2 million was secured indebtedness at the TSLX level and none of which was indebtedness of our subsidiaries, and approximately $437.5 million aggregate principal amount was unsecured indebtedness.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use of debt could have significant consequences on our future operations, including:</w:t>
      </w:r>
    </w:p>
    <w:p>
      <w:pPr>
        <w:spacing w:after="0" w:line="131" w:lineRule="exact"/>
        <w:rPr>
          <w:sz w:val="20"/>
          <w:szCs w:val="20"/>
          <w:color w:val="auto"/>
        </w:rPr>
      </w:pPr>
    </w:p>
    <w:p>
      <w:pPr>
        <w:ind w:left="1180" w:hanging="436"/>
        <w:spacing w:after="0"/>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making it more difficult for us to meet our payment and other obligations under the Notes and our other outstanding indebtedness;</w:t>
      </w:r>
    </w:p>
    <w:p>
      <w:pPr>
        <w:spacing w:after="0" w:line="142" w:lineRule="exact"/>
        <w:rPr>
          <w:rFonts w:ascii="Arial" w:cs="Arial" w:eastAsia="Arial" w:hAnsi="Arial"/>
          <w:sz w:val="17"/>
          <w:szCs w:val="17"/>
          <w:color w:val="auto"/>
        </w:rPr>
      </w:pPr>
    </w:p>
    <w:p>
      <w:pPr>
        <w:ind w:left="1180" w:right="32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resulting in an event of default if we fail to comply with the financial and other restrictive covenants contained in our debt agreements, which event of default could result in substantially all of our debt becoming immediately due and payable;</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reducing the availability of our cash flow to fund investments, acquisitions and other general corporate purposes, and limiting our ability to obtain additional financing for these purposes;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indebtedness with variable interest rates; and</w:t>
      </w:r>
    </w:p>
    <w:p>
      <w:pPr>
        <w:spacing w:after="0" w:line="130"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Our ability to meet our payment and other obligations under our debt instruments depends on our ability to generate significant cash flow in the future. This, to some extent, is subject to general economic, financial, competitive, legislative and regulatory factors as well as other factors that are beyond our control.</w:t>
      </w:r>
    </w:p>
    <w:p>
      <w:pPr>
        <w:spacing w:after="0" w:line="181"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Revolving Credit Facility or otherwise in an amount sufficient to enable us to pay our indebtedness, including the Notes, or to fund our other liquidity needs. We may need to refinance all or a portion of our indebtedness, including the Notes,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 including our payment obligations under the Notes.</w:t>
      </w:r>
    </w:p>
    <w:p>
      <w:pPr>
        <w:spacing w:after="0" w:line="275"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A downgrade, suspension or withdrawal of the credit rating assigned by a rating agency to us or the Notes, if any, or change in the debt markets could cause the liquidity or market value of the Notes to decline significantly.</w:t>
      </w:r>
    </w:p>
    <w:p>
      <w:pPr>
        <w:spacing w:after="0" w:line="62"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 Notes will be rated by Moody’s Investor Service, or Moody’s, S&amp;P Global Ratings, or S&amp;P, and Fitch Ratings, or Fitch. There can be no assurance that their respective credit ratings will remain for any given</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64" w:lineRule="auto"/>
        <w:rPr>
          <w:sz w:val="20"/>
          <w:szCs w:val="20"/>
          <w:color w:val="auto"/>
        </w:rPr>
      </w:pPr>
      <w:r>
        <w:rPr>
          <w:rFonts w:ascii="Arial" w:cs="Arial" w:eastAsia="Arial" w:hAnsi="Arial"/>
          <w:sz w:val="18"/>
          <w:szCs w:val="18"/>
          <w:color w:val="auto"/>
        </w:rPr>
        <w:t>period of time or that such credit ratings will not be lowered or withdrawn entirely by Moody’s, S&amp;P or Fitch if in any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indenture will contain limited protection for holders of the Notes.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indenture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92" w:lineRule="exact"/>
        <w:rPr>
          <w:sz w:val="20"/>
          <w:szCs w:val="20"/>
          <w:color w:val="auto"/>
        </w:rPr>
      </w:pPr>
    </w:p>
    <w:p>
      <w:pPr>
        <w:ind w:left="1180" w:right="340" w:hanging="436"/>
        <w:spacing w:after="0" w:line="288"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pari passu, or equal, in right of payment to the Notes, (2) any indebtedness or other obligations that would be secured and therefore rank effectively senior in right of payment to the Notes to the extent of the value of the assets securing such indebtedness,</w:t>
      </w:r>
    </w:p>
    <w:p>
      <w:pPr>
        <w:ind w:left="1180"/>
        <w:spacing w:after="0" w:line="252" w:lineRule="auto"/>
        <w:rPr>
          <w:rFonts w:ascii="Arial" w:cs="Arial" w:eastAsia="Arial" w:hAnsi="Arial"/>
          <w:sz w:val="16"/>
          <w:szCs w:val="16"/>
          <w:color w:val="auto"/>
        </w:rPr>
      </w:pPr>
      <w:r>
        <w:rPr>
          <w:rFonts w:ascii="Arial" w:cs="Arial" w:eastAsia="Arial" w:hAnsi="Arial"/>
          <w:sz w:val="18"/>
          <w:szCs w:val="18"/>
          <w:color w:val="auto"/>
        </w:rPr>
        <w:t>(3) indebtedness or other obligations of ours that are guaranteed by one or more of our subsidiaries and which therefore are structurally senior to the Notes and (4) indebtedness or obligations (including trade payables) incurred by our subsidiaries, financing vehicles or similar facilities that would be senior to our equity interests in those entities and therefore rank structurally senior to the Notes with respect to the assets of those subsidiaries, in each case other than an incurrence of indebtedness or other obligations that would cause a violation of Section 18(a)(1)(A) as modified by Section 61(a) of the 1940 Act or any successor provisions, but giving effect, in either case, to any exemptive relief granted to us by the SEC;</w:t>
      </w:r>
    </w:p>
    <w:p>
      <w:pPr>
        <w:spacing w:after="0" w:line="99" w:lineRule="exact"/>
        <w:rPr>
          <w:rFonts w:ascii="Arial" w:cs="Arial" w:eastAsia="Arial" w:hAnsi="Arial"/>
          <w:sz w:val="16"/>
          <w:szCs w:val="16"/>
          <w:color w:val="auto"/>
        </w:rPr>
      </w:pPr>
    </w:p>
    <w:p>
      <w:pPr>
        <w:ind w:left="1180" w:right="36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Notes;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sell assets (other than certain limited restrictions on our ability to consolidate, merge or sell all or substantially all of our assets);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optional redemption provision may materially adversely affect your return on the Notes.</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Notes are redeemable in whole or in part upon certain conditions at any time or from time to time at our option. We may choose to redeem the Notes at times when prevailing interest rates are lower than the interest rate paid on the Notes. In this circumstance, you may not be able to reinvest the redemption proceeds in a comparable security at an effective interest rate as high as that of the Notes being redeemed.</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default on our obligations to pay our other indebtedness, we may not be able to make payments on the Notes.</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Any default under the agreements governing our indebtedness, including a default under our Revolving Credit Facility or under the Convertible Notes or 2023 Notes,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8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Revolving Credit Facility or other debt we may incur in the future could elect to terminate their commitments, cease making further loans and institute foreclosure proceedings against our assets, and we could be forced into bankruptcy or liquidation.</w:t>
      </w:r>
    </w:p>
    <w:p>
      <w:pPr>
        <w:spacing w:after="0" w:line="189"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If we are unable to repay debt, lenders having secured obligations, including the lenders under our Revolving Credit Facility, could proceed against the collateral securing the debt. Because our Revolving Credit Facility, Convertible Notes and 2023 Notes have, the indenture will have, and any future debt will likely have, customary cross-default provisions, if the indebtedness thereunder, hereunder or under any future credit facility is accelerated, we may be unable to repay or finance the amounts due. See “Description of Notes” in this prospectus supplement and “Description of Our Debt Securities” in the accompanying prospectus.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repurchase the Notes upon a Change of Control Repurchase Event.</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Upon the occurrence of a Change of Control Repurchase Event, as defined in the indenture that governs the Notes, as supplemented, subject to certain conditions, we will be required to offer to repurchase all outstanding Notes at 100% of their principal amount, plus accrued and unpaid interest. The source of funds for that purchase of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Notes tendered. The terms of the Revolving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our Convertible Notes and 2023 Notes each contain a provision that would require us to offer to purchase the respective Convertible Notes or 2023 Notes upon the occurrence of a fundamental change. Any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failure to comply with these provisions would constitute an event of default under each of the other agreements governing our indebtedness, including the indenture. Our future debt instruments also may contain similar restrictions and provisions. If the holders of the Notes exercise their right to require us to repurchase all the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“Description of Notes—Offer to Repurchase Upon a Change of Control Repurchase Event.”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an active trading market does not develop for the Notes, you may not be able to resell them.</w:t>
      </w:r>
    </w:p>
    <w:p>
      <w:pPr>
        <w:spacing w:after="0" w:line="11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Notes are a new issue of debt securities and there currently is no trading market for the Notes. We do not intend to apply for listing of the Notes on any securities exchange or for quotation of the Notes on any automated dealer quotation system. If no active trading market develops, you may not be able to resell your Notes at their fair market value or at all.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underwriters have advised us that they currently intend to make a market in the Notes after the offering, but they are not obligated to do so. The underwriters may discontinue any market-making in the Notes at any time at their sole discretion. In addition, any market-making activity will be subject to limits imposed by law.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00"/>
          </w:cols>
          <w:pgMar w:left="240" w:top="459" w:right="4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140" w:type="dxa"/>
            <w:vAlign w:val="bottom"/>
          </w:tcPr>
          <w:p>
            <w:pPr>
              <w:spacing w:after="0"/>
              <w:rPr>
                <w:sz w:val="17"/>
                <w:szCs w:val="17"/>
                <w:color w:val="auto"/>
              </w:rPr>
            </w:pPr>
          </w:p>
        </w:tc>
        <w:tc>
          <w:tcPr>
            <w:tcW w:w="51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9260" w:type="dxa"/>
            <w:vAlign w:val="bottom"/>
            <w:gridSpan w:val="2"/>
          </w:tcPr>
          <w:p>
            <w:pPr>
              <w:ind w:left="3240"/>
              <w:spacing w:after="0"/>
              <w:rPr>
                <w:sz w:val="20"/>
                <w:szCs w:val="20"/>
                <w:color w:val="auto"/>
              </w:rPr>
            </w:pPr>
            <w:r>
              <w:rPr>
                <w:rFonts w:ascii="Arial" w:cs="Arial" w:eastAsia="Arial" w:hAnsi="Arial"/>
                <w:sz w:val="18"/>
                <w:szCs w:val="18"/>
                <w:b w:val="1"/>
                <w:bCs w:val="1"/>
                <w:color w:val="auto"/>
              </w:rPr>
              <w:t>USE OF PROCEEDS</w:t>
            </w:r>
          </w:p>
        </w:tc>
      </w:tr>
      <w:tr>
        <w:trPr>
          <w:trHeight w:val="418"/>
        </w:trPr>
        <w:tc>
          <w:tcPr>
            <w:tcW w:w="5780" w:type="dxa"/>
            <w:vAlign w:val="bottom"/>
            <w:gridSpan w:val="3"/>
          </w:tcPr>
          <w:p>
            <w:pPr>
              <w:ind w:left="640"/>
              <w:spacing w:after="0"/>
              <w:rPr>
                <w:sz w:val="20"/>
                <w:szCs w:val="20"/>
                <w:color w:val="auto"/>
              </w:rPr>
            </w:pPr>
            <w:r>
              <w:rPr>
                <w:rFonts w:ascii="Arial" w:cs="Arial" w:eastAsia="Arial" w:hAnsi="Arial"/>
                <w:sz w:val="18"/>
                <w:szCs w:val="18"/>
                <w:color w:val="auto"/>
                <w:w w:val="94"/>
              </w:rPr>
              <w:t>We estimate that the net proceeds we will receive from the sale of $</w:t>
            </w:r>
          </w:p>
        </w:tc>
        <w:tc>
          <w:tcPr>
            <w:tcW w:w="5120" w:type="dxa"/>
            <w:vAlign w:val="bottom"/>
          </w:tcPr>
          <w:p>
            <w:pPr>
              <w:ind w:left="280"/>
              <w:spacing w:after="0"/>
              <w:rPr>
                <w:sz w:val="20"/>
                <w:szCs w:val="20"/>
                <w:color w:val="auto"/>
              </w:rPr>
            </w:pPr>
            <w:r>
              <w:rPr>
                <w:rFonts w:ascii="Arial" w:cs="Arial" w:eastAsia="Arial" w:hAnsi="Arial"/>
                <w:sz w:val="18"/>
                <w:szCs w:val="18"/>
                <w:color w:val="auto"/>
                <w:w w:val="93"/>
              </w:rPr>
              <w:t>million aggregate principal amount of Notes in this offering will be</w:t>
            </w:r>
          </w:p>
        </w:tc>
      </w:tr>
      <w:tr>
        <w:trPr>
          <w:trHeight w:val="230"/>
        </w:trPr>
        <w:tc>
          <w:tcPr>
            <w:tcW w:w="1640" w:type="dxa"/>
            <w:vAlign w:val="bottom"/>
            <w:gridSpan w:val="2"/>
          </w:tcPr>
          <w:p>
            <w:pPr>
              <w:ind w:left="200"/>
              <w:spacing w:after="0"/>
              <w:rPr>
                <w:sz w:val="20"/>
                <w:szCs w:val="20"/>
                <w:color w:val="auto"/>
              </w:rPr>
            </w:pPr>
            <w:r>
              <w:rPr>
                <w:rFonts w:ascii="Arial" w:cs="Arial" w:eastAsia="Arial" w:hAnsi="Arial"/>
                <w:sz w:val="18"/>
                <w:szCs w:val="18"/>
                <w:color w:val="auto"/>
              </w:rPr>
              <w:t>approximately $</w:t>
            </w:r>
          </w:p>
        </w:tc>
        <w:tc>
          <w:tcPr>
            <w:tcW w:w="9260" w:type="dxa"/>
            <w:vAlign w:val="bottom"/>
            <w:gridSpan w:val="2"/>
          </w:tcPr>
          <w:p>
            <w:pPr>
              <w:ind w:left="280"/>
              <w:spacing w:after="0"/>
              <w:rPr>
                <w:sz w:val="20"/>
                <w:szCs w:val="20"/>
                <w:color w:val="auto"/>
              </w:rPr>
            </w:pPr>
            <w:r>
              <w:rPr>
                <w:rFonts w:ascii="Arial" w:cs="Arial" w:eastAsia="Arial" w:hAnsi="Arial"/>
                <w:sz w:val="18"/>
                <w:szCs w:val="18"/>
                <w:color w:val="auto"/>
                <w:w w:val="96"/>
              </w:rPr>
              <w:t>million, after deducting the underwriting discounts and commissions and estimated offering expenses payable by us.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firstLine="441"/>
        <w:spacing w:after="0" w:line="291" w:lineRule="auto"/>
        <w:rPr>
          <w:sz w:val="20"/>
          <w:szCs w:val="20"/>
          <w:color w:val="auto"/>
        </w:rPr>
      </w:pPr>
      <w:r>
        <w:rPr>
          <w:rFonts w:ascii="Arial" w:cs="Arial" w:eastAsia="Arial" w:hAnsi="Arial"/>
          <w:sz w:val="16"/>
          <w:szCs w:val="16"/>
          <w:color w:val="auto"/>
        </w:rPr>
        <w:t>We intend to use 100% of the net proceeds of this offering to pay down a portion of the outstanding indebtedness on the Revolving Credit Facility on or about the date of the closing of this offering. As of September 30, 2019, we had $481.2 million outstanding under the Revolving Credit Facility. However, through reborrowing under the Revolving Credit Facility, we intend to make new investments in accordance with our investment objective and strategies described in this prospectus supplement and the accompanying prospectus. As of September 30, 2019, amounts outstanding under our Revolving Credit Facility bore interest at a rate of LIBOR, Euribor, CDOR or BBSY plus a margin of 1.875%. The stated maturity date of the Revolving Credit Facility is February 14, 2024. See “Management’s Discussion and Analysis of Financial Condition and Results of Operations—Financial Condition, Liquidity and Capital Resources—Revolving Credit Facility” in our 2019 Q2 Quarterly Report, which is incorporated herein by reference.</w:t>
      </w:r>
    </w:p>
    <w:p>
      <w:pPr>
        <w:spacing w:after="0" w:line="16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20"/>
          </w:cols>
          <w:pgMar w:left="240" w:top="446"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Information about our senior securities is shown in the following table as of the end of each fiscal year ended December 31 since we commenced operations and as of June 30, 2019. The report of our independent registered public accounting firm, KPMG LLP, on the senior securities table as of December 31, 2018 is attached as an exhibit to the registration statement of which this prospectus supplement and the accompanying prospectus are a part. This information about our senior securities should be read in conjunction with our consolidated financial statements and related notes thereto and “Management’s Discussion and Analysis of Financial Condition and Results of Operations” included in our 2018 Annual Report and our 2019 Q2 Quarterly Report.</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960" w:type="dxa"/>
            <w:vAlign w:val="bottom"/>
            <w:gridSpan w:val="3"/>
          </w:tcPr>
          <w:p>
            <w:pPr>
              <w:ind w:left="1100"/>
              <w:spacing w:after="0"/>
              <w:rPr>
                <w:sz w:val="20"/>
                <w:szCs w:val="20"/>
                <w:color w:val="auto"/>
              </w:rPr>
            </w:pPr>
            <w:r>
              <w:rPr>
                <w:rFonts w:ascii="Arial" w:cs="Arial" w:eastAsia="Arial" w:hAnsi="Arial"/>
                <w:sz w:val="14"/>
                <w:szCs w:val="14"/>
                <w:b w:val="1"/>
                <w:bCs w:val="1"/>
                <w:color w:val="auto"/>
                <w:w w:val="93"/>
              </w:rPr>
              <w:t>Total Amount</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gridSpan w:val="2"/>
            <w:vMerge w:val="restart"/>
          </w:tcPr>
          <w:p>
            <w:pPr>
              <w:jc w:val="center"/>
              <w:ind w:left="648"/>
              <w:spacing w:after="0"/>
              <w:rPr>
                <w:sz w:val="20"/>
                <w:szCs w:val="20"/>
                <w:color w:val="auto"/>
              </w:rPr>
            </w:pPr>
            <w:r>
              <w:rPr>
                <w:rFonts w:ascii="Arial" w:cs="Arial" w:eastAsia="Arial" w:hAnsi="Arial"/>
                <w:sz w:val="14"/>
                <w:szCs w:val="14"/>
                <w:b w:val="1"/>
                <w:bCs w:val="1"/>
                <w:color w:val="auto"/>
                <w:w w:val="98"/>
              </w:rPr>
              <w:t>Involuntary</w:t>
            </w: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1"/>
              <w:spacing w:after="0" w:line="149" w:lineRule="exact"/>
              <w:rPr>
                <w:sz w:val="20"/>
                <w:szCs w:val="20"/>
                <w:color w:val="auto"/>
              </w:rPr>
            </w:pPr>
            <w:r>
              <w:rPr>
                <w:rFonts w:ascii="Arial" w:cs="Arial" w:eastAsia="Arial" w:hAnsi="Arial"/>
                <w:sz w:val="14"/>
                <w:szCs w:val="14"/>
                <w:b w:val="1"/>
                <w:bCs w:val="1"/>
                <w:color w:val="auto"/>
                <w:w w:val="94"/>
              </w:rPr>
              <w:t>Treasury</w:t>
            </w:r>
          </w:p>
        </w:tc>
        <w:tc>
          <w:tcPr>
            <w:tcW w:w="166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w w:val="88"/>
              </w:rPr>
              <w:t>Asset Coverage</w:t>
            </w:r>
          </w:p>
        </w:tc>
        <w:tc>
          <w:tcPr>
            <w:tcW w:w="7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Liquidating</w:t>
            </w:r>
          </w:p>
        </w:tc>
        <w:tc>
          <w:tcPr>
            <w:tcW w:w="74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Market</w:t>
            </w:r>
          </w:p>
        </w:tc>
        <w:tc>
          <w:tcPr>
            <w:tcW w:w="0" w:type="dxa"/>
            <w:vAlign w:val="bottom"/>
          </w:tcPr>
          <w:p>
            <w:pPr>
              <w:spacing w:after="0"/>
              <w:rPr>
                <w:sz w:val="1"/>
                <w:szCs w:val="1"/>
                <w:color w:val="auto"/>
              </w:rPr>
            </w:pPr>
          </w:p>
        </w:tc>
      </w:tr>
      <w:tr>
        <w:trPr>
          <w:trHeight w:val="149"/>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110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Securities(1)</w:t>
            </w:r>
          </w:p>
        </w:tc>
        <w:tc>
          <w:tcPr>
            <w:tcW w:w="166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Preference</w:t>
            </w:r>
          </w:p>
        </w:tc>
        <w:tc>
          <w:tcPr>
            <w:tcW w:w="7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gridSpan w:val="2"/>
            <w:vMerge w:val="continue"/>
          </w:tcPr>
          <w:p>
            <w:pPr>
              <w:spacing w:after="0"/>
              <w:rPr>
                <w:sz w:val="14"/>
                <w:szCs w:val="14"/>
                <w:color w:val="auto"/>
              </w:rPr>
            </w:pPr>
          </w:p>
        </w:tc>
        <w:tc>
          <w:tcPr>
            <w:tcW w:w="1960" w:type="dxa"/>
            <w:vAlign w:val="bottom"/>
            <w:gridSpan w:val="3"/>
          </w:tcPr>
          <w:p>
            <w:pPr>
              <w:ind w:left="110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51"/>
              <w:spacing w:after="0"/>
              <w:rPr>
                <w:sz w:val="20"/>
                <w:szCs w:val="20"/>
                <w:color w:val="auto"/>
              </w:rPr>
            </w:pPr>
            <w:r>
              <w:rPr>
                <w:rFonts w:ascii="Arial" w:cs="Arial" w:eastAsia="Arial" w:hAnsi="Arial"/>
                <w:sz w:val="14"/>
                <w:szCs w:val="14"/>
                <w:b w:val="1"/>
                <w:bCs w:val="1"/>
                <w:color w:val="auto"/>
                <w:w w:val="95"/>
              </w:rPr>
              <w:t>Per Unit(2)</w:t>
            </w:r>
          </w:p>
        </w:tc>
        <w:tc>
          <w:tcPr>
            <w:tcW w:w="7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Per Unit(3)</w:t>
            </w:r>
          </w:p>
        </w:tc>
        <w:tc>
          <w:tcPr>
            <w:tcW w:w="18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Value Per Unit(4)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1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2019 (as of June 30, 2019)</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510.2</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2,163.7</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2017</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486.8</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2,355.3</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2015</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540.3</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2,257.3</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2013</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432.3</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2,329.5</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2,445.9</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2011</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155.0</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2,116.7</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Notes due 2019</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2019 (as of June 30, 2019)</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114.7</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2,163.7</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2017</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113.7</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2,355.3</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2015</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112.5</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2,257.3</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Convertible Notes due 2022</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(as of June 30, 2019)</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2018</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171.7</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2,355.3</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2023 Notes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(as of June 30, 2019)</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2,163.7</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December 31, 2018</w:t>
            </w:r>
          </w:p>
        </w:tc>
        <w:tc>
          <w:tcPr>
            <w:tcW w:w="1220" w:type="dxa"/>
            <w:vAlign w:val="bottom"/>
            <w:gridSpan w:val="2"/>
          </w:tcPr>
          <w:p>
            <w:pPr>
              <w:ind w:left="110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150.0</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72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right="320" w:hanging="436"/>
        <w:spacing w:after="0" w:line="258"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excluding the impact of deferred financing costs, at the end of the period presented.</w:t>
      </w:r>
    </w:p>
    <w:p>
      <w:pPr>
        <w:spacing w:after="0" w:line="1" w:lineRule="exact"/>
        <w:rPr>
          <w:rFonts w:ascii="Arial" w:cs="Arial" w:eastAsia="Arial" w:hAnsi="Arial"/>
          <w:sz w:val="18"/>
          <w:szCs w:val="18"/>
          <w:color w:val="auto"/>
        </w:rPr>
      </w:pPr>
    </w:p>
    <w:p>
      <w:pPr>
        <w:ind w:left="640" w:right="380" w:hanging="436"/>
        <w:spacing w:after="0" w:line="250"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640" w:right="60" w:hanging="436"/>
        <w:spacing w:after="0" w:line="265"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200" w:right="520" w:firstLine="441"/>
        <w:spacing w:after="0" w:line="264" w:lineRule="auto"/>
        <w:rPr>
          <w:sz w:val="20"/>
          <w:szCs w:val="20"/>
          <w:color w:val="auto"/>
        </w:rPr>
      </w:pPr>
      <w:r>
        <w:rPr>
          <w:rFonts w:ascii="Arial" w:cs="Arial" w:eastAsia="Arial" w:hAnsi="Arial"/>
          <w:sz w:val="18"/>
          <w:szCs w:val="18"/>
          <w:color w:val="auto"/>
        </w:rPr>
        <w:t>The following table sets forth our consolidated capitalization at June 30, 2019. You should read this table together with “Use of Proceeds” described in this prospectus supplement and our most recent balance sheet included elsewhere in this prospectus supplement or the accompanying prospectus, or incorporated by reference herein or therein.</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100" w:type="dxa"/>
            <w:vAlign w:val="bottom"/>
            <w:gridSpan w:val="4"/>
          </w:tcPr>
          <w:p>
            <w:pPr>
              <w:ind w:left="780"/>
              <w:spacing w:after="0"/>
              <w:rPr>
                <w:sz w:val="20"/>
                <w:szCs w:val="20"/>
                <w:color w:val="auto"/>
              </w:rPr>
            </w:pPr>
            <w:r>
              <w:rPr>
                <w:rFonts w:ascii="Arial" w:cs="Arial" w:eastAsia="Arial" w:hAnsi="Arial"/>
                <w:sz w:val="14"/>
                <w:szCs w:val="14"/>
                <w:b w:val="1"/>
                <w:bCs w:val="1"/>
                <w:color w:val="auto"/>
              </w:rPr>
              <w:t>As of June 30, 2019</w:t>
            </w:r>
          </w:p>
        </w:tc>
        <w:tc>
          <w:tcPr>
            <w:tcW w:w="0" w:type="dxa"/>
            <w:vAlign w:val="bottom"/>
          </w:tcPr>
          <w:p>
            <w:pPr>
              <w:spacing w:after="0"/>
              <w:rPr>
                <w:sz w:val="1"/>
                <w:szCs w:val="1"/>
                <w:color w:val="auto"/>
              </w:rPr>
            </w:pPr>
          </w:p>
        </w:tc>
      </w:tr>
      <w:tr>
        <w:trPr>
          <w:trHeight w:val="171"/>
        </w:trPr>
        <w:tc>
          <w:tcPr>
            <w:tcW w:w="8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42"/>
        </w:trPr>
        <w:tc>
          <w:tcPr>
            <w:tcW w:w="894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b w:val="1"/>
                <w:bCs w:val="1"/>
                <w:color w:val="auto"/>
              </w:rPr>
              <w:t>Debt</w:t>
            </w:r>
            <w:r>
              <w:rPr>
                <w:rFonts w:ascii="Arial" w:cs="Arial" w:eastAsia="Arial" w:hAnsi="Arial"/>
                <w:sz w:val="15"/>
                <w:szCs w:val="15"/>
                <w:b w:val="1"/>
                <w:bCs w:val="1"/>
                <w:color w:val="auto"/>
              </w:rPr>
              <w:t>(1)</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Convertible Notes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287,500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2023 Notes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Notes offered hereby</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tcPr>
          <w:p>
            <w:pPr>
              <w:spacing w:after="0" w:line="201" w:lineRule="exact"/>
              <w:rPr>
                <w:sz w:val="20"/>
                <w:szCs w:val="20"/>
                <w:color w:val="auto"/>
              </w:rPr>
            </w:pPr>
            <w:r>
              <w:rPr>
                <w:rFonts w:ascii="Arial" w:cs="Arial" w:eastAsia="Arial" w:hAnsi="Arial"/>
                <w:sz w:val="18"/>
                <w:szCs w:val="18"/>
                <w:color w:val="auto"/>
                <w:w w:val="96"/>
              </w:rPr>
              <w:t>Common stock, $0.01 par value; 400,000,000 shares authorized; 66,127,370 shares issued and 66,038,290 shares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Treasury stock at cost, 89,080 shares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Distributable earnings</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1,101,643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2,049,366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140" w:hanging="436"/>
        <w:spacing w:after="0" w:line="26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above table reflects the principal amount of indebtedness outstanding as of June 30, 2019. As of September 30, 2019, indebtedness under the Revolving Credit Facility was $481.2 million. The net proceeds from the sale of the Notes are expected to be used to pay down outstanding indebtedness under the Revolving Credit Facility. See “Use of Proceeds.”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information in the Management’s Discussion and Analysis of Financial Condition and Results of Operations in our 2019 Q2 Quarterly Report is incorporated herein by reference.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following description of the particular terms of the % Notes due supplements and, to the extent inconsistent therewith, replaces the description of the general terms and provisions of the debt securities set forth in the accompanying prospectus.</w:t>
      </w:r>
    </w:p>
    <w:p>
      <w:pPr>
        <w:spacing w:after="0" w:line="17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will issue the Notes under a base indenture dated as of January 22, 2018, between us and Wells Fargo Bank, National Association, as trustee (the “trustee”), as supplemented by a separate supplemental indenture to be dated as of the settlement date for the Notes (the “second supplemental indenture”). As used in this section, all references to the indenture mean the base indenture as supplemented by the second supplemental indenture. The terms of the Notes include those expressly set forth in the indenture and those made part of the indenture by reference to the Trust Indenture Act of 1939, as amended, or the TIA.</w:t>
      </w:r>
    </w:p>
    <w:p>
      <w:pPr>
        <w:spacing w:after="0" w:line="188"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66"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For purposes of this description, references to “we,” “our” and “us” refer only to TSLX and not to any of its current or future subsidiaries and references to “subsidiaries” refer only to our consolidated subsidiaries and exclude any investments held by TSLX in the ordinary course of business which are not, under GAAP, consolidated on the financial statements of TSLX and its subsidiaries.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our direct, general unsecured, senior obligations;</w:t>
      </w:r>
    </w:p>
    <w:p>
      <w:pPr>
        <w:sectPr>
          <w:pgSz w:w="11900" w:h="16838" w:orient="portrait"/>
          <w:cols w:equalWidth="0" w:num="1">
            <w:col w:w="11180"/>
          </w:cols>
          <w:pgMar w:left="240" w:top="459" w:right="479" w:bottom="1440" w:gutter="0" w:footer="0" w:header="0"/>
        </w:sectPr>
      </w:pPr>
    </w:p>
    <w:p>
      <w:pPr>
        <w:spacing w:after="0" w:line="13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will initially be issued in an aggregate principal amount of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131" w:lineRule="exact"/>
        <w:rPr>
          <w:sz w:val="20"/>
          <w:szCs w:val="20"/>
          <w:color w:val="auto"/>
        </w:rPr>
      </w:pPr>
    </w:p>
    <w:p>
      <w:pPr>
        <w:sectPr>
          <w:pgSz w:w="11900" w:h="16838" w:orient="portrait"/>
          <w:cols w:equalWidth="0" w:num="3">
            <w:col w:w="800" w:space="380"/>
            <w:col w:w="4340" w:space="360"/>
            <w:col w:w="5300"/>
          </w:cols>
          <w:pgMar w:left="240" w:top="459" w:right="479" w:bottom="1440" w:gutter="0" w:footer="0" w:header="0"/>
          <w:type w:val="continuous"/>
        </w:sectPr>
      </w:pPr>
    </w:p>
    <w:p>
      <w:pPr>
        <w:ind w:left="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will mature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unless earlier redeemed or repurchased, as discussed below;</w:t>
      </w:r>
    </w:p>
    <w:p>
      <w:pPr>
        <w:spacing w:after="0" w:line="164" w:lineRule="exact"/>
        <w:rPr>
          <w:sz w:val="20"/>
          <w:szCs w:val="20"/>
          <w:color w:val="auto"/>
        </w:rPr>
      </w:pPr>
    </w:p>
    <w:p>
      <w:pPr>
        <w:sectPr>
          <w:pgSz w:w="11900" w:h="16838" w:orient="portrait"/>
          <w:cols w:equalWidth="0" w:num="4">
            <w:col w:w="800" w:space="380"/>
            <w:col w:w="1100" w:space="720"/>
            <w:col w:w="40" w:space="400"/>
            <w:col w:w="7740"/>
          </w:cols>
          <w:pgMar w:left="240" w:top="459" w:right="479" w:bottom="1440" w:gutter="0" w:footer="0" w:header="0"/>
          <w:type w:val="continuous"/>
        </w:sectPr>
      </w:pPr>
    </w:p>
    <w:p>
      <w:pPr>
        <w:ind w:left="7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will bear cash interest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2019 at an annual rate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payable semi-annually on</w:t>
      </w:r>
    </w:p>
    <w:p>
      <w:pPr>
        <w:spacing w:after="0" w:line="20" w:lineRule="exact"/>
        <w:rPr>
          <w:sz w:val="20"/>
          <w:szCs w:val="20"/>
          <w:color w:val="auto"/>
        </w:rPr>
      </w:pPr>
      <w:r>
        <w:rPr>
          <w:sz w:val="20"/>
          <w:szCs w:val="20"/>
          <w:color w:val="auto"/>
        </w:rPr>
        <w:br w:type="column"/>
      </w:r>
    </w:p>
    <w:p>
      <w:pPr>
        <w:jc w:val="center"/>
        <w:ind w:right="4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of each year,</w:t>
      </w:r>
    </w:p>
    <w:p>
      <w:pPr>
        <w:spacing w:after="0" w:line="57" w:lineRule="exact"/>
        <w:rPr>
          <w:sz w:val="20"/>
          <w:szCs w:val="20"/>
          <w:color w:val="auto"/>
        </w:rPr>
      </w:pPr>
    </w:p>
    <w:p>
      <w:pPr>
        <w:sectPr>
          <w:pgSz w:w="11900" w:h="16838" w:orient="portrait"/>
          <w:cols w:equalWidth="0" w:num="6">
            <w:col w:w="800" w:space="380"/>
            <w:col w:w="2020" w:space="720"/>
            <w:col w:w="1860" w:space="220"/>
            <w:col w:w="2140" w:space="720"/>
            <w:col w:w="300" w:space="720"/>
            <w:col w:w="1300"/>
          </w:cols>
          <w:pgMar w:left="240" w:top="459" w:right="479" w:bottom="1440" w:gutter="0" w:footer="0" w:header="0"/>
          <w:type w:val="continuous"/>
        </w:sectPr>
      </w:pPr>
    </w:p>
    <w:p>
      <w:pPr>
        <w:ind w:left="1180"/>
        <w:spacing w:after="0"/>
        <w:tabs>
          <w:tab w:leader="none" w:pos="2860" w:val="left"/>
        </w:tabs>
        <w:rPr>
          <w:sz w:val="20"/>
          <w:szCs w:val="20"/>
          <w:color w:val="auto"/>
        </w:rPr>
      </w:pPr>
      <w:r>
        <w:rPr>
          <w:rFonts w:ascii="Arial" w:cs="Arial" w:eastAsia="Arial" w:hAnsi="Arial"/>
          <w:sz w:val="18"/>
          <w:szCs w:val="18"/>
          <w:color w:val="auto"/>
        </w:rPr>
        <w:t>beginning on</w:t>
      </w:r>
      <w:r>
        <w:rPr>
          <w:sz w:val="20"/>
          <w:szCs w:val="20"/>
          <w:color w:val="auto"/>
        </w:rPr>
        <w:tab/>
      </w:r>
      <w:r>
        <w:rPr>
          <w:rFonts w:ascii="Arial" w:cs="Arial" w:eastAsia="Arial" w:hAnsi="Arial"/>
          <w:sz w:val="16"/>
          <w:szCs w:val="16"/>
          <w:color w:val="auto"/>
        </w:rPr>
        <w:t>, 2020;</w:t>
      </w:r>
    </w:p>
    <w:p>
      <w:pPr>
        <w:sectPr>
          <w:pgSz w:w="11900" w:h="16838" w:orient="portrait"/>
          <w:cols w:equalWidth="0" w:num="1">
            <w:col w:w="11180"/>
          </w:cols>
          <w:pgMar w:left="240" w:top="459" w:right="479" w:bottom="1440" w:gutter="0" w:footer="0" w:header="0"/>
          <w:type w:val="continuous"/>
        </w:sectPr>
      </w:pPr>
    </w:p>
    <w:p>
      <w:pPr>
        <w:spacing w:after="0" w:line="116" w:lineRule="exact"/>
        <w:rPr>
          <w:sz w:val="20"/>
          <w:szCs w:val="20"/>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will be subject to redemption at our option as described under “—Optional Redemption;”</w:t>
      </w:r>
    </w:p>
    <w:p>
      <w:pPr>
        <w:spacing w:after="0" w:line="130" w:lineRule="exact"/>
        <w:rPr>
          <w:rFonts w:ascii="Arial" w:cs="Arial" w:eastAsia="Arial" w:hAnsi="Arial"/>
          <w:sz w:val="18"/>
          <w:szCs w:val="18"/>
          <w:color w:val="auto"/>
        </w:rPr>
      </w:pPr>
    </w:p>
    <w:p>
      <w:pPr>
        <w:ind w:left="1180" w:hanging="436"/>
        <w:spacing w:after="0" w:line="286" w:lineRule="auto"/>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will be subject to repurchase by us at the option of the holders following a Change of Control Repurchase Event (as defined below under “—Offer to Repurchase Upon a Change of Control Repurchase Event”), at a repurchase price equal to 100% of the principal amount of the Notes to be repurchased,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to, but excluding, the date of repurchase;</w:t>
      </w:r>
    </w:p>
    <w:p>
      <w:pPr>
        <w:spacing w:after="0" w:line="70" w:lineRule="exact"/>
        <w:rPr>
          <w:rFonts w:ascii="Arial" w:cs="Arial" w:eastAsia="Arial" w:hAnsi="Arial"/>
          <w:sz w:val="17"/>
          <w:szCs w:val="17"/>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will be issued in denominations of $2,000 and integral multiples of $1,000 in excess thereof; and</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will be represented by one or more registered Notes in global form, but in certain limited circumstances may be represented by Notes in definitive form. See “—Book-Entry, Settlement and Clearance.”</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indenture does not limit the amount of debt that may be issued by us or our subsidiaries under the indenture or otherwise. The indenture does not contain any financial covenants and does not restrict us from paying dividends or issuing or repurchasing our other securities. Other than restrictions described under “—Offer to Repurchase Upon a Change of Control Repurchase Event” and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80"/>
          </w:cols>
          <w:pgMar w:left="240" w:top="459" w:right="47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 xml:space="preserve">We may, without the consent of the holders, issue additional Notes under the indenture with the same terms (except for the issue date, public offering price and, if applicable, the initial interest payment date) and with the same CUSIP numbers as the Notes offered hereby in an unlimited aggregate principal amount;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additional Notes must either be issued in a “qualified reopening” for U.S. federal income tax purposes, with no more than a de minimis amount of original issue discount, or otherwise be part of the same issue as the Notes offered hereby for U.S. federal income tax purposes.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do not intend to list the Notes on any securities exchange or any automated dealer quotation system.</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on the Notes; Paying Agent and Registrar; Transfer and Exchange</w:t>
      </w:r>
    </w:p>
    <w:p>
      <w:pPr>
        <w:spacing w:after="0" w:line="121"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We will pay the principal of, and interest on, the Notes in global form registered in the name of or held by DTC or its nominee in immediately available funds to DTC or its nominee, as the case may be, as the registered holder of such Global Note (as defined below).</w:t>
      </w:r>
    </w:p>
    <w:p>
      <w:pPr>
        <w:spacing w:after="0" w:line="147" w:lineRule="exact"/>
        <w:rPr>
          <w:sz w:val="20"/>
          <w:szCs w:val="20"/>
          <w:color w:val="auto"/>
        </w:rPr>
      </w:pPr>
    </w:p>
    <w:p>
      <w:pPr>
        <w:ind w:left="200" w:right="280" w:firstLine="441"/>
        <w:spacing w:after="0" w:line="279" w:lineRule="auto"/>
        <w:rPr>
          <w:sz w:val="20"/>
          <w:szCs w:val="20"/>
          <w:color w:val="auto"/>
        </w:rPr>
      </w:pPr>
      <w:r>
        <w:rPr>
          <w:rFonts w:ascii="Arial" w:cs="Arial" w:eastAsia="Arial" w:hAnsi="Arial"/>
          <w:sz w:val="17"/>
          <w:szCs w:val="17"/>
          <w:color w:val="auto"/>
        </w:rPr>
        <w:t xml:space="preserve">Payment of principal of (and premium, if any) and any such interest on the Notes will be made at the corporate trust office of the paying agent, which initially shall be the trustee in such coin or currency of the United States of America as at the time of payment is legal tender for payment of public and private debts; </w:t>
      </w:r>
      <w:r>
        <w:rPr>
          <w:rFonts w:ascii="Arial" w:cs="Arial" w:eastAsia="Arial" w:hAnsi="Arial"/>
          <w:sz w:val="17"/>
          <w:szCs w:val="17"/>
          <w:i w:val="1"/>
          <w:iCs w:val="1"/>
          <w:color w:val="auto"/>
        </w:rPr>
        <w:t>provided</w:t>
      </w:r>
      <w:r>
        <w:rPr>
          <w:rFonts w:ascii="Arial" w:cs="Arial" w:eastAsia="Arial" w:hAnsi="Arial"/>
          <w:sz w:val="17"/>
          <w:szCs w:val="17"/>
          <w:color w:val="auto"/>
        </w:rPr>
        <w:t>, however, that, in the case of notes that are not in global form, at our option payment of interest may be made by check mailed to the address of the person entitled thereto as such address shall appear in the security register.</w:t>
      </w:r>
    </w:p>
    <w:p>
      <w:pPr>
        <w:spacing w:after="0" w:line="17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registered holder of a Note will be treated as its owner for all purposes.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w:t>
      </w:r>
    </w:p>
    <w:p>
      <w:pPr>
        <w:sectPr>
          <w:pgSz w:w="11900" w:h="16838" w:orient="portrait"/>
          <w:cols w:equalWidth="0" w:num="1">
            <w:col w:w="11200"/>
          </w:cols>
          <w:pgMar w:left="240" w:top="459" w:right="459" w:bottom="1440" w:gutter="0" w:footer="0" w:header="0"/>
        </w:sectPr>
      </w:pP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Notes will bear cash interest at a rate of % per year until maturity. Interest on the Notes will accrue from recent date on which interest has been paid or duly provided for. Interest will be payable semiannually in arrears on year, beginning on , 2020.</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80" w:firstLine="104"/>
        <w:spacing w:after="0" w:line="277" w:lineRule="auto"/>
        <w:rPr>
          <w:sz w:val="20"/>
          <w:szCs w:val="20"/>
          <w:color w:val="auto"/>
        </w:rPr>
      </w:pPr>
      <w:r>
        <w:rPr>
          <w:rFonts w:ascii="Arial" w:cs="Arial" w:eastAsia="Arial" w:hAnsi="Arial"/>
          <w:sz w:val="18"/>
          <w:szCs w:val="18"/>
          <w:color w:val="auto"/>
        </w:rPr>
        <w:t>, 2019 or from the most and of each</w:t>
      </w:r>
    </w:p>
    <w:p>
      <w:pPr>
        <w:spacing w:after="0" w:line="386" w:lineRule="exact"/>
        <w:rPr>
          <w:sz w:val="20"/>
          <w:szCs w:val="20"/>
          <w:color w:val="auto"/>
        </w:rPr>
      </w:pPr>
    </w:p>
    <w:p>
      <w:pPr>
        <w:sectPr>
          <w:pgSz w:w="11900" w:h="16838" w:orient="portrait"/>
          <w:cols w:equalWidth="0" w:num="2">
            <w:col w:w="8660" w:space="660"/>
            <w:col w:w="1880"/>
          </w:cols>
          <w:pgMar w:left="240" w:top="459" w:right="459" w:bottom="1440" w:gutter="0" w:footer="0" w:header="0"/>
          <w:type w:val="continuous"/>
        </w:sectPr>
      </w:pPr>
    </w:p>
    <w:p>
      <w:pPr>
        <w:ind w:left="640"/>
        <w:spacing w:after="0"/>
        <w:rPr>
          <w:sz w:val="20"/>
          <w:szCs w:val="20"/>
          <w:color w:val="auto"/>
        </w:rPr>
      </w:pPr>
      <w:r>
        <w:rPr>
          <w:rFonts w:ascii="Arial" w:cs="Arial" w:eastAsia="Arial" w:hAnsi="Arial"/>
          <w:sz w:val="18"/>
          <w:szCs w:val="18"/>
          <w:color w:val="auto"/>
        </w:rPr>
        <w:t>Interest will be paid to the person in whose name a Note is registered at 5:00 p.m. New York City time (the “close of business”)</w:t>
      </w:r>
    </w:p>
    <w:p>
      <w:pPr>
        <w:spacing w:after="0" w:line="23" w:lineRule="exact"/>
        <w:rPr>
          <w:sz w:val="20"/>
          <w:szCs w:val="20"/>
          <w:color w:val="auto"/>
        </w:rPr>
      </w:pPr>
    </w:p>
    <w:p>
      <w:pPr>
        <w:ind w:left="200" w:right="160"/>
        <w:spacing w:after="0" w:line="261" w:lineRule="auto"/>
        <w:rPr>
          <w:sz w:val="20"/>
          <w:szCs w:val="20"/>
          <w:color w:val="auto"/>
        </w:rPr>
      </w:pPr>
      <w:r>
        <w:rPr>
          <w:rFonts w:ascii="Arial" w:cs="Arial" w:eastAsia="Arial" w:hAnsi="Arial"/>
          <w:sz w:val="18"/>
          <w:szCs w:val="18"/>
          <w:color w:val="auto"/>
        </w:rPr>
        <w:t>on or (whether or not a business day), as the case may be, immediately preceding the relevant interest payment date. Interest on the Notes will be computed on the basis of a 360-day year composed of twelve 30-day months.</w:t>
      </w:r>
    </w:p>
    <w:p>
      <w:pPr>
        <w:spacing w:after="0" w:line="18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any interest payment date, redemption date, the maturity date or any earlier required repurchase date upon a Change of Control Repurchase Event (defined below) of a Note falls on a day that is not a business day, the required payment will be made on the next succeeding business day and no interest on such payment will accrue in respect of the delay. The term “business day” means, with respect to any Note, any day other than a Saturday, a Sunday or a day on which banking institutions in New York or the city in which the corporate trust office is located are authorized or obligated by law or executive order to close.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00"/>
          </w:cols>
          <w:pgMar w:left="240" w:top="459" w:right="4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 will be our direct, general unsecured obligations that will rank:</w:t>
      </w:r>
    </w:p>
    <w:p>
      <w:pPr>
        <w:spacing w:after="0" w:line="131" w:lineRule="exact"/>
        <w:rPr>
          <w:sz w:val="20"/>
          <w:szCs w:val="20"/>
          <w:color w:val="auto"/>
        </w:rPr>
      </w:pPr>
    </w:p>
    <w:p>
      <w:pPr>
        <w:ind w:left="1180" w:right="58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senior in right of payment to all of our future indebtedness or other obligations that are expressly subordinated, or junior, in right of payment to the Notes;</w:t>
      </w:r>
    </w:p>
    <w:p>
      <w:pPr>
        <w:spacing w:after="0" w:line="75" w:lineRule="exact"/>
        <w:rPr>
          <w:rFonts w:ascii="Arial" w:cs="Arial" w:eastAsia="Arial" w:hAnsi="Arial"/>
          <w:sz w:val="18"/>
          <w:szCs w:val="18"/>
          <w:color w:val="auto"/>
        </w:rPr>
      </w:pPr>
    </w:p>
    <w:p>
      <w:pPr>
        <w:ind w:left="1180" w:hanging="436"/>
        <w:spacing w:after="0" w:line="25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pari passu, or equal, in right of payment with all of our existing and future indebtedness or other obligations that are not so subordinated, or junior, including, without limitation, as of September 30, 2019, approximately $115.0 million aggregate principal amount of outstanding indebtedness under the 2019 Convertible Notes, approximately $172.5 million aggregate principal amount of outstanding indebtedness under our 2022 Convertible Notes and approximately $150.0 million aggregate principal amount of outstanding indebtedness under our 2023 Notes;</w:t>
      </w:r>
    </w:p>
    <w:p>
      <w:pPr>
        <w:spacing w:after="0" w:line="93" w:lineRule="exact"/>
        <w:rPr>
          <w:rFonts w:ascii="Arial" w:cs="Arial" w:eastAsia="Arial" w:hAnsi="Arial"/>
          <w:sz w:val="18"/>
          <w:szCs w:val="18"/>
          <w:color w:val="auto"/>
        </w:rPr>
      </w:pPr>
    </w:p>
    <w:p>
      <w:pPr>
        <w:ind w:left="1180" w:right="80" w:hanging="436"/>
        <w:spacing w:after="0" w:line="312" w:lineRule="auto"/>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effectively subordinated, or junior, to any of our secured indebtedness or other obligations (including unsecured indebtedness that we later secure) to the extent of the value of the assets securing such indebtedness, including, without limitation, approximately $481.2 million aggregate principal amount of outstanding indebtedness as of September 30, 2019 under the Revolving Credit Facility; and</w:t>
      </w:r>
    </w:p>
    <w:p>
      <w:pPr>
        <w:spacing w:after="0" w:line="52" w:lineRule="exact"/>
        <w:rPr>
          <w:rFonts w:ascii="Arial" w:cs="Arial" w:eastAsia="Arial" w:hAnsi="Arial"/>
          <w:sz w:val="16"/>
          <w:szCs w:val="16"/>
          <w:color w:val="auto"/>
        </w:rPr>
      </w:pPr>
    </w:p>
    <w:p>
      <w:pPr>
        <w:ind w:left="1180" w:right="8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structurally subordinated, or junior, to all existing and future indebtedness and other obligations (including trade payables) incurred by our subsidiaries, financing vehicles or similar facilities.</w:t>
      </w:r>
    </w:p>
    <w:p>
      <w:pPr>
        <w:spacing w:after="0" w:line="170"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As of September 30, 2019, our total consolidated indebtedness was approximately $918.7 million aggregate principal amount outstanding, of which approximately $481.2 million was secured indebtedness at the TSLX level and none of which was indebtedness of our subsidiaries. After giving effect to the issuance of the Notes, and assuming the net proceeds therefrom are used to repay outstanding borrowings under the Revolving Credit</w:t>
      </w:r>
    </w:p>
    <w:p>
      <w:pPr>
        <w:ind w:left="200" w:right="120"/>
        <w:spacing w:after="0" w:line="261" w:lineRule="auto"/>
        <w:rPr>
          <w:sz w:val="20"/>
          <w:szCs w:val="20"/>
          <w:color w:val="auto"/>
        </w:rPr>
      </w:pPr>
      <w:r>
        <w:rPr>
          <w:rFonts w:ascii="Arial" w:cs="Arial" w:eastAsia="Arial" w:hAnsi="Arial"/>
          <w:sz w:val="18"/>
          <w:szCs w:val="18"/>
          <w:color w:val="auto"/>
        </w:rPr>
        <w:t>Facility, our total consolidated indebtedness would have been approximately $ million aggregate principal amount outstanding as of September 30, 2019. See “Capitalization.”</w:t>
      </w:r>
    </w:p>
    <w:p>
      <w:pPr>
        <w:spacing w:after="0" w:line="18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200" w:right="420" w:firstLine="441"/>
        <w:spacing w:after="0" w:line="308" w:lineRule="auto"/>
        <w:rPr>
          <w:sz w:val="20"/>
          <w:szCs w:val="20"/>
          <w:color w:val="auto"/>
        </w:rPr>
      </w:pPr>
      <w:r>
        <w:rPr>
          <w:rFonts w:ascii="Arial" w:cs="Arial" w:eastAsia="Arial" w:hAnsi="Arial"/>
          <w:sz w:val="17"/>
          <w:szCs w:val="17"/>
          <w:color w:val="auto"/>
        </w:rPr>
        <w:t>We may redeem some or all of the Notes at any time, or from time to time. If we choose to redeem any Notes prior to maturity, we will pay a redemption price equal to the greater of the following amounts, plus, in each case, accrued and unpaid interest to the redemption date:</w:t>
      </w:r>
    </w:p>
    <w:p>
      <w:pPr>
        <w:spacing w:after="0" w:line="52" w:lineRule="exact"/>
        <w:rPr>
          <w:sz w:val="20"/>
          <w:szCs w:val="20"/>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(exclusive of accrued and unpaid interest to the</w:t>
      </w:r>
    </w:p>
    <w:p>
      <w:pPr>
        <w:spacing w:after="0" w:line="4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date of redemption) on the Notes to be redeemed, discounted to the redemption date on a semi-annual basis (assuming a 360-day year</w:t>
      </w:r>
    </w:p>
    <w:p>
      <w:pPr>
        <w:sectPr>
          <w:pgSz w:w="11900" w:h="16838" w:orient="portrait"/>
          <w:cols w:equalWidth="0" w:num="1">
            <w:col w:w="11220"/>
          </w:cols>
          <w:pgMar w:left="240" w:top="459" w:right="439" w:bottom="1440" w:gutter="0" w:footer="0" w:header="0"/>
        </w:sectPr>
      </w:pPr>
    </w:p>
    <w:p>
      <w:pPr>
        <w:spacing w:after="0" w:line="32" w:lineRule="exact"/>
        <w:rPr>
          <w:sz w:val="20"/>
          <w:szCs w:val="20"/>
          <w:color w:val="auto"/>
        </w:rPr>
      </w:pPr>
    </w:p>
    <w:p>
      <w:pPr>
        <w:ind w:left="1180"/>
        <w:spacing w:after="0"/>
        <w:tabs>
          <w:tab w:leader="none" w:pos="7380" w:val="left"/>
        </w:tabs>
        <w:rPr>
          <w:sz w:val="20"/>
          <w:szCs w:val="20"/>
          <w:color w:val="auto"/>
        </w:rPr>
      </w:pPr>
      <w:r>
        <w:rPr>
          <w:rFonts w:ascii="Arial" w:cs="Arial" w:eastAsia="Arial" w:hAnsi="Arial"/>
          <w:sz w:val="18"/>
          <w:szCs w:val="18"/>
          <w:color w:val="auto"/>
        </w:rPr>
        <w:t>consisting of twelve 30-day months) using the applicable Treasury Rate plus</w:t>
      </w:r>
      <w:r>
        <w:rPr>
          <w:sz w:val="20"/>
          <w:szCs w:val="20"/>
          <w:color w:val="auto"/>
        </w:rPr>
        <w:tab/>
      </w:r>
      <w:r>
        <w:rPr>
          <w:rFonts w:ascii="Arial" w:cs="Arial" w:eastAsia="Arial" w:hAnsi="Arial"/>
          <w:sz w:val="16"/>
          <w:szCs w:val="16"/>
          <w:color w:val="auto"/>
        </w:rPr>
        <w:t>basis points;</w:t>
      </w:r>
    </w:p>
    <w:p>
      <w:pPr>
        <w:sectPr>
          <w:pgSz w:w="11900" w:h="16838" w:orient="portrait"/>
          <w:cols w:equalWidth="0" w:num="1">
            <w:col w:w="11220"/>
          </w:cols>
          <w:pgMar w:left="240" w:top="459" w:right="439" w:bottom="1440" w:gutter="0" w:footer="0" w:header="0"/>
          <w:type w:val="continuous"/>
        </w:sectPr>
      </w:pPr>
    </w:p>
    <w:p>
      <w:pPr>
        <w:spacing w:after="0" w:line="211" w:lineRule="exact"/>
        <w:rPr>
          <w:sz w:val="20"/>
          <w:szCs w:val="20"/>
          <w:color w:val="auto"/>
        </w:rPr>
      </w:pPr>
    </w:p>
    <w:p>
      <w:pPr>
        <w:ind w:left="200"/>
        <w:spacing w:after="0"/>
        <w:tabs>
          <w:tab w:leader="none" w:pos="5200" w:val="left"/>
          <w:tab w:leader="none" w:pos="5960" w:val="left"/>
          <w:tab w:leader="none" w:pos="7860" w:val="left"/>
        </w:tabs>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however, that if we redeem any Notes on or after</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date falling</w:t>
      </w:r>
      <w:r>
        <w:rPr>
          <w:sz w:val="20"/>
          <w:szCs w:val="20"/>
          <w:color w:val="auto"/>
        </w:rPr>
        <w:tab/>
      </w:r>
      <w:r>
        <w:rPr>
          <w:rFonts w:ascii="Arial" w:cs="Arial" w:eastAsia="Arial" w:hAnsi="Arial"/>
          <w:sz w:val="16"/>
          <w:szCs w:val="16"/>
          <w:color w:val="auto"/>
        </w:rPr>
        <w:t>prior to the maturity date of the Notes), the</w:t>
      </w:r>
    </w:p>
    <w:p>
      <w:pPr>
        <w:sectPr>
          <w:pgSz w:w="11900" w:h="16838" w:orient="portrait"/>
          <w:cols w:equalWidth="0" w:num="1">
            <w:col w:w="11220"/>
          </w:cols>
          <w:pgMar w:left="240" w:top="459" w:right="439" w:bottom="1440" w:gutter="0" w:footer="0" w:header="0"/>
          <w:type w:val="continuous"/>
        </w:sectPr>
      </w:pPr>
    </w:p>
    <w:p>
      <w:pPr>
        <w:spacing w:after="0" w:line="23" w:lineRule="exact"/>
        <w:rPr>
          <w:sz w:val="20"/>
          <w:szCs w:val="20"/>
          <w:color w:val="auto"/>
        </w:rPr>
      </w:pPr>
    </w:p>
    <w:p>
      <w:pPr>
        <w:ind w:left="200" w:right="200"/>
        <w:spacing w:after="0" w:line="277" w:lineRule="auto"/>
        <w:rPr>
          <w:sz w:val="20"/>
          <w:szCs w:val="20"/>
          <w:color w:val="auto"/>
        </w:rPr>
      </w:pPr>
      <w:r>
        <w:rPr>
          <w:rFonts w:ascii="Arial" w:cs="Arial" w:eastAsia="Arial" w:hAnsi="Arial"/>
          <w:sz w:val="17"/>
          <w:szCs w:val="17"/>
          <w:color w:val="auto"/>
        </w:rPr>
        <w:t>redemption price for the Notes will be equal to 100% of the principal amount of the Notes to be redeemed, plus accrued and unpaid interest, if any, to, but excluding, the date of redemption. Calculation of the redemption price will be made by us or on our behalf by such person as we shall designate; provided that such calculation or the correctness thereof shall not be a duty or obligation of the trustee.</w:t>
      </w:r>
    </w:p>
    <w:p>
      <w:pPr>
        <w:spacing w:after="0" w:line="173"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If we choose to redeem any Notes, we will deliver a notice of redemption to holders of Notes not less than 30 nor more than 60 days before the redemption date. Any exercise of our option to redeem the Notes will be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20"/>
          </w:cols>
          <w:pgMar w:left="240" w:top="459" w:right="4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 xml:space="preserve">done in compliance with the 1940 Act. If we are redeeming less than all of the Notes, the particular Notes to be redeemed will be selected by the trustee in accordance with the applicable procedures of DTC and in accordance with the 1940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that no such partial redemption shall reduce the portion of the principal amount of a Note not redeemed to less than $2,000. Unless we default in payment of the redemption price, on and after the redemption date, interest will cease to accrue on the Notes or portions of the Notes called for redemption.</w:t>
      </w:r>
    </w:p>
    <w:p>
      <w:pPr>
        <w:spacing w:after="0" w:line="17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Notes, on any redemption date, the following terms have the meanings set forth below:</w:t>
      </w:r>
    </w:p>
    <w:p>
      <w:pPr>
        <w:spacing w:after="0" w:line="62"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us.</w:t>
      </w:r>
    </w:p>
    <w:p>
      <w:pPr>
        <w:spacing w:after="0" w:line="187" w:lineRule="exact"/>
        <w:rPr>
          <w:sz w:val="20"/>
          <w:szCs w:val="20"/>
          <w:color w:val="auto"/>
        </w:rPr>
      </w:pPr>
    </w:p>
    <w:p>
      <w:pPr>
        <w:ind w:left="200" w:right="580" w:firstLine="441"/>
        <w:spacing w:after="0" w:line="312" w:lineRule="auto"/>
        <w:rPr>
          <w:sz w:val="20"/>
          <w:szCs w:val="20"/>
          <w:color w:val="auto"/>
        </w:rPr>
      </w:pPr>
      <w:r>
        <w:rPr>
          <w:rFonts w:ascii="Arial" w:cs="Arial" w:eastAsia="Arial" w:hAnsi="Arial"/>
          <w:sz w:val="16"/>
          <w:szCs w:val="16"/>
          <w:color w:val="auto"/>
        </w:rPr>
        <w:t>“Comparable Treasury Issue”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14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“Quotation Agent” means a Reference Treasury Dealer selected by us.</w:t>
      </w:r>
    </w:p>
    <w:p>
      <w:pPr>
        <w:spacing w:after="0" w:line="225"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 xml:space="preserve">“Reference Treasury Dealer” means (1) BofA Securities, Inc. or its respective affiliates which are primary U.S. government securities dealers in the United States (a “Primary Treasury Dealer”) and their respective successors; </w:t>
      </w:r>
      <w:r>
        <w:rPr>
          <w:rFonts w:ascii="Arial" w:cs="Arial" w:eastAsia="Arial" w:hAnsi="Arial"/>
          <w:sz w:val="16"/>
          <w:szCs w:val="16"/>
          <w:i w:val="1"/>
          <w:iCs w:val="1"/>
          <w:color w:val="auto"/>
        </w:rPr>
        <w:t>provided</w:t>
      </w:r>
      <w:r>
        <w:rPr>
          <w:rFonts w:ascii="Arial" w:cs="Arial" w:eastAsia="Arial" w:hAnsi="Arial"/>
          <w:sz w:val="16"/>
          <w:szCs w:val="16"/>
          <w:color w:val="auto"/>
        </w:rPr>
        <w:t>, however, that if the foregoing or its affiliates shall cease to be a Primary Treasury Dealer, we shall select another Primary Treasury Dealer, and (2) three other Primary Treasury Dealers selected by us.</w:t>
      </w:r>
    </w:p>
    <w:p>
      <w:pPr>
        <w:spacing w:after="0" w:line="147"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w:t>
      </w:r>
    </w:p>
    <w:p>
      <w:pPr>
        <w:spacing w:after="0" w:line="18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Offer to Repurchase Upon a Change of Control Repurchase Event</w:t>
      </w:r>
    </w:p>
    <w:p>
      <w:pPr>
        <w:spacing w:after="0" w:line="12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If a Change of Control Repurchase Event occurs, unless we have exercised our right to redeem the Notes in full, we will make an offer to each holder of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1" w:lineRule="auto"/>
        <w:rPr>
          <w:sz w:val="20"/>
          <w:szCs w:val="20"/>
          <w:color w:val="auto"/>
        </w:rPr>
      </w:pPr>
      <w:r>
        <w:rPr>
          <w:rFonts w:ascii="Arial" w:cs="Arial" w:eastAsia="Arial" w:hAnsi="Arial"/>
          <w:sz w:val="16"/>
          <w:szCs w:val="16"/>
          <w:color w:val="auto"/>
        </w:rPr>
        <w:t>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6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1940 Act, we will, to the extent lawful:</w:t>
      </w:r>
    </w:p>
    <w:p>
      <w:pPr>
        <w:spacing w:after="0" w:line="76" w:lineRule="exact"/>
        <w:rPr>
          <w:sz w:val="20"/>
          <w:szCs w:val="20"/>
          <w:color w:val="auto"/>
        </w:rPr>
      </w:pPr>
    </w:p>
    <w:p>
      <w:pPr>
        <w:ind w:left="1180" w:hanging="544"/>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our offer;</w:t>
      </w:r>
    </w:p>
    <w:p>
      <w:pPr>
        <w:spacing w:after="0" w:line="130" w:lineRule="exact"/>
        <w:rPr>
          <w:rFonts w:ascii="Arial" w:cs="Arial" w:eastAsia="Arial" w:hAnsi="Arial"/>
          <w:sz w:val="18"/>
          <w:szCs w:val="18"/>
          <w:color w:val="auto"/>
        </w:rPr>
      </w:pPr>
    </w:p>
    <w:p>
      <w:pPr>
        <w:ind w:left="1180" w:right="640" w:hanging="544"/>
        <w:spacing w:after="0" w:line="27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purchase price in respect of all Notes or portions of Notes properly tendered; and</w:t>
      </w:r>
    </w:p>
    <w:p>
      <w:pPr>
        <w:spacing w:after="0" w:line="75" w:lineRule="exact"/>
        <w:rPr>
          <w:rFonts w:ascii="Arial" w:cs="Arial" w:eastAsia="Arial" w:hAnsi="Arial"/>
          <w:sz w:val="18"/>
          <w:szCs w:val="18"/>
          <w:color w:val="auto"/>
        </w:rPr>
      </w:pPr>
    </w:p>
    <w:p>
      <w:pPr>
        <w:ind w:left="1180" w:right="560" w:hanging="544"/>
        <w:spacing w:after="0" w:line="27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us.</w:t>
      </w:r>
    </w:p>
    <w:p>
      <w:pPr>
        <w:spacing w:after="0" w:line="170"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minimum principal amount of $2,000 or an integral multiple of $1,000 in excess thereof.</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spacing w:after="0" w:line="18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our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the Convertible Notes and the 2023 Notes each contains a provision that would require us to offer to purchase the respective Convertible Notes or 2023 Notes upon the occurrence of a fundamental change. A failure to purchase any tendered Convertible Notes or 2023 Notes would constitute an event of default under the applicable indenture, which would, in turn, constitute a default under our credit facility and the indenture. See “Management’s Discussion and Analysis of Financial Condition and Results of Operations—Financial Condition, Liquidity and Capital Resources” in our 2019 Q2 Quarterly Report, which is incorporated by reference herein, for a general discussion of our indebtedness. Our future debt instruments may contain similar restrictions and provisions. If the holders of the Notes exercise their right to require us to repurchase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Factors—Risks Relating to the Notes—We may not be able to repurchase the Notes upon a Change of Control Repurchase Event.”</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definition of “Change of Control”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Notes:</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 xml:space="preserve">“Below Investment Grade Rating Event”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131" w:lineRule="exact"/>
        <w:rPr>
          <w:sz w:val="20"/>
          <w:szCs w:val="20"/>
          <w:color w:val="auto"/>
        </w:rPr>
      </w:pPr>
    </w:p>
    <w:p>
      <w:pPr>
        <w:ind w:left="1180" w:right="60" w:hanging="544"/>
        <w:spacing w:after="0" w:line="25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direct or indirect sale, lease, transfer, conveyance or other disposition (other than by way of merger or consolidation) in one or a series of related transactions, of all or substantially all of the assets of TSLX and its Controlled Subsidiaries taken as a whole to any “person” or “group” (as those terms are used in Section 13(d)(3) of the Exchange Act), other than to any Permitted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TSLX or its Controlled Subsidiaries shall not be deemed to be any such sale, lease, transfer, conveyance or disposition;</w:t>
      </w:r>
    </w:p>
    <w:p>
      <w:pPr>
        <w:spacing w:after="0" w:line="93" w:lineRule="exact"/>
        <w:rPr>
          <w:rFonts w:ascii="Arial" w:cs="Arial" w:eastAsia="Arial" w:hAnsi="Arial"/>
          <w:sz w:val="18"/>
          <w:szCs w:val="18"/>
          <w:color w:val="auto"/>
        </w:rPr>
      </w:pPr>
    </w:p>
    <w:p>
      <w:pPr>
        <w:jc w:val="both"/>
        <w:ind w:left="1180" w:right="140" w:hanging="544"/>
        <w:spacing w:after="0" w:line="279" w:lineRule="auto"/>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TSLX, measured by voting power rather than number of shares; or</w:t>
      </w:r>
    </w:p>
    <w:p>
      <w:pPr>
        <w:spacing w:after="0" w:line="76" w:lineRule="exact"/>
        <w:rPr>
          <w:rFonts w:ascii="Arial" w:cs="Arial" w:eastAsia="Arial" w:hAnsi="Arial"/>
          <w:sz w:val="17"/>
          <w:szCs w:val="17"/>
          <w:color w:val="auto"/>
        </w:rPr>
      </w:pPr>
    </w:p>
    <w:p>
      <w:pPr>
        <w:ind w:left="1180" w:hanging="544"/>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approval by TSLX’s stockholders of any plan or proposal relating to the liquidation or dissolution of TSLX.</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“Controlled Subsidiary” means any subsidiary of TSLX, 50% or more of the outstanding equity interests of which are owned by TSLX and its direct or indirect subsidiaries and of which TSLX possesses, directly or indirectly, the power to direct or cause the direction of the management or policies, whether through the ownership of voting equity interests, by agreement or otherwise.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“Fitch” means Fitch Ratings, Inc., also known as Fitch Ratings, or any successor thereto.</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“Investment Grade” means a rating of BBB- or better by Fitch (or its equivalent under any successor rating categories of Fitch), BBB- or better by S&amp;P (or its equivalent under any successor rating categories of S&amp;P)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Baa3 or better by Moody’s (or its equivalent under any successor rating categories of Moody’s) (or, in each case, if such Rating Agency ceases to rate the Notes for reasons outside of our control, the equivalent investment grade credit rating from any Rating Agency selected by us as a replacement Rating Agency).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“Moody’s” means Moody’s Investor Service, or any successor thereto.</w:t>
      </w:r>
    </w:p>
    <w:p>
      <w:pPr>
        <w:spacing w:after="0" w:line="225"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“Permitted Holders” means (i) us, (ii) one or more of our Controlled Subsidiaries and (iii) TSL Advisers LLC or any affiliate of TSL Advisers LLC that is organized under the laws of a jurisdiction located in the United States of America and in the business of managing or advising clients.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“Rating Agency” means:</w:t>
      </w:r>
    </w:p>
    <w:p>
      <w:pPr>
        <w:spacing w:after="0" w:line="131" w:lineRule="exact"/>
        <w:rPr>
          <w:sz w:val="20"/>
          <w:szCs w:val="20"/>
          <w:color w:val="auto"/>
        </w:rPr>
      </w:pPr>
    </w:p>
    <w:p>
      <w:pPr>
        <w:ind w:left="1180" w:hanging="544"/>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Fitch, Moody’s and S&amp;P; and</w:t>
      </w:r>
    </w:p>
    <w:p>
      <w:pPr>
        <w:spacing w:after="0" w:line="130" w:lineRule="exact"/>
        <w:rPr>
          <w:rFonts w:ascii="Arial" w:cs="Arial" w:eastAsia="Arial" w:hAnsi="Arial"/>
          <w:sz w:val="18"/>
          <w:szCs w:val="18"/>
          <w:color w:val="auto"/>
        </w:rPr>
      </w:pPr>
    </w:p>
    <w:p>
      <w:pPr>
        <w:ind w:left="1180" w:right="40" w:hanging="544"/>
        <w:spacing w:after="0" w:line="264"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any of Fitch, Moody’s or S&amp;P ceases to rate the Notes or fails to make a rating of the Notes publicly available for reasons outside of our control, a “nationally recognized statistical rating organization” as defined in Section (3)(a)(62) of the Exchange Act selected by us as a replacement agency for Fitch, Moody’s or S&amp;P, or all three, as the case may be.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“S&amp;P” means S&amp;P Global Ratings or any successor thereto.</w:t>
      </w:r>
    </w:p>
    <w:p>
      <w:pPr>
        <w:spacing w:after="0" w:line="225"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7"/>
          <w:szCs w:val="17"/>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In addition to the covenants described in the base indenture, the following covenants shall apply to the Notes. To the extent of any conflict or inconsistency between the base indenture and the following covenants, the following covenants shall govern: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indenture will provide that we will not merge or consolidate with or into any other person (other than a merger of a wholly owned subsidiary into us), or sell, transfer, lease, convey or otherwise dispose of all or substantially all our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TSLX or its Controlled Subsidiaries shall not be deemed to be any such sale, transfer, lease, conveyance or disposition) in any one transaction or series of related transactions unless:</w:t>
      </w:r>
    </w:p>
    <w:p>
      <w:pPr>
        <w:spacing w:after="0" w:line="92" w:lineRule="exact"/>
        <w:rPr>
          <w:sz w:val="20"/>
          <w:szCs w:val="20"/>
          <w:color w:val="auto"/>
        </w:rPr>
      </w:pPr>
    </w:p>
    <w:p>
      <w:pPr>
        <w:ind w:left="1180" w:right="60" w:hanging="436"/>
        <w:spacing w:after="0" w:line="264"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86" w:lineRule="exact"/>
        <w:rPr>
          <w:rFonts w:ascii="Arial" w:cs="Arial" w:eastAsia="Arial" w:hAnsi="Arial"/>
          <w:sz w:val="18"/>
          <w:szCs w:val="18"/>
          <w:color w:val="auto"/>
        </w:rPr>
      </w:pPr>
    </w:p>
    <w:p>
      <w:pPr>
        <w:ind w:left="1180" w:hanging="436"/>
        <w:spacing w:after="0" w:line="259"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w:t>
      </w:r>
    </w:p>
    <w:p>
      <w:pPr>
        <w:spacing w:after="0" w:line="92"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shall have occurred and be continuing; and</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shall deliver, or cause to be delivered, to the trustee, an officers’ certificate and an opinion of counsel, each stating that such transaction and the supplemental indenture, if any, in respect thereto,</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300"/>
        <w:spacing w:after="0" w:line="277" w:lineRule="auto"/>
        <w:rPr>
          <w:sz w:val="20"/>
          <w:szCs w:val="20"/>
          <w:color w:val="auto"/>
        </w:rPr>
      </w:pPr>
      <w:r>
        <w:rPr>
          <w:rFonts w:ascii="Arial" w:cs="Arial" w:eastAsia="Arial" w:hAnsi="Arial"/>
          <w:sz w:val="18"/>
          <w:szCs w:val="18"/>
          <w:color w:val="auto"/>
        </w:rPr>
        <w:t>comply with this covenant, that all conditions precedent in the indenture relating to such transaction have been complied with and that such supplemental indenture is valid, binding and enforceable against the successor company.</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spacing w:after="0" w:line="181" w:lineRule="exact"/>
        <w:rPr>
          <w:sz w:val="20"/>
          <w:szCs w:val="20"/>
          <w:color w:val="auto"/>
        </w:rPr>
      </w:pPr>
    </w:p>
    <w:p>
      <w:pPr>
        <w:ind w:left="200" w:right="200" w:firstLine="441"/>
        <w:spacing w:after="0" w:line="293" w:lineRule="auto"/>
        <w:rPr>
          <w:sz w:val="20"/>
          <w:szCs w:val="20"/>
          <w:color w:val="auto"/>
        </w:rPr>
      </w:pPr>
      <w:r>
        <w:rPr>
          <w:rFonts w:ascii="Arial" w:cs="Arial" w:eastAsia="Arial" w:hAnsi="Arial"/>
          <w:sz w:val="16"/>
          <w:szCs w:val="16"/>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65" w:lineRule="exact"/>
        <w:rPr>
          <w:sz w:val="20"/>
          <w:szCs w:val="20"/>
          <w:color w:val="auto"/>
        </w:rPr>
      </w:pPr>
    </w:p>
    <w:p>
      <w:pPr>
        <w:jc w:val="both"/>
        <w:ind w:left="200" w:right="260" w:firstLine="441"/>
        <w:spacing w:after="0" w:line="312" w:lineRule="auto"/>
        <w:rPr>
          <w:sz w:val="20"/>
          <w:szCs w:val="20"/>
          <w:color w:val="auto"/>
        </w:rPr>
      </w:pPr>
      <w:r>
        <w:rPr>
          <w:rFonts w:ascii="Arial" w:cs="Arial" w:eastAsia="Arial" w:hAnsi="Arial"/>
          <w:sz w:val="16"/>
          <w:szCs w:val="16"/>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1180" w:right="300" w:hanging="436"/>
        <w:spacing w:after="0" w:line="264"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spacing w:after="0" w:line="86" w:lineRule="exact"/>
        <w:rPr>
          <w:rFonts w:ascii="Arial" w:cs="Arial" w:eastAsia="Arial" w:hAnsi="Arial"/>
          <w:sz w:val="18"/>
          <w:szCs w:val="18"/>
          <w:color w:val="auto"/>
        </w:rPr>
      </w:pPr>
    </w:p>
    <w:p>
      <w:pPr>
        <w:ind w:left="1180" w:right="40" w:hanging="436"/>
        <w:spacing w:after="0" w:line="25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following is an event of default:</w:t>
      </w:r>
    </w:p>
    <w:p>
      <w:pPr>
        <w:spacing w:after="0" w:line="131" w:lineRule="exact"/>
        <w:rPr>
          <w:sz w:val="20"/>
          <w:szCs w:val="20"/>
          <w:color w:val="auto"/>
        </w:rPr>
      </w:pPr>
    </w:p>
    <w:p>
      <w:pPr>
        <w:ind w:left="1180" w:hanging="544"/>
        <w:spacing w:after="0"/>
        <w:tabs>
          <w:tab w:leader="none" w:pos="1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default in the payment of any interest upon any Note when due and payable and the default continues for a period of 30 days;</w:t>
      </w:r>
    </w:p>
    <w:p>
      <w:pPr>
        <w:spacing w:after="0" w:line="142" w:lineRule="exact"/>
        <w:rPr>
          <w:rFonts w:ascii="Arial" w:cs="Arial" w:eastAsia="Arial" w:hAnsi="Arial"/>
          <w:sz w:val="17"/>
          <w:szCs w:val="17"/>
          <w:color w:val="auto"/>
        </w:rPr>
      </w:pPr>
    </w:p>
    <w:p>
      <w:pPr>
        <w:ind w:left="1180" w:right="280" w:hanging="544"/>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Note when it becomes due and payable at its maturity, including upon any redemption date or required repurchase date;</w:t>
      </w:r>
    </w:p>
    <w:p>
      <w:pPr>
        <w:spacing w:after="0" w:line="75" w:lineRule="exact"/>
        <w:rPr>
          <w:rFonts w:ascii="Arial" w:cs="Arial" w:eastAsia="Arial" w:hAnsi="Arial"/>
          <w:sz w:val="18"/>
          <w:szCs w:val="18"/>
          <w:color w:val="auto"/>
        </w:rPr>
      </w:pPr>
    </w:p>
    <w:p>
      <w:pPr>
        <w:ind w:left="1180" w:hanging="544"/>
        <w:spacing w:after="0" w:line="264"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w:t>
      </w:r>
    </w:p>
    <w:p>
      <w:pPr>
        <w:spacing w:after="0" w:line="86" w:lineRule="exact"/>
        <w:rPr>
          <w:rFonts w:ascii="Arial" w:cs="Arial" w:eastAsia="Arial" w:hAnsi="Arial"/>
          <w:sz w:val="18"/>
          <w:szCs w:val="18"/>
          <w:color w:val="auto"/>
        </w:rPr>
      </w:pPr>
    </w:p>
    <w:p>
      <w:pPr>
        <w:ind w:left="1180" w:right="260" w:hanging="544"/>
        <w:spacing w:after="0" w:line="291" w:lineRule="auto"/>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default by us or any of our significant subsidiaries, as defined in Article 1, Rule 1-02 of Regulation S-X under the Exchange Act (but excluding any subsidiary which is (a) a non-recourse or limited recourse subsidiary, (b) a bankruptcy remote special purpose vehicle or</w:t>
      </w:r>
    </w:p>
    <w:p>
      <w:pPr>
        <w:ind w:left="1180"/>
        <w:spacing w:after="0"/>
        <w:rPr>
          <w:rFonts w:ascii="Arial" w:cs="Arial" w:eastAsia="Arial" w:hAnsi="Arial"/>
          <w:sz w:val="16"/>
          <w:szCs w:val="16"/>
          <w:color w:val="auto"/>
        </w:rPr>
      </w:pPr>
      <w:r>
        <w:rPr>
          <w:rFonts w:ascii="Arial" w:cs="Arial" w:eastAsia="Arial" w:hAnsi="Arial"/>
          <w:sz w:val="18"/>
          <w:szCs w:val="18"/>
          <w:color w:val="auto"/>
        </w:rPr>
        <w:t>(c) is not consolidated with TSLX for</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60"/>
          </w:cols>
          <w:pgMar w:left="24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spacing w:after="0" w:line="291" w:lineRule="auto"/>
        <w:rPr>
          <w:sz w:val="20"/>
          <w:szCs w:val="20"/>
          <w:color w:val="auto"/>
        </w:rPr>
      </w:pPr>
      <w:r>
        <w:rPr>
          <w:rFonts w:ascii="Arial" w:cs="Arial" w:eastAsia="Arial" w:hAnsi="Arial"/>
          <w:sz w:val="16"/>
          <w:szCs w:val="16"/>
          <w:color w:val="auto"/>
        </w:rPr>
        <w:t>purposes of GAAP), with respect to any mortgage, agreement or other instrument under which there may be outstanding, or by which there may be secured or evidenced, any indebtedness for money borrowed in excess of $50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spacing w:after="0" w:line="73" w:lineRule="exact"/>
        <w:rPr>
          <w:sz w:val="20"/>
          <w:szCs w:val="20"/>
          <w:color w:val="auto"/>
        </w:rPr>
      </w:pPr>
    </w:p>
    <w:p>
      <w:pPr>
        <w:ind w:left="1180" w:right="80" w:hanging="544"/>
        <w:spacing w:after="0" w:line="312" w:lineRule="auto"/>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spacing w:after="0" w:line="52" w:lineRule="exact"/>
        <w:rPr>
          <w:rFonts w:ascii="Arial" w:cs="Arial" w:eastAsia="Arial" w:hAnsi="Arial"/>
          <w:sz w:val="16"/>
          <w:szCs w:val="16"/>
          <w:color w:val="auto"/>
        </w:rPr>
      </w:pPr>
    </w:p>
    <w:p>
      <w:pPr>
        <w:ind w:left="1180" w:right="420" w:hanging="544"/>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us occur and remain undischarged or unstayed for a period of 90 days.</w:t>
      </w:r>
    </w:p>
    <w:p>
      <w:pPr>
        <w:spacing w:after="0" w:line="170"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If an event of default occurs and is continuing,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7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76" w:lineRule="exact"/>
        <w:rPr>
          <w:sz w:val="20"/>
          <w:szCs w:val="20"/>
          <w:color w:val="auto"/>
        </w:rPr>
      </w:pPr>
    </w:p>
    <w:p>
      <w:pPr>
        <w:ind w:left="1180" w:hanging="544"/>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Notes;</w:t>
      </w:r>
    </w:p>
    <w:p>
      <w:pPr>
        <w:spacing w:after="0" w:line="130" w:lineRule="exact"/>
        <w:rPr>
          <w:rFonts w:ascii="Arial" w:cs="Arial" w:eastAsia="Arial" w:hAnsi="Arial"/>
          <w:sz w:val="18"/>
          <w:szCs w:val="18"/>
          <w:color w:val="auto"/>
        </w:rPr>
      </w:pPr>
    </w:p>
    <w:p>
      <w:pPr>
        <w:ind w:left="1180" w:right="360" w:hanging="544"/>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shall have made written request to the trustee to institute proceedings in respect of such event of default;</w:t>
      </w:r>
    </w:p>
    <w:p>
      <w:pPr>
        <w:spacing w:after="0" w:line="75" w:lineRule="exact"/>
        <w:rPr>
          <w:rFonts w:ascii="Arial" w:cs="Arial" w:eastAsia="Arial" w:hAnsi="Arial"/>
          <w:sz w:val="18"/>
          <w:szCs w:val="18"/>
          <w:color w:val="auto"/>
        </w:rPr>
      </w:pPr>
    </w:p>
    <w:p>
      <w:pPr>
        <w:ind w:left="1180" w:right="100" w:hanging="544"/>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security or indemnity satisfactory to the trustee against the costs, expenses and liabilities to be incurred in compliance with such request;</w:t>
      </w:r>
    </w:p>
    <w:p>
      <w:pPr>
        <w:spacing w:after="0" w:line="75" w:lineRule="exact"/>
        <w:rPr>
          <w:rFonts w:ascii="Arial" w:cs="Arial" w:eastAsia="Arial" w:hAnsi="Arial"/>
          <w:sz w:val="18"/>
          <w:szCs w:val="18"/>
          <w:color w:val="auto"/>
        </w:rPr>
      </w:pPr>
    </w:p>
    <w:p>
      <w:pPr>
        <w:ind w:left="1180" w:right="60" w:hanging="544"/>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security or indemnity has failed to institute any such proceeding;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60" w:hanging="544"/>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Notes.</w:t>
      </w:r>
    </w:p>
    <w:p>
      <w:pPr>
        <w:spacing w:after="0" w:line="170" w:lineRule="exact"/>
        <w:rPr>
          <w:sz w:val="20"/>
          <w:szCs w:val="20"/>
          <w:color w:val="auto"/>
        </w:rPr>
      </w:pPr>
    </w:p>
    <w:p>
      <w:pPr>
        <w:jc w:val="both"/>
        <w:ind w:left="200" w:right="120" w:firstLine="441"/>
        <w:spacing w:after="0" w:line="279" w:lineRule="auto"/>
        <w:rPr>
          <w:sz w:val="20"/>
          <w:szCs w:val="20"/>
          <w:color w:val="auto"/>
        </w:rPr>
      </w:pPr>
      <w:r>
        <w:rPr>
          <w:rFonts w:ascii="Arial" w:cs="Arial" w:eastAsia="Arial" w:hAnsi="Arial"/>
          <w:sz w:val="17"/>
          <w:szCs w:val="17"/>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7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direction shall not be in conflict with any rule of law or with this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8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Note,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93"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70"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Arial" w:cs="Arial" w:eastAsia="Arial" w:hAnsi="Arial"/>
          <w:sz w:val="16"/>
          <w:szCs w:val="16"/>
          <w:i w:val="1"/>
          <w:iCs w:val="1"/>
          <w:color w:val="auto"/>
        </w:rPr>
        <w:t>provided</w:t>
      </w:r>
      <w:r>
        <w:rPr>
          <w:rFonts w:ascii="Arial" w:cs="Arial" w:eastAsia="Arial" w:hAnsi="Arial"/>
          <w:sz w:val="16"/>
          <w:szCs w:val="16"/>
          <w:color w:val="auto"/>
        </w:rPr>
        <w:t>, however, that, except in the case of a default in the payment of the principal of (or premium, if any, on) or interest, if any, on any Note, the trustee shall be protected in withholding such notice if and so long as it in good faith determines that withholding of such notice is in the interest of the holders of the Notes.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may satisfy and discharge our obligations under the indenture by delivering to the securities registrar for cancellation all outstanding Notes or by depositing with the trustee or delivering to the holders, as applicable, after the Notes have become due and payable, or otherwise, moneys sufficient to pay all of the outstanding Notes and paying all other sums payable under the indenture by us. Such discharge is subject to terms contained in the indenture.</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addition, the Notes are subject to defeasance and covenant defeasance, in each case, in accordance with the terms of the indenture. Defeasance means that, subject to the satisfaction of certain conditions, including, but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stating that (a) we have received from, or there has been published by, the Internal Revenue Service (the “IRS”) a ruling, or (b) since the date of execution of the Indenture, there has been a change in the applicable U.S. federal income tax law, in either case to the effect that, and based thereon,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we can legally release ourselves from all payment and other obligations on the Notes. Covenant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to the effect that the holders of the Notes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we will be released from some of the restrictive covenants in the indenture.</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Wells Fargo Bank, National Association is the trustee, security registrar and paying agent. Wells Fargo Bank, National Association, in each of its capacities, including without limitation as trustee, security registrar and paying agent, assumes no responsibility for the accuracy or completeness of the information concerning us or our affiliates or any other party contained in this prospectus supplement and accompanying prospectus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maintain banking relationships in the ordinary course of business with the trustee and its affiliates.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Settlement and Clearance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Global Notes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spacing w:after="0" w:line="18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Ownership of beneficial interests in a Global Note will be limited to persons who have accounts with DTC (“DTC participants”) or persons who hold interests through DTC participants. We expect that under procedures established by DTC:</w:t>
      </w:r>
    </w:p>
    <w:p>
      <w:pPr>
        <w:spacing w:after="0" w:line="76" w:lineRule="exact"/>
        <w:rPr>
          <w:sz w:val="20"/>
          <w:szCs w:val="20"/>
          <w:color w:val="auto"/>
        </w:rPr>
      </w:pPr>
    </w:p>
    <w:p>
      <w:pPr>
        <w:ind w:left="1180" w:right="120" w:hanging="436"/>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0" w:hanging="436"/>
        <w:spacing w:after="0" w:line="264"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Beneficial interests in Global Notes may not be exchanged for Notes in physical, certificated form except in the limited circumstances described below.</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Book-Entry Procedures for Global Notes</w:t>
      </w:r>
    </w:p>
    <w:p>
      <w:pPr>
        <w:spacing w:after="0" w:line="11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the underwriters are responsible for those operations or procedures.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93"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29" w:lineRule="exact"/>
        <w:rPr>
          <w:sz w:val="20"/>
          <w:szCs w:val="20"/>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30"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81"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Payments of principal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4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79"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w:t>
      </w:r>
    </w:p>
    <w:p>
      <w:pPr>
        <w:spacing w:after="0" w:line="116" w:lineRule="exact"/>
        <w:rPr>
          <w:sz w:val="20"/>
          <w:szCs w:val="20"/>
          <w:color w:val="auto"/>
        </w:rPr>
      </w:pPr>
    </w:p>
    <w:p>
      <w:pPr>
        <w:ind w:left="1180" w:right="20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 or</w:t>
      </w:r>
    </w:p>
    <w:p>
      <w:pPr>
        <w:spacing w:after="0" w:line="153" w:lineRule="exact"/>
        <w:rPr>
          <w:rFonts w:ascii="Arial" w:cs="Arial" w:eastAsia="Arial" w:hAnsi="Arial"/>
          <w:sz w:val="16"/>
          <w:szCs w:val="16"/>
          <w:color w:val="auto"/>
        </w:rPr>
      </w:pPr>
    </w:p>
    <w:p>
      <w:pPr>
        <w:ind w:left="1180" w:right="14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event of default with respect to the Notes has occurred and is continuing and such beneficial owner requests that its Notes be issued in physical, certificated form.</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following discussion is a summary of the material U.S. federal income tax considerations that are likely to be relevant to the purchase, ownership and disposition of the Notes. This summary does not purport to be a comprehensive description of all of the tax considerations that may be relevant to a decision to purchase Notes by any particular investor. Thus, for example, this summary deals only with beneficial owners (referred to in this summary as “holders”) of Notes that hold their Notes as capital assets and acquired Notes upon their original issuance at their original issue price, which is the first price at which a substantial amount of the Notes is sold for money to the public (not including bond houses, brokers or similar persons or organizations acting in the capacity of underwriters, placement agents or wholesalers). Additionally, we have not described tax consequences that may be relevant to certain types of holders that are subject to special treatment under U.S. federal income tax laws, including:</w:t>
      </w:r>
    </w:p>
    <w:p>
      <w:pPr>
        <w:spacing w:after="0" w:line="73" w:lineRule="exact"/>
        <w:rPr>
          <w:sz w:val="20"/>
          <w:szCs w:val="20"/>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trusts;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persons holding Notes as part of a “straddle”, “hedge”, “conversion transaction,” “synthetic security” or other integrated investment;</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persons who hold our stock or Notes on behalf of another person as a nominee;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Nonresident alien individuals present in the United States for more than 182 days in a taxable year;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Holders (as defined below) who have a “functional currency” other than the U.S. dollar.</w:t>
      </w:r>
    </w:p>
    <w:p>
      <w:pPr>
        <w:spacing w:after="0" w:line="22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and gift tax consequences, the Medicare tax on net investment income and the alternative minimum tax) or any state, local or foreign tax consequences.</w:t>
      </w:r>
    </w:p>
    <w:p>
      <w:pPr>
        <w:spacing w:after="0" w:line="17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holders in light of their personal circumstances.</w:t>
      </w:r>
    </w:p>
    <w:p>
      <w:pPr>
        <w:spacing w:after="0" w:line="18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For purposes of this discussion, the term “U.S. Holder” means a beneficial owner of a Note that is, for U.S. federal income tax purposes, an individual who is a citizen or resident of the United States or a domestic corporation or otherwise subject to U.S. federal income tax on a net income basis in respect of the Notes. The term “non-U.S. Holder” means a beneficial owner of a Note that is not a U.S. Holder. If a partnership (including an 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Partnerships holding Notes, and persons holding interests in such partnerships, should each consult their own tax advisors as to the consequences of investing in the Notes in their individual circumstances.</w:t>
      </w:r>
    </w:p>
    <w:p>
      <w:pPr>
        <w:spacing w:after="0" w:line="1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40"/>
          </w:cols>
          <w:pgMar w:left="240" w:top="459"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Consequences to U.S. Holders of Notes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Book/Tax Conformity</w:t>
      </w:r>
    </w:p>
    <w:p>
      <w:pPr>
        <w:spacing w:after="0" w:line="117"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U.S. Holders that use an accrual method of accounting for tax purposes (“accrual method holders”) generally are required to include certain amounts in income no later than the time such amounts are reflected on certain financial statements (the “book/tax conformity rule”). The application of the book/tax conformity rule thus may require the accrual of income earlier than would be the case under the general tax rules described below. It is not entirely clear to what types of income the book/tax conformity rule applies, or, in some cases, how the rule is to be applied if it is applicable. However, recently released proposed regulations generally would exclude, among other items, original issue discount and market discount (in either case, whether or not de minimis) from the applicability of the book/tax conformity rule. Although the proposed regulations generally will not be effective until taxable years beginning after the date on which they are issued in final form, taxpayers generally are permitted to elect to rely on their provisions currently.</w:t>
      </w:r>
    </w:p>
    <w:p>
      <w:pPr>
        <w:spacing w:after="0" w:line="3" w:lineRule="exact"/>
        <w:rPr>
          <w:sz w:val="20"/>
          <w:szCs w:val="20"/>
          <w:color w:val="auto"/>
        </w:rPr>
      </w:pPr>
    </w:p>
    <w:p>
      <w:pPr>
        <w:ind w:left="200" w:right="280"/>
        <w:spacing w:after="0" w:line="261" w:lineRule="auto"/>
        <w:rPr>
          <w:sz w:val="20"/>
          <w:szCs w:val="20"/>
          <w:color w:val="auto"/>
        </w:rPr>
      </w:pPr>
      <w:r>
        <w:rPr>
          <w:rFonts w:ascii="Arial" w:cs="Arial" w:eastAsia="Arial" w:hAnsi="Arial"/>
          <w:sz w:val="18"/>
          <w:szCs w:val="18"/>
          <w:color w:val="auto"/>
        </w:rPr>
        <w:t>Accrual method holders should consult with their tax advisors regarding the potential applicability of the book/tax conformity rule to their particular situation.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Payments of Stated Interest</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Stated interest on the Notes will generally be includible in the income of a U.S. Holder as ordinary income at the time the interest is received or accrued in accordance with the U.S. Holder’s method of accounting for U.S. federal income tax purposes. It is anticipated, and this discussion assumes, that the Notes will be issued with no more than a de minimis amount of original issue discount (as defined in applicable Treasury regulations). If, however, the Notes are issued for an amount less than the principal amount and the difference is more than a de minimis amount, a U.S. Holder will be required to include the difference in income as original issue discount in accordance with a “constant-yield method” before the receipt of cash attributable to such income, regardless of the U.S. Holder’s regular method of accounting for U.S. income tax purposes. A U.S. Holder is urged to consult its own tax advisor in the event the Notes are issued with original issue discount.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Exchange, Retirement or Other Taxable Disposition of Notes</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 U.S. Holder will generally recognize taxable gain or loss upon the sale, exchange, retirement or other taxable disposition of a Note equal to the difference between the amount received for the Note (less amounts attributable to accrued but unpaid stated interest, which will be taxable as a payment of such accrued interest) and the U.S. Holder’s tax basis in the Note. A U.S. Holder’s tax basis in a Note generally will be equal to the amount paid for the Note. Any gain or loss recognized on a taxable disposition of the Note will generally constitute capital gain or loss. A non-corporate U.S. Holder who has held the Note for more than one year generally will be eligible for reduced rates of taxation on long-term capital gain. The ability to deduct capital losses is limited.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Consequences to Non-U.S. Holders of Notes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Payments of Stated Interest</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Subject to the discussion of backup withholding and FATCA below, a non-U.S. Holder will not be subject to U.S. federal withholding tax or income tax in respect of stated interest on the Notes provided that:</w:t>
      </w:r>
    </w:p>
    <w:p>
      <w:pPr>
        <w:spacing w:after="0" w:line="76" w:lineRule="exact"/>
        <w:rPr>
          <w:sz w:val="20"/>
          <w:szCs w:val="20"/>
          <w:color w:val="auto"/>
        </w:rPr>
      </w:pPr>
    </w:p>
    <w:p>
      <w:pPr>
        <w:ind w:left="1180" w:right="240" w:hanging="436"/>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non-U.S. Holder does not actually or constructively own 10% or more of the total combined voting power of all classes of our stock that are entitled to vote within the meaning of Section 871(h)(3) of the Code;</w:t>
      </w:r>
    </w:p>
    <w:p>
      <w:pPr>
        <w:spacing w:after="0" w:line="75" w:lineRule="exact"/>
        <w:rPr>
          <w:rFonts w:ascii="Arial" w:cs="Arial" w:eastAsia="Arial" w:hAnsi="Arial"/>
          <w:sz w:val="18"/>
          <w:szCs w:val="18"/>
          <w:color w:val="auto"/>
        </w:rPr>
      </w:pPr>
    </w:p>
    <w:p>
      <w:pPr>
        <w:ind w:left="1180" w:right="620" w:hanging="436"/>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that is related to us (actually or constructively) through sufficient stock ownership; and</w:t>
      </w:r>
    </w:p>
    <w:p>
      <w:pPr>
        <w:spacing w:after="0" w:line="75"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non-U.S. Holder provides its name and address, and certifies, under penalties of perjury, that it is not a U.S. person (which certification may be made on an IRS W-8BEN or IRS W-8BEN-E (or</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640"/>
        <w:spacing w:after="0" w:line="277" w:lineRule="auto"/>
        <w:rPr>
          <w:sz w:val="20"/>
          <w:szCs w:val="20"/>
          <w:color w:val="auto"/>
        </w:rPr>
      </w:pPr>
      <w:r>
        <w:rPr>
          <w:rFonts w:ascii="Arial" w:cs="Arial" w:eastAsia="Arial" w:hAnsi="Arial"/>
          <w:sz w:val="18"/>
          <w:szCs w:val="18"/>
          <w:color w:val="auto"/>
        </w:rPr>
        <w:t>successor form, in each case)) or (b) the Non-U.S. Holder holds the Notes through certain foreign intermediaries or certain foreign partnerships, and satisfies the certification requirements of applicable Treasury Regulations.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Exchange or Retirement of Notes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Subject to the discussion below under “</w:t>
      </w:r>
      <w:r>
        <w:rPr>
          <w:rFonts w:ascii="Arial" w:cs="Arial" w:eastAsia="Arial" w:hAnsi="Arial"/>
          <w:sz w:val="16"/>
          <w:szCs w:val="16"/>
          <w:i w:val="1"/>
          <w:iCs w:val="1"/>
          <w:color w:val="auto"/>
        </w:rPr>
        <w:t>Information Reporting and Backup Withholding</w:t>
      </w:r>
      <w:r>
        <w:rPr>
          <w:rFonts w:ascii="Arial" w:cs="Arial" w:eastAsia="Arial" w:hAnsi="Arial"/>
          <w:sz w:val="16"/>
          <w:szCs w:val="16"/>
          <w:color w:val="auto"/>
        </w:rPr>
        <w:t>,” a Non-U.S. Holder generally will not be subject to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federal income tax on gain recognized on a sale, exchange or retirement of Notes.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Information returns will be filed with the IRS in connection with payments on the Notes made to, and the proceeds of dispositions of Notes effected by, certain U.S. Holders. In addition, certain U.S. Holders may be subject to backup withholding tax in respect of such payments if they do not provide their taxpayer identification numbers to the person from whom they receive payments. Non-U.S. Holders generally are exempt from information reporting and backup withholding, provided, if necessary, that they demonstrate their qualification for exemption. Any amounts withheld under the backup withholding rules from a payment to a U.S. or Non-U.S. Holder generally would be allowed as a refund or a credit against such Holder’s U.S. federal income tax provided the required information is timely furnished to the IRS.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Under certain circumstances, the Foreign Account Tax Compliance provisions of the United States Hiring Incentives to Restore Employment Act (“FATCA”) will impose a withholding tax of 30% on payments of interest on the Notes made to certain foreign entities unless various information reporting requirements are satisfied. Specifically, a 30% withholding tax may be imposed on interest on the Notes paid to a “foreign financial institution” or a “nonfinancial foreign entity” (each as defined in the Code), unless such entity is FATCA compliant. In order to be treated as FATCA compliant, an entity must provide certain documentation (usually an IRS Form W-8BEN or W-8BEN-E) containing information about its identity, its FATCA status, and if required, its direct and indirect U.S. owners. An intergovernmental agreement between the United States and an applicable foreign country, or future Treasury Regulations or other guidance, may modify these requirements. Accordingly, the entity through which the Notes are held will affect the determination of whether such withholding is required.</w:t>
      </w:r>
    </w:p>
    <w:p>
      <w:pPr>
        <w:spacing w:after="0" w:line="179" w:lineRule="exact"/>
        <w:rPr>
          <w:sz w:val="20"/>
          <w:szCs w:val="20"/>
          <w:color w:val="auto"/>
        </w:rPr>
      </w:pPr>
    </w:p>
    <w:p>
      <w:pPr>
        <w:ind w:left="200" w:right="260" w:firstLine="441"/>
        <w:spacing w:after="0" w:line="291" w:lineRule="auto"/>
        <w:rPr>
          <w:sz w:val="20"/>
          <w:szCs w:val="20"/>
          <w:color w:val="auto"/>
        </w:rPr>
      </w:pPr>
      <w:r>
        <w:rPr>
          <w:rFonts w:ascii="Arial" w:cs="Arial" w:eastAsia="Arial" w:hAnsi="Arial"/>
          <w:sz w:val="16"/>
          <w:szCs w:val="16"/>
          <w:color w:val="auto"/>
        </w:rPr>
        <w:t>Under the applicable Treasury Regulations, withholding under FATCA generally applies to payments of interest on the Notes from their date of issuance. The FATCA withholding tax will apply to all withholdable payments without regard to whether the beneficial owner of the payment would otherwise be entitled to an exemption from imposition of withholding tax pursuant to an applicable tax treaty with the United States or U.S. domestic law. If payment of this withholding tax is made, holders that are otherwise eligible for an exemption from, or reduction of, U.S. federal withholding taxes with respect to such interest or proceeds will be required to seek a credit or refund from the IRS to obtain the benefit of such exemption or reduction, if any. We will not pay additional amounts to holders of the Notes in respect of any amounts withheld. Prospective holders should consult their own tax advisors regarding the potential application of withholding under FATCA to their investment in the Notes.</w:t>
      </w:r>
    </w:p>
    <w:p>
      <w:pPr>
        <w:spacing w:after="0" w:line="167"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Investors should consult their own tax advisors with respect to the particular tax consequences of an investment in the Notes in their individual circumstances, including the possible effect of any pending legislation or proposed regulations.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BofA Securities, Inc. is acting as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aggregate principal amount of Notes set forth opposite its name below.</w:t>
      </w:r>
    </w:p>
    <w:p>
      <w:pPr>
        <w:spacing w:after="0" w:line="172"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59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59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3"/>
        </w:trPr>
        <w:tc>
          <w:tcPr>
            <w:tcW w:w="6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680" w:type="dxa"/>
            <w:vAlign w:val="bottom"/>
            <w:gridSpan w:val="2"/>
          </w:tcPr>
          <w:p>
            <w:pPr>
              <w:jc w:val="right"/>
              <w:ind w:right="539"/>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680" w:type="dxa"/>
            <w:vAlign w:val="bottom"/>
            <w:gridSpan w:val="2"/>
            <w:shd w:val="clear" w:color="auto" w:fill="CCEEFF"/>
          </w:tcPr>
          <w:p>
            <w:pPr>
              <w:jc w:val="right"/>
              <w:ind w:right="539"/>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680" w:type="dxa"/>
            <w:vAlign w:val="bottom"/>
            <w:gridSpan w:val="2"/>
          </w:tcPr>
          <w:p>
            <w:pPr>
              <w:jc w:val="right"/>
              <w:ind w:right="539"/>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680" w:type="dxa"/>
            <w:vAlign w:val="bottom"/>
            <w:gridSpan w:val="2"/>
            <w:shd w:val="clear" w:color="auto" w:fill="CCEEFF"/>
          </w:tcPr>
          <w:p>
            <w:pPr>
              <w:jc w:val="right"/>
              <w:ind w:right="539"/>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680" w:type="dxa"/>
            <w:vAlign w:val="bottom"/>
            <w:gridSpan w:val="2"/>
          </w:tcPr>
          <w:p>
            <w:pPr>
              <w:jc w:val="right"/>
              <w:ind w:right="539"/>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680" w:type="dxa"/>
            <w:vAlign w:val="bottom"/>
            <w:gridSpan w:val="2"/>
            <w:shd w:val="clear" w:color="auto" w:fill="CCEEFF"/>
          </w:tcPr>
          <w:p>
            <w:pPr>
              <w:jc w:val="right"/>
              <w:ind w:right="539"/>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680" w:type="dxa"/>
            <w:vAlign w:val="bottom"/>
            <w:gridSpan w:val="2"/>
          </w:tcPr>
          <w:p>
            <w:pPr>
              <w:jc w:val="right"/>
              <w:ind w:right="539"/>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680" w:type="dxa"/>
            <w:vAlign w:val="bottom"/>
            <w:gridSpan w:val="2"/>
            <w:shd w:val="clear" w:color="auto" w:fill="CCEEFF"/>
          </w:tcPr>
          <w:p>
            <w:pPr>
              <w:jc w:val="right"/>
              <w:ind w:right="539"/>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680" w:type="dxa"/>
            <w:vAlign w:val="bottom"/>
            <w:gridSpan w:val="2"/>
          </w:tcPr>
          <w:p>
            <w:pPr>
              <w:jc w:val="right"/>
              <w:ind w:right="539"/>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680" w:type="dxa"/>
            <w:vAlign w:val="bottom"/>
            <w:gridSpan w:val="2"/>
            <w:shd w:val="clear" w:color="auto" w:fill="CCEEFF"/>
          </w:tcPr>
          <w:p>
            <w:pPr>
              <w:jc w:val="right"/>
              <w:ind w:right="539"/>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(the “Securities Act”), or to contribute to payments the underwriters may be required to make in respect of those liabilities.</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following table shows the per Note and total underwriting discounts and commissions that we are to pay to the underwriters in connection with this offering.</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20" w:type="dxa"/>
            <w:vAlign w:val="bottom"/>
            <w:gridSpan w:val="2"/>
          </w:tcPr>
          <w:p>
            <w:pPr>
              <w:ind w:left="6680"/>
              <w:spacing w:after="0"/>
              <w:rPr>
                <w:sz w:val="20"/>
                <w:szCs w:val="20"/>
                <w:color w:val="auto"/>
              </w:rPr>
            </w:pPr>
            <w:r>
              <w:rPr>
                <w:rFonts w:ascii="Arial" w:cs="Arial" w:eastAsia="Arial" w:hAnsi="Arial"/>
                <w:sz w:val="14"/>
                <w:szCs w:val="14"/>
                <w:b w:val="1"/>
                <w:bCs w:val="1"/>
                <w:color w:val="auto"/>
                <w:w w:val="90"/>
              </w:rPr>
              <w:t>Per Note</w:t>
            </w:r>
          </w:p>
        </w:tc>
        <w:tc>
          <w:tcPr>
            <w:tcW w:w="1140" w:type="dxa"/>
            <w:vAlign w:val="bottom"/>
            <w:gridSpan w:val="3"/>
          </w:tcPr>
          <w:p>
            <w:pPr>
              <w:ind w:left="780"/>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6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5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Underwriting discount (sales load)</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The underwriters propose to offer some of the Notes to the public at the public offering price set forth on the cover page of this prospectus supplement and some of the Notes to certain other Financial Industry Regulatory Authority, or FINRA, members at the public offering price less a concession not in excess of % of the aggregate principal amount of the Notes. The underwriters may allow, and the dealers may reallow, a discount</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80"/>
          </w:cols>
          <w:pgMar w:left="24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color w:val="auto"/>
        </w:rPr>
        <w:t>not in excess of % of the aggregate principal amount of the Notes. After the initial offering of the Notes to the public, the public offering price and such concessions may be changed. No such change shall change the amount of proceeds to be received by us as set forth on the cover page of this prospectus supplement.</w:t>
      </w:r>
    </w:p>
    <w:p>
      <w:pPr>
        <w:spacing w:after="0" w:line="181" w:lineRule="exact"/>
        <w:rPr>
          <w:sz w:val="20"/>
          <w:szCs w:val="20"/>
          <w:color w:val="auto"/>
        </w:rPr>
      </w:pPr>
    </w:p>
    <w:p>
      <w:pPr>
        <w:ind w:left="640"/>
        <w:spacing w:after="0"/>
        <w:tabs>
          <w:tab w:leader="none" w:pos="7340" w:val="left"/>
        </w:tabs>
        <w:rPr>
          <w:sz w:val="20"/>
          <w:szCs w:val="20"/>
          <w:color w:val="auto"/>
        </w:rPr>
      </w:pPr>
      <w:r>
        <w:rPr>
          <w:rFonts w:ascii="Arial" w:cs="Arial" w:eastAsia="Arial" w:hAnsi="Arial"/>
          <w:sz w:val="18"/>
          <w:szCs w:val="18"/>
          <w:color w:val="auto"/>
        </w:rPr>
        <w:t>The expenses of the offering, not including the underwriting discount, are estimated at $</w:t>
      </w:r>
      <w:r>
        <w:rPr>
          <w:sz w:val="20"/>
          <w:szCs w:val="20"/>
          <w:color w:val="auto"/>
        </w:rPr>
        <w:tab/>
      </w:r>
      <w:r>
        <w:rPr>
          <w:rFonts w:ascii="Arial" w:cs="Arial" w:eastAsia="Arial" w:hAnsi="Arial"/>
          <w:sz w:val="15"/>
          <w:szCs w:val="15"/>
          <w:color w:val="auto"/>
        </w:rPr>
        <w:t>and are payable by us.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Subject to certain exceptions, we have agreed not to directly or indirectly, offer, pledge, sell, contract to sell, grant any option for the sale of or otherwise transfer or dispose of any debt securities issued or guaranteed by us or any securities convertible into or exercisable or exchangeable for debt securities issued or guaranteed by us or file any registration statement under the Securities Act with respect to any of the foregoing through the closing date without first obtaining the written consent of the representative. This consent may be given at any time without public notice.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Notes are a new issue of securities with no established trading market. The Notes will not be listed on any securities exchange or quoted on any automated dealer quotation system.</w:t>
      </w:r>
    </w:p>
    <w:p>
      <w:pPr>
        <w:spacing w:after="0" w:line="17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have been advised by certain of the underwriters that they currently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15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81"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the Notes. In addition, neither we nor any of the underwriters make any representation that the representative will engage in these transactions or that these transactions, once commenced, will not be discontinued without notice.</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Certain of the underwriters and their affiliates were underwriters in connection with our IPO and our subsequent debt and equity offerings, for which they received customary fees. Additionally, affiliates of certain underwriters are lenders under the Revolving Credit Facility.</w:t>
      </w:r>
    </w:p>
    <w:p>
      <w:pPr>
        <w:spacing w:after="0" w:line="189"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83"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intend to use the net proceeds of this offering to pay down a portion of the outstanding indebtedness under the Revolving Credit Facility. 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Business Addresses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principal business address of BofA Securities, Inc. is One Bryant Park, New York, NY 10036.</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Jurisdictions</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(“EEA”). For these purposes, a</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the Notes. This prospectus supplement and the accompanying prospectus is not a prospectus for the purposes of the Prospectus Regulation.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document is only being distributed to and is only directed at (i) persons who are outside the United Kingdom or (ii) investment professionals falling within Article 19 (5) of the Financial Services and Markets Act 2000 (Financial Promotion) Order 2005 (the “Order”) or (iii) high net worth entities and other persons to whom it may lawfully be communicated falling within Article 49(2)(a) to (d) of the Order (all such persons together being referred to as “relevant persons”). Any Notes will only be available to, and any invitation, offer or agreement to subscribe, purchase or otherwise acquire such Notes will be engaged in only with, relevant persons. Any person who is not a relevant person should not act or rely on this document or any of its contents.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180" w:right="100" w:hanging="544"/>
        <w:spacing w:after="0" w:line="279" w:lineRule="auto"/>
        <w:tabs>
          <w:tab w:leader="none" w:pos="1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received by it in connection with the issue or sale of any Notes which are the subject of the offering contemplated by this prospectus supplement in circumstances in which Section 21(1) of the Financial Services and Markets Act 2000 does not apply to us; and</w:t>
      </w:r>
    </w:p>
    <w:p>
      <w:pPr>
        <w:spacing w:after="0" w:line="76" w:lineRule="exact"/>
        <w:rPr>
          <w:rFonts w:ascii="Arial" w:cs="Arial" w:eastAsia="Arial" w:hAnsi="Arial"/>
          <w:sz w:val="17"/>
          <w:szCs w:val="17"/>
          <w:color w:val="auto"/>
        </w:rPr>
      </w:pPr>
    </w:p>
    <w:p>
      <w:pPr>
        <w:ind w:left="1180" w:right="300" w:hanging="544"/>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Financial Services and Markets Act 2000 with respect to anything done by it in relation to the Notes in, from or otherwise involving the United Kingdom.</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supplement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supplement or on the merits of the Notes and any representation to the contrary is an offence.</w:t>
      </w:r>
    </w:p>
    <w:p>
      <w:pPr>
        <w:spacing w:after="0" w:line="183" w:lineRule="exact"/>
        <w:rPr>
          <w:sz w:val="20"/>
          <w:szCs w:val="20"/>
          <w:color w:val="auto"/>
        </w:rPr>
      </w:pPr>
    </w:p>
    <w:p>
      <w:pPr>
        <w:ind w:left="200" w:right="80" w:firstLine="441"/>
        <w:spacing w:after="0" w:line="281" w:lineRule="auto"/>
        <w:rPr>
          <w:sz w:val="20"/>
          <w:szCs w:val="20"/>
          <w:color w:val="auto"/>
        </w:rPr>
      </w:pPr>
      <w:r>
        <w:rPr>
          <w:rFonts w:ascii="Arial" w:cs="Arial" w:eastAsia="Arial" w:hAnsi="Arial"/>
          <w:sz w:val="17"/>
          <w:szCs w:val="17"/>
          <w:b w:val="1"/>
          <w:bCs w:val="1"/>
          <w:color w:val="auto"/>
        </w:rPr>
        <w:t xml:space="preserve">Canadian investors are advised that this prospectus supplement has been prepared in reliance on section 3A.3 of National Instrument 33-105 </w:t>
      </w:r>
      <w:r>
        <w:rPr>
          <w:rFonts w:ascii="Arial" w:cs="Arial" w:eastAsia="Arial" w:hAnsi="Arial"/>
          <w:sz w:val="17"/>
          <w:szCs w:val="17"/>
          <w:b w:val="1"/>
          <w:bCs w:val="1"/>
          <w:i w:val="1"/>
          <w:iCs w:val="1"/>
          <w:color w:val="auto"/>
        </w:rPr>
        <w:t>Underwriting Conflicts</w:t>
      </w:r>
      <w:r>
        <w:rPr>
          <w:rFonts w:ascii="Arial" w:cs="Arial" w:eastAsia="Arial" w:hAnsi="Arial"/>
          <w:sz w:val="17"/>
          <w:szCs w:val="17"/>
          <w:b w:val="1"/>
          <w:bCs w:val="1"/>
          <w:color w:val="auto"/>
        </w:rPr>
        <w:t xml:space="preserve">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offer and sale of the Notes in Canada is being made on a private placement basis only and is exempt from the requirement that the Company prepares and files a prospectus under applicable Canadian securities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 xml:space="preserve">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w:t>
      </w:r>
      <w:r>
        <w:rPr>
          <w:rFonts w:ascii="Arial" w:cs="Arial" w:eastAsia="Arial" w:hAnsi="Arial"/>
          <w:sz w:val="16"/>
          <w:szCs w:val="16"/>
          <w:i w:val="1"/>
          <w:iCs w:val="1"/>
          <w:color w:val="auto"/>
        </w:rPr>
        <w:t xml:space="preserve">Prospectus Exemptions </w:t>
      </w:r>
      <w:r>
        <w:rPr>
          <w:rFonts w:ascii="Arial" w:cs="Arial" w:eastAsia="Arial" w:hAnsi="Arial"/>
          <w:sz w:val="16"/>
          <w:szCs w:val="16"/>
          <w:color w:val="auto"/>
        </w:rPr>
        <w:t>or, in Ontario, as such term is defined in section 73.3(1) of the</w:t>
      </w:r>
      <w:r>
        <w:rPr>
          <w:rFonts w:ascii="Arial" w:cs="Arial" w:eastAsia="Arial" w:hAnsi="Arial"/>
          <w:sz w:val="16"/>
          <w:szCs w:val="16"/>
          <w:i w:val="1"/>
          <w:iCs w:val="1"/>
          <w:color w:val="auto"/>
        </w:rPr>
        <w:t xml:space="preserve"> Securities Act </w:t>
      </w:r>
      <w:r>
        <w:rPr>
          <w:rFonts w:ascii="Arial" w:cs="Arial" w:eastAsia="Arial" w:hAnsi="Arial"/>
          <w:sz w:val="16"/>
          <w:szCs w:val="16"/>
          <w:color w:val="auto"/>
        </w:rPr>
        <w:t>(Ontario); and (iii) a “permitted client” as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 is defined in section 1.1 of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Any discussion of taxation and related matters contained in this prospectus supplement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 xml:space="preserve">Securities legislation in certain of the Canadian jurisdictions provides certain purchasers of securities pursuant to an offering memorandum (such as this prospectus supplement), including where the distribution involves an “eligible foreign security” as such term is defined in Ontario Securities Commission Rule 45-501 </w:t>
      </w:r>
      <w:r>
        <w:rPr>
          <w:rFonts w:ascii="Arial" w:cs="Arial" w:eastAsia="Arial" w:hAnsi="Arial"/>
          <w:sz w:val="18"/>
          <w:szCs w:val="18"/>
          <w:i w:val="1"/>
          <w:iCs w:val="1"/>
          <w:color w:val="auto"/>
        </w:rPr>
        <w:t>Ontario Prospectus and Registration Exemptions</w:t>
      </w:r>
      <w:r>
        <w:rPr>
          <w:rFonts w:ascii="Arial" w:cs="Arial" w:eastAsia="Arial" w:hAnsi="Arial"/>
          <w:sz w:val="18"/>
          <w:szCs w:val="18"/>
          <w:color w:val="auto"/>
        </w:rPr>
        <w:t xml:space="preserve"> and in Multilateral Instrument 45-107 </w:t>
      </w:r>
      <w:r>
        <w:rPr>
          <w:rFonts w:ascii="Arial" w:cs="Arial" w:eastAsia="Arial" w:hAnsi="Arial"/>
          <w:sz w:val="18"/>
          <w:szCs w:val="18"/>
          <w:i w:val="1"/>
          <w:iCs w:val="1"/>
          <w:color w:val="auto"/>
        </w:rPr>
        <w:t>Listing Representation and Statutory</w:t>
      </w:r>
      <w:r>
        <w:rPr>
          <w:rFonts w:ascii="Arial" w:cs="Arial" w:eastAsia="Arial" w:hAnsi="Arial"/>
          <w:sz w:val="18"/>
          <w:szCs w:val="18"/>
          <w:color w:val="auto"/>
        </w:rPr>
        <w:t xml:space="preserve"> </w:t>
      </w:r>
      <w:r>
        <w:rPr>
          <w:rFonts w:ascii="Arial" w:cs="Arial" w:eastAsia="Arial" w:hAnsi="Arial"/>
          <w:sz w:val="18"/>
          <w:szCs w:val="18"/>
          <w:i w:val="1"/>
          <w:iCs w:val="1"/>
          <w:color w:val="auto"/>
        </w:rPr>
        <w:t>Rights of Action Disclosure Exemptions</w:t>
      </w:r>
      <w:r>
        <w:rPr>
          <w:rFonts w:ascii="Arial" w:cs="Arial" w:eastAsia="Arial" w:hAnsi="Arial"/>
          <w:sz w:val="18"/>
          <w:szCs w:val="18"/>
          <w:color w:val="auto"/>
        </w:rPr>
        <w:t>, as applicable, with a remedy for damages or rescission, or both, in addition to any other rights they may have at</w:t>
      </w:r>
      <w:r>
        <w:rPr>
          <w:rFonts w:ascii="Arial" w:cs="Arial" w:eastAsia="Arial" w:hAnsi="Arial"/>
          <w:sz w:val="18"/>
          <w:szCs w:val="18"/>
          <w:i w:val="1"/>
          <w:iCs w:val="1"/>
          <w:color w:val="auto"/>
        </w:rPr>
        <w:t xml:space="preserve"> </w:t>
      </w:r>
      <w:r>
        <w:rPr>
          <w:rFonts w:ascii="Arial" w:cs="Arial" w:eastAsia="Arial" w:hAnsi="Arial"/>
          <w:sz w:val="18"/>
          <w:szCs w:val="18"/>
          <w:color w:val="auto"/>
        </w:rPr>
        <w:t>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w:t>
      </w:r>
      <w:r>
        <w:rPr>
          <w:rFonts w:ascii="Arial" w:cs="Arial" w:eastAsia="Arial" w:hAnsi="Arial"/>
          <w:sz w:val="17"/>
          <w:szCs w:val="17"/>
          <w:color w:val="auto"/>
        </w:rPr>
        <w:t xml:space="preserve"> </w:t>
      </w:r>
      <w:r>
        <w:rPr>
          <w:rFonts w:ascii="Arial" w:cs="Arial" w:eastAsia="Arial" w:hAnsi="Arial"/>
          <w:sz w:val="17"/>
          <w:szCs w:val="17"/>
          <w:i w:val="1"/>
          <w:iCs w:val="1"/>
          <w:color w:val="auto"/>
        </w:rPr>
        <w:t>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This prospectus supplement does not constitute an issue prospectus pursuant to Article 652a or Article 1156 of the Swiss Code of Obligations and the Notes will not be listed on the SIX Swiss Exchange. Therefore, this prospectus supplement may not comply with the disclosure standards of the listing rules (including any additional listing rules or prospectus schemes) of the SIX Swiss Exchange. 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Netherlands</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Each underwriter, severally and not jointly, has agreed that it has not offered or sold, and will not offer or sell, the Notes to the public in The Netherlands, other than exclusively to qualified investors (gekwalificeerde beleggers) within the meaning of the Financial Supervision Act (Wet op het financieel toezicht). For the purposes of this provision, the expression “offer of notes to the public” in relation to any Notes in The Netherlands means to make a sufficiently specific offer addressed to more than one person as referred to in section 217(1) of Book 6 of the Dutch Civil Code to conclude a contract to purchase or otherwise acquire the Notes, or to issue an invitation to make an offer of the Notes.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Neither this prospectus supplement nor the accompanying prospectus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indirectly, to the public in France. Neither this prospectus supplement nor the accompanying prospectus has been or will be:</w:t>
      </w:r>
    </w:p>
    <w:p>
      <w:pPr>
        <w:spacing w:after="0" w:line="92" w:lineRule="exact"/>
        <w:rPr>
          <w:sz w:val="20"/>
          <w:szCs w:val="20"/>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 Such offers, sales and distributions will be made in France only:</w:t>
      </w:r>
    </w:p>
    <w:p>
      <w:pPr>
        <w:spacing w:after="0" w:line="75" w:lineRule="exact"/>
        <w:rPr>
          <w:rFonts w:ascii="Arial" w:cs="Arial" w:eastAsia="Arial" w:hAnsi="Arial"/>
          <w:sz w:val="18"/>
          <w:szCs w:val="18"/>
          <w:color w:val="auto"/>
        </w:rPr>
      </w:pPr>
    </w:p>
    <w:p>
      <w:pPr>
        <w:ind w:left="1180" w:right="160" w:hanging="436"/>
        <w:spacing w:after="0" w:line="264"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1180" w:right="140" w:hanging="436"/>
        <w:spacing w:after="0" w:line="264" w:lineRule="auto"/>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 -or-2° -or 3° of the French Code mon´etaire et financier and article 211-2 of the General Regulations (Règlement Génerál) of the Autorité des Marchés Financiers, does not constitute a public offer (appel public a’ l’épargne).</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Notes may be resold directly or indirectly, only in compliance with articles L.411-1, L.411-2, L.412-1 and L.621-8 through L.621-8-3 of the French Code monétaire et financier.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Germany</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supplement and the accompanying prospectus have not been prepared in accordance with the requirements for a securities or sales prospectus under the German Securities Prospectus Act (Wertpapierprospektgesetz), the German Sales Prospectus Act (Verkaufsprospektgesetz), or the German Investment Act (Investmentgesetz). Neither the German Federal Financial Services Supervisory Authority (Bundesanstalt für Finanzdienstleistungsaufsicht — BaFin) nor any other German authority has been notified of</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the intention to distribute the Notes in Germany. Consequently, the Notes may not be distributed in Germany by way of public offering, public advertisement or in any similar manner and this prospectus supplement and the accompanying prospectus and any other document relating to this offering, as well as information or statements contained therein, may not be supplied to the public in Germany or used in connection with any offer for subscription of the Notes to the public in Germany or any other means of public marketing. The Notes are being offered and sold in Germany only to qualified investors which are referred to in Section 3, paragraph 2 no. 1, in connection with Section 2, no. 6, of the German Securities Prospectus Act, Section 8f paragraph 2 no. 4 of the German Sales Prospectus Act, and in Section 2 paragraph 11 sentence 2 no. 1 of the German Investment Act. This prospectus supplement and the accompanying prospectus is strictly for use of the person who has received it. It may not be forwarded to other persons or published in Germany.</w:t>
      </w:r>
    </w:p>
    <w:p>
      <w:pPr>
        <w:spacing w:after="0" w:line="192"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This offering of our Notes does not constitute an offer to buy or the solicitation or an offer to sell the Notes in any circumstances in which such offer or solicitation is unlawful.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Certain legal matters in connection with the offering will be passed upon for us by Cleary Gottlieb Steen &amp; Hamilton LLP, New York, New York. In addition, Schulte Roth &amp; Zabel LLP and Morris, Nichols, Arsht &amp; Tunnell LLP will pass on certain legal matters for us. Cleary Gottlieb Steen &amp; Hamilton LLP and Schulte Roth &amp; Zabel LLP also represent the Adviser. Certain legal matters in connection with the offering will be passed upon for the underwriters by Ropes &amp; Gray LLP, New York, New York.</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20"/>
          </w:cols>
          <w:pgMar w:left="240" w:top="459" w:right="5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PROSPECTUS</w:t>
      </w:r>
    </w:p>
    <w:p>
      <w:pPr>
        <w:spacing w:after="0" w:line="25" w:lineRule="exact"/>
        <w:rPr>
          <w:sz w:val="20"/>
          <w:szCs w:val="20"/>
          <w:color w:val="auto"/>
        </w:rPr>
      </w:pPr>
    </w:p>
    <w:p>
      <w:pPr>
        <w:jc w:val="center"/>
        <w:ind w:right="-219"/>
        <w:spacing w:after="0"/>
        <w:rPr>
          <w:sz w:val="20"/>
          <w:szCs w:val="20"/>
          <w:color w:val="auto"/>
        </w:rPr>
      </w:pPr>
      <w:r>
        <w:rPr>
          <w:rFonts w:ascii="Arial" w:cs="Arial" w:eastAsia="Arial" w:hAnsi="Arial"/>
          <w:sz w:val="27"/>
          <w:szCs w:val="27"/>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67945</wp:posOffset>
            </wp:positionV>
            <wp:extent cx="1689735" cy="720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168973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36"/>
          <w:szCs w:val="36"/>
          <w:b w:val="1"/>
          <w:bCs w:val="1"/>
          <w:color w:val="auto"/>
        </w:rPr>
        <w:t>TPG Specialty Lending, Inc.</w:t>
      </w:r>
    </w:p>
    <w:p>
      <w:pPr>
        <w:spacing w:after="0" w:line="57"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Common Stock</w:t>
      </w:r>
    </w:p>
    <w:p>
      <w:pPr>
        <w:spacing w:after="0" w:line="12"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Preferred Stock</w:t>
      </w:r>
    </w:p>
    <w:p>
      <w:pPr>
        <w:jc w:val="center"/>
        <w:ind w:right="-219"/>
        <w:spacing w:after="0"/>
        <w:rPr>
          <w:sz w:val="20"/>
          <w:szCs w:val="20"/>
          <w:color w:val="auto"/>
        </w:rPr>
      </w:pPr>
      <w:r>
        <w:rPr>
          <w:rFonts w:ascii="Arial" w:cs="Arial" w:eastAsia="Arial" w:hAnsi="Arial"/>
          <w:sz w:val="20"/>
          <w:szCs w:val="20"/>
          <w:b w:val="1"/>
          <w:bCs w:val="1"/>
          <w:color w:val="auto"/>
        </w:rPr>
        <w:t>Subscription Rights</w:t>
      </w:r>
    </w:p>
    <w:p>
      <w:pPr>
        <w:jc w:val="center"/>
        <w:ind w:right="-219"/>
        <w:spacing w:after="0"/>
        <w:rPr>
          <w:sz w:val="20"/>
          <w:szCs w:val="20"/>
          <w:color w:val="auto"/>
        </w:rPr>
      </w:pPr>
      <w:r>
        <w:rPr>
          <w:rFonts w:ascii="Arial" w:cs="Arial" w:eastAsia="Arial" w:hAnsi="Arial"/>
          <w:sz w:val="20"/>
          <w:szCs w:val="20"/>
          <w:b w:val="1"/>
          <w:bCs w:val="1"/>
          <w:color w:val="auto"/>
        </w:rPr>
        <w:t>Warrants</w:t>
      </w:r>
    </w:p>
    <w:p>
      <w:pPr>
        <w:jc w:val="center"/>
        <w:ind w:right="-219"/>
        <w:spacing w:after="0"/>
        <w:rPr>
          <w:sz w:val="20"/>
          <w:szCs w:val="20"/>
          <w:color w:val="auto"/>
        </w:rPr>
      </w:pPr>
      <w:r>
        <w:rPr>
          <w:rFonts w:ascii="Arial" w:cs="Arial" w:eastAsia="Arial" w:hAnsi="Arial"/>
          <w:sz w:val="20"/>
          <w:szCs w:val="20"/>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77470</wp:posOffset>
            </wp:positionV>
            <wp:extent cx="14662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24" w:lineRule="exact"/>
        <w:rPr>
          <w:sz w:val="20"/>
          <w:szCs w:val="20"/>
          <w:color w:val="auto"/>
        </w:rPr>
      </w:pPr>
    </w:p>
    <w:p>
      <w:pPr>
        <w:jc w:val="both"/>
        <w:ind w:left="200" w:right="320" w:firstLine="441"/>
        <w:spacing w:after="0" w:line="238" w:lineRule="auto"/>
        <w:rPr>
          <w:sz w:val="20"/>
          <w:szCs w:val="20"/>
          <w:color w:val="auto"/>
        </w:rPr>
      </w:pPr>
      <w:r>
        <w:rPr>
          <w:rFonts w:ascii="Arial" w:cs="Arial" w:eastAsia="Arial" w:hAnsi="Arial"/>
          <w:sz w:val="14"/>
          <w:szCs w:val="14"/>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7" w:lineRule="exact"/>
        <w:rPr>
          <w:sz w:val="20"/>
          <w:szCs w:val="20"/>
          <w:color w:val="auto"/>
        </w:rPr>
      </w:pPr>
    </w:p>
    <w:p>
      <w:pPr>
        <w:ind w:left="200" w:firstLine="441"/>
        <w:spacing w:after="0" w:line="251" w:lineRule="auto"/>
        <w:rPr>
          <w:sz w:val="20"/>
          <w:szCs w:val="20"/>
          <w:color w:val="auto"/>
        </w:rPr>
      </w:pPr>
      <w:r>
        <w:rPr>
          <w:rFonts w:ascii="Arial" w:cs="Arial" w:eastAsia="Arial" w:hAnsi="Arial"/>
          <w:sz w:val="14"/>
          <w:szCs w:val="14"/>
          <w:color w:val="auto"/>
        </w:rPr>
        <w:t>As of March 31, 2019, our investment portfolio consisted of investments in 48 portfolio companies with an aggregate fair value of $1,824.9 million. We intend to continue to pursue an investment strategy focused on direct origination of loans to middle-market companies principally domiciled in the United States.</w:t>
      </w:r>
    </w:p>
    <w:p>
      <w:pPr>
        <w:spacing w:after="0" w:line="1" w:lineRule="exact"/>
        <w:rPr>
          <w:sz w:val="20"/>
          <w:szCs w:val="20"/>
          <w:color w:val="auto"/>
        </w:rPr>
      </w:pPr>
    </w:p>
    <w:p>
      <w:pPr>
        <w:ind w:left="200" w:right="220" w:firstLine="441"/>
        <w:spacing w:after="0" w:line="238" w:lineRule="auto"/>
        <w:rPr>
          <w:sz w:val="20"/>
          <w:szCs w:val="20"/>
          <w:color w:val="auto"/>
        </w:rPr>
      </w:pPr>
      <w:r>
        <w:rPr>
          <w:rFonts w:ascii="Arial" w:cs="Arial" w:eastAsia="Arial" w:hAnsi="Arial"/>
          <w:sz w:val="14"/>
          <w:szCs w:val="14"/>
          <w:color w:val="auto"/>
        </w:rPr>
        <w:t>We are an externally managed, closed-end, non-diversified management investment company. TSL Advisers, LLC, or the Adviser, acts as our investment adviser and administrator. We and the Adviser are part of the TPG Sixth Street Partners platform, which had over $30 billion of assets under management as of December 31, 2018. TPG Sixth Street Partners is the global finance and investment firm in a strategic relationship with TPG, the global alternative asset firm.</w:t>
      </w:r>
    </w:p>
    <w:p>
      <w:pPr>
        <w:ind w:left="200" w:right="20" w:firstLine="441"/>
        <w:spacing w:after="0" w:line="229" w:lineRule="auto"/>
        <w:rPr>
          <w:sz w:val="20"/>
          <w:szCs w:val="20"/>
          <w:color w:val="auto"/>
        </w:rPr>
      </w:pPr>
      <w:r>
        <w:rPr>
          <w:rFonts w:ascii="Arial" w:cs="Arial" w:eastAsia="Arial" w:hAnsi="Arial"/>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9" w:lineRule="exact"/>
        <w:rPr>
          <w:sz w:val="20"/>
          <w:szCs w:val="20"/>
          <w:color w:val="auto"/>
        </w:rPr>
      </w:pPr>
    </w:p>
    <w:p>
      <w:pPr>
        <w:jc w:val="both"/>
        <w:ind w:left="200" w:right="60" w:firstLine="441"/>
        <w:spacing w:after="0" w:line="238" w:lineRule="auto"/>
        <w:rPr>
          <w:sz w:val="20"/>
          <w:szCs w:val="20"/>
          <w:color w:val="auto"/>
        </w:rPr>
      </w:pPr>
      <w:r>
        <w:rPr>
          <w:rFonts w:ascii="Arial" w:cs="Arial" w:eastAsia="Arial" w:hAnsi="Arial"/>
          <w:sz w:val="14"/>
          <w:szCs w:val="14"/>
          <w:color w:val="auto"/>
        </w:rPr>
        <w:t>Substantially all of our debt investments have variable interest rates that reset periodically based on interest rate benchmarks such as the London Interbank Offered Rate, the Canadian Dollar Offered Rate, the Bank Bill Swap Bid Rate, the Euro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7" w:lineRule="exact"/>
        <w:rPr>
          <w:sz w:val="20"/>
          <w:szCs w:val="20"/>
          <w:color w:val="auto"/>
        </w:rPr>
      </w:pPr>
    </w:p>
    <w:p>
      <w:pPr>
        <w:ind w:left="200" w:right="40" w:firstLine="441"/>
        <w:spacing w:after="0" w:line="234" w:lineRule="auto"/>
        <w:rPr>
          <w:sz w:val="20"/>
          <w:szCs w:val="20"/>
          <w:color w:val="auto"/>
        </w:rPr>
      </w:pPr>
      <w:r>
        <w:rPr>
          <w:rFonts w:ascii="Arial" w:cs="Arial" w:eastAsia="Arial" w:hAnsi="Arial"/>
          <w:sz w:val="14"/>
          <w:szCs w:val="14"/>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ind w:left="200" w:right="40" w:firstLine="441"/>
        <w:spacing w:after="0" w:line="231" w:lineRule="auto"/>
        <w:rPr>
          <w:sz w:val="20"/>
          <w:szCs w:val="20"/>
          <w:color w:val="auto"/>
        </w:rPr>
      </w:pPr>
      <w:r>
        <w:rPr>
          <w:rFonts w:ascii="Arial" w:cs="Arial" w:eastAsia="Arial" w:hAnsi="Arial"/>
          <w:sz w:val="14"/>
          <w:szCs w:val="14"/>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8" w:lineRule="exact"/>
        <w:rPr>
          <w:sz w:val="20"/>
          <w:szCs w:val="20"/>
          <w:color w:val="auto"/>
        </w:rPr>
      </w:pPr>
    </w:p>
    <w:p>
      <w:pPr>
        <w:ind w:left="200" w:right="40" w:firstLine="441"/>
        <w:spacing w:after="0" w:line="231" w:lineRule="auto"/>
        <w:rPr>
          <w:sz w:val="20"/>
          <w:szCs w:val="20"/>
          <w:color w:val="auto"/>
        </w:rPr>
      </w:pPr>
      <w:r>
        <w:rPr>
          <w:rFonts w:ascii="Arial" w:cs="Arial" w:eastAsia="Arial" w:hAnsi="Arial"/>
          <w:sz w:val="14"/>
          <w:szCs w:val="14"/>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9"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4"/>
          <w:szCs w:val="14"/>
          <w:color w:val="auto"/>
        </w:rPr>
        <w:t>Our common stock is traded on the New York Stock Exchange, or NYSE, under the symbol “TSLX.” On May 6, 2019, the last reported sales price of our common stock on the NYSE was $20.21 per share. The net asset value per share of our common stock at March 31, 2019 (the last date prior to the date of this prospectus for which we reported net asset value) was $16.34.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59055</wp:posOffset>
            </wp:positionV>
            <wp:extent cx="14662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4" w:lineRule="exact"/>
        <w:rPr>
          <w:sz w:val="20"/>
          <w:szCs w:val="20"/>
          <w:color w:val="auto"/>
        </w:rPr>
      </w:pPr>
    </w:p>
    <w:p>
      <w:pPr>
        <w:ind w:left="200" w:right="60" w:firstLine="441"/>
        <w:spacing w:after="0" w:line="255"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page72">
        <w:r>
          <w:rPr>
            <w:rFonts w:ascii="Arial" w:cs="Arial" w:eastAsia="Arial" w:hAnsi="Arial"/>
            <w:sz w:val="17"/>
            <w:szCs w:val="17"/>
            <w:b w:val="1"/>
            <w:bCs w:val="1"/>
            <w:u w:val="single" w:color="auto"/>
            <w:color w:val="0000EE"/>
          </w:rPr>
          <w:t>Risk Factors</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b w:val="1"/>
          <w:bCs w:val="1"/>
          <w:color w:val="auto"/>
        </w:rPr>
        <w:t>” beginning on page 23 of this prospectus and in the documents incorporated by reference herein.</w:t>
      </w:r>
    </w:p>
    <w:p>
      <w:pPr>
        <w:spacing w:after="0" w:line="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This prospectus may not be used to consummate sales of our securities unless accompanied by a prospectus supplement.</w:t>
      </w:r>
    </w:p>
    <w:p>
      <w:pPr>
        <w:spacing w:after="0" w:line="32"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3"/>
          <w:szCs w:val="13"/>
          <w:color w:val="auto"/>
        </w:rPr>
        <w:t>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35th Floor, New York, NY 10106, Attention: TSLX Investor Relations, by emailing us at IRTSL@tpg.com or visiting our website at http://www.tpgspecialtylending.com. Information on our website is not incorporated into or a part of this prospectus or any prospectus supplement. The Securities and Exchange Commission also maintains a website at http://www.sec.gov that contains this information.</w:t>
      </w:r>
    </w:p>
    <w:p>
      <w:pPr>
        <w:spacing w:after="0" w:line="4" w:lineRule="exact"/>
        <w:rPr>
          <w:sz w:val="20"/>
          <w:szCs w:val="20"/>
          <w:color w:val="auto"/>
        </w:rPr>
      </w:pPr>
    </w:p>
    <w:p>
      <w:pPr>
        <w:ind w:left="200" w:firstLine="441"/>
        <w:spacing w:after="0" w:line="259" w:lineRule="auto"/>
        <w:rPr>
          <w:sz w:val="20"/>
          <w:szCs w:val="20"/>
          <w:color w:val="auto"/>
        </w:rPr>
      </w:pPr>
      <w:r>
        <w:rPr>
          <w:rFonts w:ascii="Arial" w:cs="Arial" w:eastAsia="Arial" w:hAnsi="Arial"/>
          <w:sz w:val="14"/>
          <w:szCs w:val="14"/>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50800</wp:posOffset>
            </wp:positionV>
            <wp:extent cx="14662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7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The date of this prospectus is May 7, 2019</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CROSS-REFERENCE SHEET</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000" w:type="dxa"/>
            <w:vAlign w:val="bottom"/>
          </w:tcPr>
          <w:p>
            <w:pPr>
              <w:jc w:val="center"/>
              <w:ind w:right="251"/>
              <w:spacing w:after="0"/>
              <w:rPr>
                <w:sz w:val="20"/>
                <w:szCs w:val="20"/>
                <w:color w:val="auto"/>
              </w:rPr>
            </w:pPr>
            <w:r>
              <w:rPr>
                <w:rFonts w:ascii="Arial" w:cs="Arial" w:eastAsia="Arial" w:hAnsi="Arial"/>
                <w:sz w:val="14"/>
                <w:szCs w:val="14"/>
                <w:b w:val="1"/>
                <w:bCs w:val="1"/>
                <w:color w:val="auto"/>
              </w:rPr>
              <w:t>ITEM</w:t>
            </w:r>
          </w:p>
        </w:tc>
        <w:tc>
          <w:tcPr>
            <w:tcW w:w="5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CAPTION</w:t>
            </w:r>
          </w:p>
        </w:tc>
        <w:tc>
          <w:tcPr>
            <w:tcW w:w="4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 IN PROSPECTUS</w:t>
            </w:r>
          </w:p>
        </w:tc>
        <w:tc>
          <w:tcPr>
            <w:tcW w:w="0" w:type="dxa"/>
            <w:vAlign w:val="bottom"/>
          </w:tcPr>
          <w:p>
            <w:pPr>
              <w:spacing w:after="0"/>
              <w:rPr>
                <w:sz w:val="1"/>
                <w:szCs w:val="1"/>
                <w:color w:val="auto"/>
              </w:rPr>
            </w:pPr>
          </w:p>
        </w:tc>
      </w:tr>
      <w:tr>
        <w:trPr>
          <w:trHeight w:val="171"/>
        </w:trPr>
        <w:tc>
          <w:tcPr>
            <w:tcW w:w="1000" w:type="dxa"/>
            <w:vAlign w:val="bottom"/>
          </w:tcPr>
          <w:p>
            <w:pPr>
              <w:jc w:val="center"/>
              <w:ind w:right="271"/>
              <w:spacing w:after="0"/>
              <w:rPr>
                <w:sz w:val="20"/>
                <w:szCs w:val="20"/>
                <w:color w:val="auto"/>
              </w:rPr>
            </w:pPr>
            <w:r>
              <w:rPr>
                <w:rFonts w:ascii="Arial" w:cs="Arial" w:eastAsia="Arial" w:hAnsi="Arial"/>
                <w:sz w:val="14"/>
                <w:szCs w:val="14"/>
                <w:b w:val="1"/>
                <w:bCs w:val="1"/>
                <w:color w:val="auto"/>
              </w:rPr>
              <w:t>NUMBER</w:t>
            </w:r>
          </w:p>
        </w:tc>
        <w:tc>
          <w:tcPr>
            <w:tcW w:w="5060" w:type="dxa"/>
            <w:vAlign w:val="bottom"/>
            <w:gridSpan w:val="2"/>
            <w:vMerge w:val="continue"/>
          </w:tcPr>
          <w:p>
            <w:pPr>
              <w:spacing w:after="0"/>
              <w:rPr>
                <w:sz w:val="14"/>
                <w:szCs w:val="14"/>
                <w:color w:val="auto"/>
              </w:rPr>
            </w:pPr>
          </w:p>
        </w:tc>
        <w:tc>
          <w:tcPr>
            <w:tcW w:w="4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00" w:type="dxa"/>
            <w:vAlign w:val="bottom"/>
          </w:tcPr>
          <w:p>
            <w:pPr>
              <w:jc w:val="center"/>
              <w:ind w:right="251"/>
              <w:spacing w:after="0" w:line="195" w:lineRule="exact"/>
              <w:rPr>
                <w:sz w:val="20"/>
                <w:szCs w:val="20"/>
                <w:color w:val="auto"/>
              </w:rPr>
            </w:pPr>
            <w:r>
              <w:rPr>
                <w:rFonts w:ascii="Arial" w:cs="Arial" w:eastAsia="Arial" w:hAnsi="Arial"/>
                <w:sz w:val="18"/>
                <w:szCs w:val="18"/>
                <w:color w:val="auto"/>
                <w:w w:val="99"/>
              </w:rPr>
              <w:t>1</w:t>
            </w:r>
          </w:p>
        </w:tc>
        <w:tc>
          <w:tcPr>
            <w:tcW w:w="4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Outside Front Cover</w:t>
            </w:r>
          </w:p>
        </w:tc>
        <w:tc>
          <w:tcPr>
            <w:tcW w:w="220" w:type="dxa"/>
            <w:vAlign w:val="bottom"/>
          </w:tcPr>
          <w:p>
            <w:pPr>
              <w:spacing w:after="0"/>
              <w:rPr>
                <w:sz w:val="16"/>
                <w:szCs w:val="16"/>
                <w:color w:val="auto"/>
              </w:rPr>
            </w:pPr>
          </w:p>
        </w:tc>
        <w:tc>
          <w:tcPr>
            <w:tcW w:w="4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Outside Front Cover Page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2</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Cover Pages; Other Offering Information</w:t>
            </w: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Inside Front and Outside Back Cover Pages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3</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Fee Table and Synopsis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Fees and Expenses; Available Information</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4</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Financial Highlights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Selected Financial Data and Other Information; Selected Quarterly</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Financial Data; Management’s Discussion and Analysis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Financial Condition and Results of Operations; Senior Securities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5</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Plan of Distribution</w:t>
            </w: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Plan of Distribution</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6</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Selling Shareholders</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7</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Use of Proceeds</w:t>
            </w:r>
          </w:p>
        </w:tc>
        <w:tc>
          <w:tcPr>
            <w:tcW w:w="4860" w:type="dxa"/>
            <w:vAlign w:val="bottom"/>
          </w:tcPr>
          <w:p>
            <w:pPr>
              <w:jc w:val="center"/>
              <w:spacing w:after="0"/>
              <w:rPr>
                <w:sz w:val="20"/>
                <w:szCs w:val="20"/>
                <w:color w:val="auto"/>
              </w:rPr>
            </w:pPr>
            <w:r>
              <w:rPr>
                <w:rFonts w:ascii="Arial" w:cs="Arial" w:eastAsia="Arial" w:hAnsi="Arial"/>
                <w:sz w:val="18"/>
                <w:szCs w:val="18"/>
                <w:color w:val="auto"/>
                <w:w w:val="87"/>
              </w:rPr>
              <w:t>Use of Proceeds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8</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General Description of the Registrant</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Outside Front Cover Page; Prospectus Summary; Risk Factors;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Management’s Discussion and Analysis of Financial Condition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and Results of Operations; The Company; Portfolio Companies;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Regulation; Shares Eligible for Future Sale; Price Range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Common Stock and Distributions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9</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Management</w:t>
            </w: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Management; Management and Other Agreements; Custodian,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Transfer and Dividend Paying Agent and Registrar</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10</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Capital Stock, Long-Term Debt, and Other Securities</w:t>
            </w: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Material U.S. Federal Income Tax Considerations; Description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Our Capital Stock; Description of Our Preferred Stock;</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3"/>
              </w:rPr>
              <w:t>Description of Our Subscription Rights; Description of Our</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Warrants; Description of Our Debt Securities; Dividend</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Reinvestment Plan; Management’s Discussion and Analysis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Financial Condition and Results of Operations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11</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Defaults and Arrears on Senior Securities</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12</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Legal Proceedings</w:t>
            </w: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The Company</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13</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Table of Contents of the Statement of Additional Information, or</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SAI</w:t>
            </w: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14</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Cover Page of SAI</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15</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Table of Contents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Table of Contents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16</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General Information and History</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17</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Investment Objective and Policies</w:t>
            </w: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Management’s Discussion and Analysis of Financial Condition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and Results of Operations; Senior Securities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18</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Management</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Management; Control Persons and Principal Stockholders;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3"/>
              </w:rPr>
              <w:t>Regulation; Available Information</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19</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Control Persons and Principal Holders of Securities</w:t>
            </w: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Control Persons and Principal Stockholders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20</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 Advisory and Other Services</w:t>
            </w:r>
          </w:p>
        </w:tc>
        <w:tc>
          <w:tcPr>
            <w:tcW w:w="4860" w:type="dxa"/>
            <w:vAlign w:val="bottom"/>
          </w:tcPr>
          <w:p>
            <w:pPr>
              <w:jc w:val="center"/>
              <w:spacing w:after="0"/>
              <w:rPr>
                <w:sz w:val="20"/>
                <w:szCs w:val="20"/>
                <w:color w:val="auto"/>
              </w:rPr>
            </w:pPr>
            <w:r>
              <w:rPr>
                <w:rFonts w:ascii="Arial" w:cs="Arial" w:eastAsia="Arial" w:hAnsi="Arial"/>
                <w:sz w:val="18"/>
                <w:szCs w:val="18"/>
                <w:color w:val="auto"/>
                <w:w w:val="88"/>
              </w:rPr>
              <w:t>Management and Other Agreements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21</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Portfolio Managers</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22</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Brokerage Allocation and Other Practices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Brokerage Allocation and Other Practices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23</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Tax Status</w:t>
            </w: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Material U.S. Federal Income Tax Considerations</w:t>
            </w:r>
          </w:p>
        </w:tc>
        <w:tc>
          <w:tcPr>
            <w:tcW w:w="0" w:type="dxa"/>
            <w:vAlign w:val="bottom"/>
          </w:tcPr>
          <w:p>
            <w:pPr>
              <w:spacing w:after="0"/>
              <w:rPr>
                <w:sz w:val="1"/>
                <w:szCs w:val="1"/>
                <w:color w:val="auto"/>
              </w:rPr>
            </w:pPr>
          </w:p>
        </w:tc>
      </w:tr>
      <w:tr>
        <w:trPr>
          <w:trHeight w:val="230"/>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24</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Financial Statements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Financial Statements</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w:t>
      </w:r>
    </w:p>
    <w:p>
      <w:pPr>
        <w:spacing w:after="0" w:line="37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80" w:type="dxa"/>
            <w:vAlign w:val="bottom"/>
            <w:gridSpan w:val="7"/>
          </w:tcPr>
          <w:p>
            <w:pPr>
              <w:ind w:left="2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20"/>
                <w:szCs w:val="20"/>
                <w:color w:val="auto"/>
              </w:rPr>
            </w:pPr>
          </w:p>
        </w:tc>
      </w:tr>
      <w:tr>
        <w:trPr>
          <w:trHeight w:val="419"/>
        </w:trPr>
        <w:tc>
          <w:tcPr>
            <w:tcW w:w="224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ABOUT THIS PROSPECTUS</w:t>
              </w:r>
            </w:hyperlink>
          </w:p>
        </w:tc>
        <w:tc>
          <w:tcPr>
            <w:tcW w:w="6680" w:type="dxa"/>
            <w:vAlign w:val="bottom"/>
            <w:gridSpan w:val="22"/>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SUMMARY</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62">
              <w:r>
                <w:rPr>
                  <w:rFonts w:ascii="Arial" w:cs="Arial" w:eastAsia="Arial" w:hAnsi="Arial"/>
                  <w:sz w:val="18"/>
                  <w:szCs w:val="18"/>
                  <w:color w:val="0000EE"/>
                  <w:w w:val="93"/>
                </w:rPr>
                <w:t>THE OFFERING</w:t>
              </w:r>
            </w:hyperlink>
          </w:p>
        </w:tc>
        <w:tc>
          <w:tcPr>
            <w:tcW w:w="7640" w:type="dxa"/>
            <w:vAlign w:val="bottom"/>
            <w:gridSpan w:val="29"/>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8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66">
              <w:r>
                <w:rPr>
                  <w:rFonts w:ascii="Arial" w:cs="Arial" w:eastAsia="Arial" w:hAnsi="Arial"/>
                  <w:sz w:val="18"/>
                  <w:szCs w:val="18"/>
                  <w:color w:val="0000EE"/>
                  <w:w w:val="92"/>
                </w:rPr>
                <w:t>FEES AND EXPENSES</w:t>
              </w:r>
            </w:hyperlink>
          </w:p>
        </w:tc>
        <w:tc>
          <w:tcPr>
            <w:tcW w:w="7120" w:type="dxa"/>
            <w:vAlign w:val="bottom"/>
            <w:gridSpan w:val="2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800" w:type="dxa"/>
            <w:vAlign w:val="bottom"/>
            <w:tcBorders>
              <w:bottom w:val="single" w:sz="8" w:color="0000EE"/>
            </w:tcBorders>
            <w:gridSpan w:val="29"/>
          </w:tcPr>
          <w:p>
            <w:pPr>
              <w:spacing w:after="0" w:line="196" w:lineRule="exact"/>
              <w:rPr>
                <w:rFonts w:ascii="Arial" w:cs="Arial" w:eastAsia="Arial" w:hAnsi="Arial"/>
                <w:sz w:val="18"/>
                <w:szCs w:val="18"/>
                <w:color w:val="0000EE"/>
                <w:w w:val="97"/>
              </w:rPr>
            </w:pPr>
            <w:hyperlink w:anchor="page69">
              <w:r>
                <w:rPr>
                  <w:rFonts w:ascii="Arial" w:cs="Arial" w:eastAsia="Arial" w:hAnsi="Arial"/>
                  <w:sz w:val="18"/>
                  <w:szCs w:val="18"/>
                  <w:color w:val="0000EE"/>
                  <w:w w:val="97"/>
                </w:rPr>
                <w:t>SELECTED FINANCIAL DATA AND OTHER INFORMATION</w:t>
              </w:r>
            </w:hyperlink>
          </w:p>
        </w:tc>
        <w:tc>
          <w:tcPr>
            <w:tcW w:w="4120" w:type="dxa"/>
            <w:vAlign w:val="bottom"/>
            <w:gridSpan w:val="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54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w:anchor="page71">
              <w:r>
                <w:rPr>
                  <w:rFonts w:ascii="Arial" w:cs="Arial" w:eastAsia="Arial" w:hAnsi="Arial"/>
                  <w:sz w:val="18"/>
                  <w:szCs w:val="18"/>
                  <w:color w:val="0000EE"/>
                  <w:w w:val="97"/>
                </w:rPr>
                <w:t>SELECTED QUARTERLY FINANCIAL DATA</w:t>
              </w:r>
            </w:hyperlink>
          </w:p>
        </w:tc>
        <w:tc>
          <w:tcPr>
            <w:tcW w:w="5380" w:type="dxa"/>
            <w:vAlign w:val="bottom"/>
            <w:gridSpan w:val="1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72">
              <w:r>
                <w:rPr>
                  <w:rFonts w:ascii="Arial" w:cs="Arial" w:eastAsia="Arial" w:hAnsi="Arial"/>
                  <w:sz w:val="18"/>
                  <w:szCs w:val="18"/>
                  <w:color w:val="0000EE"/>
                  <w:w w:val="93"/>
                </w:rPr>
                <w:t>RISK FACTORS</w:t>
              </w:r>
            </w:hyperlink>
          </w:p>
        </w:tc>
        <w:tc>
          <w:tcPr>
            <w:tcW w:w="7660" w:type="dxa"/>
            <w:vAlign w:val="bottom"/>
            <w:gridSpan w:val="30"/>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5340" w:type="dxa"/>
            <w:vAlign w:val="bottom"/>
            <w:tcBorders>
              <w:bottom w:val="single" w:sz="8" w:color="0000EE"/>
            </w:tcBorders>
            <w:gridSpan w:val="31"/>
          </w:tcPr>
          <w:p>
            <w:pPr>
              <w:spacing w:after="0" w:line="196" w:lineRule="exact"/>
              <w:rPr>
                <w:rFonts w:ascii="Arial" w:cs="Arial" w:eastAsia="Arial" w:hAnsi="Arial"/>
                <w:sz w:val="18"/>
                <w:szCs w:val="18"/>
                <w:color w:val="0000EE"/>
                <w:w w:val="95"/>
              </w:rPr>
            </w:pPr>
            <w:hyperlink w:anchor="page78">
              <w:r>
                <w:rPr>
                  <w:rFonts w:ascii="Arial" w:cs="Arial" w:eastAsia="Arial" w:hAnsi="Arial"/>
                  <w:sz w:val="18"/>
                  <w:szCs w:val="18"/>
                  <w:color w:val="0000EE"/>
                  <w:w w:val="95"/>
                </w:rPr>
                <w:t>SPECIAL NOTE REGARDING FORWARD-LOOKING STATEMENTS</w:t>
              </w:r>
            </w:hyperlink>
          </w:p>
        </w:tc>
        <w:tc>
          <w:tcPr>
            <w:tcW w:w="3580" w:type="dxa"/>
            <w:vAlign w:val="bottom"/>
            <w:gridSpan w:val="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USE OF PROCEEDS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PRICE RANGE OF COMMON STOCK AND DISTRIBUTIONS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34"/>
          </w:tcPr>
          <w:p>
            <w:pPr>
              <w:spacing w:after="0" w:line="196" w:lineRule="exact"/>
              <w:rPr>
                <w:rFonts w:ascii="Arial" w:cs="Arial" w:eastAsia="Arial" w:hAnsi="Arial"/>
                <w:sz w:val="18"/>
                <w:szCs w:val="18"/>
                <w:color w:val="0000EE"/>
                <w:w w:val="97"/>
              </w:rPr>
            </w:pPr>
            <w:hyperlink w:anchor="page83">
              <w:r>
                <w:rPr>
                  <w:rFonts w:ascii="Arial" w:cs="Arial" w:eastAsia="Arial" w:hAnsi="Arial"/>
                  <w:sz w:val="18"/>
                  <w:szCs w:val="18"/>
                  <w:color w:val="0000EE"/>
                  <w:w w:val="97"/>
                </w:rPr>
                <w:t>MANAGEMENT’S DISCUSSION AND ANALYSIS OF FINANCIAL CONDITION AND RESULTS OF OPERATIONS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72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84">
              <w:r>
                <w:rPr>
                  <w:rFonts w:ascii="Arial" w:cs="Arial" w:eastAsia="Arial" w:hAnsi="Arial"/>
                  <w:sz w:val="18"/>
                  <w:szCs w:val="18"/>
                  <w:color w:val="0000EE"/>
                  <w:w w:val="93"/>
                </w:rPr>
                <w:t>SENIOR SECURITIES</w:t>
              </w:r>
            </w:hyperlink>
          </w:p>
        </w:tc>
        <w:tc>
          <w:tcPr>
            <w:tcW w:w="7200" w:type="dxa"/>
            <w:vAlign w:val="bottom"/>
            <w:gridSpan w:val="2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THE COMPANY</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86">
              <w:r>
                <w:rPr>
                  <w:rFonts w:ascii="Arial" w:cs="Arial" w:eastAsia="Arial" w:hAnsi="Arial"/>
                  <w:sz w:val="18"/>
                  <w:szCs w:val="18"/>
                  <w:color w:val="0000EE"/>
                  <w:w w:val="93"/>
                </w:rPr>
                <w:t>PORTFOLIO COMPANIES</w:t>
              </w:r>
            </w:hyperlink>
          </w:p>
        </w:tc>
        <w:tc>
          <w:tcPr>
            <w:tcW w:w="6860" w:type="dxa"/>
            <w:vAlign w:val="bottom"/>
            <w:gridSpan w:val="2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MANAGEMENT</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3"/>
          </w:tcPr>
          <w:p>
            <w:pPr>
              <w:spacing w:after="0" w:line="196" w:lineRule="exact"/>
              <w:rPr>
                <w:rFonts w:ascii="Arial" w:cs="Arial" w:eastAsia="Arial" w:hAnsi="Arial"/>
                <w:sz w:val="18"/>
                <w:szCs w:val="18"/>
                <w:color w:val="0000EE"/>
                <w:w w:val="97"/>
              </w:rPr>
            </w:pPr>
            <w:hyperlink w:anchor="page91">
              <w:r>
                <w:rPr>
                  <w:rFonts w:ascii="Arial" w:cs="Arial" w:eastAsia="Arial" w:hAnsi="Arial"/>
                  <w:sz w:val="18"/>
                  <w:szCs w:val="18"/>
                  <w:color w:val="0000EE"/>
                  <w:w w:val="97"/>
                </w:rPr>
                <w:t>MANAGEMENT AND OTHER AGREEMENTS</w:t>
              </w:r>
            </w:hyperlink>
          </w:p>
        </w:tc>
        <w:tc>
          <w:tcPr>
            <w:tcW w:w="5280" w:type="dxa"/>
            <w:vAlign w:val="bottom"/>
            <w:gridSpan w:val="11"/>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5500" w:type="dxa"/>
            <w:vAlign w:val="bottom"/>
            <w:tcBorders>
              <w:bottom w:val="single" w:sz="8" w:color="0000EE"/>
            </w:tcBorders>
            <w:gridSpan w:val="32"/>
          </w:tcPr>
          <w:p>
            <w:pPr>
              <w:spacing w:after="0" w:line="196" w:lineRule="exact"/>
              <w:rPr>
                <w:rFonts w:ascii="Arial" w:cs="Arial" w:eastAsia="Arial" w:hAnsi="Arial"/>
                <w:sz w:val="18"/>
                <w:szCs w:val="18"/>
                <w:color w:val="0000EE"/>
                <w:w w:val="95"/>
              </w:rPr>
            </w:pPr>
            <w:hyperlink w:anchor="page91">
              <w:r>
                <w:rPr>
                  <w:rFonts w:ascii="Arial" w:cs="Arial" w:eastAsia="Arial" w:hAnsi="Arial"/>
                  <w:sz w:val="18"/>
                  <w:szCs w:val="18"/>
                  <w:color w:val="0000EE"/>
                  <w:w w:val="95"/>
                </w:rPr>
                <w:t>RELATED-PARTY TRANSACTIONS AND CERTAIN RELATIONSHIPS</w:t>
              </w:r>
            </w:hyperlink>
          </w:p>
        </w:tc>
        <w:tc>
          <w:tcPr>
            <w:tcW w:w="3420" w:type="dxa"/>
            <w:vAlign w:val="bottom"/>
            <w:gridSpan w:val="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CONTROL PERSONS AND PRINCIPAL STOCKHOLDERS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33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6"/>
              </w:rPr>
            </w:pPr>
            <w:hyperlink w:anchor="page92">
              <w:r>
                <w:rPr>
                  <w:rFonts w:ascii="Arial" w:cs="Arial" w:eastAsia="Arial" w:hAnsi="Arial"/>
                  <w:sz w:val="18"/>
                  <w:szCs w:val="18"/>
                  <w:color w:val="0000EE"/>
                  <w:w w:val="96"/>
                </w:rPr>
                <w:t>DETERMINATION OF NET ASSET VALUE</w:t>
              </w:r>
            </w:hyperlink>
          </w:p>
        </w:tc>
        <w:tc>
          <w:tcPr>
            <w:tcW w:w="1160" w:type="dxa"/>
            <w:vAlign w:val="bottom"/>
            <w:tcBorders>
              <w:top w:val="single" w:sz="8" w:color="0000EE"/>
            </w:tcBorders>
            <w:gridSpan w:val="8"/>
          </w:tcPr>
          <w:p>
            <w:pPr>
              <w:spacing w:after="0"/>
              <w:rPr>
                <w:sz w:val="17"/>
                <w:szCs w:val="17"/>
                <w:color w:val="auto"/>
              </w:rPr>
            </w:pPr>
          </w:p>
        </w:tc>
        <w:tc>
          <w:tcPr>
            <w:tcW w:w="4380" w:type="dxa"/>
            <w:vAlign w:val="bottom"/>
            <w:gridSpan w:val="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SALES OF COMMON STOCK BELOW NET ASSET VALUE</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46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DIVIDEND REINVESTMENT PLAN</w:t>
              </w:r>
            </w:hyperlink>
          </w:p>
        </w:tc>
        <w:tc>
          <w:tcPr>
            <w:tcW w:w="4280" w:type="dxa"/>
            <w:vAlign w:val="bottom"/>
            <w:gridSpan w:val="6"/>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30"/>
          </w:tcPr>
          <w:p>
            <w:pPr>
              <w:spacing w:after="0" w:line="196" w:lineRule="exact"/>
              <w:rPr>
                <w:rFonts w:ascii="Arial" w:cs="Arial" w:eastAsia="Arial" w:hAnsi="Arial"/>
                <w:sz w:val="18"/>
                <w:szCs w:val="18"/>
                <w:color w:val="0000EE"/>
                <w:w w:val="96"/>
              </w:rPr>
            </w:pPr>
            <w:hyperlink w:anchor="page101">
              <w:r>
                <w:rPr>
                  <w:rFonts w:ascii="Arial" w:cs="Arial" w:eastAsia="Arial" w:hAnsi="Arial"/>
                  <w:sz w:val="18"/>
                  <w:szCs w:val="18"/>
                  <w:color w:val="0000EE"/>
                  <w:w w:val="96"/>
                </w:rPr>
                <w:t>MATERIAL U.S. FEDERAL INCOME TAX CONSIDERATIONS</w:t>
              </w:r>
            </w:hyperlink>
          </w:p>
        </w:tc>
        <w:tc>
          <w:tcPr>
            <w:tcW w:w="4040" w:type="dxa"/>
            <w:vAlign w:val="bottom"/>
            <w:gridSpan w:val="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9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109">
              <w:r>
                <w:rPr>
                  <w:rFonts w:ascii="Arial" w:cs="Arial" w:eastAsia="Arial" w:hAnsi="Arial"/>
                  <w:sz w:val="18"/>
                  <w:szCs w:val="18"/>
                  <w:color w:val="0000EE"/>
                  <w:w w:val="93"/>
                </w:rPr>
                <w:t>DESCRIPTION OF OUR SECURITIES</w:t>
              </w:r>
            </w:hyperlink>
          </w:p>
        </w:tc>
        <w:tc>
          <w:tcPr>
            <w:tcW w:w="5980" w:type="dxa"/>
            <w:vAlign w:val="bottom"/>
            <w:gridSpan w:val="18"/>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30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109">
              <w:r>
                <w:rPr>
                  <w:rFonts w:ascii="Arial" w:cs="Arial" w:eastAsia="Arial" w:hAnsi="Arial"/>
                  <w:sz w:val="18"/>
                  <w:szCs w:val="18"/>
                  <w:color w:val="0000EE"/>
                  <w:w w:val="95"/>
                </w:rPr>
                <w:t>DESCRIPTION OF OUR CAPITAL STOCK</w:t>
              </w:r>
            </w:hyperlink>
          </w:p>
        </w:tc>
        <w:tc>
          <w:tcPr>
            <w:tcW w:w="5620" w:type="dxa"/>
            <w:vAlign w:val="bottom"/>
            <w:gridSpan w:val="16"/>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58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114">
              <w:r>
                <w:rPr>
                  <w:rFonts w:ascii="Arial" w:cs="Arial" w:eastAsia="Arial" w:hAnsi="Arial"/>
                  <w:sz w:val="18"/>
                  <w:szCs w:val="18"/>
                  <w:color w:val="0000EE"/>
                  <w:w w:val="93"/>
                </w:rPr>
                <w:t>DESCRIPTION OF OUR PREFERRED STOCK</w:t>
              </w:r>
            </w:hyperlink>
          </w:p>
        </w:tc>
        <w:tc>
          <w:tcPr>
            <w:tcW w:w="5340" w:type="dxa"/>
            <w:vAlign w:val="bottom"/>
            <w:gridSpan w:val="1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390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116">
              <w:r>
                <w:rPr>
                  <w:rFonts w:ascii="Arial" w:cs="Arial" w:eastAsia="Arial" w:hAnsi="Arial"/>
                  <w:sz w:val="18"/>
                  <w:szCs w:val="18"/>
                  <w:color w:val="0000EE"/>
                  <w:w w:val="94"/>
                </w:rPr>
                <w:t>DESCRIPTION OF OUR SUBSCRIPTION RIGHTS</w:t>
              </w:r>
            </w:hyperlink>
          </w:p>
        </w:tc>
        <w:tc>
          <w:tcPr>
            <w:tcW w:w="5020" w:type="dxa"/>
            <w:vAlign w:val="bottom"/>
            <w:gridSpan w:val="10"/>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DESCRIPTION OF OUR WARRANTS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20">
              <w:r>
                <w:rPr>
                  <w:rFonts w:ascii="Arial" w:cs="Arial" w:eastAsia="Arial" w:hAnsi="Arial"/>
                  <w:sz w:val="18"/>
                  <w:szCs w:val="18"/>
                  <w:color w:val="0000EE"/>
                  <w:w w:val="94"/>
                </w:rPr>
                <w:t>DESCRIPTION OF OUR DEBT SECURITIES</w:t>
              </w:r>
            </w:hyperlink>
          </w:p>
        </w:tc>
        <w:tc>
          <w:tcPr>
            <w:tcW w:w="5460" w:type="dxa"/>
            <w:vAlign w:val="bottom"/>
            <w:gridSpan w:val="1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SHARES ELIGIBLE FOR FUTURE SALE</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31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REGULATION</w:t>
              </w:r>
            </w:hyperlink>
          </w:p>
        </w:tc>
        <w:tc>
          <w:tcPr>
            <w:tcW w:w="5740" w:type="dxa"/>
            <w:vAlign w:val="bottom"/>
            <w:gridSpan w:val="1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4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6240" w:type="dxa"/>
            <w:vAlign w:val="bottom"/>
            <w:tcBorders>
              <w:bottom w:val="single" w:sz="8" w:color="0000EE"/>
            </w:tcBorders>
            <w:gridSpan w:val="33"/>
          </w:tcPr>
          <w:p>
            <w:pPr>
              <w:spacing w:after="0" w:line="196" w:lineRule="exact"/>
              <w:rPr>
                <w:rFonts w:ascii="Arial" w:cs="Arial" w:eastAsia="Arial" w:hAnsi="Arial"/>
                <w:sz w:val="18"/>
                <w:szCs w:val="18"/>
                <w:color w:val="0000EE"/>
                <w:w w:val="97"/>
              </w:rPr>
            </w:pPr>
            <w:hyperlink w:anchor="page135">
              <w:r>
                <w:rPr>
                  <w:rFonts w:ascii="Arial" w:cs="Arial" w:eastAsia="Arial" w:hAnsi="Arial"/>
                  <w:sz w:val="18"/>
                  <w:szCs w:val="18"/>
                  <w:color w:val="0000EE"/>
                  <w:w w:val="97"/>
                </w:rPr>
                <w:t>CUSTODIAN, TRANSFER AND DIVIDEND PAYING AGENT AND REGISTRAR</w:t>
              </w:r>
            </w:hyperlink>
          </w:p>
        </w:tc>
        <w:tc>
          <w:tcPr>
            <w:tcW w:w="2680" w:type="dxa"/>
            <w:vAlign w:val="bottom"/>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BROKERAGE ALLOCATION AND OTHER PRACTICES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20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7"/>
              </w:rPr>
            </w:pPr>
            <w:hyperlink w:anchor="page136">
              <w:r>
                <w:rPr>
                  <w:rFonts w:ascii="Arial" w:cs="Arial" w:eastAsia="Arial" w:hAnsi="Arial"/>
                  <w:sz w:val="18"/>
                  <w:szCs w:val="18"/>
                  <w:color w:val="0000EE"/>
                  <w:w w:val="97"/>
                </w:rPr>
                <w:t>PLAN OF DISTRIBUTION</w:t>
              </w:r>
            </w:hyperlink>
          </w:p>
        </w:tc>
        <w:tc>
          <w:tcPr>
            <w:tcW w:w="2320" w:type="dxa"/>
            <w:vAlign w:val="bottom"/>
            <w:tcBorders>
              <w:top w:val="single" w:sz="8" w:color="0000EE"/>
            </w:tcBorders>
            <w:gridSpan w:val="15"/>
          </w:tcPr>
          <w:p>
            <w:pPr>
              <w:spacing w:after="0"/>
              <w:rPr>
                <w:sz w:val="17"/>
                <w:szCs w:val="17"/>
                <w:color w:val="auto"/>
              </w:rPr>
            </w:pPr>
          </w:p>
        </w:tc>
        <w:tc>
          <w:tcPr>
            <w:tcW w:w="4540" w:type="dxa"/>
            <w:vAlign w:val="bottom"/>
            <w:gridSpan w:val="8"/>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146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138">
              <w:r>
                <w:rPr>
                  <w:rFonts w:ascii="Arial" w:cs="Arial" w:eastAsia="Arial" w:hAnsi="Arial"/>
                  <w:sz w:val="18"/>
                  <w:szCs w:val="18"/>
                  <w:color w:val="0000EE"/>
                  <w:w w:val="96"/>
                </w:rPr>
                <w:t>LEGAL MATTERS</w:t>
              </w:r>
            </w:hyperlink>
          </w:p>
        </w:tc>
        <w:tc>
          <w:tcPr>
            <w:tcW w:w="7460" w:type="dxa"/>
            <w:vAlign w:val="bottom"/>
            <w:gridSpan w:val="2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38">
              <w:r>
                <w:rPr>
                  <w:rFonts w:ascii="Arial" w:cs="Arial" w:eastAsia="Arial" w:hAnsi="Arial"/>
                  <w:sz w:val="18"/>
                  <w:szCs w:val="18"/>
                  <w:color w:val="0000EE"/>
                  <w:w w:val="90"/>
                </w:rPr>
                <w:t>EXPERTS</w:t>
              </w:r>
            </w:hyperlink>
          </w:p>
        </w:tc>
        <w:tc>
          <w:tcPr>
            <w:tcW w:w="8140" w:type="dxa"/>
            <w:vAlign w:val="bottom"/>
            <w:gridSpan w:val="3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2280" w:type="dxa"/>
            <w:vAlign w:val="bottom"/>
            <w:tcBorders>
              <w:bottom w:val="single" w:sz="8" w:color="0000EE"/>
            </w:tcBorders>
            <w:gridSpan w:val="13"/>
          </w:tcPr>
          <w:p>
            <w:pPr>
              <w:spacing w:after="0" w:line="196" w:lineRule="exact"/>
              <w:rPr>
                <w:rFonts w:ascii="Arial" w:cs="Arial" w:eastAsia="Arial" w:hAnsi="Arial"/>
                <w:sz w:val="18"/>
                <w:szCs w:val="18"/>
                <w:color w:val="0000EE"/>
                <w:w w:val="99"/>
              </w:rPr>
            </w:pPr>
            <w:hyperlink w:anchor="page138">
              <w:r>
                <w:rPr>
                  <w:rFonts w:ascii="Arial" w:cs="Arial" w:eastAsia="Arial" w:hAnsi="Arial"/>
                  <w:sz w:val="18"/>
                  <w:szCs w:val="18"/>
                  <w:color w:val="0000EE"/>
                  <w:w w:val="99"/>
                </w:rPr>
                <w:t>AVAILABLE INFORMATION</w:t>
              </w:r>
            </w:hyperlink>
          </w:p>
        </w:tc>
        <w:tc>
          <w:tcPr>
            <w:tcW w:w="6640" w:type="dxa"/>
            <w:vAlign w:val="bottom"/>
            <w:gridSpan w:val="21"/>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INFORMATION INCORPORATED BY REFERENCE</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This prospectus is part of an automatic shelf registration statement that we filed with the U.S. Securities and Exchange Commission, or SEC, as a “well-known seasoned issuer” as defined in Rule 405 under the Securities Act of 1933, as amended, or the Securities Act. Under the shelf registration process, which constitutes a delayed offering in reliance on Rule 415 under the Securities Act, we may offer, from time to time, in one or more offerings,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5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7"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w:t>
      </w:r>
    </w:p>
    <w:p>
      <w:pPr>
        <w:spacing w:after="0" w:line="200" w:lineRule="exact"/>
        <w:rPr>
          <w:sz w:val="20"/>
          <w:szCs w:val="20"/>
          <w:color w:val="auto"/>
        </w:rPr>
      </w:pPr>
    </w:p>
    <w:p>
      <w:pPr>
        <w:spacing w:after="0" w:line="2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106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002145" cy="67106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w:t>
      </w:r>
    </w:p>
    <w:p>
      <w:pPr>
        <w:spacing w:after="0" w:line="18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used in the prospectus, except where the context suggests otherwise, references to:</w:t>
      </w:r>
    </w:p>
    <w:p>
      <w:pPr>
        <w:spacing w:after="0" w:line="131" w:lineRule="exact"/>
        <w:rPr>
          <w:sz w:val="20"/>
          <w:szCs w:val="20"/>
          <w:color w:val="auto"/>
        </w:rPr>
      </w:pPr>
    </w:p>
    <w:p>
      <w:pPr>
        <w:ind w:left="1320" w:right="80" w:hanging="407"/>
        <w:spacing w:after="0" w:line="277" w:lineRule="auto"/>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“TSLX,”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1320" w:right="20" w:hanging="407"/>
        <w:spacing w:after="0" w:line="277" w:lineRule="auto"/>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“TSSP” refers to TPG Sixth Street Partners, LLC; and</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left="380" w:right="40" w:firstLine="426"/>
        <w:spacing w:after="0" w:line="264" w:lineRule="auto"/>
        <w:rPr>
          <w:sz w:val="20"/>
          <w:szCs w:val="20"/>
          <w:color w:val="auto"/>
        </w:rPr>
      </w:pPr>
      <w:r>
        <w:rPr>
          <w:rFonts w:ascii="Arial" w:cs="Arial" w:eastAsia="Arial" w:hAnsi="Arial"/>
          <w:sz w:val="18"/>
          <w:szCs w:val="18"/>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380" w:right="80" w:firstLine="426"/>
        <w:spacing w:after="0" w:line="291"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through March 31, 2019, we have originated more than $9.7 billion aggregate principal amount of investments and retained approximately</w:t>
      </w:r>
    </w:p>
    <w:p>
      <w:pPr>
        <w:ind w:left="380" w:right="20"/>
        <w:spacing w:after="0" w:line="252" w:lineRule="auto"/>
        <w:rPr>
          <w:sz w:val="20"/>
          <w:szCs w:val="20"/>
          <w:color w:val="auto"/>
        </w:rPr>
      </w:pPr>
      <w:r>
        <w:rPr>
          <w:rFonts w:ascii="Arial" w:cs="Arial" w:eastAsia="Arial" w:hAnsi="Arial"/>
          <w:sz w:val="18"/>
          <w:szCs w:val="18"/>
          <w:color w:val="auto"/>
        </w:rPr>
        <w:t>$5.4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March 31, 2019, our core portfolio companies, which excludes certain investments that fall outside of our typical borrower profile and represent 82.0% of our total investments based on fair value, had weighted average annual revenue of $107.0 million and weighted average annual EBITDA of $31.5 million.</w:t>
      </w:r>
    </w:p>
    <w:p>
      <w:pPr>
        <w:spacing w:after="0" w:line="192" w:lineRule="exact"/>
        <w:rPr>
          <w:sz w:val="20"/>
          <w:szCs w:val="20"/>
          <w:color w:val="auto"/>
        </w:rPr>
      </w:pPr>
    </w:p>
    <w:p>
      <w:pPr>
        <w:ind w:left="380" w:right="380" w:firstLine="42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47" w:lineRule="exact"/>
        <w:rPr>
          <w:sz w:val="20"/>
          <w:szCs w:val="20"/>
          <w:color w:val="auto"/>
        </w:rPr>
      </w:pPr>
    </w:p>
    <w:p>
      <w:pPr>
        <w:ind w:left="380" w:right="80" w:firstLine="426"/>
        <w:spacing w:after="0" w:line="342" w:lineRule="auto"/>
        <w:rPr>
          <w:sz w:val="20"/>
          <w:szCs w:val="20"/>
          <w:color w:val="auto"/>
        </w:rPr>
      </w:pPr>
      <w:r>
        <w:rPr>
          <w:rFonts w:ascii="Arial" w:cs="Arial" w:eastAsia="Arial" w:hAnsi="Arial"/>
          <w:sz w:val="16"/>
          <w:szCs w:val="16"/>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380" w:right="60" w:firstLine="426"/>
        <w:spacing w:after="0" w:line="27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(including restructurings). We invest in first-lien debt, second-lien debt,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240" w:top="459" w:right="6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01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002145" cy="5501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00"/>
        <w:spacing w:after="0" w:line="257" w:lineRule="auto"/>
        <w:rPr>
          <w:sz w:val="20"/>
          <w:szCs w:val="20"/>
          <w:color w:val="auto"/>
        </w:rPr>
      </w:pPr>
      <w:r>
        <w:rPr>
          <w:rFonts w:ascii="Arial" w:cs="Arial" w:eastAsia="Arial" w:hAnsi="Arial"/>
          <w:sz w:val="18"/>
          <w:szCs w:val="18"/>
          <w:color w:val="auto"/>
        </w:rPr>
        <w:t>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380" w:right="200" w:firstLine="426"/>
        <w:spacing w:after="0" w:line="259" w:lineRule="auto"/>
        <w:rPr>
          <w:sz w:val="20"/>
          <w:szCs w:val="20"/>
          <w:color w:val="auto"/>
        </w:rPr>
      </w:pPr>
      <w:r>
        <w:rPr>
          <w:rFonts w:ascii="Arial" w:cs="Arial" w:eastAsia="Arial" w:hAnsi="Arial"/>
          <w:sz w:val="18"/>
          <w:szCs w:val="18"/>
          <w:color w:val="auto"/>
        </w:rPr>
        <w:t>As of March 31, 2019, based on fair value our portfolio consisted of 97.4% first-lien debt investments, 0.2% second-lien debt investments, 0.1% mezzanine debt investments, and 2.3% equity and other investments. As of March 31, 2019, 99.7% of our debt investments based on fair value bore interest at floating rates (when including investment specific hedges), with 93.9% of these subject to interest rate floors, which we believe helps act as a portfolio-wide hedge against inflation.</w:t>
      </w:r>
    </w:p>
    <w:p>
      <w:pPr>
        <w:spacing w:after="0" w:line="187" w:lineRule="exact"/>
        <w:rPr>
          <w:sz w:val="20"/>
          <w:szCs w:val="20"/>
          <w:color w:val="auto"/>
        </w:rPr>
      </w:pPr>
    </w:p>
    <w:p>
      <w:pPr>
        <w:ind w:left="380" w:right="120" w:firstLine="426"/>
        <w:spacing w:after="0" w:line="286" w:lineRule="auto"/>
        <w:rPr>
          <w:sz w:val="20"/>
          <w:szCs w:val="20"/>
          <w:color w:val="auto"/>
        </w:rPr>
      </w:pPr>
      <w:r>
        <w:rPr>
          <w:rFonts w:ascii="Arial" w:cs="Arial" w:eastAsia="Arial" w:hAnsi="Arial"/>
          <w:sz w:val="17"/>
          <w:szCs w:val="17"/>
          <w:color w:val="auto"/>
        </w:rPr>
        <w:t>As of March 31, 2019, we had investments in 48 portfolio companies with an aggregate fair value of $1,824.9 million. For the three months ended March 31, 2019, the principal amount of new investments funded was $145.3 million in four new portfolio companies and four existing portfolio companies. For this period, we had $33.1 million aggregate principal amount in exits and repayments.</w:t>
      </w:r>
    </w:p>
    <w:p>
      <w:pPr>
        <w:spacing w:after="0" w:line="166" w:lineRule="exact"/>
        <w:rPr>
          <w:sz w:val="20"/>
          <w:szCs w:val="20"/>
          <w:color w:val="auto"/>
        </w:rPr>
      </w:pPr>
    </w:p>
    <w:p>
      <w:pPr>
        <w:ind w:left="380" w:firstLine="426"/>
        <w:spacing w:after="0" w:line="286" w:lineRule="auto"/>
        <w:rPr>
          <w:sz w:val="20"/>
          <w:szCs w:val="20"/>
          <w:color w:val="auto"/>
        </w:rPr>
      </w:pPr>
      <w:r>
        <w:rPr>
          <w:rFonts w:ascii="Arial" w:cs="Arial" w:eastAsia="Arial" w:hAnsi="Arial"/>
          <w:sz w:val="17"/>
          <w:szCs w:val="17"/>
          <w:color w:val="auto"/>
        </w:rPr>
        <w:t>As of December 31, 2018, we had investments in 46 portfolio companies with an aggregate fair value of $1,706.0 million. For the year ended December 31, 2018, the principal amount of new investments funded was $816.9 million in 19 new portfolio companies and 14 existing portfolio companies. For this period, we had $790.3 million aggregate principal amount in exits and repayments.</w:t>
      </w:r>
    </w:p>
    <w:p>
      <w:pPr>
        <w:spacing w:after="0" w:line="166" w:lineRule="exact"/>
        <w:rPr>
          <w:sz w:val="20"/>
          <w:szCs w:val="20"/>
          <w:color w:val="auto"/>
        </w:rPr>
      </w:pPr>
    </w:p>
    <w:p>
      <w:pPr>
        <w:jc w:val="both"/>
        <w:ind w:left="380" w:right="100" w:firstLine="426"/>
        <w:spacing w:after="0" w:line="264" w:lineRule="auto"/>
        <w:rPr>
          <w:sz w:val="20"/>
          <w:szCs w:val="20"/>
          <w:color w:val="auto"/>
        </w:rPr>
      </w:pPr>
      <w:r>
        <w:rPr>
          <w:rFonts w:ascii="Arial" w:cs="Arial" w:eastAsia="Arial" w:hAnsi="Arial"/>
          <w:sz w:val="18"/>
          <w:szCs w:val="18"/>
          <w:color w:val="auto"/>
        </w:rPr>
        <w:t>As of March 31, 2019, the largest single investment based on fair value represented 4.6% of our total investment portfolio. As of March 31, 2019, the average investment size in each of our portfolio companies was approximately $38.0 million based on fair value. As of March 31, 2019, the largest industry represented 20.0% of our total portfolio based on fair value.</w:t>
      </w:r>
    </w:p>
    <w:p>
      <w:pPr>
        <w:spacing w:after="0" w:line="181" w:lineRule="exact"/>
        <w:rPr>
          <w:sz w:val="20"/>
          <w:szCs w:val="20"/>
          <w:color w:val="auto"/>
        </w:rPr>
      </w:pPr>
    </w:p>
    <w:p>
      <w:pPr>
        <w:ind w:left="380" w:right="20" w:firstLine="426"/>
        <w:spacing w:after="0" w:line="293" w:lineRule="auto"/>
        <w:rPr>
          <w:sz w:val="20"/>
          <w:szCs w:val="20"/>
          <w:color w:val="auto"/>
        </w:rPr>
      </w:pPr>
      <w:r>
        <w:rPr>
          <w:rFonts w:ascii="Arial" w:cs="Arial" w:eastAsia="Arial" w:hAnsi="Arial"/>
          <w:sz w:val="16"/>
          <w:szCs w:val="16"/>
          <w:color w:val="auto"/>
        </w:rPr>
        <w:t>Since we began investing in 2011 through March 31, 2019, weighted by capital invested, our exited investments have generated an average realized gross internal rate of return to us of 18.7% (based on total capital invested of $3.4 billion and total proceeds from these exited investments of $4.3 billion). Eighty nine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March 31, 2019 (the “2019 Q1 Quarterly Report”), which is incorporated herein by reference.</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2018 (the “2018 Annual Report”) for more information on these requirements.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240" w:top="459" w:right="6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188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002145" cy="61188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380" w:right="600" w:firstLine="42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left="380" w:right="40" w:firstLine="426"/>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and David Stiepleman.</w:t>
      </w:r>
    </w:p>
    <w:p>
      <w:pPr>
        <w:spacing w:after="0" w:line="193" w:lineRule="exact"/>
        <w:rPr>
          <w:sz w:val="20"/>
          <w:szCs w:val="20"/>
          <w:color w:val="auto"/>
        </w:rPr>
      </w:pPr>
    </w:p>
    <w:p>
      <w:pPr>
        <w:ind w:left="380" w:firstLine="426"/>
        <w:spacing w:after="0" w:line="270" w:lineRule="auto"/>
        <w:rPr>
          <w:sz w:val="20"/>
          <w:szCs w:val="20"/>
          <w:color w:val="auto"/>
        </w:rPr>
      </w:pPr>
      <w:r>
        <w:rPr>
          <w:rFonts w:ascii="Arial" w:cs="Arial" w:eastAsia="Arial" w:hAnsi="Arial"/>
          <w:sz w:val="17"/>
          <w:szCs w:val="17"/>
          <w:color w:val="auto"/>
        </w:rPr>
        <w:t>TSSP is a global finance and investment firm with over $30 billion of assets under management as of December 31, 2018. TSSP is in a strategic partnership with TPG, the global alternative asset firm. TSSP’s core platforms include TPG Specialty Lending, TSL Europe, which is aimed at European middle-market loan originations, TSSP Adjacent Opportunities, which has the flexibility to invest across all of TSSP’s private credit market investments, TSSP Opportunities Partners, which focuses on actively managed opportunistic investments across the credit cycle, TPG Institutional Credit Partners, which is a “public-side” credit investment platform focused on investment opportunities in broadly syndicated leveraged loan markets, and TSSP Capital Solutions, which provides financing solutions to growing companies. TSSP has a long-term oriented, highly flexible capital base that allows it to invest across industries, geographies, capital structures and asset classes. TSSP has extensive experience with highly complex, global public and private investments executed through primary originations, secondary market purchases and restructurings, and has a team of over 200 investment and operating professionals. As of March 31, 2019, thirty two (32) of these personnel are dedicated to our business, including twenty five (25) investment professionals.</w:t>
      </w:r>
    </w:p>
    <w:p>
      <w:pPr>
        <w:spacing w:after="0" w:line="178" w:lineRule="exact"/>
        <w:rPr>
          <w:sz w:val="20"/>
          <w:szCs w:val="20"/>
          <w:color w:val="auto"/>
        </w:rPr>
      </w:pPr>
    </w:p>
    <w:p>
      <w:pPr>
        <w:ind w:left="380" w:right="340" w:firstLine="426"/>
        <w:spacing w:after="0" w:line="264" w:lineRule="auto"/>
        <w:rPr>
          <w:sz w:val="20"/>
          <w:szCs w:val="20"/>
          <w:color w:val="auto"/>
        </w:rPr>
      </w:pPr>
      <w:r>
        <w:rPr>
          <w:rFonts w:ascii="Arial" w:cs="Arial" w:eastAsia="Arial" w:hAnsi="Arial"/>
          <w:sz w:val="18"/>
          <w:szCs w:val="18"/>
          <w:color w:val="auto"/>
        </w:rPr>
        <w:t>TPG is a leading global private investment firm founded in 1992. TPG is headquartered in San Francisco and Fort Worth, with additional offices in Austin, Beijing, Boston, Dallas, Hong Kong, Houston, London, Luxembourg, Melbourne, Moscow, Mumbai, New York, Seoul and Singapore.</w:t>
      </w:r>
    </w:p>
    <w:p>
      <w:pPr>
        <w:spacing w:after="0" w:line="181" w:lineRule="exact"/>
        <w:rPr>
          <w:sz w:val="20"/>
          <w:szCs w:val="20"/>
          <w:color w:val="auto"/>
        </w:rPr>
      </w:pPr>
    </w:p>
    <w:p>
      <w:pPr>
        <w:ind w:left="380" w:right="100" w:firstLine="426"/>
        <w:spacing w:after="0" w:line="259" w:lineRule="auto"/>
        <w:rPr>
          <w:sz w:val="20"/>
          <w:szCs w:val="20"/>
          <w:color w:val="auto"/>
        </w:rPr>
      </w:pPr>
      <w:r>
        <w:rPr>
          <w:rFonts w:ascii="Arial" w:cs="Arial" w:eastAsia="Arial" w:hAnsi="Arial"/>
          <w:sz w:val="18"/>
          <w:szCs w:val="18"/>
          <w:color w:val="auto"/>
        </w:rPr>
        <w:t>Our Adviser consults with TSSP in connection with a substantial number of our investments. The TSSP platform provides us with a breadth of large and scalable investment resources. We believe we benefit from TSSP’s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About Our Administrator</w:t>
      </w:r>
    </w:p>
    <w:p>
      <w:pPr>
        <w:spacing w:after="0" w:line="121"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See the section entitled “Administration Agreement” in Note 3 to our consolidated financial statements in our 2019 Q1 Quarterly Report.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80" w:right="100" w:firstLine="426"/>
        <w:spacing w:after="0" w:line="308" w:lineRule="auto"/>
        <w:rPr>
          <w:sz w:val="20"/>
          <w:szCs w:val="20"/>
          <w:color w:val="auto"/>
        </w:rPr>
      </w:pPr>
      <w:r>
        <w:rPr>
          <w:rFonts w:ascii="Arial" w:cs="Arial" w:eastAsia="Arial" w:hAnsi="Arial"/>
          <w:sz w:val="17"/>
          <w:szCs w:val="17"/>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38" w:lineRule="exact"/>
        <w:rPr>
          <w:sz w:val="20"/>
          <w:szCs w:val="20"/>
          <w:color w:val="auto"/>
        </w:rPr>
      </w:pPr>
    </w:p>
    <w:p>
      <w:pPr>
        <w:ind w:left="380" w:right="220" w:firstLine="426"/>
        <w:spacing w:after="0" w:line="270" w:lineRule="auto"/>
        <w:rPr>
          <w:sz w:val="20"/>
          <w:szCs w:val="20"/>
          <w:color w:val="auto"/>
        </w:rPr>
      </w:pPr>
      <w:r>
        <w:rPr>
          <w:rFonts w:ascii="Arial" w:cs="Arial" w:eastAsia="Arial" w:hAnsi="Arial"/>
          <w:sz w:val="17"/>
          <w:szCs w:val="17"/>
          <w:i w:val="1"/>
          <w:iCs w:val="1"/>
          <w:color w:val="auto"/>
        </w:rPr>
        <w:t>Limited availability of capital for middle-market companies</w:t>
      </w:r>
      <w:r>
        <w:rPr>
          <w:rFonts w:ascii="Arial" w:cs="Arial" w:eastAsia="Arial" w:hAnsi="Arial"/>
          <w:sz w:val="17"/>
          <w:szCs w:val="17"/>
          <w:color w:val="auto"/>
        </w:rPr>
        <w:t>. We believe that certain structural changes in the market have reduced the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w:t>
      </w:r>
    </w:p>
    <w:p>
      <w:pPr>
        <w:spacing w:after="0" w:line="182" w:lineRule="exact"/>
        <w:rPr>
          <w:sz w:val="20"/>
          <w:szCs w:val="20"/>
          <w:color w:val="auto"/>
        </w:rPr>
      </w:pPr>
    </w:p>
    <w:p>
      <w:pPr>
        <w:ind w:left="380" w:right="40" w:firstLine="426"/>
        <w:spacing w:after="0" w:line="257"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debt, support growth and finance acquisitions. In addition, we believe the large amount of uninvested capital held by funds of private equity firms, estimated by Preqin Ltd., an alternative assets industry data and research company, at over $2.0 trillion as of May 2019, will continue to drive deal activity. We expect that private equity firms will continue to pursue acquisitions and to seek to leverage their equity investments with secured loans provided by companies such as ours.</w:t>
      </w:r>
    </w:p>
    <w:p>
      <w:pPr>
        <w:spacing w:after="0" w:line="188" w:lineRule="exact"/>
        <w:rPr>
          <w:sz w:val="20"/>
          <w:szCs w:val="20"/>
          <w:color w:val="auto"/>
        </w:rPr>
      </w:pPr>
    </w:p>
    <w:p>
      <w:pPr>
        <w:ind w:left="380" w:right="80" w:firstLine="426"/>
        <w:spacing w:after="0" w:line="293"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65" w:lineRule="exact"/>
        <w:rPr>
          <w:sz w:val="20"/>
          <w:szCs w:val="20"/>
          <w:color w:val="auto"/>
        </w:rPr>
      </w:pPr>
    </w:p>
    <w:p>
      <w:pPr>
        <w:ind w:left="380" w:right="200" w:firstLine="426"/>
        <w:spacing w:after="0" w:line="276" w:lineRule="auto"/>
        <w:rPr>
          <w:sz w:val="20"/>
          <w:szCs w:val="20"/>
          <w:color w:val="auto"/>
        </w:rPr>
      </w:pPr>
      <w:r>
        <w:rPr>
          <w:rFonts w:ascii="Arial" w:cs="Arial" w:eastAsia="Arial" w:hAnsi="Arial"/>
          <w:sz w:val="17"/>
          <w:szCs w:val="17"/>
          <w:i w:val="1"/>
          <w:iCs w:val="1"/>
          <w:color w:val="auto"/>
        </w:rPr>
        <w:t>Conservative capital structures</w:t>
      </w:r>
      <w:r>
        <w:rPr>
          <w:rFonts w:ascii="Arial" w:cs="Arial" w:eastAsia="Arial" w:hAnsi="Arial"/>
          <w:sz w:val="17"/>
          <w:szCs w:val="17"/>
          <w:color w:val="auto"/>
        </w:rPr>
        <w:t>. Following the credit crisis, which we define broadly as occurring between mid-2007 and mid-2009,</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borrowers 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73" w:lineRule="exact"/>
        <w:rPr>
          <w:sz w:val="20"/>
          <w:szCs w:val="20"/>
          <w:color w:val="auto"/>
        </w:rPr>
      </w:pPr>
    </w:p>
    <w:p>
      <w:pPr>
        <w:ind w:left="380" w:firstLine="426"/>
        <w:spacing w:after="0" w:line="279" w:lineRule="auto"/>
        <w:rPr>
          <w:sz w:val="20"/>
          <w:szCs w:val="20"/>
          <w:color w:val="auto"/>
        </w:rPr>
      </w:pPr>
      <w:r>
        <w:rPr>
          <w:rFonts w:ascii="Arial" w:cs="Arial" w:eastAsia="Arial" w:hAnsi="Arial"/>
          <w:sz w:val="17"/>
          <w:szCs w:val="17"/>
          <w:i w:val="1"/>
          <w:iCs w:val="1"/>
          <w:color w:val="auto"/>
        </w:rPr>
        <w:t>Specialized lending requirements</w:t>
      </w:r>
      <w:r>
        <w:rPr>
          <w:rFonts w:ascii="Arial" w:cs="Arial" w:eastAsia="Arial" w:hAnsi="Arial"/>
          <w:sz w:val="17"/>
          <w:szCs w:val="17"/>
          <w:color w:val="auto"/>
        </w:rPr>
        <w:t>. Lending to middle-market companies requires specialized due diligence and underwriting capabilities,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extensive ongoing monitoring. Middle-market lending also is generally more labor-intensive than lending to larger companies due to smaller investment sizes and the lack of publicly available information on these companies. We believe the experience and resources of our Adviser and TSSP position us more strongly than many capital providers to lend to middle-market companies.</w:t>
      </w:r>
    </w:p>
    <w:p>
      <w:pPr>
        <w:spacing w:after="0" w:line="171" w:lineRule="exact"/>
        <w:rPr>
          <w:sz w:val="20"/>
          <w:szCs w:val="20"/>
          <w:color w:val="auto"/>
        </w:rPr>
      </w:pPr>
    </w:p>
    <w:p>
      <w:pPr>
        <w:ind w:left="380" w:right="300" w:firstLine="426"/>
        <w:spacing w:after="0" w:line="277" w:lineRule="auto"/>
        <w:rPr>
          <w:sz w:val="20"/>
          <w:szCs w:val="20"/>
          <w:color w:val="auto"/>
        </w:rPr>
      </w:pPr>
      <w:r>
        <w:rPr>
          <w:rFonts w:ascii="Arial" w:cs="Arial" w:eastAsia="Arial" w:hAnsi="Arial"/>
          <w:sz w:val="18"/>
          <w:szCs w:val="18"/>
          <w:i w:val="1"/>
          <w:iCs w:val="1"/>
          <w:color w:val="auto"/>
        </w:rPr>
        <w:t>Desirability of partnering with BDCs</w:t>
      </w:r>
      <w:r>
        <w:rPr>
          <w:rFonts w:ascii="Arial" w:cs="Arial" w:eastAsia="Arial" w:hAnsi="Arial"/>
          <w:sz w:val="18"/>
          <w:szCs w:val="18"/>
          <w:color w:val="auto"/>
        </w:rPr>
        <w:t>. We believe middle-market companies see advantages in raising capital from BDCs. BDCs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offer attractive financing structures, including unitranche loans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845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002145" cy="6084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20"/>
        <w:spacing w:after="0" w:line="277" w:lineRule="auto"/>
        <w:rPr>
          <w:sz w:val="20"/>
          <w:szCs w:val="20"/>
          <w:color w:val="auto"/>
        </w:rPr>
      </w:pPr>
      <w:r>
        <w:rPr>
          <w:rFonts w:ascii="Arial" w:cs="Arial" w:eastAsia="Arial" w:hAnsi="Arial"/>
          <w:sz w:val="18"/>
          <w:szCs w:val="18"/>
          <w:color w:val="auto"/>
        </w:rPr>
        <w:t>“one-stop” financings and can provide a valuable combination of flexibility to develop loans that reflect each borrower’s distinct situation, long-term relationship focus and reliability as a potential source of future capital.</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left="380" w:right="100" w:firstLine="426"/>
        <w:spacing w:after="0" w:line="276" w:lineRule="auto"/>
        <w:rPr>
          <w:sz w:val="20"/>
          <w:szCs w:val="20"/>
          <w:color w:val="auto"/>
        </w:rPr>
      </w:pPr>
      <w:r>
        <w:rPr>
          <w:rFonts w:ascii="Arial" w:cs="Arial" w:eastAsia="Arial" w:hAnsi="Arial"/>
          <w:sz w:val="17"/>
          <w:szCs w:val="17"/>
          <w:i w:val="1"/>
          <w:iCs w:val="1"/>
          <w:color w:val="auto"/>
        </w:rPr>
        <w:t>Leading platform and access to proprietary deal flow</w:t>
      </w:r>
      <w:r>
        <w:rPr>
          <w:rFonts w:ascii="Arial" w:cs="Arial" w:eastAsia="Arial" w:hAnsi="Arial"/>
          <w:sz w:val="17"/>
          <w:szCs w:val="17"/>
          <w:color w:val="auto"/>
        </w:rPr>
        <w:t>. The substantial majority of our investments are not intermediated and are originated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the assistance of investment banks or other traditional Wall Street sources. Our Adviser has a dedicated team of 25 investment professionals responsible for originating, underwriting, executing and managing the assets of our direct lending transactions. This team is responsible for sourcing and executing opportunities directly, while leveraging the resources and expertise of the TSSP platform. The senior members of our Investment Team have over 235 years of collective experience as commercial dealmakers.</w:t>
      </w:r>
    </w:p>
    <w:p>
      <w:pPr>
        <w:spacing w:after="0" w:line="173" w:lineRule="exact"/>
        <w:rPr>
          <w:sz w:val="20"/>
          <w:szCs w:val="20"/>
          <w:color w:val="auto"/>
        </w:rPr>
      </w:pPr>
    </w:p>
    <w:p>
      <w:pPr>
        <w:ind w:left="380" w:right="100" w:firstLine="426"/>
        <w:spacing w:after="0" w:line="257" w:lineRule="auto"/>
        <w:rPr>
          <w:sz w:val="20"/>
          <w:szCs w:val="20"/>
          <w:color w:val="auto"/>
        </w:rPr>
      </w:pPr>
      <w:r>
        <w:rPr>
          <w:rFonts w:ascii="Arial" w:cs="Arial" w:eastAsia="Arial" w:hAnsi="Arial"/>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88"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auto"/>
        </w:rPr>
        <w:t>In addition, our Adviser draws upon the resources of TSSP in underwriting transactions, performing due diligence, managing assets and optimizing our operations as a public company. Access to TSSP resources complements our Adviser’s view of markets and provides insight into important cyclical patterns.</w:t>
      </w:r>
    </w:p>
    <w:p>
      <w:pPr>
        <w:spacing w:after="0" w:line="181" w:lineRule="exact"/>
        <w:rPr>
          <w:sz w:val="20"/>
          <w:szCs w:val="20"/>
          <w:color w:val="auto"/>
        </w:rPr>
      </w:pPr>
    </w:p>
    <w:p>
      <w:pPr>
        <w:jc w:val="both"/>
        <w:ind w:left="380" w:right="220" w:firstLine="426"/>
        <w:spacing w:after="0" w:line="259" w:lineRule="auto"/>
        <w:rPr>
          <w:sz w:val="20"/>
          <w:szCs w:val="20"/>
          <w:color w:val="auto"/>
        </w:rPr>
      </w:pPr>
      <w:r>
        <w:rPr>
          <w:rFonts w:ascii="Arial" w:cs="Arial" w:eastAsia="Arial" w:hAnsi="Arial"/>
          <w:sz w:val="18"/>
          <w:szCs w:val="18"/>
          <w:i w:val="1"/>
          <w:iCs w:val="1"/>
          <w:color w:val="auto"/>
        </w:rPr>
        <w:t>Disciplined investment and underwriting process</w:t>
      </w:r>
      <w:r>
        <w:rPr>
          <w:rFonts w:ascii="Arial" w:cs="Arial" w:eastAsia="Arial" w:hAnsi="Arial"/>
          <w:sz w:val="18"/>
          <w:szCs w:val="18"/>
          <w:color w:val="auto"/>
        </w:rPr>
        <w:t>. Through our Adviser, we seek to achieve the highest risk-adjusted returns available as</w:t>
      </w:r>
      <w:r>
        <w:rPr>
          <w:rFonts w:ascii="Arial" w:cs="Arial" w:eastAsia="Arial" w:hAnsi="Arial"/>
          <w:sz w:val="18"/>
          <w:szCs w:val="18"/>
          <w:i w:val="1"/>
          <w:iCs w:val="1"/>
          <w:color w:val="auto"/>
        </w:rPr>
        <w:t xml:space="preserve"> </w:t>
      </w:r>
      <w:r>
        <w:rPr>
          <w:rFonts w:ascii="Arial" w:cs="Arial" w:eastAsia="Arial" w:hAnsi="Arial"/>
          <w:sz w:val="18"/>
          <w:szCs w:val="18"/>
          <w:color w:val="auto"/>
        </w:rPr>
        <w:t>opposed 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92" w:lineRule="exact"/>
        <w:rPr>
          <w:sz w:val="20"/>
          <w:szCs w:val="20"/>
          <w:color w:val="auto"/>
        </w:rPr>
      </w:pPr>
    </w:p>
    <w:p>
      <w:pPr>
        <w:ind w:left="1320" w:right="100" w:hanging="407"/>
        <w:spacing w:after="0" w:line="277" w:lineRule="auto"/>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1320" w:right="40" w:hanging="407"/>
        <w:spacing w:after="0" w:line="276" w:lineRule="auto"/>
        <w:tabs>
          <w:tab w:leader="none" w:pos="132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Risk pricing</w:t>
      </w:r>
      <w:r>
        <w:rPr>
          <w:rFonts w:ascii="Arial" w:cs="Arial" w:eastAsia="Arial" w:hAnsi="Arial"/>
          <w:sz w:val="17"/>
          <w:szCs w:val="17"/>
          <w:color w:val="auto"/>
        </w:rPr>
        <w:t>. The risk profile of our portfolio evolves across credit cycles as credit tightens and loosens. During periods when risk</w:t>
      </w:r>
      <w:r>
        <w:rPr>
          <w:rFonts w:ascii="Arial" w:cs="Arial" w:eastAsia="Arial" w:hAnsi="Arial"/>
          <w:sz w:val="17"/>
          <w:szCs w:val="17"/>
          <w:i w:val="1"/>
          <w:iCs w:val="1"/>
          <w:color w:val="auto"/>
        </w:rPr>
        <w:t xml:space="preserve"> </w:t>
      </w:r>
      <w:r>
        <w:rPr>
          <w:rFonts w:ascii="Arial" w:cs="Arial" w:eastAsia="Arial" w:hAnsi="Arial"/>
          <w:sz w:val="17"/>
          <w:szCs w:val="17"/>
          <w:color w:val="auto"/>
        </w:rPr>
        <w:t>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77" w:lineRule="exact"/>
        <w:rPr>
          <w:rFonts w:ascii="Arial" w:cs="Arial" w:eastAsia="Arial" w:hAnsi="Arial"/>
          <w:sz w:val="17"/>
          <w:szCs w:val="17"/>
          <w:color w:val="auto"/>
        </w:rPr>
      </w:pPr>
    </w:p>
    <w:p>
      <w:pPr>
        <w:ind w:left="1320" w:right="200" w:hanging="407"/>
        <w:spacing w:after="0" w:line="277" w:lineRule="auto"/>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w:t>
      </w:r>
      <w:r>
        <w:rPr>
          <w:rFonts w:ascii="Arial" w:cs="Arial" w:eastAsia="Arial" w:hAnsi="Arial"/>
          <w:sz w:val="18"/>
          <w:szCs w:val="18"/>
          <w:i w:val="1"/>
          <w:iCs w:val="1"/>
          <w:color w:val="auto"/>
        </w:rPr>
        <w:t xml:space="preserve"> </w:t>
      </w:r>
      <w:r>
        <w:rPr>
          <w:rFonts w:ascii="Arial" w:cs="Arial" w:eastAsia="Arial" w:hAnsi="Arial"/>
          <w:sz w:val="18"/>
          <w:szCs w:val="18"/>
          <w:color w:val="auto"/>
        </w:rPr>
        <w:t>four-tiered investment framework:</w:t>
      </w:r>
    </w:p>
    <w:p>
      <w:pPr>
        <w:spacing w:after="0" w:line="75" w:lineRule="exact"/>
        <w:rPr>
          <w:rFonts w:ascii="Arial" w:cs="Arial" w:eastAsia="Arial" w:hAnsi="Arial"/>
          <w:sz w:val="18"/>
          <w:szCs w:val="18"/>
          <w:color w:val="auto"/>
        </w:rPr>
      </w:pPr>
    </w:p>
    <w:p>
      <w:pPr>
        <w:ind w:left="1740" w:hanging="300"/>
        <w:spacing w:after="0" w:line="255" w:lineRule="auto"/>
        <w:tabs>
          <w:tab w:leader="none" w:pos="1740"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Business and sector selection</w:t>
      </w:r>
      <w:r>
        <w:rPr>
          <w:rFonts w:ascii="Arial" w:cs="Arial" w:eastAsia="Arial" w:hAnsi="Arial"/>
          <w:sz w:val="18"/>
          <w:szCs w:val="18"/>
          <w:color w:val="auto"/>
        </w:rPr>
        <w:t>. We focus on companies with enterprise value between $50 million and $1 billion. When</w:t>
      </w:r>
      <w:r>
        <w:rPr>
          <w:rFonts w:ascii="Arial" w:cs="Arial" w:eastAsia="Arial" w:hAnsi="Arial"/>
          <w:sz w:val="18"/>
          <w:szCs w:val="18"/>
          <w:i w:val="1"/>
          <w:iCs w:val="1"/>
          <w:color w:val="auto"/>
        </w:rPr>
        <w:t xml:space="preserve"> </w:t>
      </w:r>
      <w:r>
        <w:rPr>
          <w:rFonts w:ascii="Arial" w:cs="Arial" w:eastAsia="Arial" w:hAnsi="Arial"/>
          <w:sz w:val="18"/>
          <w:szCs w:val="18"/>
          <w:color w:val="auto"/>
        </w:rPr>
        <w:t>reviewing 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240" w:top="459" w:right="7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95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002145" cy="55956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740" w:right="120" w:hanging="300"/>
        <w:spacing w:after="0" w:line="273" w:lineRule="auto"/>
        <w:tabs>
          <w:tab w:leader="none" w:pos="1740" w:val="left"/>
        </w:tabs>
        <w:numPr>
          <w:ilvl w:val="1"/>
          <w:numId w:val="34"/>
        </w:numPr>
        <w:rPr>
          <w:rFonts w:ascii="Arial" w:cs="Arial" w:eastAsia="Arial" w:hAnsi="Arial"/>
          <w:sz w:val="17"/>
          <w:szCs w:val="17"/>
          <w:color w:val="auto"/>
        </w:rPr>
      </w:pPr>
      <w:r>
        <w:rPr>
          <w:rFonts w:ascii="Arial" w:cs="Arial" w:eastAsia="Arial" w:hAnsi="Arial"/>
          <w:sz w:val="17"/>
          <w:szCs w:val="17"/>
          <w:i w:val="1"/>
          <w:iCs w:val="1"/>
          <w:color w:val="auto"/>
        </w:rPr>
        <w:t>Investment structuring</w:t>
      </w:r>
      <w:r>
        <w:rPr>
          <w:rFonts w:ascii="Arial" w:cs="Arial" w:eastAsia="Arial" w:hAnsi="Arial"/>
          <w:sz w:val="17"/>
          <w:szCs w:val="17"/>
          <w:color w:val="auto"/>
        </w:rPr>
        <w:t>. We focus on investing at the top of the capital structure and protecting that position. We carefully</w:t>
      </w:r>
      <w:r>
        <w:rPr>
          <w:rFonts w:ascii="Arial" w:cs="Arial" w:eastAsia="Arial" w:hAnsi="Arial"/>
          <w:sz w:val="17"/>
          <w:szCs w:val="17"/>
          <w:i w:val="1"/>
          <w:iCs w:val="1"/>
          <w:color w:val="auto"/>
        </w:rPr>
        <w:t xml:space="preserve"> </w:t>
      </w:r>
      <w:r>
        <w:rPr>
          <w:rFonts w:ascii="Arial" w:cs="Arial" w:eastAsia="Arial" w:hAnsi="Arial"/>
          <w:sz w:val="17"/>
          <w:szCs w:val="17"/>
          <w:color w:val="auto"/>
        </w:rPr>
        <w:t>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83" w:lineRule="exact"/>
        <w:rPr>
          <w:rFonts w:ascii="Arial" w:cs="Arial" w:eastAsia="Arial" w:hAnsi="Arial"/>
          <w:sz w:val="17"/>
          <w:szCs w:val="17"/>
          <w:color w:val="auto"/>
        </w:rPr>
      </w:pPr>
    </w:p>
    <w:p>
      <w:pPr>
        <w:ind w:left="1740" w:right="160" w:hanging="300"/>
        <w:spacing w:after="0" w:line="259" w:lineRule="auto"/>
        <w:tabs>
          <w:tab w:leader="none" w:pos="1740"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Deal dynamics</w:t>
      </w:r>
      <w:r>
        <w:rPr>
          <w:rFonts w:ascii="Arial" w:cs="Arial" w:eastAsia="Arial" w:hAnsi="Arial"/>
          <w:sz w:val="18"/>
          <w:szCs w:val="18"/>
          <w:color w:val="auto"/>
        </w:rPr>
        <w:t>. We focus on, among other deal dynamics, direct origination of investments, where we identify and lead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92" w:lineRule="exact"/>
        <w:rPr>
          <w:rFonts w:ascii="Arial" w:cs="Arial" w:eastAsia="Arial" w:hAnsi="Arial"/>
          <w:sz w:val="18"/>
          <w:szCs w:val="18"/>
          <w:color w:val="auto"/>
        </w:rPr>
      </w:pPr>
    </w:p>
    <w:p>
      <w:pPr>
        <w:ind w:left="1740" w:right="120" w:hanging="300"/>
        <w:spacing w:after="0" w:line="264" w:lineRule="auto"/>
        <w:tabs>
          <w:tab w:leader="none" w:pos="1740"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seek to mitigate non-credit-related risk on our returns in several ways, including call protection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to protect future payment income. In addition, most of our investments are floating rate in nature, which we believe helps act as a portfolio-wide hedge against inflation.</w:t>
      </w:r>
    </w:p>
    <w:p>
      <w:pPr>
        <w:spacing w:after="0" w:line="86" w:lineRule="exact"/>
        <w:rPr>
          <w:rFonts w:ascii="Arial" w:cs="Arial" w:eastAsia="Arial" w:hAnsi="Arial"/>
          <w:sz w:val="18"/>
          <w:szCs w:val="18"/>
          <w:color w:val="auto"/>
        </w:rPr>
      </w:pPr>
    </w:p>
    <w:p>
      <w:pPr>
        <w:ind w:left="1320" w:right="180" w:hanging="407"/>
        <w:spacing w:after="0" w:line="264" w:lineRule="auto"/>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w:t>
      </w:r>
      <w:r>
        <w:rPr>
          <w:rFonts w:ascii="Arial" w:cs="Arial" w:eastAsia="Arial" w:hAnsi="Arial"/>
          <w:sz w:val="18"/>
          <w:szCs w:val="18"/>
          <w:i w:val="1"/>
          <w:iCs w:val="1"/>
          <w:color w:val="auto"/>
        </w:rPr>
        <w:t xml:space="preserve"> </w:t>
      </w:r>
      <w:r>
        <w:rPr>
          <w:rFonts w:ascii="Arial" w:cs="Arial" w:eastAsia="Arial" w:hAnsi="Arial"/>
          <w:sz w:val="18"/>
          <w:szCs w:val="18"/>
          <w:color w:val="auto"/>
        </w:rPr>
        <w:t>of proactively identifying sector and operational issues and carefully managing risks. The information gathered on market trends through this process also informs our underwriting for new loans.</w:t>
      </w:r>
    </w:p>
    <w:p>
      <w:pPr>
        <w:spacing w:after="0" w:line="181" w:lineRule="exact"/>
        <w:rPr>
          <w:sz w:val="20"/>
          <w:szCs w:val="20"/>
          <w:color w:val="auto"/>
        </w:rPr>
      </w:pPr>
    </w:p>
    <w:p>
      <w:pPr>
        <w:ind w:left="380" w:right="540" w:firstLine="426"/>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2.2% of approximately 6,250 investment opportunities our Investment Team reviewed since our inception through December 31, 2018.</w:t>
      </w:r>
    </w:p>
    <w:p>
      <w:pPr>
        <w:spacing w:after="0" w:line="170"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i w:val="1"/>
          <w:iCs w:val="1"/>
          <w:color w:val="auto"/>
        </w:rPr>
        <w:t xml:space="preserve">Carefully constructed, existing portfolio consisting of predominantly senior, floating rate loans across a broad range of industries and borrowers. </w:t>
      </w:r>
      <w:r>
        <w:rPr>
          <w:rFonts w:ascii="Arial" w:cs="Arial" w:eastAsia="Arial" w:hAnsi="Arial"/>
          <w:sz w:val="18"/>
          <w:szCs w:val="18"/>
          <w:color w:val="auto"/>
        </w:rPr>
        <w:t>Since we began investing in July 2011, we have originated more than $9.7 billion aggregate principal amount of investments. As of</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2019, we had a portfolio of investments in 48 portfolio companies with an aggregate fair value of $1,824.9 million that we believe exhibits strong credit quality and broad industry composition. As of March 31, 2019, 99.7% of our debt investments based on fair value bore interest at floating rates (when including investment specific hedges), with 93.9% of these subject to interest rate floors, and 97.4% of the fair value of our portfolio was invested in first-lien debt investments. We believe this portfolio will allow us to generate meaningful investment income, and consequently dividend income, for our stockholders.</w:t>
      </w:r>
    </w:p>
    <w:p>
      <w:pPr>
        <w:spacing w:after="0" w:line="189"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The Adviser has a highly experienced management team consisting of seven TSSP Partners and four TSSP</w:t>
      </w:r>
      <w:r>
        <w:rPr>
          <w:rFonts w:ascii="Arial" w:cs="Arial" w:eastAsia="Arial" w:hAnsi="Arial"/>
          <w:sz w:val="16"/>
          <w:szCs w:val="16"/>
          <w:i w:val="1"/>
          <w:iCs w:val="1"/>
          <w:color w:val="auto"/>
        </w:rPr>
        <w:t xml:space="preserve"> </w:t>
      </w:r>
      <w:r>
        <w:rPr>
          <w:rFonts w:ascii="Arial" w:cs="Arial" w:eastAsia="Arial" w:hAnsi="Arial"/>
          <w:sz w:val="16"/>
          <w:szCs w:val="16"/>
          <w:color w:val="auto"/>
        </w:rPr>
        <w:t>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200" w:lineRule="exact"/>
        <w:rPr>
          <w:sz w:val="20"/>
          <w:szCs w:val="20"/>
          <w:color w:val="auto"/>
        </w:rPr>
      </w:pPr>
    </w:p>
    <w:p>
      <w:pPr>
        <w:spacing w:after="0" w:line="39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9" w:right="6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01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002145" cy="6101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right="280" w:firstLine="426"/>
        <w:spacing w:after="0" w:line="264"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for 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380" w:right="20" w:firstLine="426"/>
        <w:spacing w:after="0" w:line="34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131" w:lineRule="exact"/>
        <w:rPr>
          <w:sz w:val="20"/>
          <w:szCs w:val="20"/>
          <w:color w:val="auto"/>
        </w:rPr>
      </w:pPr>
    </w:p>
    <w:p>
      <w:pPr>
        <w:ind w:left="1320" w:right="60" w:hanging="407"/>
        <w:spacing w:after="0" w:line="293" w:lineRule="auto"/>
        <w:tabs>
          <w:tab w:leader="none" w:pos="132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Leverage</w:t>
      </w:r>
      <w:r>
        <w:rPr>
          <w:rFonts w:ascii="Arial" w:cs="Arial" w:eastAsia="Arial" w:hAnsi="Arial"/>
          <w:sz w:val="16"/>
          <w:szCs w:val="16"/>
          <w:color w:val="auto"/>
        </w:rPr>
        <w:t>. Regulations under the 1940 Act limit our ability to use borrowing, also known as leverage, in significant respects.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2018 Annual Report.</w:t>
      </w:r>
    </w:p>
    <w:p>
      <w:pPr>
        <w:spacing w:after="0" w:line="70" w:lineRule="exact"/>
        <w:rPr>
          <w:rFonts w:ascii="Arial" w:cs="Arial" w:eastAsia="Arial" w:hAnsi="Arial"/>
          <w:sz w:val="16"/>
          <w:szCs w:val="16"/>
          <w:color w:val="auto"/>
        </w:rPr>
      </w:pPr>
    </w:p>
    <w:p>
      <w:pPr>
        <w:ind w:left="1320" w:right="120" w:hanging="407"/>
        <w:spacing w:after="0" w:line="312" w:lineRule="auto"/>
        <w:tabs>
          <w:tab w:leader="none" w:pos="132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Investment Allocation</w:t>
      </w:r>
      <w:r>
        <w:rPr>
          <w:rFonts w:ascii="Arial" w:cs="Arial" w:eastAsia="Arial" w:hAnsi="Arial"/>
          <w:sz w:val="16"/>
          <w:szCs w:val="16"/>
          <w:color w:val="auto"/>
        </w:rPr>
        <w:t>. As a BDC, we are required to invest at least 70% of our total assets in qualifying assets, which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securities of “eligible portfolio companies,” cash, cash equivalents, U.S. government securities and high-quality debt instruments maturing in one year or less from the time of investment. “Eligible portfolio companies” are defined in the 1940 Act as:</w:t>
      </w:r>
    </w:p>
    <w:p>
      <w:pPr>
        <w:spacing w:after="0" w:line="52" w:lineRule="exact"/>
        <w:rPr>
          <w:rFonts w:ascii="Arial" w:cs="Arial" w:eastAsia="Arial" w:hAnsi="Arial"/>
          <w:sz w:val="16"/>
          <w:szCs w:val="16"/>
          <w:color w:val="auto"/>
        </w:rPr>
      </w:pPr>
    </w:p>
    <w:p>
      <w:pPr>
        <w:ind w:left="1740" w:hanging="300"/>
        <w:spacing w:after="0"/>
        <w:tabs>
          <w:tab w:leader="none" w:pos="17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130" w:lineRule="exact"/>
        <w:rPr>
          <w:rFonts w:ascii="Arial" w:cs="Arial" w:eastAsia="Arial" w:hAnsi="Arial"/>
          <w:sz w:val="18"/>
          <w:szCs w:val="18"/>
          <w:color w:val="auto"/>
        </w:rPr>
      </w:pPr>
    </w:p>
    <w:p>
      <w:pPr>
        <w:ind w:left="1740" w:right="220" w:hanging="300"/>
        <w:spacing w:after="0" w:line="264" w:lineRule="auto"/>
        <w:tabs>
          <w:tab w:leader="none" w:pos="17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86" w:lineRule="exact"/>
        <w:rPr>
          <w:rFonts w:ascii="Arial" w:cs="Arial" w:eastAsia="Arial" w:hAnsi="Arial"/>
          <w:sz w:val="18"/>
          <w:szCs w:val="18"/>
          <w:color w:val="auto"/>
        </w:rPr>
      </w:pPr>
    </w:p>
    <w:p>
      <w:pPr>
        <w:ind w:left="1740" w:hanging="300"/>
        <w:spacing w:after="0"/>
        <w:tabs>
          <w:tab w:leader="none" w:pos="17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225" w:lineRule="exact"/>
        <w:rPr>
          <w:sz w:val="20"/>
          <w:szCs w:val="20"/>
          <w:color w:val="auto"/>
        </w:rPr>
      </w:pPr>
    </w:p>
    <w:p>
      <w:pPr>
        <w:ind w:left="380" w:right="120" w:firstLine="426"/>
        <w:spacing w:after="0" w:line="277" w:lineRule="auto"/>
        <w:rPr>
          <w:sz w:val="20"/>
          <w:szCs w:val="20"/>
          <w:color w:val="auto"/>
        </w:rPr>
      </w:pPr>
      <w:r>
        <w:rPr>
          <w:rFonts w:ascii="Arial" w:cs="Arial" w:eastAsia="Arial" w:hAnsi="Arial"/>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76" w:lineRule="exact"/>
        <w:rPr>
          <w:sz w:val="20"/>
          <w:szCs w:val="20"/>
          <w:color w:val="auto"/>
        </w:rPr>
      </w:pPr>
    </w:p>
    <w:p>
      <w:pPr>
        <w:ind w:left="1320" w:hanging="407"/>
        <w:spacing w:after="0" w:line="264" w:lineRule="auto"/>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w:t>
      </w:r>
      <w:r>
        <w:rPr>
          <w:rFonts w:ascii="Arial" w:cs="Arial" w:eastAsia="Arial" w:hAnsi="Arial"/>
          <w:sz w:val="18"/>
          <w:szCs w:val="18"/>
          <w:i w:val="1"/>
          <w:iCs w:val="1"/>
          <w:color w:val="auto"/>
        </w:rPr>
        <w:t xml:space="preserve"> </w:t>
      </w:r>
      <w:r>
        <w:rPr>
          <w:rFonts w:ascii="Arial" w:cs="Arial" w:eastAsia="Arial" w:hAnsi="Arial"/>
          <w:sz w:val="18"/>
          <w:szCs w:val="18"/>
          <w:color w:val="auto"/>
        </w:rPr>
        <w:t>having our earnings subject to corporate-level U.S. federal income taxation, we must satisfy certain source of income, asset diversification and distribution requirements.</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“Material U.S. Federal Income Tax Considerations.”</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Leverage</w:t>
      </w:r>
    </w:p>
    <w:p>
      <w:pPr>
        <w:spacing w:after="0" w:line="121" w:lineRule="exact"/>
        <w:rPr>
          <w:sz w:val="20"/>
          <w:szCs w:val="20"/>
          <w:color w:val="auto"/>
        </w:rPr>
      </w:pPr>
    </w:p>
    <w:p>
      <w:pPr>
        <w:ind w:left="380" w:right="20" w:firstLine="426"/>
        <w:spacing w:after="0" w:line="259" w:lineRule="auto"/>
        <w:rPr>
          <w:sz w:val="20"/>
          <w:szCs w:val="20"/>
          <w:color w:val="auto"/>
        </w:rPr>
      </w:pPr>
      <w:r>
        <w:rPr>
          <w:rFonts w:ascii="Arial" w:cs="Arial" w:eastAsia="Arial" w:hAnsi="Arial"/>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240" w:top="459" w:right="7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On October 8, 2018, our stockholders approved the application of the minimum asset coverage ratio of 150% to us, as set forth in</w:t>
      </w:r>
    </w:p>
    <w:p>
      <w:pPr>
        <w:spacing w:after="0" w:line="23" w:lineRule="exact"/>
        <w:rPr>
          <w:sz w:val="20"/>
          <w:szCs w:val="20"/>
          <w:color w:val="auto"/>
        </w:rPr>
      </w:pPr>
    </w:p>
    <w:p>
      <w:pPr>
        <w:ind w:left="380" w:right="20"/>
        <w:spacing w:after="0" w:line="302" w:lineRule="auto"/>
        <w:rPr>
          <w:sz w:val="20"/>
          <w:szCs w:val="20"/>
          <w:color w:val="auto"/>
        </w:rPr>
      </w:pPr>
      <w:r>
        <w:rPr>
          <w:rFonts w:ascii="Arial" w:cs="Arial" w:eastAsia="Arial" w:hAnsi="Arial"/>
          <w:sz w:val="16"/>
          <w:szCs w:val="16"/>
          <w:color w:val="auto"/>
        </w:rPr>
        <w:t>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55"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As of March 31, 2019, no Management Fees have been waived pursuant to the Leverage Waiver.</w:t>
      </w:r>
    </w:p>
    <w:p>
      <w:pPr>
        <w:spacing w:after="0" w:line="193" w:lineRule="exact"/>
        <w:rPr>
          <w:sz w:val="20"/>
          <w:szCs w:val="20"/>
          <w:color w:val="auto"/>
        </w:rPr>
      </w:pPr>
    </w:p>
    <w:p>
      <w:pPr>
        <w:jc w:val="both"/>
        <w:ind w:left="380" w:right="40" w:firstLine="426"/>
        <w:spacing w:after="0" w:line="273" w:lineRule="auto"/>
        <w:rPr>
          <w:sz w:val="20"/>
          <w:szCs w:val="20"/>
          <w:color w:val="auto"/>
        </w:rPr>
      </w:pPr>
      <w:r>
        <w:rPr>
          <w:rFonts w:ascii="Arial" w:cs="Arial" w:eastAsia="Arial" w:hAnsi="Arial"/>
          <w:sz w:val="17"/>
          <w:szCs w:val="17"/>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78" w:lineRule="exact"/>
        <w:rPr>
          <w:sz w:val="20"/>
          <w:szCs w:val="20"/>
          <w:color w:val="auto"/>
        </w:rPr>
      </w:pPr>
    </w:p>
    <w:p>
      <w:pPr>
        <w:jc w:val="both"/>
        <w:ind w:left="380" w:right="80" w:firstLine="426"/>
        <w:spacing w:after="0" w:line="302" w:lineRule="auto"/>
        <w:rPr>
          <w:sz w:val="20"/>
          <w:szCs w:val="20"/>
          <w:color w:val="auto"/>
        </w:rPr>
      </w:pPr>
      <w:r>
        <w:rPr>
          <w:rFonts w:ascii="Arial" w:cs="Arial" w:eastAsia="Arial" w:hAnsi="Arial"/>
          <w:sz w:val="16"/>
          <w:szCs w:val="16"/>
          <w:color w:val="auto"/>
        </w:rPr>
        <w:t>See “Business—General—Our Company”; and “Business—General—Regulation as a Business Development Company” in Part I, Item 1 of our 2018 Annual Report, as well as “Risk Factors—Legislation allows us to incur additional leverage,” “Risk Factors—We borrow money, which magnifies the potential for gain or loss and increases the risk of investing in us” and “Risk Factors—Risks Regulations governing our operation as a BDC affect our ability to, and the way in which we, raise additional capital” in Part II, Item 1A of our 2019 Q1 Quarterly Report.</w:t>
      </w:r>
    </w:p>
    <w:p>
      <w:pPr>
        <w:spacing w:after="0" w:line="2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Conflicts of Interests</w:t>
      </w:r>
    </w:p>
    <w:p>
      <w:pPr>
        <w:spacing w:after="0" w:line="121" w:lineRule="exact"/>
        <w:rPr>
          <w:sz w:val="20"/>
          <w:szCs w:val="20"/>
          <w:color w:val="auto"/>
        </w:rPr>
      </w:pPr>
    </w:p>
    <w:p>
      <w:pPr>
        <w:ind w:left="380" w:firstLine="426"/>
        <w:spacing w:after="0" w:line="269" w:lineRule="auto"/>
        <w:rPr>
          <w:sz w:val="20"/>
          <w:szCs w:val="20"/>
          <w:color w:val="auto"/>
        </w:rPr>
      </w:pPr>
      <w:r>
        <w:rPr>
          <w:rFonts w:ascii="Arial" w:cs="Arial" w:eastAsia="Arial" w:hAnsi="Arial"/>
          <w:sz w:val="17"/>
          <w:szCs w:val="17"/>
          <w:color w:val="auto"/>
        </w:rPr>
        <w:t>Certain members of the Adviser’s senior management and the Investment Review Committee are and will continue to be active in other investment funds affiliated with TSSP and TPG that pursue investment opportunities that could overlap with those pursued by us. However, the Adviser and its affiliates intend to allocate investment opportunities in a fair and equitable manner in accordance with their allocation principles. In particular,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83" w:lineRule="exact"/>
        <w:rPr>
          <w:sz w:val="20"/>
          <w:szCs w:val="20"/>
          <w:color w:val="auto"/>
        </w:rPr>
      </w:pPr>
    </w:p>
    <w:p>
      <w:pPr>
        <w:ind w:left="380" w:right="580" w:firstLine="426"/>
        <w:spacing w:after="0" w:line="277" w:lineRule="auto"/>
        <w:rPr>
          <w:sz w:val="20"/>
          <w:szCs w:val="20"/>
          <w:color w:val="auto"/>
        </w:rPr>
      </w:pPr>
      <w:r>
        <w:rPr>
          <w:rFonts w:ascii="Arial" w:cs="Arial" w:eastAsia="Arial" w:hAnsi="Arial"/>
          <w:sz w:val="18"/>
          <w:szCs w:val="18"/>
          <w:color w:val="auto"/>
        </w:rPr>
        <w:t>While we seek to generate current income primarily in U.S.-domiciled middle-market companies through direct originations of senior secured loans, we may also invest up to 30% of our portfolio opportunistically 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00"/>
        <w:spacing w:after="0" w:line="271" w:lineRule="auto"/>
        <w:rPr>
          <w:sz w:val="20"/>
          <w:szCs w:val="20"/>
          <w:color w:val="auto"/>
        </w:rPr>
      </w:pPr>
      <w:r>
        <w:rPr>
          <w:rFonts w:ascii="Arial" w:cs="Arial" w:eastAsia="Arial" w:hAnsi="Arial"/>
          <w:sz w:val="17"/>
          <w:szCs w:val="17"/>
          <w:color w:val="auto"/>
        </w:rPr>
        <w:t>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TSSP or TPG funds or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79" w:lineRule="exact"/>
        <w:rPr>
          <w:sz w:val="20"/>
          <w:szCs w:val="20"/>
          <w:color w:val="auto"/>
        </w:rPr>
      </w:pPr>
    </w:p>
    <w:p>
      <w:pPr>
        <w:ind w:left="380" w:right="140" w:firstLine="426"/>
        <w:spacing w:after="0" w:line="272" w:lineRule="auto"/>
        <w:rPr>
          <w:sz w:val="20"/>
          <w:szCs w:val="20"/>
          <w:color w:val="auto"/>
        </w:rPr>
      </w:pPr>
      <w:r>
        <w:rPr>
          <w:rFonts w:ascii="Arial" w:cs="Arial" w:eastAsia="Arial" w:hAnsi="Arial"/>
          <w:sz w:val="17"/>
          <w:szCs w:val="17"/>
          <w:color w:val="auto"/>
        </w:rPr>
        <w:t>Our ability to pursue investment opportunities other than those for middle-market loan originations for companies domiciled in the United States is subject to the allocation decisions by TSSP or TPG senior professionals. Such non-loan origination opportunities may be required to be offered to, or may be otherwise suitable for, other TSSP or TPG funds or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78" w:lineRule="exact"/>
        <w:rPr>
          <w:sz w:val="20"/>
          <w:szCs w:val="20"/>
          <w:color w:val="auto"/>
        </w:rPr>
      </w:pPr>
    </w:p>
    <w:p>
      <w:pPr>
        <w:ind w:left="380" w:right="120" w:firstLine="426"/>
        <w:spacing w:after="0" w:line="308" w:lineRule="auto"/>
        <w:rPr>
          <w:sz w:val="20"/>
          <w:szCs w:val="20"/>
          <w:color w:val="auto"/>
        </w:rPr>
      </w:pPr>
      <w:r>
        <w:rPr>
          <w:rFonts w:ascii="Arial" w:cs="Arial" w:eastAsia="Arial" w:hAnsi="Arial"/>
          <w:sz w:val="17"/>
          <w:szCs w:val="17"/>
          <w:color w:val="auto"/>
        </w:rPr>
        <w:t>See “Certain Relationships and Related Party Transactions” in our Definitive Proxy Statement on Schedule 14A relating to our 2019 Annual Meeting of Stockholders filed with the SEC on April 5, 2019, (the “2019 Annual Proxy”) which is incorporated herein by reference.</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Exemptive Order</w:t>
      </w:r>
    </w:p>
    <w:p>
      <w:pPr>
        <w:spacing w:after="0" w:line="121" w:lineRule="exact"/>
        <w:rPr>
          <w:sz w:val="20"/>
          <w:szCs w:val="20"/>
          <w:color w:val="auto"/>
        </w:rPr>
      </w:pPr>
    </w:p>
    <w:p>
      <w:pPr>
        <w:ind w:left="380" w:firstLine="426"/>
        <w:spacing w:after="0" w:line="279" w:lineRule="auto"/>
        <w:rPr>
          <w:sz w:val="20"/>
          <w:szCs w:val="20"/>
          <w:color w:val="auto"/>
        </w:rPr>
      </w:pPr>
      <w:r>
        <w:rPr>
          <w:rFonts w:ascii="Arial" w:cs="Arial" w:eastAsia="Arial" w:hAnsi="Arial"/>
          <w:sz w:val="17"/>
          <w:szCs w:val="17"/>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71" w:lineRule="exact"/>
        <w:rPr>
          <w:sz w:val="20"/>
          <w:szCs w:val="20"/>
          <w:color w:val="auto"/>
        </w:rPr>
      </w:pPr>
    </w:p>
    <w:p>
      <w:pPr>
        <w:ind w:left="380" w:right="160" w:firstLine="426"/>
        <w:spacing w:after="0" w:line="279" w:lineRule="auto"/>
        <w:rPr>
          <w:sz w:val="20"/>
          <w:szCs w:val="20"/>
          <w:color w:val="auto"/>
        </w:rPr>
      </w:pPr>
      <w:r>
        <w:rPr>
          <w:rFonts w:ascii="Arial" w:cs="Arial" w:eastAsia="Arial" w:hAnsi="Arial"/>
          <w:sz w:val="17"/>
          <w:szCs w:val="17"/>
          <w:color w:val="auto"/>
        </w:rPr>
        <w:t>We believe our ability to co-invest with TSSP affiliates is particularly useful where we identify larger capital commitments than otherwise would be appropriate for us. We expect that with the ability to co-invest with TSSP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“Certain Relationships and Related Party Transactions—Exemptive Order” in our 2019 Annual Proxy.</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 Repurchase Plan</w:t>
      </w:r>
    </w:p>
    <w:p>
      <w:pPr>
        <w:spacing w:after="0" w:line="121" w:lineRule="exact"/>
        <w:rPr>
          <w:sz w:val="20"/>
          <w:szCs w:val="20"/>
          <w:color w:val="auto"/>
        </w:rPr>
      </w:pPr>
    </w:p>
    <w:p>
      <w:pPr>
        <w:ind w:left="380" w:right="120" w:firstLine="426"/>
        <w:spacing w:after="0" w:line="255" w:lineRule="auto"/>
        <w:rPr>
          <w:sz w:val="20"/>
          <w:szCs w:val="20"/>
          <w:color w:val="auto"/>
        </w:rPr>
      </w:pPr>
      <w:r>
        <w:rPr>
          <w:rFonts w:ascii="Arial" w:cs="Arial" w:eastAsia="Arial" w:hAnsi="Arial"/>
          <w:sz w:val="18"/>
          <w:szCs w:val="18"/>
          <w:color w:val="auto"/>
        </w:rPr>
        <w:t>On August 4, 2015, our Board authorized us to enter into a stock repurchase plan, the Company 10b5-1 Plan, to acquire up to $50 million in the aggregate of our common stock at prices just below our net asset value per share over an initial six month period, in accordance with the guidelines specified in Rule 10b-18 and Rule 10b5-1 of the Exchange Act, and has continued to authorize extensions of the plan termination date prior to its expiration since that time. We put the Company 10b5-1 Plan in place because we believe that if our common stock is trading below our then-current net asset value per share, it is in the best interest of our stockholders for us to reinvest in our portfolio and increase our leverage ratio through share repurchases.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240" w:top="459" w:right="6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445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002145" cy="5844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78" w:lineRule="exact"/>
        <w:rPr>
          <w:sz w:val="20"/>
          <w:szCs w:val="20"/>
          <w:color w:val="auto"/>
        </w:rPr>
      </w:pPr>
    </w:p>
    <w:p>
      <w:pPr>
        <w:ind w:left="380" w:right="20" w:firstLine="426"/>
        <w:spacing w:after="0" w:line="342" w:lineRule="auto"/>
        <w:rPr>
          <w:sz w:val="20"/>
          <w:szCs w:val="20"/>
          <w:color w:val="auto"/>
        </w:rPr>
      </w:pPr>
      <w:r>
        <w:rPr>
          <w:rFonts w:ascii="Arial" w:cs="Arial" w:eastAsia="Arial" w:hAnsi="Arial"/>
          <w:sz w:val="16"/>
          <w:szCs w:val="16"/>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24" w:lineRule="exact"/>
        <w:rPr>
          <w:sz w:val="20"/>
          <w:szCs w:val="20"/>
          <w:color w:val="auto"/>
        </w:rPr>
      </w:pPr>
    </w:p>
    <w:p>
      <w:pPr>
        <w:ind w:left="380" w:right="20" w:firstLine="426"/>
        <w:spacing w:after="0" w:line="302" w:lineRule="auto"/>
        <w:rPr>
          <w:sz w:val="20"/>
          <w:szCs w:val="20"/>
          <w:color w:val="auto"/>
        </w:rPr>
      </w:pPr>
      <w:r>
        <w:rPr>
          <w:rFonts w:ascii="Arial" w:cs="Arial" w:eastAsia="Arial" w:hAnsi="Arial"/>
          <w:sz w:val="16"/>
          <w:szCs w:val="16"/>
          <w:color w:val="auto"/>
        </w:rPr>
        <w:t>On May 2, 2019, the Board authorized an amendment to the Company 10b5-1 Plan to (1) revise the market prices at which the agent will repurchase shares of the Company’s common stock on its behalf from just below the Company’s most recently reported net asset value per share to just below 1.05x the most recently reported net asset value per share, less the amount of any supplemental dividend declared for that quarter but not yet reflected in the most recently reported net asset value per share and (2) extend the termination date to November 30, 2019.</w:t>
      </w:r>
    </w:p>
    <w:p>
      <w:pPr>
        <w:spacing w:after="0" w:line="154" w:lineRule="exact"/>
        <w:rPr>
          <w:sz w:val="20"/>
          <w:szCs w:val="20"/>
          <w:color w:val="auto"/>
        </w:rPr>
      </w:pPr>
    </w:p>
    <w:p>
      <w:pPr>
        <w:ind w:left="380" w:right="100" w:firstLine="426"/>
        <w:spacing w:after="0" w:line="308" w:lineRule="auto"/>
        <w:rPr>
          <w:sz w:val="20"/>
          <w:szCs w:val="20"/>
          <w:color w:val="auto"/>
        </w:rPr>
      </w:pPr>
      <w:r>
        <w:rPr>
          <w:rFonts w:ascii="Arial" w:cs="Arial" w:eastAsia="Arial" w:hAnsi="Arial"/>
          <w:sz w:val="17"/>
          <w:szCs w:val="17"/>
          <w:color w:val="auto"/>
        </w:rPr>
        <w:t>Unless otherwise extended or terminated by the Board, the Company 10b5-1 Plan will be in effect through the earlier of the termination date or such time as the current approved repurchase amount of up to $50 million has been fully utilized, subject to certain conditions.</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380" w:right="180" w:firstLine="426"/>
        <w:spacing w:after="0" w:line="257" w:lineRule="auto"/>
        <w:rPr>
          <w:sz w:val="20"/>
          <w:szCs w:val="20"/>
          <w:color w:val="auto"/>
        </w:rPr>
      </w:pPr>
      <w:r>
        <w:rPr>
          <w:rFonts w:ascii="Arial" w:cs="Arial" w:eastAsia="Arial" w:hAnsi="Arial"/>
          <w:sz w:val="18"/>
          <w:szCs w:val="18"/>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2018 Annual Report and our 2019 Q1 Quarterly Report, as well as the other documents that are incorporated by reference herein or in any prospectus supplement, for a description of these and other risks relating to our business and investments in our securities, including that:</w:t>
      </w:r>
    </w:p>
    <w:p>
      <w:pPr>
        <w:spacing w:after="0" w:line="94" w:lineRule="exact"/>
        <w:rPr>
          <w:sz w:val="20"/>
          <w:szCs w:val="20"/>
          <w:color w:val="auto"/>
        </w:rPr>
      </w:pPr>
    </w:p>
    <w:p>
      <w:pPr>
        <w:ind w:left="1320" w:hanging="407"/>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and their affiliates for our future success;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indebtedness could adversely affect our business, financial conditions or results of operations;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legislation allows us to incur additional leverage;</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130" w:lineRule="exact"/>
        <w:rPr>
          <w:rFonts w:ascii="Arial" w:cs="Arial" w:eastAsia="Arial" w:hAnsi="Arial"/>
          <w:sz w:val="18"/>
          <w:szCs w:val="18"/>
          <w:color w:val="auto"/>
        </w:rPr>
      </w:pPr>
    </w:p>
    <w:p>
      <w:pPr>
        <w:ind w:left="1320" w:right="600" w:hanging="407"/>
        <w:spacing w:after="0" w:line="277" w:lineRule="auto"/>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75" w:lineRule="exact"/>
        <w:rPr>
          <w:rFonts w:ascii="Arial" w:cs="Arial" w:eastAsia="Arial" w:hAnsi="Arial"/>
          <w:sz w:val="18"/>
          <w:szCs w:val="18"/>
          <w:color w:val="auto"/>
        </w:rPr>
      </w:pPr>
    </w:p>
    <w:p>
      <w:pPr>
        <w:ind w:left="1320" w:right="60" w:hanging="407"/>
        <w:spacing w:after="0" w:line="277" w:lineRule="auto"/>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240" w:top="459" w:right="6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9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002145" cy="64960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right="140" w:hanging="407"/>
        <w:spacing w:after="0" w:line="277" w:lineRule="auto"/>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75" w:lineRule="exact"/>
        <w:rPr>
          <w:rFonts w:ascii="Arial" w:cs="Arial" w:eastAsia="Arial" w:hAnsi="Arial"/>
          <w:sz w:val="18"/>
          <w:szCs w:val="18"/>
          <w:color w:val="auto"/>
        </w:rPr>
      </w:pPr>
    </w:p>
    <w:p>
      <w:pPr>
        <w:ind w:left="1320" w:right="20" w:hanging="407"/>
        <w:spacing w:after="0" w:line="277" w:lineRule="auto"/>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130" w:lineRule="exact"/>
        <w:rPr>
          <w:rFonts w:ascii="Arial" w:cs="Arial" w:eastAsia="Arial" w:hAnsi="Arial"/>
          <w:sz w:val="18"/>
          <w:szCs w:val="18"/>
          <w:color w:val="auto"/>
        </w:rPr>
      </w:pPr>
    </w:p>
    <w:p>
      <w:pPr>
        <w:ind w:left="1320" w:right="160" w:hanging="407"/>
        <w:spacing w:after="0" w:line="264" w:lineRule="auto"/>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Adviser can resign on 60 days’ notice and we may not be able to find a suitable replacement within that time, resulting in a disruption in our operations and a loss of the benefits from our relationship with TSSP, and any new investment advisory agreement would require stockholder approval;</w:t>
      </w:r>
    </w:p>
    <w:p>
      <w:pPr>
        <w:spacing w:after="0" w:line="86" w:lineRule="exact"/>
        <w:rPr>
          <w:rFonts w:ascii="Arial" w:cs="Arial" w:eastAsia="Arial" w:hAnsi="Arial"/>
          <w:sz w:val="18"/>
          <w:szCs w:val="18"/>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failure to maintain our status as a BDC would reduce our operating flexibility;</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incur significant costs as a result of being a publicly traded company;</w:t>
      </w:r>
    </w:p>
    <w:p>
      <w:pPr>
        <w:spacing w:after="0" w:line="130" w:lineRule="exact"/>
        <w:rPr>
          <w:rFonts w:ascii="Arial" w:cs="Arial" w:eastAsia="Arial" w:hAnsi="Arial"/>
          <w:sz w:val="18"/>
          <w:szCs w:val="18"/>
          <w:color w:val="auto"/>
        </w:rPr>
      </w:pPr>
    </w:p>
    <w:p>
      <w:pPr>
        <w:ind w:left="1320" w:hanging="407"/>
        <w:spacing w:after="0" w:line="312" w:lineRule="auto"/>
        <w:tabs>
          <w:tab w:leader="none" w:pos="1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cybersecurity risks and cyber incidents may adversely affect our business or those of our portfolio companies by causing a disruption to our operations, a compromise or corruption of our confidential information and/or damage to our business relationships, or those of our portfolio companies, all of which could negatively impact our business, results of operations or financial condition;</w:t>
      </w:r>
    </w:p>
    <w:p>
      <w:pPr>
        <w:spacing w:after="0" w:line="52" w:lineRule="exact"/>
        <w:rPr>
          <w:rFonts w:ascii="Arial" w:cs="Arial" w:eastAsia="Arial" w:hAnsi="Arial"/>
          <w:sz w:val="16"/>
          <w:szCs w:val="16"/>
          <w:color w:val="auto"/>
        </w:rPr>
      </w:pPr>
    </w:p>
    <w:p>
      <w:pPr>
        <w:ind w:left="1320" w:right="300" w:hanging="407"/>
        <w:spacing w:after="0" w:line="277" w:lineRule="auto"/>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highly dependent on information systems and systems failures could significantly disrupt our business, which may, in turn, negatively affect the market price of our common stock and our ability to pay dividends;</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Board may change our investment objective, operating policies and strategies without prior notice or stockholder approval;</w:t>
      </w:r>
    </w:p>
    <w:p>
      <w:pPr>
        <w:spacing w:after="0" w:line="142" w:lineRule="exact"/>
        <w:rPr>
          <w:rFonts w:ascii="Arial" w:cs="Arial" w:eastAsia="Arial" w:hAnsi="Arial"/>
          <w:sz w:val="17"/>
          <w:szCs w:val="17"/>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economic recessions or downturns could impair our portfolio companies and harm our operating results;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130" w:lineRule="exact"/>
        <w:rPr>
          <w:rFonts w:ascii="Arial" w:cs="Arial" w:eastAsia="Arial" w:hAnsi="Arial"/>
          <w:sz w:val="18"/>
          <w:szCs w:val="18"/>
          <w:color w:val="auto"/>
        </w:rPr>
      </w:pPr>
    </w:p>
    <w:p>
      <w:pPr>
        <w:ind w:left="1320" w:hanging="407"/>
        <w:spacing w:after="0" w:line="264" w:lineRule="auto"/>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6" w:lineRule="exact"/>
        <w:rPr>
          <w:rFonts w:ascii="Arial" w:cs="Arial" w:eastAsia="Arial" w:hAnsi="Arial"/>
          <w:sz w:val="18"/>
          <w:szCs w:val="18"/>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130" w:lineRule="exact"/>
        <w:rPr>
          <w:rFonts w:ascii="Arial" w:cs="Arial" w:eastAsia="Arial" w:hAnsi="Arial"/>
          <w:sz w:val="18"/>
          <w:szCs w:val="18"/>
          <w:color w:val="auto"/>
        </w:rPr>
      </w:pPr>
    </w:p>
    <w:p>
      <w:pPr>
        <w:ind w:left="1320" w:hanging="407"/>
        <w:spacing w:after="0" w:line="264" w:lineRule="auto"/>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6" w:lineRule="exact"/>
        <w:rPr>
          <w:rFonts w:ascii="Arial" w:cs="Arial" w:eastAsia="Arial" w:hAnsi="Arial"/>
          <w:sz w:val="18"/>
          <w:szCs w:val="18"/>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130" w:lineRule="exact"/>
        <w:rPr>
          <w:rFonts w:ascii="Arial" w:cs="Arial" w:eastAsia="Arial" w:hAnsi="Arial"/>
          <w:sz w:val="18"/>
          <w:szCs w:val="18"/>
          <w:color w:val="auto"/>
        </w:rPr>
      </w:pPr>
    </w:p>
    <w:p>
      <w:pPr>
        <w:ind w:left="1320" w:right="80" w:hanging="407"/>
        <w:spacing w:after="0" w:line="277" w:lineRule="auto"/>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75" w:lineRule="exact"/>
        <w:rPr>
          <w:rFonts w:ascii="Arial" w:cs="Arial" w:eastAsia="Arial" w:hAnsi="Arial"/>
          <w:sz w:val="18"/>
          <w:szCs w:val="18"/>
          <w:color w:val="auto"/>
        </w:rPr>
      </w:pPr>
    </w:p>
    <w:p>
      <w:pPr>
        <w:ind w:left="1320" w:hanging="407"/>
        <w:spacing w:after="0" w:line="277" w:lineRule="auto"/>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acquisitions or strategic investments that we pursue are subject to risks and uncertainties;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240" w:top="459" w:right="6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57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002145" cy="2576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hanging="407"/>
        <w:spacing w:after="0" w:line="257"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 (which generally are not deductible by individuals, trusts or estates for taxable years beginning after December 31, 2017 and before January 1, 2026);</w:t>
      </w:r>
    </w:p>
    <w:p>
      <w:pPr>
        <w:spacing w:after="0" w:line="93"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is a risk that investors in our common stock may not receive dividends or that our dividends may not grow over time;</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 and</w:t>
      </w:r>
    </w:p>
    <w:p>
      <w:pPr>
        <w:spacing w:after="0" w:line="130" w:lineRule="exact"/>
        <w:rPr>
          <w:rFonts w:ascii="Arial" w:cs="Arial" w:eastAsia="Arial" w:hAnsi="Arial"/>
          <w:sz w:val="18"/>
          <w:szCs w:val="18"/>
          <w:color w:val="auto"/>
        </w:rPr>
      </w:pPr>
    </w:p>
    <w:p>
      <w:pPr>
        <w:ind w:left="1320" w:right="220" w:hanging="407"/>
        <w:spacing w:after="0" w:line="277"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net asset value per share of our common stock may be diluted if we sell or otherwise issue shares of our common stock at prices below the then-current net asset value per share of our common stock.</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Our principal executive offices are located at 301 Commerce Street, Suite 3300, Fort Worth, TX 76102 and our telephone number is</w:t>
      </w:r>
    </w:p>
    <w:p>
      <w:pPr>
        <w:spacing w:after="0" w:line="35" w:lineRule="exact"/>
        <w:rPr>
          <w:sz w:val="20"/>
          <w:szCs w:val="20"/>
          <w:color w:val="auto"/>
        </w:rPr>
      </w:pPr>
    </w:p>
    <w:p>
      <w:pPr>
        <w:ind w:left="380" w:right="160" w:firstLine="6"/>
        <w:spacing w:after="0" w:line="261" w:lineRule="auto"/>
        <w:tabs>
          <w:tab w:leader="none" w:pos="8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871-4000. Our corporate website is located at http://www.tpgspecialtylending.com. Information on our website is not incorporated into or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85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002145" cy="60585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380" w:right="200" w:firstLine="426"/>
        <w:spacing w:after="0" w:line="289" w:lineRule="auto"/>
        <w:rPr>
          <w:sz w:val="20"/>
          <w:szCs w:val="20"/>
          <w:color w:val="auto"/>
        </w:rPr>
      </w:pPr>
      <w:r>
        <w:rPr>
          <w:rFonts w:ascii="Arial" w:cs="Arial" w:eastAsia="Arial" w:hAnsi="Arial"/>
          <w:sz w:val="16"/>
          <w:szCs w:val="16"/>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 (b) 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w:t>
      </w:r>
    </w:p>
    <w:p>
      <w:pPr>
        <w:spacing w:after="0" w:line="167" w:lineRule="exact"/>
        <w:rPr>
          <w:sz w:val="20"/>
          <w:szCs w:val="20"/>
          <w:color w:val="auto"/>
        </w:rPr>
      </w:pPr>
    </w:p>
    <w:p>
      <w:pPr>
        <w:ind w:left="380" w:right="280" w:firstLine="426"/>
        <w:spacing w:after="0" w:line="297" w:lineRule="auto"/>
        <w:rPr>
          <w:sz w:val="20"/>
          <w:szCs w:val="20"/>
          <w:color w:val="auto"/>
        </w:rPr>
      </w:pPr>
      <w:r>
        <w:rPr>
          <w:rFonts w:ascii="Arial" w:cs="Arial" w:eastAsia="Arial" w:hAnsi="Arial"/>
          <w:sz w:val="16"/>
          <w:szCs w:val="16"/>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58" w:lineRule="exact"/>
        <w:rPr>
          <w:sz w:val="20"/>
          <w:szCs w:val="20"/>
          <w:color w:val="auto"/>
        </w:rPr>
      </w:pPr>
    </w:p>
    <w:p>
      <w:pPr>
        <w:ind w:left="380" w:right="300" w:firstLine="426"/>
        <w:spacing w:after="0" w:line="293" w:lineRule="auto"/>
        <w:rPr>
          <w:sz w:val="20"/>
          <w:szCs w:val="20"/>
          <w:color w:val="auto"/>
        </w:rPr>
      </w:pPr>
      <w:r>
        <w:rPr>
          <w:rFonts w:ascii="Arial" w:cs="Arial" w:eastAsia="Arial" w:hAnsi="Arial"/>
          <w:sz w:val="16"/>
          <w:szCs w:val="16"/>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6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Set forth below is additional information regarding offerings of our securities: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3020" w:type="dxa"/>
            <w:vAlign w:val="bottom"/>
          </w:tcPr>
          <w:p>
            <w:pPr>
              <w:ind w:left="180"/>
              <w:spacing w:after="0"/>
              <w:rPr>
                <w:sz w:val="20"/>
                <w:szCs w:val="20"/>
                <w:color w:val="auto"/>
              </w:rPr>
            </w:pPr>
            <w:r>
              <w:rPr>
                <w:rFonts w:ascii="Arial" w:cs="Arial" w:eastAsia="Arial" w:hAnsi="Arial"/>
                <w:sz w:val="18"/>
                <w:szCs w:val="18"/>
                <w:b w:val="1"/>
                <w:bCs w:val="1"/>
                <w:color w:val="auto"/>
              </w:rPr>
              <w:t>Use of Proceeds</w:t>
            </w:r>
          </w:p>
        </w:tc>
        <w:tc>
          <w:tcPr>
            <w:tcW w:w="8020" w:type="dxa"/>
            <w:vAlign w:val="bottom"/>
          </w:tcPr>
          <w:p>
            <w:pPr>
              <w:ind w:left="1200"/>
              <w:spacing w:after="0"/>
              <w:rPr>
                <w:sz w:val="20"/>
                <w:szCs w:val="20"/>
                <w:color w:val="auto"/>
              </w:rPr>
            </w:pPr>
            <w:r>
              <w:rPr>
                <w:rFonts w:ascii="Arial" w:cs="Arial" w:eastAsia="Arial" w:hAnsi="Arial"/>
                <w:sz w:val="18"/>
                <w:szCs w:val="18"/>
                <w:color w:val="auto"/>
                <w:w w:val="94"/>
              </w:rPr>
              <w:t>Unless otherwise specified in a prospectus supplement, we intend to use the net proceeds</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5"/>
              </w:rPr>
              <w:t>from the sale of our securities for general corporate purposes, which may include, among</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5"/>
              </w:rPr>
              <w:t>other things, investing in portfolio companies in accordance with our investment objective</w:t>
            </w:r>
          </w:p>
        </w:tc>
      </w:tr>
      <w:tr>
        <w:trPr>
          <w:trHeight w:val="230"/>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and repaying indebtedness (which will be subject to reborrowing).</w:t>
            </w:r>
          </w:p>
        </w:tc>
      </w:tr>
      <w:tr>
        <w:trPr>
          <w:trHeight w:val="445"/>
        </w:trPr>
        <w:tc>
          <w:tcPr>
            <w:tcW w:w="3020" w:type="dxa"/>
            <w:vAlign w:val="bottom"/>
          </w:tcPr>
          <w:p>
            <w:pPr>
              <w:spacing w:after="0"/>
              <w:rPr>
                <w:sz w:val="24"/>
                <w:szCs w:val="24"/>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7"/>
              </w:rPr>
              <w:t>Each supplement to this prospectus relating to an offering will more fully identify the use</w:t>
            </w:r>
          </w:p>
        </w:tc>
      </w:tr>
      <w:tr>
        <w:trPr>
          <w:trHeight w:val="230"/>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of the proceeds from such offering. See “Use of Proceeds.”</w:t>
            </w:r>
          </w:p>
        </w:tc>
      </w:tr>
      <w:tr>
        <w:trPr>
          <w:trHeight w:val="459"/>
        </w:trPr>
        <w:tc>
          <w:tcPr>
            <w:tcW w:w="3020" w:type="dxa"/>
            <w:vAlign w:val="bottom"/>
          </w:tcPr>
          <w:p>
            <w:pPr>
              <w:ind w:left="180"/>
              <w:spacing w:after="0"/>
              <w:rPr>
                <w:sz w:val="20"/>
                <w:szCs w:val="20"/>
                <w:color w:val="auto"/>
              </w:rPr>
            </w:pPr>
            <w:r>
              <w:rPr>
                <w:rFonts w:ascii="Arial" w:cs="Arial" w:eastAsia="Arial" w:hAnsi="Arial"/>
                <w:sz w:val="18"/>
                <w:szCs w:val="18"/>
                <w:b w:val="1"/>
                <w:bCs w:val="1"/>
                <w:color w:val="auto"/>
              </w:rPr>
              <w:t>Symbol on the NYSE</w:t>
            </w:r>
          </w:p>
        </w:tc>
        <w:tc>
          <w:tcPr>
            <w:tcW w:w="8020" w:type="dxa"/>
            <w:vAlign w:val="bottom"/>
          </w:tcPr>
          <w:p>
            <w:pPr>
              <w:ind w:left="1200"/>
              <w:spacing w:after="0"/>
              <w:rPr>
                <w:sz w:val="20"/>
                <w:szCs w:val="20"/>
                <w:color w:val="auto"/>
              </w:rPr>
            </w:pPr>
            <w:r>
              <w:rPr>
                <w:rFonts w:ascii="Arial" w:cs="Arial" w:eastAsia="Arial" w:hAnsi="Arial"/>
                <w:sz w:val="18"/>
                <w:szCs w:val="18"/>
                <w:color w:val="auto"/>
              </w:rPr>
              <w:t>“TSLX”</w:t>
            </w:r>
          </w:p>
        </w:tc>
      </w:tr>
      <w:tr>
        <w:trPr>
          <w:trHeight w:val="458"/>
        </w:trPr>
        <w:tc>
          <w:tcPr>
            <w:tcW w:w="3020" w:type="dxa"/>
            <w:vAlign w:val="bottom"/>
          </w:tcPr>
          <w:p>
            <w:pPr>
              <w:ind w:left="180"/>
              <w:spacing w:after="0"/>
              <w:rPr>
                <w:sz w:val="20"/>
                <w:szCs w:val="20"/>
                <w:color w:val="auto"/>
              </w:rPr>
            </w:pPr>
            <w:r>
              <w:rPr>
                <w:rFonts w:ascii="Arial" w:cs="Arial" w:eastAsia="Arial" w:hAnsi="Arial"/>
                <w:sz w:val="18"/>
                <w:szCs w:val="18"/>
                <w:b w:val="1"/>
                <w:bCs w:val="1"/>
                <w:color w:val="auto"/>
              </w:rPr>
              <w:t>Distributions</w:t>
            </w:r>
          </w:p>
        </w:tc>
        <w:tc>
          <w:tcPr>
            <w:tcW w:w="8020" w:type="dxa"/>
            <w:vAlign w:val="bottom"/>
          </w:tcPr>
          <w:p>
            <w:pPr>
              <w:ind w:left="1200"/>
              <w:spacing w:after="0"/>
              <w:rPr>
                <w:sz w:val="20"/>
                <w:szCs w:val="20"/>
                <w:color w:val="auto"/>
              </w:rPr>
            </w:pPr>
            <w:r>
              <w:rPr>
                <w:rFonts w:ascii="Arial" w:cs="Arial" w:eastAsia="Arial" w:hAnsi="Arial"/>
                <w:sz w:val="18"/>
                <w:szCs w:val="18"/>
                <w:color w:val="auto"/>
                <w:w w:val="94"/>
              </w:rPr>
              <w:t>To the extent we have earnings available for distribution, we expect to continue distributing</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5"/>
              </w:rPr>
              <w:t>quarterly dividends to our stockholders. The specific tax characteristics of our distributions</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will be reported to stockholders after the end of the calendar year. Future quarterly</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8"/>
              </w:rPr>
              <w:t>dividends, if any, will be determined by our Board. See “Price Range of Common Stock</w:t>
            </w:r>
          </w:p>
        </w:tc>
      </w:tr>
      <w:tr>
        <w:trPr>
          <w:trHeight w:val="230"/>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and Distributions.”</w:t>
            </w:r>
          </w:p>
        </w:tc>
      </w:tr>
      <w:tr>
        <w:trPr>
          <w:trHeight w:val="240"/>
        </w:trPr>
        <w:tc>
          <w:tcPr>
            <w:tcW w:w="302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spacing w:after="0"/>
              <w:rPr>
                <w:sz w:val="20"/>
                <w:szCs w:val="20"/>
                <w:color w:val="auto"/>
              </w:rPr>
            </w:pPr>
          </w:p>
        </w:tc>
      </w:tr>
      <w:tr>
        <w:trPr>
          <w:trHeight w:val="604"/>
        </w:trPr>
        <w:tc>
          <w:tcPr>
            <w:tcW w:w="3020" w:type="dxa"/>
            <w:vAlign w:val="bottom"/>
          </w:tcPr>
          <w:p>
            <w:pPr>
              <w:spacing w:after="0"/>
              <w:rPr>
                <w:sz w:val="24"/>
                <w:szCs w:val="24"/>
                <w:color w:val="auto"/>
              </w:rPr>
            </w:pPr>
          </w:p>
        </w:tc>
        <w:tc>
          <w:tcPr>
            <w:tcW w:w="8020" w:type="dxa"/>
            <w:vAlign w:val="bottom"/>
          </w:tcPr>
          <w:p>
            <w:pPr>
              <w:ind w:left="240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40"/>
          </w:cols>
          <w:pgMar w:left="24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180" w:type="dxa"/>
            <w:vAlign w:val="bottom"/>
            <w:tcBorders>
              <w:top w:val="single" w:sz="8" w:color="auto"/>
              <w:left w:val="single" w:sz="8" w:color="auto"/>
            </w:tcBorders>
          </w:tcPr>
          <w:p>
            <w:pPr>
              <w:spacing w:after="0"/>
              <w:rPr>
                <w:sz w:val="24"/>
                <w:szCs w:val="24"/>
                <w:color w:val="auto"/>
              </w:rPr>
            </w:pPr>
          </w:p>
        </w:tc>
        <w:tc>
          <w:tcPr>
            <w:tcW w:w="786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8"/>
                <w:szCs w:val="18"/>
                <w:color w:val="auto"/>
                <w:w w:val="95"/>
              </w:rPr>
              <w:t>To maintain our tax treatment as a RIC, we must make certain distributions. See “Material</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U.S. Federal Income Tax Considerations—Regulated Investment Company Classification.”</w:t>
            </w:r>
          </w:p>
        </w:tc>
      </w:tr>
      <w:tr>
        <w:trPr>
          <w:trHeight w:val="445"/>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Anti-Takeover Provisions</w:t>
            </w: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Our Board is divided into three classes of directors serving staggered three-year terms. This</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6"/>
              </w:rPr>
              <w:t>structure is intended to provide us with a greater likelihood of continuity of management,</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8"/>
              </w:rPr>
              <w:t>which may be necessary for us to realize the full value of our investments. A staggered</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9"/>
              </w:rPr>
              <w:t>board of directors also may serve to deter hostile takeovers or proxy contests, as may</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certain other measures adopted by us. See “Description of Our Capital Stock—Anti-</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Takeover Provisions.”</w:t>
            </w:r>
          </w:p>
        </w:tc>
      </w:tr>
      <w:tr>
        <w:trPr>
          <w:trHeight w:val="445"/>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Leverage</w:t>
            </w: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5"/>
              </w:rPr>
              <w:t>As a BDC, we are permitted under the 1940 Act to borrow funds or issue senior securities</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to finance a portion of our investments. As a result, we are exposed to the risks of leverage,</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which may be considered a speculative investment technique.</w:t>
            </w:r>
          </w:p>
        </w:tc>
      </w:tr>
      <w:tr>
        <w:trPr>
          <w:trHeight w:val="445"/>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6"/>
              </w:rPr>
              <w:t>Leverage increases the potential for gain and loss on amounts invested and, as a result,</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increases the risks associated with investing in our securities. The costs associated with our</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8"/>
              </w:rPr>
              <w:t>borrowings, including any increase in the fees payable to the Adviser, are borne by our</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stockholders. Any decision on our part to use borrowings depends upon our assessment of</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the attractiveness of available investment opportunities in relation to the costs and</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perceived risks of such leverage. See “Regulation as a Business Development Company” in</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Part I, Item 1 of our 2018 Annual Report.</w:t>
            </w:r>
          </w:p>
        </w:tc>
      </w:tr>
      <w:tr>
        <w:trPr>
          <w:trHeight w:val="445"/>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Taxation</w:t>
            </w: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We have elected to be treated as a RIC for U.S. federal income tax purposes. Our status as</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6"/>
              </w:rPr>
              <w:t>a RIC will enable us to deduct qualifying distributions to our stockholders, so that we will</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5"/>
              </w:rPr>
              <w:t>be subject to corporate-level U.S. federal income taxation only in respect of earnings that</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we retain and do not distribute.</w:t>
            </w:r>
          </w:p>
        </w:tc>
      </w:tr>
      <w:tr>
        <w:trPr>
          <w:trHeight w:val="445"/>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5"/>
              </w:rPr>
              <w:t>To maintain our status as a RIC and to avoid being subject to corporate-level U.S. federal</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income taxation on our earnings, we must, among other things:</w:t>
            </w:r>
          </w:p>
        </w:tc>
      </w:tr>
      <w:tr>
        <w:trPr>
          <w:trHeight w:val="338"/>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  maintain our election under the 1940 Act to be treated as a BDC;</w:t>
            </w:r>
          </w:p>
        </w:tc>
      </w:tr>
      <w:tr>
        <w:trPr>
          <w:trHeight w:val="323"/>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  derive in each taxable year at least 90% of our gross income from dividends,</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8"/>
              </w:rPr>
              <w:t>interest, gains from the sale or other disposition of stock or securities and other</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specified categories of investment income; and</w:t>
            </w:r>
          </w:p>
        </w:tc>
      </w:tr>
      <w:tr>
        <w:trPr>
          <w:trHeight w:val="338"/>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  maintain diversified holdings.</w:t>
            </w:r>
          </w:p>
        </w:tc>
      </w:tr>
      <w:tr>
        <w:trPr>
          <w:trHeight w:val="445"/>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4"/>
              </w:rPr>
              <w:t>In addition, we must distribute (or be treated as distributing) in each taxable year dividends</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4"/>
              </w:rPr>
              <w:t>for tax purposes equal to at least 90% of our investment company taxable income and net</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tax-exempt income for that taxable year.</w:t>
            </w:r>
          </w:p>
        </w:tc>
      </w:tr>
      <w:tr>
        <w:trPr>
          <w:trHeight w:val="445"/>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8"/>
              </w:rPr>
              <w:t>As a RIC, we generally will not be subject to corporate-level U.S. federal income tax on</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our investment company taxable income and</w:t>
            </w:r>
          </w:p>
        </w:tc>
      </w:tr>
      <w:tr>
        <w:trPr>
          <w:trHeight w:val="240"/>
        </w:trPr>
        <w:tc>
          <w:tcPr>
            <w:tcW w:w="3180" w:type="dxa"/>
            <w:vAlign w:val="bottom"/>
            <w:tcBorders>
              <w:left w:val="single" w:sz="8" w:color="auto"/>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r>
      <w:tr>
        <w:trPr>
          <w:trHeight w:val="604"/>
        </w:trPr>
        <w:tc>
          <w:tcPr>
            <w:tcW w:w="3180" w:type="dxa"/>
            <w:vAlign w:val="bottom"/>
          </w:tcPr>
          <w:p>
            <w:pPr>
              <w:spacing w:after="0"/>
              <w:rPr>
                <w:sz w:val="24"/>
                <w:szCs w:val="24"/>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240"/>
          </w:cols>
          <w:pgMar w:left="240" w:top="459" w:right="4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300" w:type="dxa"/>
            <w:vAlign w:val="bottom"/>
            <w:tcBorders>
              <w:top w:val="single" w:sz="8" w:color="auto"/>
              <w:left w:val="single" w:sz="8" w:color="auto"/>
            </w:tcBorders>
          </w:tcPr>
          <w:p>
            <w:pPr>
              <w:spacing w:after="0"/>
              <w:rPr>
                <w:sz w:val="24"/>
                <w:szCs w:val="24"/>
                <w:color w:val="auto"/>
              </w:rPr>
            </w:pPr>
          </w:p>
        </w:tc>
        <w:tc>
          <w:tcPr>
            <w:tcW w:w="774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97"/>
              </w:rPr>
              <w:t>net capital gains that we distribute to stockholders. If we fail to distribute our investment</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company taxable income or net capital gains on a timely basis, we will be subject to a</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nondeductible 4% U.S. federal excise tax. We can be expected to carry forward investment</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company taxable income in excess of current year distributions into the next tax year and</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pay a 4% excise tax on such income. We elected to retain a portion of income and capital</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gains for the three months ended March 31, 2019 and for the calendar years ended</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December 31, 2018 and 2017 and we recorded a net expense of $0.3 million, $3.4 million</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and $2.8 million, respectively, for U.S. federal excise tax as a result. Any carryover of</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investment company taxable income or net capital gains must be timely declared and</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distributed as a dividend in the taxable year following the taxable year in which the income</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or gains were earned. See “Price Range of Common Stock and Distributions” and</w:t>
            </w:r>
          </w:p>
        </w:tc>
      </w:tr>
      <w:tr>
        <w:trPr>
          <w:trHeight w:val="230"/>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“Material U.S. Federal Income Tax Considerations.”</w:t>
            </w:r>
          </w:p>
        </w:tc>
      </w:tr>
      <w:tr>
        <w:trPr>
          <w:trHeight w:val="458"/>
        </w:trPr>
        <w:tc>
          <w:tcPr>
            <w:tcW w:w="33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Dividend Reinvestment Plan</w:t>
            </w: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We have adopted a dividend reinvestment plan for our stockholders, which is an “opt out”</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dividend reinvestment plan. Under this plan, if we declare a cash dividend or other</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distribution, our stockholders who have not elected to “opt out” of our dividend</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reinvestment plan will have their cash distribution automatically reinvested in additional</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shares of our common stock, rather than receiving the cash distribution. If a stockholder</w:t>
            </w:r>
          </w:p>
        </w:tc>
      </w:tr>
      <w:tr>
        <w:trPr>
          <w:trHeight w:val="230"/>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elects to “opt out,” that stockholder will receive cash dividends or other distributions.</w:t>
            </w:r>
          </w:p>
        </w:tc>
      </w:tr>
      <w:tr>
        <w:trPr>
          <w:trHeight w:val="445"/>
        </w:trPr>
        <w:tc>
          <w:tcPr>
            <w:tcW w:w="330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Stockholders who receive dividends and other distributions in the form of shares of</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common stock generally are subject to the same U.S. federal tax consequences as</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stockholders who elect to receive their distributions in cash; however, since their cash</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dividends will be reinvested, those stockholders will not receive cash with which to pay</w:t>
            </w:r>
          </w:p>
        </w:tc>
      </w:tr>
      <w:tr>
        <w:trPr>
          <w:trHeight w:val="230"/>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any applicable taxes on reinvested dividends. See “Dividend Reinvestment Plan.”</w:t>
            </w:r>
          </w:p>
        </w:tc>
      </w:tr>
      <w:tr>
        <w:trPr>
          <w:trHeight w:val="445"/>
        </w:trPr>
        <w:tc>
          <w:tcPr>
            <w:tcW w:w="33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Management Arrangements</w:t>
            </w: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Our Adviser serves as our investment adviser and our administrator. For more information</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regarding our Adviser, TSSP and TPG and our contractual arrangements with these</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companies, see “Management Agreements” in Part I, Item 1 of our 2018 Annual Report</w:t>
            </w:r>
          </w:p>
        </w:tc>
      </w:tr>
      <w:tr>
        <w:trPr>
          <w:trHeight w:val="230"/>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and Note 3 to our consolidated financial statements in our 2019 Q1 Quarterly Report.</w:t>
            </w:r>
          </w:p>
        </w:tc>
      </w:tr>
      <w:tr>
        <w:trPr>
          <w:trHeight w:val="445"/>
        </w:trPr>
        <w:tc>
          <w:tcPr>
            <w:tcW w:w="33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Trading at a Discount</w:t>
            </w: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2"/>
              </w:rPr>
              <w:t>Shares of closed-end investment companies, including BDCs, frequently trade at a discount</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to their net asset value. We are not generally able to issue and sell our common stock at a</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price below our net asset value per share except (a) in connection with a rights offering to</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our existing stockholders, (b) with the prior approval of the majority of our outstanding</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6"/>
              </w:rPr>
              <w:t>voting securities or (c) under such other circumstances as the SEC may permit. The risk</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that our shares may trade at a discount to our net asset value is separate and distinct from</w:t>
            </w:r>
          </w:p>
        </w:tc>
      </w:tr>
      <w:tr>
        <w:trPr>
          <w:trHeight w:val="230"/>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the risk that our net asset value per share may decline. We</w:t>
            </w:r>
          </w:p>
        </w:tc>
      </w:tr>
      <w:tr>
        <w:trPr>
          <w:trHeight w:val="240"/>
        </w:trPr>
        <w:tc>
          <w:tcPr>
            <w:tcW w:w="3300" w:type="dxa"/>
            <w:vAlign w:val="bottom"/>
            <w:tcBorders>
              <w:left w:val="single" w:sz="8" w:color="auto"/>
              <w:bottom w:val="single" w:sz="8" w:color="auto"/>
            </w:tcBorders>
          </w:tcPr>
          <w:p>
            <w:pPr>
              <w:spacing w:after="0"/>
              <w:rPr>
                <w:sz w:val="20"/>
                <w:szCs w:val="20"/>
                <w:color w:val="auto"/>
              </w:rPr>
            </w:pPr>
          </w:p>
        </w:tc>
        <w:tc>
          <w:tcPr>
            <w:tcW w:w="7740" w:type="dxa"/>
            <w:vAlign w:val="bottom"/>
            <w:tcBorders>
              <w:bottom w:val="single" w:sz="8" w:color="auto"/>
              <w:right w:val="single" w:sz="8" w:color="auto"/>
            </w:tcBorders>
          </w:tcPr>
          <w:p>
            <w:pPr>
              <w:spacing w:after="0"/>
              <w:rPr>
                <w:sz w:val="20"/>
                <w:szCs w:val="20"/>
                <w:color w:val="auto"/>
              </w:rPr>
            </w:pPr>
          </w:p>
        </w:tc>
      </w:tr>
      <w:tr>
        <w:trPr>
          <w:trHeight w:val="604"/>
        </w:trPr>
        <w:tc>
          <w:tcPr>
            <w:tcW w:w="3300" w:type="dxa"/>
            <w:vAlign w:val="bottom"/>
          </w:tcPr>
          <w:p>
            <w:pPr>
              <w:spacing w:after="0"/>
              <w:rPr>
                <w:sz w:val="24"/>
                <w:szCs w:val="24"/>
                <w:color w:val="auto"/>
              </w:rPr>
            </w:pPr>
          </w:p>
        </w:tc>
        <w:tc>
          <w:tcPr>
            <w:tcW w:w="7740" w:type="dxa"/>
            <w:vAlign w:val="bottom"/>
          </w:tcPr>
          <w:p>
            <w:pPr>
              <w:ind w:left="212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740" w:type="dxa"/>
            <w:vAlign w:val="bottom"/>
            <w:tcBorders>
              <w:top w:val="single" w:sz="8" w:color="auto"/>
              <w:left w:val="single" w:sz="8" w:color="auto"/>
            </w:tcBorders>
          </w:tcPr>
          <w:p>
            <w:pPr>
              <w:spacing w:after="0"/>
              <w:rPr>
                <w:sz w:val="24"/>
                <w:szCs w:val="24"/>
                <w:color w:val="auto"/>
              </w:rPr>
            </w:pPr>
          </w:p>
        </w:tc>
        <w:tc>
          <w:tcPr>
            <w:tcW w:w="730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91"/>
              </w:rPr>
              <w:t>cannot predict whether our shares will trade at a price per share above, at or below net asset</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value per share. See “Risk Factors—Risks Related to Offerings Pursuant to This</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Prospectus.”</w:t>
            </w:r>
          </w:p>
        </w:tc>
      </w:tr>
      <w:tr>
        <w:trPr>
          <w:trHeight w:val="458"/>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Available Information</w:t>
            </w: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4"/>
              </w:rPr>
              <w:t>We have filed with the SEC a registration statement on Form N-2, of which this prospectus</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is a part, under the Securities Act. This registration statement contains additional</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information about us and the securities being offered by this prospectus. We are also</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required to file periodic reports, current reports, proxy statements and other information</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with the SEC. This information is available on the SEC’s website at http://www.sec.gov.</w:t>
            </w:r>
          </w:p>
        </w:tc>
      </w:tr>
      <w:tr>
        <w:trPr>
          <w:trHeight w:val="445"/>
        </w:trPr>
        <w:tc>
          <w:tcPr>
            <w:tcW w:w="3740" w:type="dxa"/>
            <w:vAlign w:val="bottom"/>
            <w:tcBorders>
              <w:left w:val="single" w:sz="8" w:color="auto"/>
            </w:tcBorders>
          </w:tcPr>
          <w:p>
            <w:pPr>
              <w:spacing w:after="0"/>
              <w:rPr>
                <w:sz w:val="24"/>
                <w:szCs w:val="24"/>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5"/>
              </w:rPr>
              <w:t>We maintain a website at http://www.tpgspecialtylending.com and make all of our periodic</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3"/>
              </w:rPr>
              <w:t>and current reports, proxy statements and other information available, free of charge, on or</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through our website. Information on our website is not incorporated into or part of this</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prospectus. You may also obtain such information free of charge by contacting us in</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writing at 888 7th Avenue, 35th Floor, New York, NY 10106, Attention: TSLX Investor</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Relations, or by emailing us at IRTSL@tpg.com.</w:t>
            </w:r>
          </w:p>
        </w:tc>
      </w:tr>
      <w:tr>
        <w:trPr>
          <w:trHeight w:val="445"/>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Information Incorporated by Reference</w:t>
            </w: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4"/>
              </w:rPr>
              <w:t>The rules of the SEC allow us to incorporate by reference information into this prospectus.</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3"/>
              </w:rPr>
              <w:t>The information incorporated by reference is considered to be a part of this prospectus, and</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8"/>
              </w:rPr>
              <w:t>information that we file later with the SEC will automatically update and supersede this</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information. See “Information Incorporated by Reference” for more information.</w:t>
            </w:r>
          </w:p>
        </w:tc>
      </w:tr>
      <w:tr>
        <w:trPr>
          <w:trHeight w:val="240"/>
        </w:trPr>
        <w:tc>
          <w:tcPr>
            <w:tcW w:w="3740" w:type="dxa"/>
            <w:vAlign w:val="bottom"/>
            <w:tcBorders>
              <w:left w:val="single" w:sz="8" w:color="auto"/>
              <w:bottom w:val="single" w:sz="8" w:color="auto"/>
            </w:tcBorders>
          </w:tcPr>
          <w:p>
            <w:pPr>
              <w:spacing w:after="0"/>
              <w:rPr>
                <w:sz w:val="20"/>
                <w:szCs w:val="20"/>
                <w:color w:val="auto"/>
              </w:rPr>
            </w:pPr>
          </w:p>
        </w:tc>
        <w:tc>
          <w:tcPr>
            <w:tcW w:w="7300" w:type="dxa"/>
            <w:vAlign w:val="bottom"/>
            <w:tcBorders>
              <w:bottom w:val="single" w:sz="8" w:color="auto"/>
              <w:right w:val="single" w:sz="8" w:color="auto"/>
            </w:tcBorders>
          </w:tcPr>
          <w:p>
            <w:pPr>
              <w:spacing w:after="0"/>
              <w:rPr>
                <w:sz w:val="20"/>
                <w:szCs w:val="20"/>
                <w:color w:val="auto"/>
              </w:rPr>
            </w:pPr>
          </w:p>
        </w:tc>
      </w:tr>
      <w:tr>
        <w:trPr>
          <w:trHeight w:val="604"/>
        </w:trPr>
        <w:tc>
          <w:tcPr>
            <w:tcW w:w="3740" w:type="dxa"/>
            <w:vAlign w:val="bottom"/>
          </w:tcPr>
          <w:p>
            <w:pPr>
              <w:spacing w:after="0"/>
              <w:rPr>
                <w:sz w:val="24"/>
                <w:szCs w:val="24"/>
                <w:color w:val="auto"/>
              </w:rPr>
            </w:pPr>
          </w:p>
        </w:tc>
        <w:tc>
          <w:tcPr>
            <w:tcW w:w="7300" w:type="dxa"/>
            <w:vAlign w:val="bottom"/>
          </w:tcPr>
          <w:p>
            <w:pPr>
              <w:ind w:left="168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474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002145" cy="5947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380" w:right="20" w:firstLine="426"/>
        <w:spacing w:after="0" w:line="270" w:lineRule="auto"/>
        <w:rPr>
          <w:sz w:val="20"/>
          <w:szCs w:val="20"/>
          <w:color w:val="auto"/>
        </w:rPr>
      </w:pPr>
      <w:r>
        <w:rPr>
          <w:rFonts w:ascii="Arial" w:cs="Arial" w:eastAsia="Arial" w:hAnsi="Arial"/>
          <w:sz w:val="17"/>
          <w:szCs w:val="17"/>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“TPG Specialty Lending, Inc.” or says that “we” will pay fees or expenses, stockholders will indirectly bear these fees or expenses as investors in TPG Specialty Lending, Inc.</w:t>
      </w:r>
    </w:p>
    <w:p>
      <w:pPr>
        <w:spacing w:after="0" w:line="223"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Sales load</w:t>
            </w:r>
          </w:p>
        </w:tc>
        <w:tc>
          <w:tcPr>
            <w:tcW w:w="1820" w:type="dxa"/>
            <w:vAlign w:val="bottom"/>
          </w:tcPr>
          <w:p>
            <w:pPr>
              <w:jc w:val="right"/>
              <w:ind w:right="1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1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1820" w:type="dxa"/>
            <w:vAlign w:val="bottom"/>
          </w:tcPr>
          <w:p>
            <w:pPr>
              <w:jc w:val="right"/>
              <w:ind w:right="1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1820" w:type="dxa"/>
            <w:vAlign w:val="bottom"/>
          </w:tcPr>
          <w:p>
            <w:pPr>
              <w:jc w:val="right"/>
              <w:spacing w:after="0"/>
              <w:rPr>
                <w:sz w:val="20"/>
                <w:szCs w:val="20"/>
                <w:color w:val="auto"/>
              </w:rPr>
            </w:pPr>
            <w:r>
              <w:rPr>
                <w:rFonts w:ascii="Arial" w:cs="Arial" w:eastAsia="Arial" w:hAnsi="Arial"/>
                <w:sz w:val="18"/>
                <w:szCs w:val="18"/>
                <w:color w:val="auto"/>
              </w:rPr>
              <w:t>2.69%</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Incentive Fee payable under the Investment Advisory Agreement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1820" w:type="dxa"/>
            <w:vAlign w:val="bottom"/>
          </w:tcPr>
          <w:p>
            <w:pPr>
              <w:jc w:val="right"/>
              <w:spacing w:after="0"/>
              <w:rPr>
                <w:sz w:val="20"/>
                <w:szCs w:val="20"/>
                <w:color w:val="auto"/>
              </w:rPr>
            </w:pPr>
            <w:r>
              <w:rPr>
                <w:rFonts w:ascii="Arial" w:cs="Arial" w:eastAsia="Arial" w:hAnsi="Arial"/>
                <w:sz w:val="18"/>
                <w:szCs w:val="18"/>
                <w:color w:val="auto"/>
              </w:rPr>
              <w:t>3.68%</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Total annual expenses</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260" w:hanging="414"/>
        <w:spacing w:after="0" w:line="258"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1" w:lineRule="exact"/>
        <w:rPr>
          <w:rFonts w:ascii="Arial" w:cs="Arial" w:eastAsia="Arial" w:hAnsi="Arial"/>
          <w:sz w:val="18"/>
          <w:szCs w:val="18"/>
          <w:color w:val="auto"/>
        </w:rPr>
      </w:pPr>
    </w:p>
    <w:p>
      <w:pPr>
        <w:ind w:left="800" w:right="420" w:hanging="414"/>
        <w:spacing w:after="0" w:line="250"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800" w:right="140" w:hanging="414"/>
        <w:spacing w:after="0" w:line="281" w:lineRule="auto"/>
        <w:tabs>
          <w:tab w:leader="none" w:pos="8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w:t>
      </w:r>
    </w:p>
    <w:p>
      <w:pPr>
        <w:spacing w:after="0" w:line="3" w:lineRule="exact"/>
        <w:rPr>
          <w:rFonts w:ascii="Arial" w:cs="Arial" w:eastAsia="Arial" w:hAnsi="Arial"/>
          <w:sz w:val="16"/>
          <w:szCs w:val="16"/>
          <w:color w:val="auto"/>
        </w:rPr>
      </w:pPr>
    </w:p>
    <w:p>
      <w:pPr>
        <w:ind w:left="800" w:right="400" w:hanging="414"/>
        <w:spacing w:after="0" w:line="250"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net assets attributable to common stock used to calculate the percentages in this table reflect our net assets of $1,063.2 million as of December 31, 2018.</w:t>
      </w:r>
    </w:p>
    <w:p>
      <w:pPr>
        <w:ind w:left="800" w:hanging="414"/>
        <w:spacing w:after="0" w:line="252"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2018 Annual Report and Note 3 to our consolidated financial statements in our 2019 Q1 Quarterly Report.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240" w:top="459" w:right="6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23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00214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right="140"/>
        <w:spacing w:after="0" w:line="277" w:lineRule="auto"/>
        <w:rPr>
          <w:sz w:val="20"/>
          <w:szCs w:val="20"/>
          <w:color w:val="auto"/>
        </w:rPr>
      </w:pPr>
      <w:r>
        <w:rPr>
          <w:rFonts w:ascii="Arial" w:cs="Arial" w:eastAsia="Arial" w:hAnsi="Arial"/>
          <w:sz w:val="18"/>
          <w:szCs w:val="18"/>
          <w:color w:val="auto"/>
        </w:rPr>
        <w:t>The Management Fee reflected in the table is calculated by determining the ratio that the Management Fee for the year ended December 31, 2018 bears to our net assets attributable to common stock (rather than our gross assets).</w:t>
      </w:r>
    </w:p>
    <w:p>
      <w:pPr>
        <w:spacing w:after="0" w:line="62" w:lineRule="exact"/>
        <w:rPr>
          <w:sz w:val="20"/>
          <w:szCs w:val="20"/>
          <w:color w:val="auto"/>
        </w:rPr>
      </w:pPr>
    </w:p>
    <w:p>
      <w:pPr>
        <w:ind w:left="820" w:right="80"/>
        <w:spacing w:after="0" w:line="302" w:lineRule="auto"/>
        <w:rPr>
          <w:sz w:val="20"/>
          <w:szCs w:val="20"/>
          <w:color w:val="auto"/>
        </w:rPr>
      </w:pPr>
      <w:r>
        <w:rPr>
          <w:rFonts w:ascii="Arial" w:cs="Arial" w:eastAsia="Arial" w:hAnsi="Arial"/>
          <w:sz w:val="16"/>
          <w:szCs w:val="16"/>
          <w:color w:val="auto"/>
        </w:rPr>
        <w:t>From time to time, our Adviser voluntarily has waived certain Management Fees. See “Management’s Discussion and Analysis of Financial Condition and Results of Operations—Results of Operations—Management Fees” in Part II, Item 7 of our 2018 Annual Report and in Part I, Item 2 of our 2019 Q1 Quarterly Report. The above estimates are based on our actual Management Fees for the year ended December 31, 2018 and do not reflect any Management Fees that were waived during the year ended December 31, 2018.</w:t>
      </w:r>
    </w:p>
    <w:p>
      <w:pPr>
        <w:spacing w:after="0" w:line="46" w:lineRule="exact"/>
        <w:rPr>
          <w:sz w:val="20"/>
          <w:szCs w:val="20"/>
          <w:color w:val="auto"/>
        </w:rPr>
      </w:pPr>
    </w:p>
    <w:p>
      <w:pPr>
        <w:ind w:left="820" w:right="200"/>
        <w:spacing w:after="0" w:line="293" w:lineRule="auto"/>
        <w:rPr>
          <w:sz w:val="20"/>
          <w:szCs w:val="20"/>
          <w:color w:val="auto"/>
        </w:rPr>
      </w:pPr>
      <w:r>
        <w:rPr>
          <w:rFonts w:ascii="Arial" w:cs="Arial" w:eastAsia="Arial" w:hAnsi="Arial"/>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As of December 31, 2018, no Management Fees were waived pursuant to the Leverage Waiver.</w:t>
      </w:r>
    </w:p>
    <w:p>
      <w:pPr>
        <w:spacing w:after="0" w:line="70" w:lineRule="exact"/>
        <w:rPr>
          <w:sz w:val="20"/>
          <w:szCs w:val="20"/>
          <w:color w:val="auto"/>
        </w:rPr>
      </w:pPr>
    </w:p>
    <w:p>
      <w:pPr>
        <w:jc w:val="both"/>
        <w:ind w:left="800" w:right="60" w:hanging="414"/>
        <w:spacing w:after="0" w:line="259"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2018 and assumes that the Incentive Fee is 17.5% for all relevant periods. However, the Incentive Fee payable to the Adviser is based on our performance and will not be paid unless we achieve certain goals.</w:t>
      </w:r>
    </w:p>
    <w:p>
      <w:pPr>
        <w:spacing w:after="0" w:line="78"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The Incentive Fee consists of two parts:</w:t>
      </w:r>
    </w:p>
    <w:p>
      <w:pPr>
        <w:spacing w:after="0" w:line="117" w:lineRule="exact"/>
        <w:rPr>
          <w:rFonts w:ascii="Arial" w:cs="Arial" w:eastAsia="Arial" w:hAnsi="Arial"/>
          <w:sz w:val="18"/>
          <w:szCs w:val="18"/>
          <w:color w:val="auto"/>
        </w:rPr>
      </w:pPr>
    </w:p>
    <w:p>
      <w:pPr>
        <w:ind w:left="820" w:right="60"/>
        <w:spacing w:after="0" w:line="259" w:lineRule="auto"/>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78" w:lineRule="exact"/>
        <w:rPr>
          <w:rFonts w:ascii="Arial" w:cs="Arial" w:eastAsia="Arial" w:hAnsi="Arial"/>
          <w:sz w:val="18"/>
          <w:szCs w:val="18"/>
          <w:color w:val="auto"/>
        </w:rPr>
      </w:pPr>
    </w:p>
    <w:p>
      <w:pPr>
        <w:ind w:left="820"/>
        <w:spacing w:after="0" w:line="273" w:lineRule="auto"/>
        <w:rPr>
          <w:rFonts w:ascii="Arial" w:cs="Arial" w:eastAsia="Arial" w:hAnsi="Arial"/>
          <w:sz w:val="18"/>
          <w:szCs w:val="18"/>
          <w:color w:val="auto"/>
        </w:rPr>
      </w:pPr>
      <w:r>
        <w:rPr>
          <w:rFonts w:ascii="Arial" w:cs="Arial" w:eastAsia="Arial" w:hAnsi="Arial"/>
          <w:sz w:val="17"/>
          <w:szCs w:val="17"/>
          <w:color w:val="auto"/>
        </w:rPr>
        <w:t>The second component, which we refer to as the Capital Gains Fee,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and net of the aggregate amount of any previously paid Capital Gains Fee for prior periods. For capital gains that accrue following March 31, 2014, the Incentive Fee rate is 17.5%. We accrue, but do not pay, a Capital Gains Fee with respect to unrealized appreciation because a Capital Gains Fee would be owed to the Adviser if we were to sell the relevant investment and realize a capital gain.</w:t>
      </w:r>
    </w:p>
    <w:p>
      <w:pPr>
        <w:spacing w:after="0" w:line="70" w:lineRule="exact"/>
        <w:rPr>
          <w:rFonts w:ascii="Arial" w:cs="Arial" w:eastAsia="Arial" w:hAnsi="Arial"/>
          <w:sz w:val="18"/>
          <w:szCs w:val="18"/>
          <w:color w:val="auto"/>
        </w:rPr>
      </w:pPr>
    </w:p>
    <w:p>
      <w:pPr>
        <w:ind w:left="820" w:right="40"/>
        <w:spacing w:after="0" w:line="264" w:lineRule="auto"/>
        <w:rPr>
          <w:rFonts w:ascii="Arial" w:cs="Arial" w:eastAsia="Arial" w:hAnsi="Arial"/>
          <w:sz w:val="18"/>
          <w:szCs w:val="18"/>
          <w:color w:val="auto"/>
        </w:rPr>
      </w:pPr>
      <w:r>
        <w:rPr>
          <w:rFonts w:ascii="Arial" w:cs="Arial" w:eastAsia="Arial" w:hAnsi="Arial"/>
          <w:sz w:val="18"/>
          <w:szCs w:val="18"/>
          <w:color w:val="auto"/>
        </w:rPr>
        <w:t>See Note 3 to our consolidated financial statements in our 2018 Annual Report and our 2019 Q1 Quarterly Report and “Management Agreements—Investment Advisory Agreement; Administration Agreement; License Agreement” in Part I, Item 1 of our 2018 Annual Report and Note 3 to our consolidated financial statements in our 2019 Q1 Quarterly Report.</w:t>
      </w:r>
    </w:p>
    <w:p>
      <w:pPr>
        <w:spacing w:after="0" w:line="73" w:lineRule="exact"/>
        <w:rPr>
          <w:rFonts w:ascii="Arial" w:cs="Arial" w:eastAsia="Arial" w:hAnsi="Arial"/>
          <w:sz w:val="18"/>
          <w:szCs w:val="18"/>
          <w:color w:val="auto"/>
        </w:rPr>
      </w:pPr>
    </w:p>
    <w:p>
      <w:pPr>
        <w:ind w:left="820" w:right="340"/>
        <w:spacing w:after="0" w:line="286" w:lineRule="auto"/>
        <w:rPr>
          <w:rFonts w:ascii="Arial" w:cs="Arial" w:eastAsia="Arial" w:hAnsi="Arial"/>
          <w:sz w:val="18"/>
          <w:szCs w:val="18"/>
          <w:color w:val="auto"/>
        </w:rPr>
      </w:pPr>
      <w:r>
        <w:rPr>
          <w:rFonts w:ascii="Arial" w:cs="Arial" w:eastAsia="Arial" w:hAnsi="Arial"/>
          <w:sz w:val="17"/>
          <w:szCs w:val="17"/>
          <w:color w:val="auto"/>
        </w:rPr>
        <w:t>From time to time, our Adviser has voluntarily waived certain Incentive Fees. See “Management’s Discussion and Analysis of Financial Condition and Results of Operations—Results of Operations—Incentive Fees” in Part II, Item 7 of our 2018 Annual Report and in Part I, Item 2 of our 2019 Q1 Quarterly Report. The above estimates do not reflect or assume any such waivers.</w:t>
      </w:r>
    </w:p>
    <w:p>
      <w:pPr>
        <w:spacing w:after="0" w:line="70" w:lineRule="exact"/>
        <w:rPr>
          <w:rFonts w:ascii="Arial" w:cs="Arial" w:eastAsia="Arial" w:hAnsi="Arial"/>
          <w:sz w:val="18"/>
          <w:szCs w:val="18"/>
          <w:color w:val="auto"/>
        </w:rPr>
      </w:pPr>
    </w:p>
    <w:p>
      <w:pPr>
        <w:ind w:left="800" w:right="560" w:hanging="414"/>
        <w:spacing w:after="0" w:line="277"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Interest payments on borrowed funds is based on our interest expense for the year ended December 31, 2018 under our credit facilities excluding fees (such as fees on undrawn amounts and amortization of upfront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40"/>
          </w:cols>
          <w:pgMar w:left="240" w:top="459" w:right="6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49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002145" cy="57499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00" w:right="20"/>
        <w:spacing w:after="0" w:line="284" w:lineRule="auto"/>
        <w:rPr>
          <w:sz w:val="20"/>
          <w:szCs w:val="20"/>
          <w:color w:val="auto"/>
        </w:rPr>
      </w:pPr>
      <w:r>
        <w:rPr>
          <w:rFonts w:ascii="Arial" w:cs="Arial" w:eastAsia="Arial" w:hAnsi="Arial"/>
          <w:sz w:val="16"/>
          <w:szCs w:val="16"/>
          <w:color w:val="auto"/>
        </w:rPr>
        <w:t>fees) and including the swap-adjusted interest expense related to our Convertible Notes and 2023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 Our stockholders indirectly bear the costs of borrowings under any debt instruments we may enter into.</w:t>
      </w:r>
    </w:p>
    <w:p>
      <w:pPr>
        <w:spacing w:after="0" w:line="1" w:lineRule="exact"/>
        <w:rPr>
          <w:sz w:val="20"/>
          <w:szCs w:val="20"/>
          <w:color w:val="auto"/>
        </w:rPr>
      </w:pPr>
    </w:p>
    <w:p>
      <w:pPr>
        <w:ind w:left="800" w:right="80" w:hanging="414"/>
        <w:spacing w:after="0" w:line="273" w:lineRule="auto"/>
        <w:tabs>
          <w:tab w:leader="none" w:pos="8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Includes our overhead expenses, such as payments under the Administration Agreement for certain expenses incurred by the Adviser, and excise taxes. See “Management Agreements—Investment Advisory Agreement; Administration Agreement; License Agreement” in Part I, Item 1 of our 2018 Annual Report and Note 3 to our consolidated financial statements in our 2019 Q1 Quarterly Report. The expenses in this table are based on our actual other expenses and excise taxes for the year ended December 31, 2018.</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380" w:right="200" w:firstLine="426"/>
        <w:spacing w:after="0" w:line="273" w:lineRule="auto"/>
        <w:rPr>
          <w:sz w:val="20"/>
          <w:szCs w:val="20"/>
          <w:color w:val="auto"/>
        </w:rPr>
      </w:pPr>
      <w:r>
        <w:rPr>
          <w:rFonts w:ascii="Arial" w:cs="Arial" w:eastAsia="Arial" w:hAnsi="Arial"/>
          <w:sz w:val="17"/>
          <w:szCs w:val="17"/>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197"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3 years</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10 years</w:t>
            </w:r>
          </w:p>
        </w:tc>
      </w:tr>
      <w:tr>
        <w:trPr>
          <w:trHeight w:val="182"/>
        </w:trPr>
        <w:tc>
          <w:tcPr>
            <w:tcW w:w="774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5"/>
              </w:rPr>
              <w:t>You would pay the following expenses on a $1,000 common stock investment, assuming a 5% annual</w:t>
            </w:r>
          </w:p>
        </w:tc>
        <w:tc>
          <w:tcPr>
            <w:tcW w:w="4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return from realized capital gains</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88</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$ 253</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$ 407</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742</w:t>
            </w:r>
          </w:p>
        </w:tc>
      </w:tr>
    </w:tbl>
    <w:p>
      <w:pPr>
        <w:spacing w:after="0" w:line="202" w:lineRule="exact"/>
        <w:rPr>
          <w:sz w:val="20"/>
          <w:szCs w:val="20"/>
          <w:color w:val="auto"/>
        </w:rPr>
      </w:pPr>
    </w:p>
    <w:p>
      <w:pPr>
        <w:ind w:left="380" w:firstLine="426"/>
        <w:spacing w:after="0" w:line="287" w:lineRule="auto"/>
        <w:rPr>
          <w:sz w:val="20"/>
          <w:szCs w:val="20"/>
          <w:color w:val="auto"/>
        </w:rPr>
      </w:pPr>
      <w:r>
        <w:rPr>
          <w:rFonts w:ascii="Arial" w:cs="Arial" w:eastAsia="Arial" w:hAnsi="Arial"/>
          <w:sz w:val="16"/>
          <w:szCs w:val="16"/>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69" w:lineRule="exact"/>
        <w:rPr>
          <w:sz w:val="20"/>
          <w:szCs w:val="20"/>
          <w:color w:val="auto"/>
        </w:rPr>
      </w:pPr>
    </w:p>
    <w:p>
      <w:pPr>
        <w:ind w:left="380" w:right="580" w:firstLine="426"/>
        <w:spacing w:after="0" w:line="313" w:lineRule="auto"/>
        <w:rPr>
          <w:sz w:val="20"/>
          <w:szCs w:val="20"/>
          <w:color w:val="auto"/>
        </w:rPr>
      </w:pPr>
      <w:r>
        <w:rPr>
          <w:rFonts w:ascii="Arial" w:cs="Arial" w:eastAsia="Arial" w:hAnsi="Arial"/>
          <w:sz w:val="17"/>
          <w:szCs w:val="17"/>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00" w:lineRule="exact"/>
        <w:rPr>
          <w:sz w:val="20"/>
          <w:szCs w:val="20"/>
          <w:color w:val="auto"/>
        </w:rPr>
      </w:pPr>
    </w:p>
    <w:p>
      <w:pPr>
        <w:spacing w:after="0" w:line="37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240" w:top="459" w:right="6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6520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002145" cy="46520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left="380" w:right="220" w:firstLine="426"/>
        <w:spacing w:after="0" w:line="273" w:lineRule="auto"/>
        <w:rPr>
          <w:sz w:val="20"/>
          <w:szCs w:val="20"/>
          <w:color w:val="auto"/>
        </w:rPr>
      </w:pPr>
      <w:r>
        <w:rPr>
          <w:rFonts w:ascii="Arial" w:cs="Arial" w:eastAsia="Arial" w:hAnsi="Arial"/>
          <w:sz w:val="17"/>
          <w:szCs w:val="17"/>
          <w:color w:val="auto"/>
        </w:rPr>
        <w:t>You should read the following selected consolidated historical financial data below in conjunction with the section entitled “Management’s Discussion and Analysis of Financial Condition and Results of Operations” in Part II, Item 7 of our 2018 Annual Report and in Part I, Item 2 of our 2019 Q1 Quarterly Report and our consolidated financial statements, related notes and other financial information incorporated by reference in this prospectus. The selected financial data in this section is not intended to replace the consolidated financial statements and is qualified in its entirety by our consolidated financial statements and related notes incorporated by reference in this prospectus to the consolidated financial statements in our 2018 Annual Report and in our 2019 Q1 Quarterly Report.</w:t>
      </w:r>
    </w:p>
    <w:p>
      <w:pPr>
        <w:spacing w:after="0" w:line="178" w:lineRule="exact"/>
        <w:rPr>
          <w:sz w:val="20"/>
          <w:szCs w:val="20"/>
          <w:color w:val="auto"/>
        </w:rPr>
      </w:pPr>
    </w:p>
    <w:p>
      <w:pPr>
        <w:ind w:left="380" w:right="380" w:firstLine="426"/>
        <w:spacing w:after="0" w:line="293" w:lineRule="auto"/>
        <w:rPr>
          <w:sz w:val="20"/>
          <w:szCs w:val="20"/>
          <w:color w:val="auto"/>
        </w:rPr>
      </w:pPr>
      <w:r>
        <w:rPr>
          <w:rFonts w:ascii="Arial" w:cs="Arial" w:eastAsia="Arial" w:hAnsi="Arial"/>
          <w:sz w:val="16"/>
          <w:szCs w:val="16"/>
          <w:color w:val="auto"/>
        </w:rPr>
        <w:t>We derived the selected consolidated financial data for the years ended December 31, 2018, 2017 and 2016 from our audited consolidated financial statements and related notes, which are incorporated by reference in this prospectus. We derived the selected consolidated financial data for the years ended December 31, 2015 and 2014 from our audited consolidated financial statements and related notes, which are not included or incorporated by reference in this prospectus. We derived the selected consolidated financial data for the three months ended March 31, 2019 and 2018 from our unaudited interim consolidated financial statements and related notes, which are incorporated by reference in this prospectus. Certain prior period information has been reclassified to conform to the current period presentation.</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8"/>
            <w:vMerge w:val="restart"/>
          </w:tcPr>
          <w:p>
            <w:pPr>
              <w:jc w:val="center"/>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 except per share amounts)</w:t>
            </w:r>
          </w:p>
        </w:tc>
        <w:tc>
          <w:tcPr>
            <w:tcW w:w="880" w:type="dxa"/>
            <w:vAlign w:val="bottom"/>
          </w:tcPr>
          <w:p>
            <w:pPr>
              <w:spacing w:after="0"/>
              <w:rPr>
                <w:sz w:val="14"/>
                <w:szCs w:val="14"/>
                <w:color w:val="auto"/>
              </w:rPr>
            </w:pPr>
          </w:p>
        </w:tc>
        <w:tc>
          <w:tcPr>
            <w:tcW w:w="14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520" w:type="dxa"/>
            <w:vAlign w:val="bottom"/>
            <w:tcBorders>
              <w:bottom w:val="single" w:sz="8" w:color="CCEEFF"/>
            </w:tcBorders>
            <w:vMerge w:val="continue"/>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2016</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Income</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Investment Income</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$52.5</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$57.8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261.9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210.9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192.4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173.4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163.3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Net Expenses</w:t>
            </w:r>
          </w:p>
        </w:tc>
        <w:tc>
          <w:tcPr>
            <w:tcW w:w="8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25.5</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114.6</w:t>
            </w:r>
          </w:p>
        </w:tc>
        <w:tc>
          <w:tcPr>
            <w:tcW w:w="1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 Before Income Taxes</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$26.9</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147.3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123.1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109.6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105.6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26.6</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143.9</w:t>
            </w:r>
          </w:p>
        </w:tc>
        <w:tc>
          <w:tcPr>
            <w:tcW w:w="1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120.3</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107.3</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Change in Unrealized Gain (Loss)</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(14.2)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(28.5)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Net Realized Gain (Loss)</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0.6</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(10.7)</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(14.0)</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$38.7</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119.0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Earnings per common share—basic and diluted</w:t>
            </w:r>
            <w:r>
              <w:rPr>
                <w:rFonts w:ascii="Arial" w:cs="Arial" w:eastAsia="Arial" w:hAnsi="Arial"/>
                <w:sz w:val="15"/>
                <w:szCs w:val="15"/>
                <w:color w:val="auto"/>
              </w:rPr>
              <w:t>(1)(2)</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$0.59</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$0.56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00" w:type="dxa"/>
            <w:vAlign w:val="bottom"/>
            <w:gridSpan w:val="2"/>
          </w:tcPr>
          <w:p>
            <w:pPr>
              <w:jc w:val="right"/>
              <w:ind w:right="322"/>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614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002145" cy="6161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Consolidated Balance Sheet Data:</w:t>
      </w:r>
    </w:p>
    <w:p>
      <w:pPr>
        <w:spacing w:after="0" w:line="235"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Three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8"/>
            <w:vMerge w:val="restart"/>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 except per share amounts)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1,824.9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1,706.0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1,693.7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1,657.4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1,485.7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1,263.5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1,849.5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1,730.3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1,720.2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1,675.5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1,506.5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1,288.9</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724.5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608.0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703.4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680.7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642.4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Total net assets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1,074.1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1,063.2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969.3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952.2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820.7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835.4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 value per share</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Other Data:</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portfolio companies at year end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Dividends declared per share</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2"/>
        </w:trPr>
        <w:tc>
          <w:tcPr>
            <w:tcW w:w="474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yield of debt and income-producing</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0"/>
              <w:spacing w:after="0"/>
              <w:rPr>
                <w:sz w:val="20"/>
                <w:szCs w:val="20"/>
                <w:color w:val="auto"/>
              </w:rPr>
            </w:pPr>
            <w:r>
              <w:rPr>
                <w:rFonts w:ascii="Arial" w:cs="Arial" w:eastAsia="Arial" w:hAnsi="Arial"/>
                <w:sz w:val="18"/>
                <w:szCs w:val="18"/>
                <w:color w:val="auto"/>
              </w:rPr>
              <w:t>securities at fair value</w:t>
            </w: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yield of debt and income-producing</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at amortized cost</w:t>
            </w:r>
            <w:r>
              <w:rPr>
                <w:rFonts w:ascii="Arial" w:cs="Arial" w:eastAsia="Arial" w:hAnsi="Arial"/>
                <w:sz w:val="15"/>
                <w:szCs w:val="15"/>
                <w:color w:val="auto"/>
              </w:rPr>
              <w:t>(3)</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Fair value of debt investments as a percentage of principal</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fair value of debt investments as a</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percentage of call price</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800" w:hanging="414"/>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 during the period.</w:t>
      </w:r>
    </w:p>
    <w:p>
      <w:pPr>
        <w:spacing w:after="0" w:line="23" w:lineRule="exact"/>
        <w:rPr>
          <w:rFonts w:ascii="Arial" w:cs="Arial" w:eastAsia="Arial" w:hAnsi="Arial"/>
          <w:sz w:val="18"/>
          <w:szCs w:val="18"/>
          <w:color w:val="auto"/>
        </w:rPr>
      </w:pPr>
    </w:p>
    <w:p>
      <w:pPr>
        <w:ind w:left="800" w:right="120" w:hanging="414"/>
        <w:spacing w:after="0" w:line="281" w:lineRule="auto"/>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U.S. Generally Accepted Accounting Principles (“U.S. GAAP”) requires that total return be calculated as the change in net asset value per share during the period plus declared dividends per share, divided by the beginning net asset value per share. Our total return set forth in the table above for the three months ended March 31, 2019 and the years ended December 31, 2018, 2017, 2016, 2015, and 2014 reflects the Adviser’s waivers of its right to receive a portion of the Management Fee and Incentive Fees prior to our IPO and separately with respect to our ownership of shares of common stock of Triangle Capital Corp. and Oxford Square Capital Corp. The Management Fee, excluding the effects of the waivers, would have been $6.6 million, $28.6 million, $24.3 million, $24.3 million, $21.3 million, and $18.3 million for the three months ended March 31, 2019 and the years ended December 31, 2018, 2017, 2016, 2015, and 2014, respectively. The Incentive Fee excluding the effects of the waiver would have been $5.7 million, $30.5 million, $25.5 million, $22.7 million, $20.2 million and</w:t>
      </w:r>
    </w:p>
    <w:p>
      <w:pPr>
        <w:spacing w:after="0" w:line="5" w:lineRule="exact"/>
        <w:rPr>
          <w:rFonts w:ascii="Arial" w:cs="Arial" w:eastAsia="Arial" w:hAnsi="Arial"/>
          <w:sz w:val="16"/>
          <w:szCs w:val="16"/>
          <w:color w:val="auto"/>
        </w:rPr>
      </w:pPr>
    </w:p>
    <w:p>
      <w:pPr>
        <w:ind w:left="800" w:right="140"/>
        <w:spacing w:after="0" w:line="250" w:lineRule="auto"/>
        <w:rPr>
          <w:rFonts w:ascii="Arial" w:cs="Arial" w:eastAsia="Arial" w:hAnsi="Arial"/>
          <w:sz w:val="16"/>
          <w:szCs w:val="16"/>
          <w:color w:val="auto"/>
        </w:rPr>
      </w:pPr>
      <w:r>
        <w:rPr>
          <w:rFonts w:ascii="Arial" w:cs="Arial" w:eastAsia="Arial" w:hAnsi="Arial"/>
          <w:sz w:val="18"/>
          <w:szCs w:val="18"/>
          <w:color w:val="auto"/>
        </w:rPr>
        <w:t>$17.8 million for the three months ended March 31, 2019 and the years ended December 31, 2018, 2017, 2016, 2015 and 2014 respectively. The corresponding impact on the total return calculation is not material.</w:t>
      </w:r>
    </w:p>
    <w:p>
      <w:pPr>
        <w:ind w:left="800" w:right="20" w:hanging="414"/>
        <w:spacing w:after="0" w:line="269" w:lineRule="auto"/>
        <w:tabs>
          <w:tab w:leader="none" w:pos="8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Weighted average yield on debt and income 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fair value. Weighted average yield on debt and income 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240" w:top="459" w:right="6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6780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002145" cy="46780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SELECTED QUARTERLY FINANCIAL DATA</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7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Q3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Q1</w:t>
            </w:r>
          </w:p>
        </w:tc>
        <w:tc>
          <w:tcPr>
            <w:tcW w:w="40" w:type="dxa"/>
            <w:vAlign w:val="bottom"/>
          </w:tcPr>
          <w:p>
            <w:pPr>
              <w:spacing w:after="0"/>
              <w:rPr>
                <w:sz w:val="12"/>
                <w:szCs w:val="12"/>
                <w:color w:val="auto"/>
              </w:rPr>
            </w:pPr>
          </w:p>
        </w:tc>
      </w:tr>
      <w:tr>
        <w:trPr>
          <w:trHeight w:val="210"/>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2"/>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$52,487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ind w:right="280"/>
              <w:spacing w:after="0"/>
              <w:rPr>
                <w:sz w:val="20"/>
                <w:szCs w:val="20"/>
                <w:color w:val="auto"/>
              </w:rPr>
            </w:pPr>
            <w:r>
              <w:rPr>
                <w:rFonts w:ascii="Arial" w:cs="Arial" w:eastAsia="Arial" w:hAnsi="Arial"/>
                <w:sz w:val="18"/>
                <w:szCs w:val="18"/>
                <w:color w:val="auto"/>
                <w:w w:val="92"/>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500"/>
              <w:spacing w:after="0"/>
              <w:rPr>
                <w:sz w:val="20"/>
                <w:szCs w:val="20"/>
                <w:color w:val="auto"/>
              </w:rPr>
            </w:pPr>
            <w:r>
              <w:rPr>
                <w:rFonts w:ascii="Arial" w:cs="Arial" w:eastAsia="Arial" w:hAnsi="Arial"/>
                <w:sz w:val="18"/>
                <w:szCs w:val="18"/>
                <w:color w:val="auto"/>
                <w:w w:val="92"/>
              </w:rPr>
              <w:t>$—</w:t>
            </w: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w w:val="98"/>
              </w:rPr>
              <w:t>$25,849</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2"/>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92"/>
              </w:rPr>
              <w:t>$—</w:t>
            </w: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8"/>
              </w:rPr>
              <w:t>$26,638</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Total Unrealized and Realized Gains (Losses)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ind w:right="280"/>
              <w:spacing w:after="0"/>
              <w:rPr>
                <w:sz w:val="20"/>
                <w:szCs w:val="20"/>
                <w:color w:val="auto"/>
              </w:rPr>
            </w:pPr>
            <w:r>
              <w:rPr>
                <w:rFonts w:ascii="Arial" w:cs="Arial" w:eastAsia="Arial" w:hAnsi="Arial"/>
                <w:sz w:val="18"/>
                <w:szCs w:val="18"/>
                <w:color w:val="auto"/>
                <w:w w:val="92"/>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500"/>
              <w:spacing w:after="0"/>
              <w:rPr>
                <w:sz w:val="20"/>
                <w:szCs w:val="20"/>
                <w:color w:val="auto"/>
              </w:rPr>
            </w:pPr>
            <w:r>
              <w:rPr>
                <w:rFonts w:ascii="Arial" w:cs="Arial" w:eastAsia="Arial" w:hAnsi="Arial"/>
                <w:sz w:val="18"/>
                <w:szCs w:val="18"/>
                <w:color w:val="auto"/>
                <w:w w:val="92"/>
              </w:rPr>
              <w:t>$—</w:t>
            </w: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w w:val="98"/>
              </w:rPr>
              <w:t>$12,107</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2"/>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92"/>
              </w:rPr>
              <w:t>$—</w:t>
            </w: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8"/>
              </w:rPr>
              <w:t>$38,745</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Net Asset Value per Share as of the End of the Quarter</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4"/>
          </w:tcPr>
          <w:p>
            <w:pPr>
              <w:jc w:val="right"/>
              <w:ind w:right="280"/>
              <w:spacing w:after="0"/>
              <w:rPr>
                <w:sz w:val="20"/>
                <w:szCs w:val="20"/>
                <w:color w:val="auto"/>
              </w:rPr>
            </w:pPr>
            <w:r>
              <w:rPr>
                <w:rFonts w:ascii="Arial" w:cs="Arial" w:eastAsia="Arial" w:hAnsi="Arial"/>
                <w:sz w:val="18"/>
                <w:szCs w:val="18"/>
                <w:color w:val="auto"/>
                <w:w w:val="92"/>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4"/>
          </w:tcPr>
          <w:p>
            <w:pPr>
              <w:jc w:val="right"/>
              <w:ind w:right="500"/>
              <w:spacing w:after="0"/>
              <w:rPr>
                <w:sz w:val="20"/>
                <w:szCs w:val="20"/>
                <w:color w:val="auto"/>
              </w:rPr>
            </w:pPr>
            <w:r>
              <w:rPr>
                <w:rFonts w:ascii="Arial" w:cs="Arial" w:eastAsia="Arial" w:hAnsi="Arial"/>
                <w:sz w:val="18"/>
                <w:szCs w:val="18"/>
                <w:color w:val="auto"/>
                <w:w w:val="92"/>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16.34</w:t>
            </w:r>
          </w:p>
        </w:tc>
      </w:tr>
      <w:tr>
        <w:trPr>
          <w:trHeight w:val="377"/>
        </w:trPr>
        <w:tc>
          <w:tcPr>
            <w:tcW w:w="7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7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ind w:left="140"/>
              <w:spacing w:after="0" w:line="142"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Q1</w:t>
            </w:r>
          </w:p>
        </w:tc>
        <w:tc>
          <w:tcPr>
            <w:tcW w:w="40" w:type="dxa"/>
            <w:vAlign w:val="bottom"/>
          </w:tcPr>
          <w:p>
            <w:pPr>
              <w:spacing w:after="0"/>
              <w:rPr>
                <w:sz w:val="12"/>
                <w:szCs w:val="12"/>
                <w:color w:val="auto"/>
              </w:rPr>
            </w:pPr>
          </w:p>
        </w:tc>
      </w:tr>
      <w:tr>
        <w:trPr>
          <w:trHeight w:val="210"/>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91"/>
              </w:rPr>
              <w:t>$ 74,741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color w:val="auto"/>
                <w:w w:val="89"/>
              </w:rPr>
              <w:t>$63,004</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6"/>
              </w:rPr>
              <w:t>$66,401</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$57,767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900" w:type="dxa"/>
            <w:vAlign w:val="bottom"/>
            <w:gridSpan w:val="7"/>
          </w:tcPr>
          <w:p>
            <w:pPr>
              <w:ind w:left="40"/>
              <w:spacing w:after="0"/>
              <w:rPr>
                <w:sz w:val="20"/>
                <w:szCs w:val="20"/>
                <w:color w:val="auto"/>
              </w:rPr>
            </w:pPr>
            <w:r>
              <w:rPr>
                <w:rFonts w:ascii="Arial" w:cs="Arial" w:eastAsia="Arial" w:hAnsi="Arial"/>
                <w:sz w:val="18"/>
                <w:szCs w:val="18"/>
                <w:color w:val="auto"/>
              </w:rPr>
              <w:t>$ 30,634</w:t>
            </w:r>
          </w:p>
        </w:tc>
        <w:tc>
          <w:tcPr>
            <w:tcW w:w="740" w:type="dxa"/>
            <w:vAlign w:val="bottom"/>
            <w:gridSpan w:val="6"/>
          </w:tcPr>
          <w:p>
            <w:pPr>
              <w:jc w:val="center"/>
              <w:spacing w:after="0"/>
              <w:rPr>
                <w:sz w:val="20"/>
                <w:szCs w:val="20"/>
                <w:color w:val="auto"/>
              </w:rPr>
            </w:pPr>
            <w:r>
              <w:rPr>
                <w:rFonts w:ascii="Arial" w:cs="Arial" w:eastAsia="Arial" w:hAnsi="Arial"/>
                <w:sz w:val="18"/>
                <w:szCs w:val="18"/>
                <w:color w:val="auto"/>
                <w:w w:val="89"/>
              </w:rPr>
              <w:t>$30,711</w:t>
            </w:r>
          </w:p>
        </w:tc>
        <w:tc>
          <w:tcPr>
            <w:tcW w:w="1060" w:type="dxa"/>
            <w:vAlign w:val="bottom"/>
            <w:gridSpan w:val="7"/>
          </w:tcPr>
          <w:p>
            <w:pPr>
              <w:ind w:left="220"/>
              <w:spacing w:after="0"/>
              <w:rPr>
                <w:sz w:val="20"/>
                <w:szCs w:val="20"/>
                <w:color w:val="auto"/>
              </w:rPr>
            </w:pPr>
            <w:r>
              <w:rPr>
                <w:rFonts w:ascii="Arial" w:cs="Arial" w:eastAsia="Arial" w:hAnsi="Arial"/>
                <w:sz w:val="18"/>
                <w:szCs w:val="18"/>
                <w:color w:val="auto"/>
              </w:rPr>
              <w:t>$30,099</w:t>
            </w: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w w:val="98"/>
              </w:rPr>
              <w:t>$26,581</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90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$ 44,107</w:t>
            </w:r>
          </w:p>
        </w:tc>
        <w:tc>
          <w:tcPr>
            <w:tcW w:w="74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9"/>
              </w:rPr>
              <w:t>$32,293</w:t>
            </w:r>
          </w:p>
        </w:tc>
        <w:tc>
          <w:tcPr>
            <w:tcW w:w="1060" w:type="dxa"/>
            <w:vAlign w:val="bottom"/>
            <w:gridSpan w:val="7"/>
            <w:shd w:val="clear" w:color="auto" w:fill="CCEEFF"/>
          </w:tcPr>
          <w:p>
            <w:pPr>
              <w:ind w:left="220"/>
              <w:spacing w:after="0"/>
              <w:rPr>
                <w:sz w:val="20"/>
                <w:szCs w:val="20"/>
                <w:color w:val="auto"/>
              </w:rPr>
            </w:pPr>
            <w:r>
              <w:rPr>
                <w:rFonts w:ascii="Arial" w:cs="Arial" w:eastAsia="Arial" w:hAnsi="Arial"/>
                <w:sz w:val="18"/>
                <w:szCs w:val="18"/>
                <w:color w:val="auto"/>
              </w:rPr>
              <w:t>$36,302</w:t>
            </w: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8"/>
              </w:rPr>
              <w:t>$31,186</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Total Unrealized and Realized Gains (Losses)</w:t>
            </w:r>
          </w:p>
        </w:tc>
        <w:tc>
          <w:tcPr>
            <w:tcW w:w="900" w:type="dxa"/>
            <w:vAlign w:val="bottom"/>
            <w:gridSpan w:val="7"/>
          </w:tcPr>
          <w:p>
            <w:pPr>
              <w:ind w:left="40"/>
              <w:spacing w:after="0"/>
              <w:rPr>
                <w:sz w:val="20"/>
                <w:szCs w:val="20"/>
                <w:color w:val="auto"/>
              </w:rPr>
            </w:pPr>
            <w:r>
              <w:rPr>
                <w:rFonts w:ascii="Arial" w:cs="Arial" w:eastAsia="Arial" w:hAnsi="Arial"/>
                <w:sz w:val="18"/>
                <w:szCs w:val="18"/>
                <w:color w:val="auto"/>
              </w:rPr>
              <w:t>$(29,875)</w:t>
            </w:r>
          </w:p>
        </w:tc>
        <w:tc>
          <w:tcPr>
            <w:tcW w:w="740" w:type="dxa"/>
            <w:vAlign w:val="bottom"/>
            <w:gridSpan w:val="6"/>
          </w:tcPr>
          <w:p>
            <w:pPr>
              <w:jc w:val="center"/>
              <w:spacing w:after="0"/>
              <w:rPr>
                <w:sz w:val="20"/>
                <w:szCs w:val="20"/>
                <w:color w:val="auto"/>
              </w:rPr>
            </w:pPr>
            <w:r>
              <w:rPr>
                <w:rFonts w:ascii="Arial" w:cs="Arial" w:eastAsia="Arial" w:hAnsi="Arial"/>
                <w:sz w:val="18"/>
                <w:szCs w:val="18"/>
                <w:color w:val="auto"/>
                <w:w w:val="96"/>
              </w:rPr>
              <w:t>$ 5,087</w:t>
            </w:r>
          </w:p>
        </w:tc>
        <w:tc>
          <w:tcPr>
            <w:tcW w:w="1060" w:type="dxa"/>
            <w:vAlign w:val="bottom"/>
            <w:gridSpan w:val="7"/>
          </w:tcPr>
          <w:p>
            <w:pPr>
              <w:ind w:left="220"/>
              <w:spacing w:after="0"/>
              <w:rPr>
                <w:sz w:val="20"/>
                <w:szCs w:val="20"/>
                <w:color w:val="auto"/>
              </w:rPr>
            </w:pPr>
            <w:r>
              <w:rPr>
                <w:rFonts w:ascii="Arial" w:cs="Arial" w:eastAsia="Arial" w:hAnsi="Arial"/>
                <w:sz w:val="18"/>
                <w:szCs w:val="18"/>
                <w:color w:val="auto"/>
              </w:rPr>
              <w:t>$ (2,733)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2,650</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90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$ 14,232</w:t>
            </w:r>
          </w:p>
        </w:tc>
        <w:tc>
          <w:tcPr>
            <w:tcW w:w="74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9"/>
              </w:rPr>
              <w:t>$37,380</w:t>
            </w:r>
          </w:p>
        </w:tc>
        <w:tc>
          <w:tcPr>
            <w:tcW w:w="1060" w:type="dxa"/>
            <w:vAlign w:val="bottom"/>
            <w:gridSpan w:val="7"/>
            <w:shd w:val="clear" w:color="auto" w:fill="CCEEFF"/>
          </w:tcPr>
          <w:p>
            <w:pPr>
              <w:ind w:left="220"/>
              <w:spacing w:after="0"/>
              <w:rPr>
                <w:sz w:val="20"/>
                <w:szCs w:val="20"/>
                <w:color w:val="auto"/>
              </w:rPr>
            </w:pPr>
            <w:r>
              <w:rPr>
                <w:rFonts w:ascii="Arial" w:cs="Arial" w:eastAsia="Arial" w:hAnsi="Arial"/>
                <w:sz w:val="18"/>
                <w:szCs w:val="18"/>
                <w:color w:val="auto"/>
              </w:rPr>
              <w:t>$33,569</w:t>
            </w: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8"/>
              </w:rPr>
              <w:t>$33,836</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Net Asset Value per Share as of the End of the Quarter</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740" w:type="dxa"/>
            <w:vAlign w:val="bottom"/>
            <w:gridSpan w:val="5"/>
          </w:tcPr>
          <w:p>
            <w:pPr>
              <w:ind w:left="140"/>
              <w:spacing w:after="0"/>
              <w:rPr>
                <w:sz w:val="20"/>
                <w:szCs w:val="20"/>
                <w:color w:val="auto"/>
              </w:rPr>
            </w:pPr>
            <w:r>
              <w:rPr>
                <w:rFonts w:ascii="Arial" w:cs="Arial" w:eastAsia="Arial" w:hAnsi="Arial"/>
                <w:sz w:val="18"/>
                <w:szCs w:val="18"/>
                <w:color w:val="auto"/>
              </w:rPr>
              <w:t>16.25</w:t>
            </w:r>
          </w:p>
        </w:tc>
        <w:tc>
          <w:tcPr>
            <w:tcW w:w="740" w:type="dxa"/>
            <w:vAlign w:val="bottom"/>
            <w:gridSpan w:val="6"/>
          </w:tcPr>
          <w:p>
            <w:pPr>
              <w:jc w:val="center"/>
              <w:spacing w:after="0"/>
              <w:rPr>
                <w:sz w:val="20"/>
                <w:szCs w:val="20"/>
                <w:color w:val="auto"/>
              </w:rPr>
            </w:pPr>
            <w:r>
              <w:rPr>
                <w:rFonts w:ascii="Arial" w:cs="Arial" w:eastAsia="Arial" w:hAnsi="Arial"/>
                <w:sz w:val="18"/>
                <w:szCs w:val="18"/>
                <w:color w:val="auto"/>
                <w:w w:val="96"/>
              </w:rPr>
              <w:t>$ 16.47</w:t>
            </w:r>
          </w:p>
        </w:tc>
        <w:tc>
          <w:tcPr>
            <w:tcW w:w="1060" w:type="dxa"/>
            <w:vAlign w:val="bottom"/>
            <w:gridSpan w:val="7"/>
          </w:tcPr>
          <w:p>
            <w:pPr>
              <w:ind w:left="220"/>
              <w:spacing w:after="0"/>
              <w:rPr>
                <w:sz w:val="20"/>
                <w:szCs w:val="20"/>
                <w:color w:val="auto"/>
              </w:rPr>
            </w:pPr>
            <w:r>
              <w:rPr>
                <w:rFonts w:ascii="Arial" w:cs="Arial" w:eastAsia="Arial" w:hAnsi="Arial"/>
                <w:sz w:val="18"/>
                <w:szCs w:val="18"/>
                <w:color w:val="auto"/>
              </w:rPr>
              <w:t>$ 16.36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16.27</w:t>
            </w:r>
          </w:p>
        </w:tc>
      </w:tr>
      <w:tr>
        <w:trPr>
          <w:trHeight w:val="377"/>
        </w:trPr>
        <w:tc>
          <w:tcPr>
            <w:tcW w:w="7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7"/>
          </w:tcPr>
          <w:p>
            <w:pPr>
              <w:ind w:left="600"/>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7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Q3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gridSpan w:val="2"/>
          </w:tcPr>
          <w:p>
            <w:pPr>
              <w:spacing w:after="0"/>
              <w:rPr>
                <w:sz w:val="12"/>
                <w:szCs w:val="12"/>
                <w:color w:val="auto"/>
              </w:rPr>
            </w:pPr>
          </w:p>
        </w:tc>
      </w:tr>
      <w:tr>
        <w:trPr>
          <w:trHeight w:val="210"/>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58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6"/>
              </w:rPr>
              <w:t>$48,825</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9"/>
              </w:rPr>
              <w:t>$52,305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9"/>
              </w:rPr>
              <w:t>$58,819</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$50,948</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620" w:type="dxa"/>
            <w:vAlign w:val="bottom"/>
            <w:gridSpan w:val="5"/>
          </w:tcPr>
          <w:p>
            <w:pPr>
              <w:spacing w:after="0"/>
              <w:rPr>
                <w:sz w:val="20"/>
                <w:szCs w:val="20"/>
                <w:color w:val="auto"/>
              </w:rPr>
            </w:pPr>
            <w:r>
              <w:rPr>
                <w:rFonts w:ascii="Arial" w:cs="Arial" w:eastAsia="Arial" w:hAnsi="Arial"/>
                <w:sz w:val="18"/>
                <w:szCs w:val="18"/>
                <w:color w:val="auto"/>
                <w:w w:val="92"/>
              </w:rPr>
              <w:t>$21,946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5"/>
          </w:tcPr>
          <w:p>
            <w:pPr>
              <w:spacing w:after="0"/>
              <w:rPr>
                <w:sz w:val="20"/>
                <w:szCs w:val="20"/>
                <w:color w:val="auto"/>
              </w:rPr>
            </w:pPr>
            <w:r>
              <w:rPr>
                <w:rFonts w:ascii="Arial" w:cs="Arial" w:eastAsia="Arial" w:hAnsi="Arial"/>
                <w:sz w:val="18"/>
                <w:szCs w:val="18"/>
                <w:color w:val="auto"/>
              </w:rPr>
              <w:t>$21,376</w:t>
            </w:r>
          </w:p>
        </w:tc>
        <w:tc>
          <w:tcPr>
            <w:tcW w:w="40" w:type="dxa"/>
            <w:vAlign w:val="bottom"/>
          </w:tcPr>
          <w:p>
            <w:pPr>
              <w:spacing w:after="0"/>
              <w:rPr>
                <w:sz w:val="18"/>
                <w:szCs w:val="18"/>
                <w:color w:val="auto"/>
              </w:rPr>
            </w:pPr>
          </w:p>
        </w:tc>
        <w:tc>
          <w:tcPr>
            <w:tcW w:w="800" w:type="dxa"/>
            <w:vAlign w:val="bottom"/>
            <w:gridSpan w:val="6"/>
          </w:tcPr>
          <w:p>
            <w:pPr>
              <w:ind w:left="160"/>
              <w:spacing w:after="0"/>
              <w:rPr>
                <w:sz w:val="20"/>
                <w:szCs w:val="20"/>
                <w:color w:val="auto"/>
              </w:rPr>
            </w:pPr>
            <w:r>
              <w:rPr>
                <w:rFonts w:ascii="Arial" w:cs="Arial" w:eastAsia="Arial" w:hAnsi="Arial"/>
                <w:sz w:val="18"/>
                <w:szCs w:val="18"/>
                <w:color w:val="auto"/>
                <w:w w:val="95"/>
              </w:rPr>
              <w:t>$24,887</w:t>
            </w:r>
          </w:p>
        </w:tc>
        <w:tc>
          <w:tcPr>
            <w:tcW w:w="26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w w:val="89"/>
              </w:rPr>
              <w:t>$22,429</w:t>
            </w:r>
          </w:p>
        </w:tc>
        <w:tc>
          <w:tcPr>
            <w:tcW w:w="40" w:type="dxa"/>
            <w:vAlign w:val="bottom"/>
          </w:tcPr>
          <w:p>
            <w:pPr>
              <w:spacing w:after="0"/>
              <w:rPr>
                <w:sz w:val="18"/>
                <w:szCs w:val="18"/>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62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$26,879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$30,929</w:t>
            </w:r>
          </w:p>
        </w:tc>
        <w:tc>
          <w:tcPr>
            <w:tcW w:w="40" w:type="dxa"/>
            <w:vAlign w:val="bottom"/>
            <w:shd w:val="clear" w:color="auto" w:fill="CCEEFF"/>
          </w:tcPr>
          <w:p>
            <w:pPr>
              <w:spacing w:after="0"/>
              <w:rPr>
                <w:sz w:val="18"/>
                <w:szCs w:val="18"/>
                <w:color w:val="auto"/>
              </w:rPr>
            </w:pPr>
          </w:p>
        </w:tc>
        <w:tc>
          <w:tcPr>
            <w:tcW w:w="8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5"/>
              </w:rPr>
              <w:t>$33,932</w:t>
            </w: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9"/>
              </w:rPr>
              <w:t>$28,519</w:t>
            </w:r>
          </w:p>
        </w:tc>
        <w:tc>
          <w:tcPr>
            <w:tcW w:w="40" w:type="dxa"/>
            <w:vAlign w:val="bottom"/>
            <w:shd w:val="clear" w:color="auto" w:fill="CCEEFF"/>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Total Unrealized and Realized Gains (Losses)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ind w:right="4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700" w:type="dxa"/>
            <w:vAlign w:val="bottom"/>
            <w:gridSpan w:val="5"/>
          </w:tcPr>
          <w:p>
            <w:pPr>
              <w:spacing w:after="0"/>
              <w:rPr>
                <w:sz w:val="20"/>
                <w:szCs w:val="20"/>
                <w:color w:val="auto"/>
              </w:rPr>
            </w:pPr>
            <w:r>
              <w:rPr>
                <w:rFonts w:ascii="Arial" w:cs="Arial" w:eastAsia="Arial" w:hAnsi="Arial"/>
                <w:sz w:val="18"/>
                <w:szCs w:val="18"/>
                <w:color w:val="auto"/>
                <w:w w:val="94"/>
              </w:rPr>
              <w:t>$ (6,170)</w:t>
            </w:r>
          </w:p>
        </w:tc>
        <w:tc>
          <w:tcPr>
            <w:tcW w:w="40" w:type="dxa"/>
            <w:vAlign w:val="bottom"/>
          </w:tcPr>
          <w:p>
            <w:pPr>
              <w:spacing w:after="0"/>
              <w:rPr>
                <w:sz w:val="18"/>
                <w:szCs w:val="18"/>
                <w:color w:val="auto"/>
              </w:rPr>
            </w:pPr>
          </w:p>
        </w:tc>
        <w:tc>
          <w:tcPr>
            <w:tcW w:w="1060" w:type="dxa"/>
            <w:vAlign w:val="bottom"/>
            <w:gridSpan w:val="7"/>
          </w:tcPr>
          <w:p>
            <w:pPr>
              <w:ind w:left="160"/>
              <w:spacing w:after="0"/>
              <w:rPr>
                <w:sz w:val="20"/>
                <w:szCs w:val="20"/>
                <w:color w:val="auto"/>
              </w:rPr>
            </w:pPr>
            <w:r>
              <w:rPr>
                <w:rFonts w:ascii="Arial" w:cs="Arial" w:eastAsia="Arial" w:hAnsi="Arial"/>
                <w:sz w:val="18"/>
                <w:szCs w:val="18"/>
                <w:color w:val="auto"/>
              </w:rPr>
              <w:t>$ (2,106)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(241)</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62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$26,746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$24,759</w:t>
            </w:r>
          </w:p>
        </w:tc>
        <w:tc>
          <w:tcPr>
            <w:tcW w:w="40" w:type="dxa"/>
            <w:vAlign w:val="bottom"/>
            <w:shd w:val="clear" w:color="auto" w:fill="CCEEFF"/>
          </w:tcPr>
          <w:p>
            <w:pPr>
              <w:spacing w:after="0"/>
              <w:rPr>
                <w:sz w:val="18"/>
                <w:szCs w:val="18"/>
                <w:color w:val="auto"/>
              </w:rPr>
            </w:pPr>
          </w:p>
        </w:tc>
        <w:tc>
          <w:tcPr>
            <w:tcW w:w="8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5"/>
              </w:rPr>
              <w:t>$31,826</w:t>
            </w: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9"/>
              </w:rPr>
              <w:t>$28,278</w:t>
            </w:r>
          </w:p>
        </w:tc>
        <w:tc>
          <w:tcPr>
            <w:tcW w:w="40" w:type="dxa"/>
            <w:vAlign w:val="bottom"/>
            <w:shd w:val="clear" w:color="auto" w:fill="CCEEFF"/>
          </w:tcPr>
          <w:p>
            <w:pPr>
              <w:spacing w:after="0"/>
              <w:rPr>
                <w:sz w:val="18"/>
                <w:szCs w:val="18"/>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Net Asset Value per Share as of the End of the Quarter</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16.09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5"/>
          </w:tcPr>
          <w:p>
            <w:pPr>
              <w:spacing w:after="0"/>
              <w:rPr>
                <w:sz w:val="20"/>
                <w:szCs w:val="20"/>
                <w:color w:val="auto"/>
              </w:rPr>
            </w:pPr>
            <w:r>
              <w:rPr>
                <w:rFonts w:ascii="Arial" w:cs="Arial" w:eastAsia="Arial" w:hAnsi="Arial"/>
                <w:sz w:val="18"/>
                <w:szCs w:val="18"/>
                <w:color w:val="auto"/>
              </w:rPr>
              <w:t>$ 16.09</w:t>
            </w:r>
          </w:p>
        </w:tc>
        <w:tc>
          <w:tcPr>
            <w:tcW w:w="40" w:type="dxa"/>
            <w:vAlign w:val="bottom"/>
          </w:tcPr>
          <w:p>
            <w:pPr>
              <w:spacing w:after="0"/>
              <w:rPr>
                <w:sz w:val="20"/>
                <w:szCs w:val="20"/>
                <w:color w:val="auto"/>
              </w:rPr>
            </w:pPr>
          </w:p>
        </w:tc>
        <w:tc>
          <w:tcPr>
            <w:tcW w:w="800" w:type="dxa"/>
            <w:vAlign w:val="bottom"/>
            <w:gridSpan w:val="6"/>
          </w:tcPr>
          <w:p>
            <w:pPr>
              <w:ind w:left="160"/>
              <w:spacing w:after="0"/>
              <w:rPr>
                <w:sz w:val="20"/>
                <w:szCs w:val="20"/>
                <w:color w:val="auto"/>
              </w:rPr>
            </w:pPr>
            <w:r>
              <w:rPr>
                <w:rFonts w:ascii="Arial" w:cs="Arial" w:eastAsia="Arial" w:hAnsi="Arial"/>
                <w:sz w:val="18"/>
                <w:szCs w:val="18"/>
                <w:color w:val="auto"/>
              </w:rPr>
              <w:t>$ 16.15</w:t>
            </w:r>
          </w:p>
        </w:tc>
        <w:tc>
          <w:tcPr>
            <w:tcW w:w="2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16.04</w:t>
            </w:r>
          </w:p>
        </w:tc>
        <w:tc>
          <w:tcPr>
            <w:tcW w:w="40" w:type="dxa"/>
            <w:vAlign w:val="bottom"/>
          </w:tcPr>
          <w:p>
            <w:pPr>
              <w:spacing w:after="0"/>
              <w:rPr>
                <w:sz w:val="20"/>
                <w:szCs w:val="20"/>
                <w:color w:val="auto"/>
              </w:rPr>
            </w:pPr>
          </w:p>
        </w:tc>
      </w:tr>
    </w:tbl>
    <w:p>
      <w:pPr>
        <w:spacing w:after="0" w:line="214" w:lineRule="exact"/>
        <w:rPr>
          <w:sz w:val="20"/>
          <w:szCs w:val="20"/>
          <w:color w:val="auto"/>
        </w:rPr>
      </w:pPr>
    </w:p>
    <w:p>
      <w:pPr>
        <w:ind w:left="800" w:hanging="414"/>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Expenses includes Income taxes, including excise taxes.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240" w:top="459" w:right="6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Investing in our securities involves a number of significant risks. You should carefully consider the risks set out below and described in Part I, Item 1A, “Risk Factors,” in our 2018 Annual Report and Part 1, Item IA, “Risk Factors,” in our 2019 Q1 Quarterly Report, which are incorporated herein by reference, together with the other information set forth in this prospectus and in the other documents that we include or incorporate by reference into this prospectus before making a decision about investing in our securities. The risks and uncertainties set out below and discussed in our 2018 Annual Report and our 2019 Q1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Offerings Pursuant to This Prospectus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prospectus.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7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 Factors—Risks Related to Our Portfolio Company Investments—There are certain risks associated with holding debt obligations that have original issue discount or payment-in-kind interest” in Part I, Item 1A of our 2018 Annual Report.</w:t>
      </w:r>
    </w:p>
    <w:p>
      <w:pPr>
        <w:spacing w:after="0" w:line="17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81" w:lineRule="exact"/>
        <w:rPr>
          <w:sz w:val="20"/>
          <w:szCs w:val="20"/>
          <w:color w:val="auto"/>
        </w:rPr>
      </w:pPr>
    </w:p>
    <w:p>
      <w:pPr>
        <w:jc w:val="both"/>
        <w:ind w:left="200" w:right="260" w:firstLine="441"/>
        <w:spacing w:after="0" w:line="312" w:lineRule="auto"/>
        <w:rPr>
          <w:sz w:val="20"/>
          <w:szCs w:val="20"/>
          <w:color w:val="auto"/>
        </w:rPr>
      </w:pPr>
      <w:r>
        <w:rPr>
          <w:rFonts w:ascii="Arial" w:cs="Arial" w:eastAsia="Arial" w:hAnsi="Arial"/>
          <w:sz w:val="16"/>
          <w:szCs w:val="16"/>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47" w:lineRule="exact"/>
        <w:rPr>
          <w:sz w:val="20"/>
          <w:szCs w:val="20"/>
          <w:color w:val="auto"/>
        </w:rPr>
      </w:pPr>
    </w:p>
    <w:p>
      <w:pPr>
        <w:ind w:left="200" w:right="380" w:firstLine="441"/>
        <w:spacing w:after="0" w:line="286" w:lineRule="auto"/>
        <w:rPr>
          <w:sz w:val="20"/>
          <w:szCs w:val="20"/>
          <w:color w:val="auto"/>
        </w:rPr>
      </w:pPr>
      <w:r>
        <w:rPr>
          <w:rFonts w:ascii="Arial" w:cs="Arial" w:eastAsia="Arial" w:hAnsi="Arial"/>
          <w:sz w:val="17"/>
          <w:szCs w:val="17"/>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Investing in our securities may involve a high degree of risk.</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1180" w:right="820" w:hanging="436"/>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downgrades to our credit rating or placement on a negative watch status by a credit rating agency;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short-selling pressure with respect to shares of our common stock or BDCs generally;</w:t>
      </w:r>
    </w:p>
    <w:p>
      <w:pPr>
        <w:spacing w:after="0" w:line="130" w:lineRule="exact"/>
        <w:rPr>
          <w:rFonts w:ascii="Arial" w:cs="Arial" w:eastAsia="Arial" w:hAnsi="Arial"/>
          <w:sz w:val="18"/>
          <w:szCs w:val="18"/>
          <w:color w:val="auto"/>
        </w:rPr>
      </w:pPr>
    </w:p>
    <w:p>
      <w:pPr>
        <w:ind w:left="1180" w:right="300" w:hanging="436"/>
        <w:spacing w:after="0" w:line="27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future sales of our securities convertible into or exchangeable or exercisable for our common stock or the conversion of such securities, including our Convertible Notes;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uncertainty surrounding the strength of the U.S. economic recovery;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concerns regarding European sovereign debt and Brexit;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concerns regarding volatility in the Chinese stock market and Chinese currency;</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uncertainty between the U.S. and other countries with respect to trade policies, treaties and tariffs;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fluctuations in base interest rates, such as LIBOR, CDOR, BBSY, EURIBOR, the Federal Funds Effective Rate or the Prime Rate;</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cannot assure you that the market price of shares of our common stock will not decline.</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Sales of substantial amounts of our common stock, the availability of such common stock for sale (including as a result of the conversion of our 2019 Convertible Notes and our 2022 Convertible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stockholders may experience dilution upon the conversion of the 2019 Convertible Notes and the 2022 Convertible Notes.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2019 Convertible Notes and our 2022 Convertible Notes are convertible into shares of our common stock beginning on June 15, 2019 and February 1, 2022, respectively, or earlier, under certain circumstances. Upon conversion of our 2019 Convertible Notes and 2022 Convertible Notes, we have the choice to pay or deliver, as the case may be, at our election, cash, shares of our common stock or a combination of cash and shares of our common stock. The initial conversion price of the 2019 Convertible Notes was $25.83 per share and the initial conversion price of the 2022 Convertible Notes was $21.34 per share. As the result of our payment of certain cash dividends in respect of our common stock, as of March 31, 2019, the estimated adjusted conversion price of the 2019 Convertible Notes is $24.91 per share, and the estimated adjusted conversion price of the 2022 Convertible Notes is $20.79 per share, in each case taking into account certain de minimis adjustments that will be made on the conversion date and subject to further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60"/>
          </w:cols>
          <w:pgMar w:left="24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common stock in connection with the conversion of the 2019 Convertible Notes and the 2022 Convertible Notes and any dividends paid on our common stock will also be paid on shares issued in connection with such conversion after such issuance.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88"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8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have entered into an agreement with Goldman Sachs &amp; Co. LLC, which we refer to as the Company 10b5-1 Plan, in accordance with</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Rules 10b5-1 and 10b-18 under the Exchange Act, under which Goldman Sachs &amp; Co. LLC, as agent for us, will buy up to $50 million of our common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stock in the aggregate during the period ending on the earlier of the date on which all the capital committed to the plan has been exhausted 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November 30, 2019.</w:t>
      </w:r>
    </w:p>
    <w:p>
      <w:pPr>
        <w:spacing w:after="0" w:line="21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dilution to our net asset value per share.</w:t>
      </w:r>
    </w:p>
    <w:p>
      <w:pPr>
        <w:spacing w:after="0" w:line="11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On May 2, 2019, the Board authorized an amendment to the Company 10b5-1 Plan to, among other things, revise the market prices at which Goldman Sachs &amp; Co. LLC, as our agent, is required to repurchase shares of common stock on our behalf from just below our most recently reported net asset value per share to just below 1.05 times the most recently reported net asset value per share, less the amount of any supplemental dividend declared for that quarter but not yet reflected in the most recently reported net asset value per share (including any updates, corrections or adjustments publicly announced by us to any previously announced net asset value per share or supplemental dividend). Under the Company 10b5-1 Plan, the agent will increase the volume of purchases made as the price of our common stock declines, subject to volume restrictions.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will have broad discretion over the use of proceeds of any offering made pursuant to this prospectus, to the extent it is successful.</w:t>
      </w:r>
    </w:p>
    <w:p>
      <w:pPr>
        <w:spacing w:after="0" w:line="12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79"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The net asset value per share of our common stock may be diluted if we sell or otherwise issue shares of our common stock at prices below the then-current net asset value per share of our common stock.</w:t>
      </w:r>
    </w:p>
    <w:p>
      <w:pPr>
        <w:spacing w:after="0" w:line="62"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73"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Any decision to sell or otherwise issue shares of our common stock below our then-current net asset value per share would be subject to the determination by our board of directors that such issuance or sale is in our and our stockholders’ best interests.</w:t>
      </w:r>
    </w:p>
    <w:p>
      <w:pPr>
        <w:spacing w:after="0" w:line="170"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w:t>
      </w:r>
    </w:p>
    <w:p>
      <w:pPr>
        <w:spacing w:after="0" w:line="158"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w:t>
      </w:r>
    </w:p>
    <w:p>
      <w:pPr>
        <w:spacing w:after="0" w:line="255" w:lineRule="exact"/>
        <w:rPr>
          <w:sz w:val="20"/>
          <w:szCs w:val="20"/>
          <w:color w:val="auto"/>
        </w:rPr>
      </w:pPr>
    </w:p>
    <w:p>
      <w:pPr>
        <w:ind w:left="200" w:right="160"/>
        <w:spacing w:after="0" w:line="342" w:lineRule="auto"/>
        <w:rPr>
          <w:sz w:val="20"/>
          <w:szCs w:val="20"/>
          <w:color w:val="auto"/>
        </w:rPr>
      </w:pPr>
      <w:r>
        <w:rPr>
          <w:rFonts w:ascii="Arial" w:cs="Arial" w:eastAsia="Arial" w:hAnsi="Arial"/>
          <w:sz w:val="16"/>
          <w:szCs w:val="16"/>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16" w:lineRule="exact"/>
        <w:rPr>
          <w:sz w:val="20"/>
          <w:szCs w:val="20"/>
          <w:color w:val="auto"/>
        </w:rPr>
      </w:pPr>
    </w:p>
    <w:p>
      <w:pPr>
        <w:ind w:left="200" w:right="520" w:firstLine="441"/>
        <w:spacing w:after="0" w:line="259" w:lineRule="auto"/>
        <w:rPr>
          <w:sz w:val="20"/>
          <w:szCs w:val="20"/>
          <w:color w:val="auto"/>
        </w:rPr>
      </w:pPr>
      <w:r>
        <w:rPr>
          <w:rFonts w:ascii="Arial" w:cs="Arial" w:eastAsia="Arial" w:hAnsi="Arial"/>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62"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277"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Holders of any preferred stock we might issue would have the right to elect members of the board of directors and class voting rights on certain matters.</w:t>
      </w:r>
    </w:p>
    <w:p>
      <w:pPr>
        <w:spacing w:after="0" w:line="62"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In addition to factors identified elsewhere in this prospectus and the documents incorporated by reference herein, the following factors, among others, could cause actual results to differ materially from forward-looking statements or historical performance:</w:t>
      </w:r>
    </w:p>
    <w:p>
      <w:pPr>
        <w:spacing w:after="0" w:line="76" w:lineRule="exact"/>
        <w:rPr>
          <w:sz w:val="20"/>
          <w:szCs w:val="20"/>
          <w:color w:val="auto"/>
        </w:rPr>
      </w:pPr>
    </w:p>
    <w:p>
      <w:pPr>
        <w:ind w:left="1180" w:hanging="436"/>
        <w:spacing w:after="0" w:line="277"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jc w:val="both"/>
        <w:ind w:left="1180" w:right="100" w:hanging="436"/>
        <w:spacing w:after="0" w:line="264"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1180" w:right="100" w:hanging="436"/>
        <w:spacing w:after="0" w:line="342" w:lineRule="auto"/>
        <w:tabs>
          <w:tab w:leader="none" w:pos="1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the section entitled “Risk Factors” in this prospectus and in Part I, Item 1A of our 2018 Annual Report and Part II, Item 1A of our 2019 Q1 Quarterly Report, and those discussed in other documents we file with the SEC.</w:t>
      </w:r>
    </w:p>
    <w:p>
      <w:pPr>
        <w:spacing w:after="0" w:line="124"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of our 2018 Annual Report and Part II, Item 1A of our 2019 Q1 Quarterly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7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w:t>
      </w:r>
    </w:p>
    <w:p>
      <w:pPr>
        <w:spacing w:after="0" w:line="18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2019 and for the years ended December 31, 2018 and 2017. On May 6, 2019, the last reported closing sales price of our common stock on the NYSE was $20.21 per share, which represented a premium of approximately 23.7% to the net asset value per share reported by us as of March 31, 2019, the last date prior to the date of this prospectus for which we reported net asset value.</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Price Range</w:t>
            </w:r>
          </w:p>
        </w:tc>
        <w:tc>
          <w:tcPr>
            <w:tcW w:w="2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High Sales</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Low Sales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Borders>
              <w:bottom w:val="single" w:sz="8" w:color="auto"/>
            </w:tcBorders>
            <w:gridSpan w:val="3"/>
            <w:vMerge w:val="continue"/>
          </w:tcPr>
          <w:p>
            <w:pPr>
              <w:spacing w:after="0"/>
              <w:rPr>
                <w:sz w:val="13"/>
                <w:szCs w:val="13"/>
                <w:color w:val="auto"/>
              </w:rPr>
            </w:pPr>
          </w:p>
        </w:tc>
        <w:tc>
          <w:tcPr>
            <w:tcW w:w="124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95"/>
              </w:rPr>
              <w:t>Price to Net</w:t>
            </w:r>
          </w:p>
        </w:tc>
        <w:tc>
          <w:tcPr>
            <w:tcW w:w="140" w:type="dxa"/>
            <w:vAlign w:val="bottom"/>
          </w:tcPr>
          <w:p>
            <w:pPr>
              <w:spacing w:after="0"/>
              <w:rPr>
                <w:sz w:val="13"/>
                <w:szCs w:val="13"/>
                <w:color w:val="auto"/>
              </w:rPr>
            </w:pPr>
          </w:p>
        </w:tc>
        <w:tc>
          <w:tcPr>
            <w:tcW w:w="9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Price to</w:t>
            </w:r>
          </w:p>
        </w:tc>
        <w:tc>
          <w:tcPr>
            <w:tcW w:w="760" w:type="dxa"/>
            <w:vAlign w:val="bottom"/>
            <w:gridSpan w:val="4"/>
          </w:tcPr>
          <w:p>
            <w:pPr>
              <w:ind w:left="120"/>
              <w:spacing w:after="0" w:line="158" w:lineRule="exact"/>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NAV</w:t>
            </w:r>
            <w:r>
              <w:rPr>
                <w:rFonts w:ascii="Arial" w:cs="Arial" w:eastAsia="Arial" w:hAnsi="Arial"/>
                <w:sz w:val="12"/>
                <w:szCs w:val="12"/>
                <w:b w:val="1"/>
                <w:bCs w:val="1"/>
                <w:color w:val="auto"/>
                <w:w w:val="99"/>
              </w:rPr>
              <w:t>(1)</w:t>
            </w:r>
          </w:p>
        </w:tc>
        <w:tc>
          <w:tcPr>
            <w:tcW w:w="340" w:type="dxa"/>
            <w:vAlign w:val="bottom"/>
          </w:tcPr>
          <w:p>
            <w:pPr>
              <w:spacing w:after="0"/>
              <w:rPr>
                <w:sz w:val="10"/>
                <w:szCs w:val="10"/>
                <w:color w:val="auto"/>
              </w:rPr>
            </w:pP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Low</w:t>
            </w:r>
          </w:p>
        </w:tc>
        <w:tc>
          <w:tcPr>
            <w:tcW w:w="240" w:type="dxa"/>
            <w:vAlign w:val="bottom"/>
          </w:tcPr>
          <w:p>
            <w:pPr>
              <w:spacing w:after="0"/>
              <w:rPr>
                <w:sz w:val="10"/>
                <w:szCs w:val="10"/>
                <w:color w:val="auto"/>
              </w:rPr>
            </w:pPr>
          </w:p>
        </w:tc>
        <w:tc>
          <w:tcPr>
            <w:tcW w:w="10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Asset</w:t>
            </w:r>
          </w:p>
        </w:tc>
        <w:tc>
          <w:tcPr>
            <w:tcW w:w="140" w:type="dxa"/>
            <w:vAlign w:val="bottom"/>
          </w:tcPr>
          <w:p>
            <w:pPr>
              <w:spacing w:after="0"/>
              <w:rPr>
                <w:sz w:val="10"/>
                <w:szCs w:val="10"/>
                <w:color w:val="auto"/>
              </w:rPr>
            </w:pPr>
          </w:p>
        </w:tc>
        <w:tc>
          <w:tcPr>
            <w:tcW w:w="9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Net Asset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12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2017</w:t>
            </w:r>
          </w:p>
        </w:tc>
        <w:tc>
          <w:tcPr>
            <w:tcW w:w="1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First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$16.04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$20.39</w:t>
            </w:r>
          </w:p>
        </w:tc>
        <w:tc>
          <w:tcPr>
            <w:tcW w:w="7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$18.27</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27.1%</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13.9%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4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0"/>
              </w:rPr>
              <w:t>$16.15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$20.31</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Third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$16.09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$21.61</w:t>
            </w:r>
          </w:p>
        </w:tc>
        <w:tc>
          <w:tcPr>
            <w:tcW w:w="7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$19.94</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34.3%</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23.9%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4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0"/>
              </w:rPr>
              <w:t>$16.09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$19.80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Year ended December 31, 2018</w:t>
            </w: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4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0"/>
              </w:rPr>
              <w:t>$16.27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$17.47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Second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$16.36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$19.19</w:t>
            </w:r>
          </w:p>
        </w:tc>
        <w:tc>
          <w:tcPr>
            <w:tcW w:w="7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$17.51</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17.3%</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7.0%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4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0"/>
              </w:rPr>
              <w:t>$16.47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$18.04</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25.7%</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Fourth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$16.25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$21.00</w:t>
            </w:r>
          </w:p>
        </w:tc>
        <w:tc>
          <w:tcPr>
            <w:tcW w:w="7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$18.09</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29.2%</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11.3%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2019</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First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$16.34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$20.99</w:t>
            </w:r>
          </w:p>
        </w:tc>
        <w:tc>
          <w:tcPr>
            <w:tcW w:w="7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$18.44</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28.5%</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12.9%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(through May 6, 2019)</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$20.29</w:t>
            </w:r>
          </w:p>
        </w:tc>
        <w:tc>
          <w:tcPr>
            <w:tcW w:w="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$20.01</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220" w:hanging="436"/>
        <w:spacing w:after="0" w:line="291" w:lineRule="auto"/>
        <w:tabs>
          <w:tab w:leader="none" w:pos="6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640" w:right="540" w:hanging="436"/>
        <w:spacing w:after="0" w:line="250"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net asset value, divided by net asset value (in each case, as of the applicable quarter). Does not reflect intraday trading prices.</w:t>
      </w:r>
    </w:p>
    <w:p>
      <w:pPr>
        <w:ind w:left="640" w:hanging="43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dividends declared in the relevant quarter.</w:t>
      </w:r>
    </w:p>
    <w:p>
      <w:pPr>
        <w:spacing w:after="0" w:line="9" w:lineRule="exact"/>
        <w:rPr>
          <w:sz w:val="20"/>
          <w:szCs w:val="20"/>
          <w:color w:val="auto"/>
        </w:rPr>
      </w:pPr>
    </w:p>
    <w:p>
      <w:pPr>
        <w:ind w:left="640" w:hanging="436"/>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asset value has not yet been reported for this period.</w:t>
      </w:r>
    </w:p>
    <w:p>
      <w:pPr>
        <w:spacing w:after="0" w:line="211"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24"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color w:val="auto"/>
        </w:rPr>
        <w:t>On May 2, 2019, our Board declared a second quarter 2019 base dividend of $0.39 per share for stockholders of record as of June 14, 2019, payable on July 15, 2019. Our Board also declared a first quarter variable supplemental dividend of $0.01 per share for stockholders of record as of May 31, 2019, payable on June 28, 2019. We anticipate that these dividends will be paid from income generated primarily by interest earned on our investment portfolio.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tables summarize dividends declared during the three months ended March 31, 2019 and years ended December 31, 2018 and 2017:</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9"/>
          </w:tcPr>
          <w:p>
            <w:pPr>
              <w:ind w:left="240"/>
              <w:spacing w:after="0"/>
              <w:rPr>
                <w:sz w:val="20"/>
                <w:szCs w:val="20"/>
                <w:color w:val="auto"/>
              </w:rPr>
            </w:pPr>
            <w:r>
              <w:rPr>
                <w:rFonts w:ascii="Arial" w:cs="Arial" w:eastAsia="Arial" w:hAnsi="Arial"/>
                <w:sz w:val="14"/>
                <w:szCs w:val="14"/>
                <w:b w:val="1"/>
                <w:bCs w:val="1"/>
                <w:color w:val="auto"/>
              </w:rPr>
              <w:t>Three Months Ended March 31, 2019</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Dividend</w:t>
            </w:r>
            <w:r>
              <w:rPr>
                <w:rFonts w:ascii="Arial" w:cs="Arial" w:eastAsia="Arial" w:hAnsi="Arial"/>
                <w:sz w:val="12"/>
                <w:szCs w:val="12"/>
                <w:b w:val="1"/>
                <w:bCs w:val="1"/>
                <w:color w:val="auto"/>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0"/>
                <w:szCs w:val="10"/>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6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5"/>
            <w:vMerge w:val="continue"/>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20, 2019</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gridSpan w:val="6"/>
            <w:shd w:val="clear" w:color="auto" w:fill="CCEEFF"/>
          </w:tcPr>
          <w:p>
            <w:pPr>
              <w:jc w:val="center"/>
              <w:ind w:left="16"/>
              <w:spacing w:after="0" w:line="203" w:lineRule="exact"/>
              <w:rPr>
                <w:sz w:val="20"/>
                <w:szCs w:val="20"/>
                <w:color w:val="auto"/>
              </w:rPr>
            </w:pPr>
            <w:r>
              <w:rPr>
                <w:rFonts w:ascii="Arial" w:cs="Arial" w:eastAsia="Arial" w:hAnsi="Arial"/>
                <w:sz w:val="18"/>
                <w:szCs w:val="18"/>
                <w:color w:val="auto"/>
                <w:w w:val="89"/>
              </w:rPr>
              <w:t>Supplemental</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80" w:type="dxa"/>
            <w:vAlign w:val="bottom"/>
            <w:gridSpan w:val="5"/>
            <w:shd w:val="clear" w:color="auto" w:fill="CCEEFF"/>
          </w:tcPr>
          <w:p>
            <w:pPr>
              <w:ind w:left="160"/>
              <w:spacing w:after="0" w:line="203" w:lineRule="exact"/>
              <w:rPr>
                <w:sz w:val="20"/>
                <w:szCs w:val="20"/>
                <w:color w:val="auto"/>
              </w:rPr>
            </w:pPr>
            <w:r>
              <w:rPr>
                <w:rFonts w:ascii="Arial" w:cs="Arial" w:eastAsia="Arial" w:hAnsi="Arial"/>
                <w:sz w:val="18"/>
                <w:szCs w:val="18"/>
                <w:color w:val="auto"/>
                <w:w w:val="95"/>
              </w:rPr>
              <w:t>February 28, 2019</w:t>
            </w:r>
          </w:p>
        </w:tc>
        <w:tc>
          <w:tcPr>
            <w:tcW w:w="28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March 29, 2019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February 20, 2019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5"/>
          </w:tcPr>
          <w:p>
            <w:pPr>
              <w:jc w:val="center"/>
              <w:ind w:left="156"/>
              <w:spacing w:after="0"/>
              <w:rPr>
                <w:sz w:val="20"/>
                <w:szCs w:val="20"/>
                <w:color w:val="auto"/>
              </w:rPr>
            </w:pPr>
            <w:r>
              <w:rPr>
                <w:rFonts w:ascii="Arial" w:cs="Arial" w:eastAsia="Arial" w:hAnsi="Arial"/>
                <w:sz w:val="18"/>
                <w:szCs w:val="18"/>
                <w:color w:val="auto"/>
                <w:w w:val="82"/>
              </w:rPr>
              <w:t>Base</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5"/>
          </w:tcPr>
          <w:p>
            <w:pPr>
              <w:ind w:left="240"/>
              <w:spacing w:after="0"/>
              <w:rPr>
                <w:sz w:val="20"/>
                <w:szCs w:val="20"/>
                <w:color w:val="auto"/>
              </w:rPr>
            </w:pPr>
            <w:r>
              <w:rPr>
                <w:rFonts w:ascii="Arial" w:cs="Arial" w:eastAsia="Arial" w:hAnsi="Arial"/>
                <w:sz w:val="18"/>
                <w:szCs w:val="18"/>
                <w:color w:val="auto"/>
              </w:rPr>
              <w:t>March 15, 2019</w:t>
            </w:r>
          </w:p>
        </w:tc>
        <w:tc>
          <w:tcPr>
            <w:tcW w:w="280" w:type="dxa"/>
            <w:vAlign w:val="bottom"/>
          </w:tcPr>
          <w:p>
            <w:pPr>
              <w:spacing w:after="0"/>
              <w:rPr>
                <w:sz w:val="19"/>
                <w:szCs w:val="19"/>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5"/>
              </w:rPr>
              <w:t>April 15, 2019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60" w:type="dxa"/>
            <w:vAlign w:val="bottom"/>
            <w:gridSpan w:val="9"/>
            <w:vMerge w:val="restart"/>
          </w:tcPr>
          <w:p>
            <w:pPr>
              <w:ind w:left="80"/>
              <w:spacing w:after="0"/>
              <w:rPr>
                <w:sz w:val="20"/>
                <w:szCs w:val="20"/>
                <w:color w:val="auto"/>
              </w:rPr>
            </w:pPr>
            <w:r>
              <w:rPr>
                <w:rFonts w:ascii="Arial" w:cs="Arial" w:eastAsia="Arial" w:hAnsi="Arial"/>
                <w:sz w:val="14"/>
                <w:szCs w:val="14"/>
                <w:b w:val="1"/>
                <w:bCs w:val="1"/>
                <w:color w:val="auto"/>
              </w:rPr>
              <w:t>Year Ended December 31, 2018</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20" w:type="dxa"/>
            <w:vAlign w:val="bottom"/>
          </w:tcPr>
          <w:p>
            <w:pPr>
              <w:spacing w:after="0"/>
              <w:rPr>
                <w:sz w:val="10"/>
                <w:szCs w:val="10"/>
                <w:color w:val="auto"/>
              </w:rPr>
            </w:pPr>
          </w:p>
        </w:tc>
        <w:tc>
          <w:tcPr>
            <w:tcW w:w="154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Dividend</w:t>
            </w:r>
            <w:r>
              <w:rPr>
                <w:rFonts w:ascii="Arial" w:cs="Arial" w:eastAsia="Arial" w:hAnsi="Arial"/>
                <w:sz w:val="12"/>
                <w:szCs w:val="12"/>
                <w:b w:val="1"/>
                <w:bCs w:val="1"/>
                <w:color w:val="auto"/>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4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0"/>
                <w:szCs w:val="10"/>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6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6"/>
            <w:vMerge w:val="continue"/>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21, 2018</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Supplemental</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gridSpan w:val="4"/>
            <w:shd w:val="clear" w:color="auto" w:fill="CCEEFF"/>
          </w:tcPr>
          <w:p>
            <w:pPr>
              <w:ind w:left="100"/>
              <w:spacing w:after="0" w:line="203" w:lineRule="exact"/>
              <w:rPr>
                <w:sz w:val="20"/>
                <w:szCs w:val="20"/>
                <w:color w:val="auto"/>
              </w:rPr>
            </w:pPr>
            <w:r>
              <w:rPr>
                <w:rFonts w:ascii="Arial" w:cs="Arial" w:eastAsia="Arial" w:hAnsi="Arial"/>
                <w:sz w:val="18"/>
                <w:szCs w:val="18"/>
                <w:color w:val="auto"/>
              </w:rPr>
              <w:t>February 28, 2018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38"/>
              <w:spacing w:after="0" w:line="203" w:lineRule="exact"/>
              <w:rPr>
                <w:sz w:val="20"/>
                <w:szCs w:val="20"/>
                <w:color w:val="auto"/>
              </w:rPr>
            </w:pPr>
            <w:r>
              <w:rPr>
                <w:rFonts w:ascii="Arial" w:cs="Arial" w:eastAsia="Arial" w:hAnsi="Arial"/>
                <w:sz w:val="18"/>
                <w:szCs w:val="18"/>
                <w:color w:val="auto"/>
                <w:w w:val="92"/>
              </w:rPr>
              <w:t>March 30, 2018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February 21, 2018</w:t>
            </w:r>
          </w:p>
        </w:tc>
        <w:tc>
          <w:tcPr>
            <w:tcW w:w="120" w:type="dxa"/>
            <w:vAlign w:val="bottom"/>
          </w:tcPr>
          <w:p>
            <w:pPr>
              <w:spacing w:after="0"/>
              <w:rPr>
                <w:sz w:val="18"/>
                <w:szCs w:val="18"/>
                <w:color w:val="auto"/>
              </w:rPr>
            </w:pPr>
          </w:p>
        </w:tc>
        <w:tc>
          <w:tcPr>
            <w:tcW w:w="1540" w:type="dxa"/>
            <w:vAlign w:val="bottom"/>
            <w:gridSpan w:val="6"/>
          </w:tcPr>
          <w:p>
            <w:pPr>
              <w:jc w:val="center"/>
              <w:ind w:right="500"/>
              <w:spacing w:after="0"/>
              <w:rPr>
                <w:sz w:val="20"/>
                <w:szCs w:val="20"/>
                <w:color w:val="auto"/>
              </w:rPr>
            </w:pPr>
            <w:r>
              <w:rPr>
                <w:rFonts w:ascii="Arial" w:cs="Arial" w:eastAsia="Arial" w:hAnsi="Arial"/>
                <w:sz w:val="18"/>
                <w:szCs w:val="18"/>
                <w:color w:val="auto"/>
                <w:w w:val="87"/>
              </w:rPr>
              <w:t>Base</w:t>
            </w:r>
          </w:p>
        </w:tc>
        <w:tc>
          <w:tcPr>
            <w:tcW w:w="140" w:type="dxa"/>
            <w:vAlign w:val="bottom"/>
          </w:tcPr>
          <w:p>
            <w:pPr>
              <w:spacing w:after="0"/>
              <w:rPr>
                <w:sz w:val="18"/>
                <w:szCs w:val="18"/>
                <w:color w:val="auto"/>
              </w:rPr>
            </w:pPr>
          </w:p>
        </w:tc>
        <w:tc>
          <w:tcPr>
            <w:tcW w:w="1900" w:type="dxa"/>
            <w:vAlign w:val="bottom"/>
            <w:gridSpan w:val="7"/>
          </w:tcPr>
          <w:p>
            <w:pPr>
              <w:jc w:val="center"/>
              <w:ind w:right="680"/>
              <w:spacing w:after="0"/>
              <w:rPr>
                <w:sz w:val="20"/>
                <w:szCs w:val="20"/>
                <w:color w:val="auto"/>
              </w:rPr>
            </w:pPr>
            <w:r>
              <w:rPr>
                <w:rFonts w:ascii="Arial" w:cs="Arial" w:eastAsia="Arial" w:hAnsi="Arial"/>
                <w:sz w:val="18"/>
                <w:szCs w:val="18"/>
                <w:color w:val="auto"/>
                <w:w w:val="91"/>
              </w:rPr>
              <w:t>March 15, 2018</w:t>
            </w:r>
          </w:p>
        </w:tc>
        <w:tc>
          <w:tcPr>
            <w:tcW w:w="1680" w:type="dxa"/>
            <w:vAlign w:val="bottom"/>
            <w:gridSpan w:val="4"/>
          </w:tcPr>
          <w:p>
            <w:pPr>
              <w:jc w:val="center"/>
              <w:ind w:right="160"/>
              <w:spacing w:after="0"/>
              <w:rPr>
                <w:sz w:val="20"/>
                <w:szCs w:val="20"/>
                <w:color w:val="auto"/>
              </w:rPr>
            </w:pPr>
            <w:r>
              <w:rPr>
                <w:rFonts w:ascii="Arial" w:cs="Arial" w:eastAsia="Arial" w:hAnsi="Arial"/>
                <w:sz w:val="18"/>
                <w:szCs w:val="18"/>
                <w:color w:val="auto"/>
                <w:w w:val="93"/>
              </w:rPr>
              <w:t>April 13,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 2018</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500"/>
              <w:spacing w:after="0"/>
              <w:rPr>
                <w:sz w:val="20"/>
                <w:szCs w:val="20"/>
                <w:color w:val="auto"/>
              </w:rPr>
            </w:pPr>
            <w:r>
              <w:rPr>
                <w:rFonts w:ascii="Arial" w:cs="Arial" w:eastAsia="Arial" w:hAnsi="Arial"/>
                <w:sz w:val="18"/>
                <w:szCs w:val="18"/>
                <w:color w:val="auto"/>
                <w:w w:val="90"/>
              </w:rPr>
              <w:t>Supplemental</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40" w:type="dxa"/>
            <w:vAlign w:val="bottom"/>
            <w:gridSpan w:val="6"/>
            <w:shd w:val="clear" w:color="auto" w:fill="CCEEFF"/>
          </w:tcPr>
          <w:p>
            <w:pPr>
              <w:jc w:val="center"/>
              <w:ind w:right="720"/>
              <w:spacing w:after="0"/>
              <w:rPr>
                <w:sz w:val="20"/>
                <w:szCs w:val="20"/>
                <w:color w:val="auto"/>
              </w:rPr>
            </w:pPr>
            <w:r>
              <w:rPr>
                <w:rFonts w:ascii="Arial" w:cs="Arial" w:eastAsia="Arial" w:hAnsi="Arial"/>
                <w:sz w:val="18"/>
                <w:szCs w:val="18"/>
                <w:color w:val="auto"/>
                <w:w w:val="91"/>
              </w:rPr>
              <w:t>May 31, 2018</w:t>
            </w:r>
          </w:p>
        </w:tc>
        <w:tc>
          <w:tcPr>
            <w:tcW w:w="168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7"/>
              </w:rPr>
              <w:t>June 29,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May 3, 2018</w:t>
            </w:r>
          </w:p>
        </w:tc>
        <w:tc>
          <w:tcPr>
            <w:tcW w:w="120" w:type="dxa"/>
            <w:vAlign w:val="bottom"/>
          </w:tcPr>
          <w:p>
            <w:pPr>
              <w:spacing w:after="0"/>
              <w:rPr>
                <w:sz w:val="18"/>
                <w:szCs w:val="18"/>
                <w:color w:val="auto"/>
              </w:rPr>
            </w:pPr>
          </w:p>
        </w:tc>
        <w:tc>
          <w:tcPr>
            <w:tcW w:w="1540" w:type="dxa"/>
            <w:vAlign w:val="bottom"/>
            <w:gridSpan w:val="6"/>
          </w:tcPr>
          <w:p>
            <w:pPr>
              <w:jc w:val="center"/>
              <w:ind w:right="500"/>
              <w:spacing w:after="0"/>
              <w:rPr>
                <w:sz w:val="20"/>
                <w:szCs w:val="20"/>
                <w:color w:val="auto"/>
              </w:rPr>
            </w:pPr>
            <w:r>
              <w:rPr>
                <w:rFonts w:ascii="Arial" w:cs="Arial" w:eastAsia="Arial" w:hAnsi="Arial"/>
                <w:sz w:val="18"/>
                <w:szCs w:val="18"/>
                <w:color w:val="auto"/>
                <w:w w:val="87"/>
              </w:rPr>
              <w:t>Base</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6"/>
          </w:tcPr>
          <w:p>
            <w:pPr>
              <w:jc w:val="center"/>
              <w:ind w:right="720"/>
              <w:spacing w:after="0"/>
              <w:rPr>
                <w:sz w:val="20"/>
                <w:szCs w:val="20"/>
                <w:color w:val="auto"/>
              </w:rPr>
            </w:pPr>
            <w:r>
              <w:rPr>
                <w:rFonts w:ascii="Arial" w:cs="Arial" w:eastAsia="Arial" w:hAnsi="Arial"/>
                <w:sz w:val="18"/>
                <w:szCs w:val="18"/>
                <w:color w:val="auto"/>
                <w:w w:val="87"/>
              </w:rPr>
              <w:t>June 15, 2018</w:t>
            </w:r>
          </w:p>
        </w:tc>
        <w:tc>
          <w:tcPr>
            <w:tcW w:w="1680" w:type="dxa"/>
            <w:vAlign w:val="bottom"/>
            <w:gridSpan w:val="4"/>
          </w:tcPr>
          <w:p>
            <w:pPr>
              <w:jc w:val="center"/>
              <w:ind w:right="160"/>
              <w:spacing w:after="0"/>
              <w:rPr>
                <w:sz w:val="20"/>
                <w:szCs w:val="20"/>
                <w:color w:val="auto"/>
              </w:rPr>
            </w:pPr>
            <w:r>
              <w:rPr>
                <w:rFonts w:ascii="Arial" w:cs="Arial" w:eastAsia="Arial" w:hAnsi="Arial"/>
                <w:sz w:val="18"/>
                <w:szCs w:val="18"/>
                <w:color w:val="auto"/>
                <w:w w:val="89"/>
              </w:rPr>
              <w:t>July 13,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2018</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500"/>
              <w:spacing w:after="0"/>
              <w:rPr>
                <w:sz w:val="20"/>
                <w:szCs w:val="20"/>
                <w:color w:val="auto"/>
              </w:rPr>
            </w:pPr>
            <w:r>
              <w:rPr>
                <w:rFonts w:ascii="Arial" w:cs="Arial" w:eastAsia="Arial" w:hAnsi="Arial"/>
                <w:sz w:val="18"/>
                <w:szCs w:val="18"/>
                <w:color w:val="auto"/>
                <w:w w:val="90"/>
              </w:rPr>
              <w:t>Supplemental</w:t>
            </w:r>
          </w:p>
        </w:tc>
        <w:tc>
          <w:tcPr>
            <w:tcW w:w="140" w:type="dxa"/>
            <w:vAlign w:val="bottom"/>
            <w:shd w:val="clear" w:color="auto" w:fill="CCEEFF"/>
          </w:tcPr>
          <w:p>
            <w:pPr>
              <w:spacing w:after="0"/>
              <w:rPr>
                <w:sz w:val="18"/>
                <w:szCs w:val="18"/>
                <w:color w:val="auto"/>
              </w:rPr>
            </w:pPr>
          </w:p>
        </w:tc>
        <w:tc>
          <w:tcPr>
            <w:tcW w:w="1900" w:type="dxa"/>
            <w:vAlign w:val="bottom"/>
            <w:gridSpan w:val="7"/>
            <w:shd w:val="clear" w:color="auto" w:fill="CCEEFF"/>
          </w:tcPr>
          <w:p>
            <w:pPr>
              <w:jc w:val="center"/>
              <w:ind w:right="660"/>
              <w:spacing w:after="0"/>
              <w:rPr>
                <w:sz w:val="20"/>
                <w:szCs w:val="20"/>
                <w:color w:val="auto"/>
              </w:rPr>
            </w:pPr>
            <w:r>
              <w:rPr>
                <w:rFonts w:ascii="Arial" w:cs="Arial" w:eastAsia="Arial" w:hAnsi="Arial"/>
                <w:sz w:val="18"/>
                <w:szCs w:val="18"/>
                <w:color w:val="auto"/>
                <w:w w:val="91"/>
              </w:rPr>
              <w:t>August 31, 2018</w:t>
            </w:r>
          </w:p>
        </w:tc>
        <w:tc>
          <w:tcPr>
            <w:tcW w:w="168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8"/>
              </w:rPr>
              <w:t>September 28,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August 1, 2018</w:t>
            </w:r>
          </w:p>
        </w:tc>
        <w:tc>
          <w:tcPr>
            <w:tcW w:w="120" w:type="dxa"/>
            <w:vAlign w:val="bottom"/>
          </w:tcPr>
          <w:p>
            <w:pPr>
              <w:spacing w:after="0"/>
              <w:rPr>
                <w:sz w:val="18"/>
                <w:szCs w:val="18"/>
                <w:color w:val="auto"/>
              </w:rPr>
            </w:pPr>
          </w:p>
        </w:tc>
        <w:tc>
          <w:tcPr>
            <w:tcW w:w="1540" w:type="dxa"/>
            <w:vAlign w:val="bottom"/>
            <w:gridSpan w:val="6"/>
          </w:tcPr>
          <w:p>
            <w:pPr>
              <w:jc w:val="center"/>
              <w:ind w:right="500"/>
              <w:spacing w:after="0"/>
              <w:rPr>
                <w:sz w:val="20"/>
                <w:szCs w:val="20"/>
                <w:color w:val="auto"/>
              </w:rPr>
            </w:pPr>
            <w:r>
              <w:rPr>
                <w:rFonts w:ascii="Arial" w:cs="Arial" w:eastAsia="Arial" w:hAnsi="Arial"/>
                <w:sz w:val="18"/>
                <w:szCs w:val="18"/>
                <w:color w:val="auto"/>
                <w:w w:val="87"/>
              </w:rPr>
              <w:t>Base</w:t>
            </w:r>
          </w:p>
        </w:tc>
        <w:tc>
          <w:tcPr>
            <w:tcW w:w="2040" w:type="dxa"/>
            <w:vAlign w:val="bottom"/>
            <w:gridSpan w:val="8"/>
          </w:tcPr>
          <w:p>
            <w:pPr>
              <w:jc w:val="center"/>
              <w:ind w:right="520"/>
              <w:spacing w:after="0"/>
              <w:rPr>
                <w:sz w:val="20"/>
                <w:szCs w:val="20"/>
                <w:color w:val="auto"/>
              </w:rPr>
            </w:pPr>
            <w:r>
              <w:rPr>
                <w:rFonts w:ascii="Arial" w:cs="Arial" w:eastAsia="Arial" w:hAnsi="Arial"/>
                <w:sz w:val="18"/>
                <w:szCs w:val="18"/>
                <w:color w:val="auto"/>
                <w:w w:val="88"/>
              </w:rPr>
              <w:t>September 14, 2018</w:t>
            </w:r>
          </w:p>
        </w:tc>
        <w:tc>
          <w:tcPr>
            <w:tcW w:w="1680" w:type="dxa"/>
            <w:vAlign w:val="bottom"/>
            <w:gridSpan w:val="4"/>
          </w:tcPr>
          <w:p>
            <w:pPr>
              <w:jc w:val="center"/>
              <w:ind w:right="160"/>
              <w:spacing w:after="0"/>
              <w:rPr>
                <w:sz w:val="20"/>
                <w:szCs w:val="20"/>
                <w:color w:val="auto"/>
              </w:rPr>
            </w:pPr>
            <w:r>
              <w:rPr>
                <w:rFonts w:ascii="Arial" w:cs="Arial" w:eastAsia="Arial" w:hAnsi="Arial"/>
                <w:sz w:val="18"/>
                <w:szCs w:val="18"/>
                <w:color w:val="auto"/>
                <w:w w:val="89"/>
              </w:rPr>
              <w:t>October 15,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6, 2018</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500"/>
              <w:spacing w:after="0"/>
              <w:rPr>
                <w:sz w:val="20"/>
                <w:szCs w:val="20"/>
                <w:color w:val="auto"/>
              </w:rPr>
            </w:pPr>
            <w:r>
              <w:rPr>
                <w:rFonts w:ascii="Arial" w:cs="Arial" w:eastAsia="Arial" w:hAnsi="Arial"/>
                <w:sz w:val="18"/>
                <w:szCs w:val="18"/>
                <w:color w:val="auto"/>
                <w:w w:val="90"/>
              </w:rPr>
              <w:t>Supplemental</w:t>
            </w:r>
          </w:p>
        </w:tc>
        <w:tc>
          <w:tcPr>
            <w:tcW w:w="2040" w:type="dxa"/>
            <w:vAlign w:val="bottom"/>
            <w:gridSpan w:val="8"/>
            <w:shd w:val="clear" w:color="auto" w:fill="CCEEFF"/>
          </w:tcPr>
          <w:p>
            <w:pPr>
              <w:jc w:val="center"/>
              <w:ind w:right="520"/>
              <w:spacing w:after="0"/>
              <w:rPr>
                <w:sz w:val="20"/>
                <w:szCs w:val="20"/>
                <w:color w:val="auto"/>
              </w:rPr>
            </w:pPr>
            <w:r>
              <w:rPr>
                <w:rFonts w:ascii="Arial" w:cs="Arial" w:eastAsia="Arial" w:hAnsi="Arial"/>
                <w:sz w:val="18"/>
                <w:szCs w:val="18"/>
                <w:color w:val="auto"/>
                <w:w w:val="91"/>
              </w:rPr>
              <w:t>November 30, 2018</w:t>
            </w:r>
          </w:p>
        </w:tc>
        <w:tc>
          <w:tcPr>
            <w:tcW w:w="168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8"/>
              </w:rPr>
              <w:t>December 31,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November 6, 2018</w:t>
            </w:r>
          </w:p>
        </w:tc>
        <w:tc>
          <w:tcPr>
            <w:tcW w:w="120" w:type="dxa"/>
            <w:vAlign w:val="bottom"/>
          </w:tcPr>
          <w:p>
            <w:pPr>
              <w:spacing w:after="0"/>
              <w:rPr>
                <w:sz w:val="19"/>
                <w:szCs w:val="19"/>
                <w:color w:val="auto"/>
              </w:rPr>
            </w:pPr>
          </w:p>
        </w:tc>
        <w:tc>
          <w:tcPr>
            <w:tcW w:w="1540" w:type="dxa"/>
            <w:vAlign w:val="bottom"/>
            <w:gridSpan w:val="6"/>
          </w:tcPr>
          <w:p>
            <w:pPr>
              <w:jc w:val="center"/>
              <w:ind w:right="500"/>
              <w:spacing w:after="0"/>
              <w:rPr>
                <w:sz w:val="20"/>
                <w:szCs w:val="20"/>
                <w:color w:val="auto"/>
              </w:rPr>
            </w:pPr>
            <w:r>
              <w:rPr>
                <w:rFonts w:ascii="Arial" w:cs="Arial" w:eastAsia="Arial" w:hAnsi="Arial"/>
                <w:sz w:val="18"/>
                <w:szCs w:val="18"/>
                <w:color w:val="auto"/>
                <w:w w:val="87"/>
              </w:rPr>
              <w:t>Base</w:t>
            </w:r>
          </w:p>
        </w:tc>
        <w:tc>
          <w:tcPr>
            <w:tcW w:w="2040" w:type="dxa"/>
            <w:vAlign w:val="bottom"/>
            <w:gridSpan w:val="8"/>
          </w:tcPr>
          <w:p>
            <w:pPr>
              <w:jc w:val="center"/>
              <w:ind w:right="540"/>
              <w:spacing w:after="0"/>
              <w:rPr>
                <w:sz w:val="20"/>
                <w:szCs w:val="20"/>
                <w:color w:val="auto"/>
              </w:rPr>
            </w:pPr>
            <w:r>
              <w:rPr>
                <w:rFonts w:ascii="Arial" w:cs="Arial" w:eastAsia="Arial" w:hAnsi="Arial"/>
                <w:sz w:val="18"/>
                <w:szCs w:val="18"/>
                <w:color w:val="auto"/>
                <w:w w:val="89"/>
              </w:rPr>
              <w:t>December 14, 2018</w:t>
            </w:r>
          </w:p>
        </w:tc>
        <w:tc>
          <w:tcPr>
            <w:tcW w:w="1680" w:type="dxa"/>
            <w:vAlign w:val="bottom"/>
            <w:gridSpan w:val="4"/>
          </w:tcPr>
          <w:p>
            <w:pPr>
              <w:jc w:val="center"/>
              <w:ind w:right="160"/>
              <w:spacing w:after="0"/>
              <w:rPr>
                <w:sz w:val="20"/>
                <w:szCs w:val="20"/>
                <w:color w:val="auto"/>
              </w:rPr>
            </w:pPr>
            <w:r>
              <w:rPr>
                <w:rFonts w:ascii="Arial" w:cs="Arial" w:eastAsia="Arial" w:hAnsi="Arial"/>
                <w:sz w:val="18"/>
                <w:szCs w:val="18"/>
                <w:color w:val="auto"/>
                <w:w w:val="89"/>
              </w:rPr>
              <w:t>January 15, 2019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60" w:type="dxa"/>
            <w:vAlign w:val="bottom"/>
            <w:gridSpan w:val="9"/>
            <w:vMerge w:val="restart"/>
          </w:tcPr>
          <w:p>
            <w:pPr>
              <w:ind w:left="140"/>
              <w:spacing w:after="0"/>
              <w:rPr>
                <w:sz w:val="20"/>
                <w:szCs w:val="20"/>
                <w:color w:val="auto"/>
              </w:rPr>
            </w:pPr>
            <w:r>
              <w:rPr>
                <w:rFonts w:ascii="Arial" w:cs="Arial" w:eastAsia="Arial" w:hAnsi="Arial"/>
                <w:sz w:val="14"/>
                <w:szCs w:val="14"/>
                <w:b w:val="1"/>
                <w:bCs w:val="1"/>
                <w:color w:val="auto"/>
              </w:rPr>
              <w:t>Year Ended December 31, 2017</w:t>
            </w: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20" w:type="dxa"/>
            <w:vAlign w:val="bottom"/>
          </w:tcPr>
          <w:p>
            <w:pPr>
              <w:spacing w:after="0"/>
              <w:rPr>
                <w:sz w:val="10"/>
                <w:szCs w:val="10"/>
                <w:color w:val="auto"/>
              </w:rPr>
            </w:pPr>
          </w:p>
        </w:tc>
        <w:tc>
          <w:tcPr>
            <w:tcW w:w="154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Dividend</w:t>
            </w:r>
            <w:r>
              <w:rPr>
                <w:rFonts w:ascii="Arial" w:cs="Arial" w:eastAsia="Arial" w:hAnsi="Arial"/>
                <w:sz w:val="12"/>
                <w:szCs w:val="12"/>
                <w:b w:val="1"/>
                <w:bCs w:val="1"/>
                <w:color w:val="auto"/>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4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0"/>
                <w:szCs w:val="10"/>
                <w:color w:val="auto"/>
              </w:rPr>
            </w:pPr>
          </w:p>
        </w:tc>
        <w:tc>
          <w:tcPr>
            <w:tcW w:w="140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6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6"/>
            <w:vMerge w:val="continue"/>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22, 2017</w:t>
            </w: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Base</w:t>
            </w:r>
          </w:p>
        </w:tc>
        <w:tc>
          <w:tcPr>
            <w:tcW w:w="26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center"/>
              <w:ind w:right="240"/>
              <w:spacing w:after="0" w:line="203" w:lineRule="exact"/>
              <w:rPr>
                <w:sz w:val="20"/>
                <w:szCs w:val="20"/>
                <w:color w:val="auto"/>
              </w:rPr>
            </w:pPr>
            <w:r>
              <w:rPr>
                <w:rFonts w:ascii="Arial" w:cs="Arial" w:eastAsia="Arial" w:hAnsi="Arial"/>
                <w:sz w:val="18"/>
                <w:szCs w:val="18"/>
                <w:color w:val="auto"/>
                <w:w w:val="95"/>
              </w:rPr>
              <w:t>April 7, 2017</w:t>
            </w:r>
            <w:r>
              <w:rPr>
                <w:rFonts w:ascii="Arial" w:cs="Arial" w:eastAsia="Arial" w:hAnsi="Arial"/>
                <w:sz w:val="15"/>
                <w:szCs w:val="15"/>
                <w:color w:val="auto"/>
                <w:w w:val="95"/>
              </w:rPr>
              <w:t>(2)</w:t>
            </w:r>
          </w:p>
        </w:tc>
        <w:tc>
          <w:tcPr>
            <w:tcW w:w="26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center"/>
              <w:ind w:right="80"/>
              <w:spacing w:after="0" w:line="203" w:lineRule="exact"/>
              <w:rPr>
                <w:sz w:val="20"/>
                <w:szCs w:val="20"/>
                <w:color w:val="auto"/>
              </w:rPr>
            </w:pPr>
            <w:r>
              <w:rPr>
                <w:rFonts w:ascii="Arial" w:cs="Arial" w:eastAsia="Arial" w:hAnsi="Arial"/>
                <w:sz w:val="18"/>
                <w:szCs w:val="18"/>
                <w:color w:val="auto"/>
                <w:w w:val="95"/>
              </w:rPr>
              <w:t>April 28, 2017</w:t>
            </w:r>
          </w:p>
        </w:tc>
        <w:tc>
          <w:tcPr>
            <w:tcW w:w="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May 3, 2017</w:t>
            </w:r>
          </w:p>
        </w:tc>
        <w:tc>
          <w:tcPr>
            <w:tcW w:w="120" w:type="dxa"/>
            <w:vAlign w:val="bottom"/>
          </w:tcPr>
          <w:p>
            <w:pPr>
              <w:spacing w:after="0"/>
              <w:rPr>
                <w:sz w:val="18"/>
                <w:szCs w:val="18"/>
                <w:color w:val="auto"/>
              </w:rPr>
            </w:pPr>
          </w:p>
        </w:tc>
        <w:tc>
          <w:tcPr>
            <w:tcW w:w="154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Supplemental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6"/>
          </w:tcPr>
          <w:p>
            <w:pPr>
              <w:jc w:val="center"/>
              <w:ind w:right="600"/>
              <w:spacing w:after="0"/>
              <w:rPr>
                <w:sz w:val="20"/>
                <w:szCs w:val="20"/>
                <w:color w:val="auto"/>
              </w:rPr>
            </w:pPr>
            <w:r>
              <w:rPr>
                <w:rFonts w:ascii="Arial" w:cs="Arial" w:eastAsia="Arial" w:hAnsi="Arial"/>
                <w:sz w:val="18"/>
                <w:szCs w:val="18"/>
                <w:color w:val="auto"/>
                <w:w w:val="91"/>
              </w:rPr>
              <w:t>May 31, 2017</w:t>
            </w:r>
          </w:p>
        </w:tc>
        <w:tc>
          <w:tcPr>
            <w:tcW w:w="280" w:type="dxa"/>
            <w:vAlign w:val="bottom"/>
          </w:tcPr>
          <w:p>
            <w:pPr>
              <w:spacing w:after="0"/>
              <w:rPr>
                <w:sz w:val="18"/>
                <w:szCs w:val="18"/>
                <w:color w:val="auto"/>
              </w:rPr>
            </w:pPr>
          </w:p>
        </w:tc>
        <w:tc>
          <w:tcPr>
            <w:tcW w:w="140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June 30,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 2017</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300"/>
              <w:spacing w:after="0"/>
              <w:rPr>
                <w:sz w:val="20"/>
                <w:szCs w:val="20"/>
                <w:color w:val="auto"/>
              </w:rPr>
            </w:pPr>
            <w:r>
              <w:rPr>
                <w:rFonts w:ascii="Arial" w:cs="Arial" w:eastAsia="Arial" w:hAnsi="Arial"/>
                <w:sz w:val="18"/>
                <w:szCs w:val="18"/>
                <w:color w:val="auto"/>
                <w:w w:val="87"/>
              </w:rPr>
              <w:t>Base</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40" w:type="dxa"/>
            <w:vAlign w:val="bottom"/>
            <w:gridSpan w:val="6"/>
            <w:shd w:val="clear" w:color="auto" w:fill="CCEEFF"/>
          </w:tcPr>
          <w:p>
            <w:pPr>
              <w:jc w:val="center"/>
              <w:ind w:right="600"/>
              <w:spacing w:after="0"/>
              <w:rPr>
                <w:sz w:val="20"/>
                <w:szCs w:val="20"/>
                <w:color w:val="auto"/>
              </w:rPr>
            </w:pPr>
            <w:r>
              <w:rPr>
                <w:rFonts w:ascii="Arial" w:cs="Arial" w:eastAsia="Arial" w:hAnsi="Arial"/>
                <w:sz w:val="18"/>
                <w:szCs w:val="18"/>
                <w:color w:val="auto"/>
                <w:w w:val="87"/>
              </w:rPr>
              <w:t>June 15, 2017</w:t>
            </w:r>
          </w:p>
        </w:tc>
        <w:tc>
          <w:tcPr>
            <w:tcW w:w="2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1"/>
              </w:rPr>
              <w:t>July 14, 2017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August 2, 2017</w:t>
            </w:r>
          </w:p>
        </w:tc>
        <w:tc>
          <w:tcPr>
            <w:tcW w:w="120" w:type="dxa"/>
            <w:vAlign w:val="bottom"/>
          </w:tcPr>
          <w:p>
            <w:pPr>
              <w:spacing w:after="0"/>
              <w:rPr>
                <w:sz w:val="18"/>
                <w:szCs w:val="18"/>
                <w:color w:val="auto"/>
              </w:rPr>
            </w:pPr>
          </w:p>
        </w:tc>
        <w:tc>
          <w:tcPr>
            <w:tcW w:w="154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Supplemental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6"/>
          </w:tcPr>
          <w:p>
            <w:pPr>
              <w:jc w:val="center"/>
              <w:ind w:right="600"/>
              <w:spacing w:after="0"/>
              <w:rPr>
                <w:sz w:val="20"/>
                <w:szCs w:val="20"/>
                <w:color w:val="auto"/>
              </w:rPr>
            </w:pPr>
            <w:r>
              <w:rPr>
                <w:rFonts w:ascii="Arial" w:cs="Arial" w:eastAsia="Arial" w:hAnsi="Arial"/>
                <w:sz w:val="18"/>
                <w:szCs w:val="18"/>
                <w:color w:val="auto"/>
                <w:w w:val="91"/>
              </w:rPr>
              <w:t>August 31, 2017</w:t>
            </w:r>
          </w:p>
        </w:tc>
        <w:tc>
          <w:tcPr>
            <w:tcW w:w="168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September 29,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 2017</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300"/>
              <w:spacing w:after="0"/>
              <w:rPr>
                <w:sz w:val="20"/>
                <w:szCs w:val="20"/>
                <w:color w:val="auto"/>
              </w:rPr>
            </w:pPr>
            <w:r>
              <w:rPr>
                <w:rFonts w:ascii="Arial" w:cs="Arial" w:eastAsia="Arial" w:hAnsi="Arial"/>
                <w:sz w:val="18"/>
                <w:szCs w:val="18"/>
                <w:color w:val="auto"/>
                <w:w w:val="87"/>
              </w:rPr>
              <w:t>Base</w:t>
            </w:r>
          </w:p>
        </w:tc>
        <w:tc>
          <w:tcPr>
            <w:tcW w:w="2040" w:type="dxa"/>
            <w:vAlign w:val="bottom"/>
            <w:gridSpan w:val="8"/>
            <w:shd w:val="clear" w:color="auto" w:fill="CCEEFF"/>
          </w:tcPr>
          <w:p>
            <w:pPr>
              <w:jc w:val="center"/>
              <w:ind w:right="400"/>
              <w:spacing w:after="0"/>
              <w:rPr>
                <w:sz w:val="20"/>
                <w:szCs w:val="20"/>
                <w:color w:val="auto"/>
              </w:rPr>
            </w:pPr>
            <w:r>
              <w:rPr>
                <w:rFonts w:ascii="Arial" w:cs="Arial" w:eastAsia="Arial" w:hAnsi="Arial"/>
                <w:sz w:val="18"/>
                <w:szCs w:val="18"/>
                <w:color w:val="auto"/>
                <w:w w:val="88"/>
              </w:rPr>
              <w:t>September 15, 2017</w:t>
            </w:r>
          </w:p>
        </w:tc>
        <w:tc>
          <w:tcPr>
            <w:tcW w:w="168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13, 2017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November 7, 2017</w:t>
            </w:r>
          </w:p>
        </w:tc>
        <w:tc>
          <w:tcPr>
            <w:tcW w:w="120" w:type="dxa"/>
            <w:vAlign w:val="bottom"/>
          </w:tcPr>
          <w:p>
            <w:pPr>
              <w:spacing w:after="0"/>
              <w:rPr>
                <w:sz w:val="18"/>
                <w:szCs w:val="18"/>
                <w:color w:val="auto"/>
              </w:rPr>
            </w:pPr>
          </w:p>
        </w:tc>
        <w:tc>
          <w:tcPr>
            <w:tcW w:w="154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Supplemental</w:t>
            </w:r>
          </w:p>
        </w:tc>
        <w:tc>
          <w:tcPr>
            <w:tcW w:w="2040" w:type="dxa"/>
            <w:vAlign w:val="bottom"/>
            <w:gridSpan w:val="8"/>
          </w:tcPr>
          <w:p>
            <w:pPr>
              <w:jc w:val="center"/>
              <w:ind w:right="400"/>
              <w:spacing w:after="0"/>
              <w:rPr>
                <w:sz w:val="20"/>
                <w:szCs w:val="20"/>
                <w:color w:val="auto"/>
              </w:rPr>
            </w:pPr>
            <w:r>
              <w:rPr>
                <w:rFonts w:ascii="Arial" w:cs="Arial" w:eastAsia="Arial" w:hAnsi="Arial"/>
                <w:sz w:val="18"/>
                <w:szCs w:val="18"/>
                <w:color w:val="auto"/>
                <w:w w:val="91"/>
              </w:rPr>
              <w:t>November 30, 2017</w:t>
            </w:r>
          </w:p>
        </w:tc>
        <w:tc>
          <w:tcPr>
            <w:tcW w:w="1680" w:type="dxa"/>
            <w:vAlign w:val="bottom"/>
            <w:gridSpan w:val="4"/>
          </w:tcPr>
          <w:p>
            <w:pPr>
              <w:jc w:val="center"/>
              <w:ind w:right="100"/>
              <w:spacing w:after="0"/>
              <w:rPr>
                <w:sz w:val="20"/>
                <w:szCs w:val="20"/>
                <w:color w:val="auto"/>
              </w:rPr>
            </w:pPr>
            <w:r>
              <w:rPr>
                <w:rFonts w:ascii="Arial" w:cs="Arial" w:eastAsia="Arial" w:hAnsi="Arial"/>
                <w:sz w:val="18"/>
                <w:szCs w:val="18"/>
                <w:color w:val="auto"/>
                <w:w w:val="89"/>
              </w:rPr>
              <w:t>December 29,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7, 2017</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300"/>
              <w:spacing w:after="0"/>
              <w:rPr>
                <w:sz w:val="20"/>
                <w:szCs w:val="20"/>
                <w:color w:val="auto"/>
              </w:rPr>
            </w:pPr>
            <w:r>
              <w:rPr>
                <w:rFonts w:ascii="Arial" w:cs="Arial" w:eastAsia="Arial" w:hAnsi="Arial"/>
                <w:sz w:val="18"/>
                <w:szCs w:val="18"/>
                <w:color w:val="auto"/>
                <w:w w:val="87"/>
              </w:rPr>
              <w:t>Base</w:t>
            </w:r>
          </w:p>
        </w:tc>
        <w:tc>
          <w:tcPr>
            <w:tcW w:w="2040" w:type="dxa"/>
            <w:vAlign w:val="bottom"/>
            <w:gridSpan w:val="8"/>
            <w:shd w:val="clear" w:color="auto" w:fill="CCEEFF"/>
          </w:tcPr>
          <w:p>
            <w:pPr>
              <w:jc w:val="center"/>
              <w:ind w:right="420"/>
              <w:spacing w:after="0"/>
              <w:rPr>
                <w:sz w:val="20"/>
                <w:szCs w:val="20"/>
                <w:color w:val="auto"/>
              </w:rPr>
            </w:pPr>
            <w:r>
              <w:rPr>
                <w:rFonts w:ascii="Arial" w:cs="Arial" w:eastAsia="Arial" w:hAnsi="Arial"/>
                <w:sz w:val="18"/>
                <w:szCs w:val="18"/>
                <w:color w:val="auto"/>
                <w:w w:val="89"/>
              </w:rPr>
              <w:t>December 15, 2017</w:t>
            </w:r>
          </w:p>
        </w:tc>
        <w:tc>
          <w:tcPr>
            <w:tcW w:w="168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9"/>
              </w:rPr>
              <w:t>January 12,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Total Dividends Declared</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220" w:hanging="436"/>
        <w:spacing w:after="0" w:line="274" w:lineRule="auto"/>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Following the completion of the quarter ended March 31, 2017, we introduced a dividend framework that provides for a quarterly base dividend and a variable supplemental dividend, subject to satisfaction of certain measurement tests and the approval of the Board.</w:t>
      </w:r>
    </w:p>
    <w:p>
      <w:pPr>
        <w:ind w:left="640" w:right="140" w:hanging="436"/>
        <w:spacing w:after="0" w:line="254"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our consolidated balance sheet as of March 31, 2017. There was no change to the dividend amount or payment date.</w:t>
      </w:r>
    </w:p>
    <w:p>
      <w:pPr>
        <w:spacing w:after="0" w:line="19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dividends declared during the three months ended March 31, 2019 were derived from net investment income, determined on a tax basis. The dividends declared during the years ended December 31, 2018 and 2017 were derived from net investment income and net realized capital gains, determined on a tax basis.</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color w:val="auto"/>
        </w:rPr>
        <w:t>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2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To be treated as a regulated investment company,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94" w:lineRule="exact"/>
        <w:rPr>
          <w:sz w:val="20"/>
          <w:szCs w:val="20"/>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130"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225"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three months ended March 31, 2019 and for calendar years ended December 31, 2018 and 2017 for purposes of additional liquidity and we recorded an expense of $0.3 million for the three months ended March 31, 2019 and $3.4 million and $2.8 million for the years ended December 31, 2018 and December 31, 2017,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2018 Annual Report.</w:t>
      </w:r>
    </w:p>
    <w:p>
      <w:pPr>
        <w:spacing w:after="0" w:line="182"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92"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information in the Management’s Discussion and Analysis of Financial Condition and Results of Operations in Part II, Item 7 of our 2018 Annual Report and in Part I, Item 2 of our 2019 Q1 Quarterly Report is incorporated herein by reference.</w:t>
      </w:r>
    </w:p>
    <w:p>
      <w:pPr>
        <w:spacing w:after="0" w:line="10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00"/>
          </w:cols>
          <w:pgMar w:left="240" w:top="459" w:right="7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jc w:val="both"/>
        <w:ind w:left="200" w:right="140" w:firstLine="441"/>
        <w:spacing w:after="0" w:line="286" w:lineRule="auto"/>
        <w:rPr>
          <w:sz w:val="20"/>
          <w:szCs w:val="20"/>
          <w:color w:val="auto"/>
        </w:rPr>
      </w:pPr>
      <w:r>
        <w:rPr>
          <w:rFonts w:ascii="Arial" w:cs="Arial" w:eastAsia="Arial" w:hAnsi="Arial"/>
          <w:sz w:val="17"/>
          <w:szCs w:val="17"/>
          <w:color w:val="auto"/>
        </w:rPr>
        <w:t>Information about our senior securities is shown in the following table as of the end of each fiscal year ended December 31 since we commenced operations and as of March 31, 2019. The report of our independent registered public accounting firm, KPMG LLP, on the senior securities table as of December 31, 2018 is attached as an exhibit to the registration statement of which this prospectus is a part.</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80" w:type="dxa"/>
            <w:vAlign w:val="bottom"/>
            <w:gridSpan w:val="3"/>
          </w:tcPr>
          <w:p>
            <w:pPr>
              <w:ind w:left="1040"/>
              <w:spacing w:after="0"/>
              <w:rPr>
                <w:sz w:val="20"/>
                <w:szCs w:val="20"/>
                <w:color w:val="auto"/>
              </w:rPr>
            </w:pPr>
            <w:r>
              <w:rPr>
                <w:rFonts w:ascii="Arial" w:cs="Arial" w:eastAsia="Arial" w:hAnsi="Arial"/>
                <w:sz w:val="14"/>
                <w:szCs w:val="14"/>
                <w:b w:val="1"/>
                <w:bCs w:val="1"/>
                <w:color w:val="auto"/>
                <w:w w:val="90"/>
              </w:rPr>
              <w:t>Total Amount</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gridSpan w:val="2"/>
            <w:vMerge w:val="restart"/>
          </w:tcPr>
          <w:p>
            <w:pPr>
              <w:jc w:val="center"/>
              <w:ind w:left="628"/>
              <w:spacing w:after="0"/>
              <w:rPr>
                <w:sz w:val="20"/>
                <w:szCs w:val="20"/>
                <w:color w:val="auto"/>
              </w:rPr>
            </w:pPr>
            <w:r>
              <w:rPr>
                <w:rFonts w:ascii="Arial" w:cs="Arial" w:eastAsia="Arial" w:hAnsi="Arial"/>
                <w:sz w:val="14"/>
                <w:szCs w:val="14"/>
                <w:b w:val="1"/>
                <w:bCs w:val="1"/>
                <w:color w:val="auto"/>
                <w:w w:val="98"/>
              </w:rPr>
              <w:t>Involuntary</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94"/>
              </w:rPr>
              <w:t>Treasury</w:t>
            </w:r>
          </w:p>
        </w:tc>
        <w:tc>
          <w:tcPr>
            <w:tcW w:w="168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w w:val="88"/>
              </w:rPr>
              <w:t>Asset Coverage</w:t>
            </w:r>
          </w:p>
        </w:tc>
        <w:tc>
          <w:tcPr>
            <w:tcW w:w="7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Liquidating</w:t>
            </w:r>
          </w:p>
        </w:tc>
        <w:tc>
          <w:tcPr>
            <w:tcW w:w="720" w:type="dxa"/>
            <w:vAlign w:val="bottom"/>
          </w:tcPr>
          <w:p>
            <w:pPr>
              <w:spacing w:after="0"/>
              <w:rPr>
                <w:sz w:val="12"/>
                <w:szCs w:val="12"/>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5"/>
              </w:rPr>
              <w:t>Average Market</w:t>
            </w: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10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Securities</w:t>
            </w:r>
            <w:r>
              <w:rPr>
                <w:rFonts w:ascii="Arial" w:cs="Arial" w:eastAsia="Arial" w:hAnsi="Arial"/>
                <w:sz w:val="12"/>
                <w:szCs w:val="12"/>
                <w:b w:val="1"/>
                <w:bCs w:val="1"/>
                <w:color w:val="auto"/>
                <w:w w:val="90"/>
              </w:rPr>
              <w:t>(1)</w:t>
            </w:r>
          </w:p>
        </w:tc>
        <w:tc>
          <w:tcPr>
            <w:tcW w:w="168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Preference</w:t>
            </w:r>
          </w:p>
        </w:tc>
        <w:tc>
          <w:tcPr>
            <w:tcW w:w="7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60" w:type="dxa"/>
            <w:vAlign w:val="bottom"/>
            <w:gridSpan w:val="2"/>
            <w:vMerge w:val="continue"/>
          </w:tcPr>
          <w:p>
            <w:pPr>
              <w:spacing w:after="0"/>
              <w:rPr>
                <w:sz w:val="14"/>
                <w:szCs w:val="14"/>
                <w:color w:val="auto"/>
              </w:rPr>
            </w:pPr>
          </w:p>
        </w:tc>
        <w:tc>
          <w:tcPr>
            <w:tcW w:w="1880" w:type="dxa"/>
            <w:vAlign w:val="bottom"/>
            <w:gridSpan w:val="3"/>
          </w:tcPr>
          <w:p>
            <w:pPr>
              <w:ind w:left="1040"/>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1"/>
              <w:spacing w:after="0"/>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(2)</w:t>
            </w:r>
          </w:p>
        </w:tc>
        <w:tc>
          <w:tcPr>
            <w:tcW w:w="7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(3)</w:t>
            </w:r>
          </w:p>
        </w:tc>
        <w:tc>
          <w:tcPr>
            <w:tcW w:w="1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Value Per Unit</w:t>
            </w: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2019 (as of March 31, 2019)</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306.0</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2,447.1</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2017</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486.8</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2,355.3</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2015</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540.3</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2,257.3</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2013</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432.3</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2,329.5</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2,445.9</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2011</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155.0</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2,116.7</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Notes due 2019</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2019 (as of March 31, 2019)</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114.5</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2,447.1</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2017</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113.7</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2,355.3</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2015</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112.5</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2,257.3</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Convertible Notes due 2022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(as of March 31, 2019)</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2,447.1</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2018</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171.7</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2,355.3</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2023 Notes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(as of March 31, 2019)</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2,447.1</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2018</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150.0</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74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right="320" w:hanging="436"/>
        <w:spacing w:after="0" w:line="258"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excluding the impact of deferred financing costs, at the end of the period presented.</w:t>
      </w:r>
    </w:p>
    <w:p>
      <w:pPr>
        <w:spacing w:after="0" w:line="1" w:lineRule="exact"/>
        <w:rPr>
          <w:rFonts w:ascii="Arial" w:cs="Arial" w:eastAsia="Arial" w:hAnsi="Arial"/>
          <w:sz w:val="18"/>
          <w:szCs w:val="18"/>
          <w:color w:val="auto"/>
        </w:rPr>
      </w:pPr>
    </w:p>
    <w:p>
      <w:pPr>
        <w:ind w:left="640" w:right="380" w:hanging="436"/>
        <w:spacing w:after="0" w:line="250"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640" w:right="60" w:hanging="436"/>
        <w:spacing w:after="0" w:line="265" w:lineRule="auto"/>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640" w:hanging="43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information in the sections entitled “Business” in Part I, Item 1 and “Properties” in Part I, Item 2 of our 2018 Annual Report and in the section entitled “Legal Proceedings” in Part II, Item 1 of our 2019 Q1 Quarterly Report is incorporated herein by reference.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table set forth below contains certain information as of March 31, 2019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or Equity or Other Investments.</w:t>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 xml:space="preserve">Company </w:t>
      </w:r>
      <w:r>
        <w:rPr>
          <w:rFonts w:ascii="Arial" w:cs="Arial" w:eastAsia="Arial" w:hAnsi="Arial"/>
          <w:sz w:val="12"/>
          <w:szCs w:val="12"/>
          <w:b w:val="1"/>
          <w:bCs w:val="1"/>
          <w:u w:val="single" w:color="auto"/>
          <w:color w:val="auto"/>
        </w:rPr>
        <w:t>(1)</w:t>
      </w:r>
    </w:p>
    <w:p>
      <w:pPr>
        <w:spacing w:after="0" w:line="17" w:lineRule="exact"/>
        <w:rPr>
          <w:sz w:val="20"/>
          <w:szCs w:val="20"/>
          <w:color w:val="auto"/>
        </w:rPr>
      </w:pPr>
    </w:p>
    <w:p>
      <w:pPr>
        <w:ind w:left="200" w:right="440"/>
        <w:spacing w:after="0" w:line="245" w:lineRule="auto"/>
        <w:rPr>
          <w:sz w:val="20"/>
          <w:szCs w:val="20"/>
          <w:color w:val="auto"/>
        </w:rPr>
      </w:pPr>
      <w:r>
        <w:rPr>
          <w:rFonts w:ascii="Arial" w:cs="Arial" w:eastAsia="Arial" w:hAnsi="Arial"/>
          <w:sz w:val="13"/>
          <w:szCs w:val="13"/>
          <w:b w:val="1"/>
          <w:bCs w:val="1"/>
          <w:color w:val="auto"/>
        </w:rPr>
        <w:t xml:space="preserve">Debt Investments Beverage, food and tobacco </w:t>
      </w:r>
      <w:r>
        <w:rPr>
          <w:rFonts w:ascii="Arial" w:cs="Arial" w:eastAsia="Arial" w:hAnsi="Arial"/>
          <w:sz w:val="13"/>
          <w:szCs w:val="13"/>
          <w:color w:val="auto"/>
        </w:rPr>
        <w:t xml:space="preserve">AFS Technologies, Inc. </w:t>
      </w:r>
      <w:r>
        <w:rPr>
          <w:rFonts w:ascii="Arial" w:cs="Arial" w:eastAsia="Arial" w:hAnsi="Arial"/>
          <w:sz w:val="11"/>
          <w:szCs w:val="11"/>
          <w:color w:val="auto"/>
        </w:rPr>
        <w:t>(3)(5)(6)</w:t>
      </w:r>
    </w:p>
    <w:p>
      <w:pPr>
        <w:ind w:left="200"/>
        <w:spacing w:after="0" w:line="223" w:lineRule="auto"/>
        <w:rPr>
          <w:sz w:val="20"/>
          <w:szCs w:val="20"/>
          <w:color w:val="auto"/>
        </w:rPr>
      </w:pPr>
      <w:r>
        <w:rPr>
          <w:rFonts w:ascii="Arial" w:cs="Arial" w:eastAsia="Arial" w:hAnsi="Arial"/>
          <w:sz w:val="14"/>
          <w:szCs w:val="14"/>
          <w:b w:val="1"/>
          <w:bCs w:val="1"/>
          <w:color w:val="auto"/>
        </w:rPr>
        <w:t>Business services</w:t>
      </w:r>
    </w:p>
    <w:p>
      <w:pPr>
        <w:ind w:left="200"/>
        <w:spacing w:after="0"/>
        <w:rPr>
          <w:sz w:val="20"/>
          <w:szCs w:val="20"/>
          <w:color w:val="auto"/>
        </w:rPr>
      </w:pPr>
      <w:r>
        <w:rPr>
          <w:rFonts w:ascii="Arial" w:cs="Arial" w:eastAsia="Arial" w:hAnsi="Arial"/>
          <w:sz w:val="14"/>
          <w:szCs w:val="14"/>
          <w:color w:val="auto"/>
        </w:rPr>
        <w:t xml:space="preserve">Acceo Solutions, Inc. </w:t>
      </w:r>
      <w:r>
        <w:rPr>
          <w:rFonts w:ascii="Arial" w:cs="Arial" w:eastAsia="Arial" w:hAnsi="Arial"/>
          <w:sz w:val="12"/>
          <w:szCs w:val="12"/>
          <w:color w:val="auto"/>
        </w:rPr>
        <w:t>(3)(4)(5)</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Integration Appliance, Inc. </w:t>
      </w:r>
      <w:r>
        <w:rPr>
          <w:rFonts w:ascii="Arial" w:cs="Arial" w:eastAsia="Arial" w:hAnsi="Arial"/>
          <w:sz w:val="12"/>
          <w:szCs w:val="12"/>
          <w:color w:val="auto"/>
        </w:rPr>
        <w:t>(3)</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Jive Software, Inc. </w:t>
      </w:r>
      <w:r>
        <w:rPr>
          <w:rFonts w:ascii="Arial" w:cs="Arial" w:eastAsia="Arial" w:hAnsi="Arial"/>
          <w:sz w:val="12"/>
          <w:szCs w:val="12"/>
          <w:color w:val="auto"/>
        </w:rPr>
        <w:t>(3)(5)</w:t>
      </w:r>
    </w:p>
    <w:p>
      <w:pPr>
        <w:ind w:left="200"/>
        <w:spacing w:after="0" w:line="221" w:lineRule="auto"/>
        <w:rPr>
          <w:sz w:val="20"/>
          <w:szCs w:val="20"/>
          <w:color w:val="auto"/>
        </w:rPr>
      </w:pPr>
      <w:r>
        <w:rPr>
          <w:rFonts w:ascii="Arial" w:cs="Arial" w:eastAsia="Arial" w:hAnsi="Arial"/>
          <w:sz w:val="14"/>
          <w:szCs w:val="14"/>
          <w:color w:val="auto"/>
        </w:rPr>
        <w:t xml:space="preserve">Motus, LLC </w:t>
      </w:r>
      <w:r>
        <w:rPr>
          <w:rFonts w:ascii="Arial" w:cs="Arial" w:eastAsia="Arial" w:hAnsi="Arial"/>
          <w:sz w:val="12"/>
          <w:szCs w:val="12"/>
          <w:color w:val="auto"/>
        </w:rPr>
        <w:t>(3)</w:t>
      </w:r>
    </w:p>
    <w:p>
      <w:pPr>
        <w:ind w:left="200"/>
        <w:spacing w:after="0" w:line="221" w:lineRule="auto"/>
        <w:rPr>
          <w:sz w:val="20"/>
          <w:szCs w:val="20"/>
          <w:color w:val="auto"/>
        </w:rPr>
      </w:pPr>
      <w:r>
        <w:rPr>
          <w:rFonts w:ascii="Arial" w:cs="Arial" w:eastAsia="Arial" w:hAnsi="Arial"/>
          <w:sz w:val="14"/>
          <w:szCs w:val="14"/>
          <w:color w:val="auto"/>
        </w:rPr>
        <w:t xml:space="preserve">Nintex Global Limited </w:t>
      </w:r>
      <w:r>
        <w:rPr>
          <w:rFonts w:ascii="Arial" w:cs="Arial" w:eastAsia="Arial" w:hAnsi="Arial"/>
          <w:sz w:val="12"/>
          <w:szCs w:val="12"/>
          <w:color w:val="auto"/>
        </w:rPr>
        <w:t>(3)(5)</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Sovos Compliance, LLC </w:t>
      </w:r>
      <w:r>
        <w:rPr>
          <w:rFonts w:ascii="Arial" w:cs="Arial" w:eastAsia="Arial" w:hAnsi="Arial"/>
          <w:sz w:val="12"/>
          <w:szCs w:val="12"/>
          <w:color w:val="auto"/>
        </w:rPr>
        <w:t>(3)</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Chemicals</w:t>
      </w:r>
    </w:p>
    <w:p>
      <w:pPr>
        <w:ind w:left="200"/>
        <w:spacing w:after="0" w:line="226" w:lineRule="auto"/>
        <w:rPr>
          <w:sz w:val="20"/>
          <w:szCs w:val="20"/>
          <w:color w:val="auto"/>
        </w:rPr>
      </w:pPr>
      <w:r>
        <w:rPr>
          <w:rFonts w:ascii="Arial" w:cs="Arial" w:eastAsia="Arial" w:hAnsi="Arial"/>
          <w:sz w:val="14"/>
          <w:szCs w:val="14"/>
          <w:color w:val="auto"/>
        </w:rPr>
        <w:t xml:space="preserve">Vertellus Specialties, Inc. </w:t>
      </w:r>
      <w:r>
        <w:rPr>
          <w:rFonts w:ascii="Arial" w:cs="Arial" w:eastAsia="Arial" w:hAnsi="Arial"/>
          <w:sz w:val="12"/>
          <w:szCs w:val="12"/>
          <w:color w:val="auto"/>
        </w:rPr>
        <w:t>(3)</w:t>
      </w:r>
    </w:p>
    <w:p>
      <w:pPr>
        <w:ind w:left="200"/>
        <w:spacing w:after="0" w:line="222" w:lineRule="auto"/>
        <w:rPr>
          <w:sz w:val="20"/>
          <w:szCs w:val="20"/>
          <w:color w:val="auto"/>
        </w:rPr>
      </w:pPr>
      <w:r>
        <w:rPr>
          <w:rFonts w:ascii="Arial" w:cs="Arial" w:eastAsia="Arial" w:hAnsi="Arial"/>
          <w:sz w:val="14"/>
          <w:szCs w:val="14"/>
          <w:b w:val="1"/>
          <w:bCs w:val="1"/>
          <w:color w:val="auto"/>
        </w:rPr>
        <w:t>Education</w:t>
      </w:r>
    </w:p>
    <w:p>
      <w:pPr>
        <w:ind w:left="200"/>
        <w:spacing w:after="0"/>
        <w:rPr>
          <w:sz w:val="20"/>
          <w:szCs w:val="20"/>
          <w:color w:val="auto"/>
        </w:rPr>
      </w:pPr>
      <w:r>
        <w:rPr>
          <w:rFonts w:ascii="Arial" w:cs="Arial" w:eastAsia="Arial" w:hAnsi="Arial"/>
          <w:sz w:val="14"/>
          <w:szCs w:val="14"/>
          <w:color w:val="auto"/>
        </w:rPr>
        <w:t xml:space="preserve">Curriculum Associates, LLC </w:t>
      </w:r>
      <w:r>
        <w:rPr>
          <w:rFonts w:ascii="Arial" w:cs="Arial" w:eastAsia="Arial" w:hAnsi="Arial"/>
          <w:sz w:val="12"/>
          <w:szCs w:val="12"/>
          <w:color w:val="auto"/>
        </w:rPr>
        <w:t>(3)(5)</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 xml:space="preserve">Frontline Technologies Group, LLC </w:t>
      </w:r>
      <w:r>
        <w:rPr>
          <w:rFonts w:ascii="Arial" w:cs="Arial" w:eastAsia="Arial" w:hAnsi="Arial"/>
          <w:sz w:val="11"/>
          <w:szCs w:val="11"/>
          <w:color w:val="auto"/>
        </w:rPr>
        <w:t>(3)</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Illuminate Education, Inc.</w:t>
      </w:r>
      <w:r>
        <w:rPr>
          <w:rFonts w:ascii="Arial" w:cs="Arial" w:eastAsia="Arial" w:hAnsi="Arial"/>
          <w:sz w:val="12"/>
          <w:szCs w:val="12"/>
          <w:color w:val="auto"/>
        </w:rPr>
        <w:t>(3)(5)</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Electronics</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Monitronics International, Inc. </w:t>
      </w:r>
      <w:r>
        <w:rPr>
          <w:rFonts w:ascii="Arial" w:cs="Arial" w:eastAsia="Arial" w:hAnsi="Arial"/>
          <w:sz w:val="12"/>
          <w:szCs w:val="12"/>
          <w:color w:val="auto"/>
        </w:rPr>
        <w:t>(3)(11)</w:t>
      </w:r>
    </w:p>
    <w:p>
      <w:pPr>
        <w:spacing w:after="0" w:line="1" w:lineRule="exact"/>
        <w:rPr>
          <w:sz w:val="20"/>
          <w:szCs w:val="20"/>
          <w:color w:val="auto"/>
        </w:rPr>
      </w:pPr>
    </w:p>
    <w:p>
      <w:pPr>
        <w:ind w:left="200" w:right="680"/>
        <w:spacing w:after="0" w:line="229" w:lineRule="auto"/>
        <w:rPr>
          <w:sz w:val="20"/>
          <w:szCs w:val="20"/>
          <w:color w:val="auto"/>
        </w:rPr>
      </w:pPr>
      <w:r>
        <w:rPr>
          <w:rFonts w:ascii="Arial" w:cs="Arial" w:eastAsia="Arial" w:hAnsi="Arial"/>
          <w:sz w:val="14"/>
          <w:szCs w:val="14"/>
          <w:b w:val="1"/>
          <w:bCs w:val="1"/>
          <w:color w:val="auto"/>
        </w:rPr>
        <w:t xml:space="preserve">Financial services </w:t>
      </w:r>
      <w:r>
        <w:rPr>
          <w:rFonts w:ascii="Arial" w:cs="Arial" w:eastAsia="Arial" w:hAnsi="Arial"/>
          <w:sz w:val="14"/>
          <w:szCs w:val="14"/>
          <w:color w:val="auto"/>
        </w:rPr>
        <w:t xml:space="preserve">AppStar Financial, LLC </w:t>
      </w:r>
      <w:r>
        <w:rPr>
          <w:rFonts w:ascii="Arial" w:cs="Arial" w:eastAsia="Arial" w:hAnsi="Arial"/>
          <w:sz w:val="12"/>
          <w:szCs w:val="12"/>
          <w:color w:val="auto"/>
        </w:rPr>
        <w:t>(3)</w:t>
      </w:r>
      <w:r>
        <w:rPr>
          <w:rFonts w:ascii="Arial" w:cs="Arial" w:eastAsia="Arial" w:hAnsi="Arial"/>
          <w:sz w:val="14"/>
          <w:szCs w:val="14"/>
          <w:color w:val="auto"/>
        </w:rPr>
        <w:t xml:space="preserve"> AvidXchange, Inc. </w:t>
      </w:r>
      <w:r>
        <w:rPr>
          <w:rFonts w:ascii="Arial" w:cs="Arial" w:eastAsia="Arial" w:hAnsi="Arial"/>
          <w:sz w:val="12"/>
          <w:szCs w:val="12"/>
          <w:color w:val="auto"/>
        </w:rPr>
        <w:t>(3)</w:t>
      </w:r>
      <w:r>
        <w:rPr>
          <w:rFonts w:ascii="Arial" w:cs="Arial" w:eastAsia="Arial" w:hAnsi="Arial"/>
          <w:sz w:val="14"/>
          <w:szCs w:val="14"/>
          <w:color w:val="auto"/>
        </w:rPr>
        <w:t xml:space="preserve"> G Treasury SS, LLC </w:t>
      </w:r>
      <w:r>
        <w:rPr>
          <w:rFonts w:ascii="Arial" w:cs="Arial" w:eastAsia="Arial" w:hAnsi="Arial"/>
          <w:sz w:val="12"/>
          <w:szCs w:val="12"/>
          <w:color w:val="auto"/>
        </w:rPr>
        <w:t>(3)</w:t>
      </w: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GC Agile Holdings Limited </w:t>
      </w:r>
      <w:r>
        <w:rPr>
          <w:rFonts w:ascii="Arial" w:cs="Arial" w:eastAsia="Arial" w:hAnsi="Arial"/>
          <w:sz w:val="12"/>
          <w:szCs w:val="12"/>
          <w:color w:val="auto"/>
        </w:rPr>
        <w:t>(3)(4)</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Government Brands, LLC </w:t>
      </w:r>
      <w:r>
        <w:rPr>
          <w:rFonts w:ascii="Arial" w:cs="Arial" w:eastAsia="Arial" w:hAnsi="Arial"/>
          <w:sz w:val="12"/>
          <w:szCs w:val="12"/>
          <w:color w:val="auto"/>
        </w:rPr>
        <w:t>(3)</w:t>
      </w: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PayLease, LLC </w:t>
      </w:r>
      <w:r>
        <w:rPr>
          <w:rFonts w:ascii="Arial" w:cs="Arial" w:eastAsia="Arial" w:hAnsi="Arial"/>
          <w:sz w:val="12"/>
          <w:szCs w:val="12"/>
          <w:color w:val="auto"/>
        </w:rPr>
        <w:t>(3)</w:t>
      </w:r>
    </w:p>
    <w:p>
      <w:pPr>
        <w:ind w:left="200"/>
        <w:spacing w:after="0"/>
        <w:rPr>
          <w:sz w:val="20"/>
          <w:szCs w:val="20"/>
          <w:color w:val="auto"/>
        </w:rPr>
      </w:pPr>
      <w:r>
        <w:rPr>
          <w:rFonts w:ascii="Arial" w:cs="Arial" w:eastAsia="Arial" w:hAnsi="Arial"/>
          <w:sz w:val="14"/>
          <w:szCs w:val="14"/>
          <w:color w:val="auto"/>
        </w:rPr>
        <w:t xml:space="preserve">PaySimple, Inc. </w:t>
      </w:r>
      <w:r>
        <w:rPr>
          <w:rFonts w:ascii="Arial" w:cs="Arial" w:eastAsia="Arial" w:hAnsi="Arial"/>
          <w:sz w:val="12"/>
          <w:szCs w:val="12"/>
          <w:color w:val="auto"/>
        </w:rPr>
        <w:t>(3)(5)</w:t>
      </w: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PrimeRevenue, Inc. </w:t>
      </w: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Initial</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8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Interest</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Investment</w:t>
            </w:r>
          </w:p>
        </w:tc>
        <w:tc>
          <w:tcPr>
            <w:tcW w:w="900" w:type="dxa"/>
            <w:vAlign w:val="bottom"/>
            <w:gridSpan w:val="2"/>
          </w:tcPr>
          <w:p>
            <w:pPr>
              <w:jc w:val="center"/>
              <w:ind w:left="108"/>
              <w:spacing w:after="0" w:line="142" w:lineRule="exact"/>
              <w:rPr>
                <w:sz w:val="20"/>
                <w:szCs w:val="20"/>
                <w:color w:val="auto"/>
              </w:rPr>
            </w:pPr>
            <w:r>
              <w:rPr>
                <w:rFonts w:ascii="Arial" w:cs="Arial" w:eastAsia="Arial" w:hAnsi="Arial"/>
                <w:sz w:val="14"/>
                <w:szCs w:val="14"/>
                <w:b w:val="1"/>
                <w:bCs w:val="1"/>
                <w:color w:val="auto"/>
                <w:w w:val="94"/>
              </w:rPr>
              <w:t>Acquisition</w:t>
            </w:r>
          </w:p>
        </w:tc>
        <w:tc>
          <w:tcPr>
            <w:tcW w:w="240" w:type="dxa"/>
            <w:vAlign w:val="bottom"/>
          </w:tcPr>
          <w:p>
            <w:pPr>
              <w:spacing w:after="0"/>
              <w:rPr>
                <w:sz w:val="12"/>
                <w:szCs w:val="12"/>
                <w:color w:val="auto"/>
              </w:rPr>
            </w:pPr>
          </w:p>
        </w:tc>
        <w:tc>
          <w:tcPr>
            <w:tcW w:w="8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4"/>
              </w:rPr>
              <w:t>Rate and</w:t>
            </w:r>
          </w:p>
        </w:tc>
        <w:tc>
          <w:tcPr>
            <w:tcW w:w="80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Spread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Rate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2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3"/>
              </w:rPr>
              <w:t>(10)</w:t>
            </w:r>
          </w:p>
        </w:tc>
        <w:tc>
          <w:tcPr>
            <w:tcW w:w="180" w:type="dxa"/>
            <w:vAlign w:val="bottom"/>
          </w:tcPr>
          <w:p>
            <w:pPr>
              <w:spacing w:after="0"/>
              <w:rPr>
                <w:sz w:val="14"/>
                <w:szCs w:val="1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2540" w:type="dxa"/>
            <w:vAlign w:val="bottom"/>
            <w:gridSpan w:val="2"/>
          </w:tcPr>
          <w:p>
            <w:pPr>
              <w:spacing w:after="0"/>
              <w:rPr>
                <w:sz w:val="20"/>
                <w:szCs w:val="20"/>
                <w:color w:val="auto"/>
              </w:rPr>
            </w:pPr>
            <w:r>
              <w:rPr>
                <w:rFonts w:ascii="Arial" w:cs="Arial" w:eastAsia="Arial" w:hAnsi="Arial"/>
                <w:sz w:val="14"/>
                <w:szCs w:val="14"/>
                <w:color w:val="auto"/>
                <w:w w:val="97"/>
              </w:rPr>
              <w:t>First-lien loan ($46,441 par, due 10/2023)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10/16/2018</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+ 6.25%</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8.75%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45,781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$ 45,628</w:t>
            </w: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7"/>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(CAD 64,513 par, due</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7/6/2018</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C + 5.25%</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7.23%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48,205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47,444</w:t>
            </w: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7/2023)</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(CAD)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63,384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($52,381 par, due 8/2023)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8/13/2018</w:t>
            </w:r>
          </w:p>
        </w:tc>
        <w:tc>
          <w:tcPr>
            <w:tcW w:w="2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+ 7.25%</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9.75%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51,676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51,595</w:t>
            </w:r>
          </w:p>
        </w:tc>
        <w:tc>
          <w:tcPr>
            <w:tcW w:w="1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revolving loan ($2,095 par, due</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8/13/2018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+ 7.25%</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9.74%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2,056</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8/2023)</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($51,435 par, due 6/2022)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6/12/2017</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+ 9.25%</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11.75%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50,085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53,621</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($68,880 par, due 1/2024)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+ 6.75%</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9.53%</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67,328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69,811</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($74,789 par, due 4/2024)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3/30/2018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+ 6.75%</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9.25%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73,200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75,163</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7"/>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($36,360 par, due 3/2022)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7/1/2016</w:t>
            </w:r>
          </w:p>
        </w:tc>
        <w:tc>
          <w:tcPr>
            <w:tcW w:w="2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+ 6.00%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35,970</w:t>
            </w: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36,457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328,525</w:t>
            </w:r>
          </w:p>
        </w:tc>
        <w:tc>
          <w:tcPr>
            <w:tcW w:w="240" w:type="dxa"/>
            <w:vAlign w:val="bottom"/>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336,147</w:t>
            </w:r>
          </w:p>
        </w:tc>
        <w:tc>
          <w:tcPr>
            <w:tcW w:w="18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4"/>
                <w:szCs w:val="14"/>
                <w:color w:val="auto"/>
                <w:w w:val="93"/>
              </w:rPr>
              <w:t>Second-lien loan ($3,341 par, due 10/2021)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10/31/2016</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L + 12.00%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14.41%</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3,341</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3,341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7"/>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($49,625 par, due 2/2024)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2/28/2018</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+ 6.00%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8.53%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48,307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50,617</w:t>
            </w: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($49,192 par, due 9/2023)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9/18/2017</w:t>
            </w:r>
          </w:p>
        </w:tc>
        <w:tc>
          <w:tcPr>
            <w:tcW w:w="2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+ 6.50%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9.10%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48,716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49,192</w:t>
            </w:r>
          </w:p>
        </w:tc>
        <w:tc>
          <w:tcPr>
            <w:tcW w:w="1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1"/>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($64,513 par, due 8/2022)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8/25/2017</w:t>
            </w:r>
          </w:p>
        </w:tc>
        <w:tc>
          <w:tcPr>
            <w:tcW w:w="24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+ 7.25%</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9.75%</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63,512</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63,706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160,535</w:t>
            </w:r>
          </w:p>
        </w:tc>
        <w:tc>
          <w:tcPr>
            <w:tcW w:w="240" w:type="dxa"/>
            <w:vAlign w:val="bottom"/>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163,515</w:t>
            </w:r>
          </w:p>
        </w:tc>
        <w:tc>
          <w:tcPr>
            <w:tcW w:w="1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($1,164 par, due 9/2022)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1/2/2019</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+ 5.50%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1,010</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969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7"/>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($18,056 par, due 8/2020)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8/18/2015</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+ 7.50%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10.00%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17,912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18,207</w:t>
            </w: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($54,449 par, due 8/2020)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8/7/2015</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+ 9.50%</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54,133</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55,130</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($30,749 par, due 4/2022)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+ 9.25%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11.99%</w:t>
            </w: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30,196</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30,277</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PIK)</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($32,910 par, due 6/2025)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1/31/2019</w:t>
            </w:r>
          </w:p>
        </w:tc>
        <w:tc>
          <w:tcPr>
            <w:tcW w:w="2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+ 7.00%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9.72%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32,198</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32,310</w:t>
            </w:r>
          </w:p>
        </w:tc>
        <w:tc>
          <w:tcPr>
            <w:tcW w:w="1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($46,151 par, due 3/2023)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3/15/2018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+ 9.25%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11.75%</w:t>
            </w: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45,325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45,512</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PIK)</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($59,807 par, due 7/2022)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7/28/2017</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+ 7.00%</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9.50%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58,892</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59,649</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($59,621 par, due 3/2022)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4/17/2018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+ 8.25%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10.75%</w:t>
            </w: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59,365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59,173</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PIK)</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w w:val="97"/>
              </w:rPr>
              <w:t>First-lien loan ($20,270 par, due 12/2023)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12/31/2018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+ 8.50%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11.00%</w:t>
            </w: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19,957</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20,204</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PIK)</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-1859280</wp:posOffset>
            </wp:positionH>
            <wp:positionV relativeFrom="paragraph">
              <wp:posOffset>-4391025</wp:posOffset>
            </wp:positionV>
            <wp:extent cx="6997700" cy="946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-4202430</wp:posOffset>
            </wp:positionV>
            <wp:extent cx="6997700" cy="1028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-4004945</wp:posOffset>
            </wp:positionV>
            <wp:extent cx="6997700" cy="291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6997700" cy="29146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-3610610</wp:posOffset>
            </wp:positionV>
            <wp:extent cx="6997700"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6997700" cy="18859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-3328035</wp:posOffset>
            </wp:positionV>
            <wp:extent cx="6997700" cy="946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-3138805</wp:posOffset>
            </wp:positionV>
            <wp:extent cx="6997700" cy="946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-2915920</wp:posOffset>
            </wp:positionV>
            <wp:extent cx="6997700" cy="946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-2727325</wp:posOffset>
            </wp:positionV>
            <wp:extent cx="6997700" cy="946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-2530475</wp:posOffset>
            </wp:positionV>
            <wp:extent cx="6997700" cy="1028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-2306955</wp:posOffset>
            </wp:positionV>
            <wp:extent cx="6997700" cy="946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-2101215</wp:posOffset>
            </wp:positionV>
            <wp:extent cx="6997700" cy="1028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-1904365</wp:posOffset>
            </wp:positionV>
            <wp:extent cx="6997700" cy="946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-1715770</wp:posOffset>
            </wp:positionV>
            <wp:extent cx="6997700" cy="3771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6997700" cy="37719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-1235075</wp:posOffset>
            </wp:positionV>
            <wp:extent cx="6997700" cy="3771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6997700" cy="37719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-763270</wp:posOffset>
            </wp:positionV>
            <wp:extent cx="6997700" cy="3771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6997700" cy="377190"/>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2460" w:space="680"/>
            <w:col w:w="8040"/>
          </w:cols>
          <w:pgMar w:left="240" w:top="459" w:right="479" w:bottom="1440" w:gutter="0" w:footer="0" w:header="0"/>
          <w:type w:val="continuous"/>
        </w:sectPr>
      </w:pPr>
    </w:p>
    <w:p>
      <w:pPr>
        <w:jc w:val="center"/>
        <w:ind w:right="-2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180"/>
          </w:cols>
          <w:pgMar w:left="240" w:top="459" w:right="47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Initial</w:t>
            </w: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360" w:type="dxa"/>
            <w:vAlign w:val="bottom"/>
          </w:tcPr>
          <w:p>
            <w:pPr>
              <w:spacing w:after="0"/>
              <w:rPr>
                <w:sz w:val="13"/>
                <w:szCs w:val="13"/>
                <w:color w:val="auto"/>
              </w:rPr>
            </w:pPr>
          </w:p>
        </w:tc>
        <w:tc>
          <w:tcPr>
            <w:tcW w:w="266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Investment</w:t>
            </w:r>
          </w:p>
        </w:tc>
        <w:tc>
          <w:tcPr>
            <w:tcW w:w="840" w:type="dxa"/>
            <w:vAlign w:val="bottom"/>
            <w:gridSpan w:val="2"/>
          </w:tcPr>
          <w:p>
            <w:pPr>
              <w:jc w:val="center"/>
              <w:ind w:left="28"/>
              <w:spacing w:after="0" w:line="151"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3"/>
                <w:szCs w:val="13"/>
                <w:color w:val="auto"/>
              </w:rPr>
            </w:pPr>
          </w:p>
        </w:tc>
        <w:tc>
          <w:tcPr>
            <w:tcW w:w="780" w:type="dxa"/>
            <w:vAlign w:val="bottom"/>
            <w:gridSpan w:val="2"/>
          </w:tcPr>
          <w:p>
            <w:pPr>
              <w:jc w:val="center"/>
              <w:ind w:right="108"/>
              <w:spacing w:after="0" w:line="151" w:lineRule="exact"/>
              <w:rPr>
                <w:sz w:val="20"/>
                <w:szCs w:val="20"/>
                <w:color w:val="auto"/>
              </w:rPr>
            </w:pPr>
            <w:r>
              <w:rPr>
                <w:rFonts w:ascii="Arial" w:cs="Arial" w:eastAsia="Arial" w:hAnsi="Arial"/>
                <w:sz w:val="14"/>
                <w:szCs w:val="14"/>
                <w:b w:val="1"/>
                <w:bCs w:val="1"/>
                <w:color w:val="auto"/>
                <w:w w:val="94"/>
              </w:rPr>
              <w:t>Rate and</w:t>
            </w:r>
          </w:p>
        </w:tc>
        <w:tc>
          <w:tcPr>
            <w:tcW w:w="720" w:type="dxa"/>
            <w:vAlign w:val="bottom"/>
            <w:gridSpan w:val="3"/>
          </w:tcPr>
          <w:p>
            <w:pPr>
              <w:jc w:val="right"/>
              <w:ind w:right="138"/>
              <w:spacing w:after="0" w:line="151" w:lineRule="exact"/>
              <w:rPr>
                <w:sz w:val="20"/>
                <w:szCs w:val="20"/>
                <w:color w:val="auto"/>
              </w:rPr>
            </w:pPr>
            <w:r>
              <w:rPr>
                <w:rFonts w:ascii="Arial" w:cs="Arial" w:eastAsia="Arial" w:hAnsi="Arial"/>
                <w:sz w:val="14"/>
                <w:szCs w:val="14"/>
                <w:b w:val="1"/>
                <w:bCs w:val="1"/>
                <w:color w:val="auto"/>
                <w:w w:val="98"/>
              </w:rPr>
              <w:t>Interest</w:t>
            </w:r>
          </w:p>
        </w:tc>
        <w:tc>
          <w:tcPr>
            <w:tcW w:w="74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3"/>
                <w:szCs w:val="13"/>
                <w:color w:val="auto"/>
              </w:rPr>
            </w:pPr>
          </w:p>
        </w:tc>
        <w:tc>
          <w:tcPr>
            <w:tcW w:w="960" w:type="dxa"/>
            <w:vAlign w:val="bottom"/>
            <w:gridSpan w:val="2"/>
          </w:tcPr>
          <w:p>
            <w:pPr>
              <w:ind w:left="80"/>
              <w:spacing w:after="0" w:line="151"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3"/>
                <w:szCs w:val="13"/>
                <w:color w:val="auto"/>
              </w:rPr>
            </w:pPr>
          </w:p>
        </w:tc>
        <w:tc>
          <w:tcPr>
            <w:tcW w:w="960" w:type="dxa"/>
            <w:vAlign w:val="bottom"/>
            <w:gridSpan w:val="2"/>
          </w:tcPr>
          <w:p>
            <w:pPr>
              <w:jc w:val="right"/>
              <w:ind w:right="168"/>
              <w:spacing w:after="0" w:line="151" w:lineRule="exact"/>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55"/>
        </w:trPr>
        <w:tc>
          <w:tcPr>
            <w:tcW w:w="264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3"/>
                <w:szCs w:val="13"/>
                <w:color w:val="auto"/>
              </w:rPr>
            </w:pPr>
          </w:p>
        </w:tc>
        <w:tc>
          <w:tcPr>
            <w:tcW w:w="780" w:type="dxa"/>
            <w:vAlign w:val="bottom"/>
            <w:gridSpan w:val="2"/>
          </w:tcPr>
          <w:p>
            <w:pPr>
              <w:jc w:val="center"/>
              <w:ind w:right="108"/>
              <w:spacing w:after="0" w:line="155" w:lineRule="exact"/>
              <w:rPr>
                <w:sz w:val="20"/>
                <w:szCs w:val="20"/>
                <w:color w:val="auto"/>
              </w:rPr>
            </w:pPr>
            <w:r>
              <w:rPr>
                <w:rFonts w:ascii="Arial" w:cs="Arial" w:eastAsia="Arial" w:hAnsi="Arial"/>
                <w:sz w:val="14"/>
                <w:szCs w:val="14"/>
                <w:b w:val="1"/>
                <w:bCs w:val="1"/>
                <w:color w:val="auto"/>
                <w:w w:val="92"/>
              </w:rPr>
              <w:t>Spread</w:t>
            </w:r>
          </w:p>
        </w:tc>
        <w:tc>
          <w:tcPr>
            <w:tcW w:w="40" w:type="dxa"/>
            <w:vAlign w:val="bottom"/>
          </w:tcPr>
          <w:p>
            <w:pPr>
              <w:spacing w:after="0"/>
              <w:rPr>
                <w:sz w:val="13"/>
                <w:szCs w:val="13"/>
                <w:color w:val="auto"/>
              </w:rPr>
            </w:pPr>
          </w:p>
        </w:tc>
        <w:tc>
          <w:tcPr>
            <w:tcW w:w="680" w:type="dxa"/>
            <w:vAlign w:val="bottom"/>
            <w:gridSpan w:val="2"/>
          </w:tcPr>
          <w:p>
            <w:pPr>
              <w:jc w:val="right"/>
              <w:ind w:right="238"/>
              <w:spacing w:after="0" w:line="155" w:lineRule="exact"/>
              <w:rPr>
                <w:sz w:val="20"/>
                <w:szCs w:val="20"/>
                <w:color w:val="auto"/>
              </w:rPr>
            </w:pPr>
            <w:r>
              <w:rPr>
                <w:rFonts w:ascii="Arial" w:cs="Arial" w:eastAsia="Arial" w:hAnsi="Arial"/>
                <w:sz w:val="14"/>
                <w:szCs w:val="14"/>
                <w:b w:val="1"/>
                <w:bCs w:val="1"/>
                <w:color w:val="auto"/>
              </w:rPr>
              <w:t>Rate</w:t>
            </w:r>
          </w:p>
        </w:tc>
        <w:tc>
          <w:tcPr>
            <w:tcW w:w="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980" w:type="dxa"/>
            <w:vAlign w:val="bottom"/>
            <w:gridSpan w:val="2"/>
          </w:tcPr>
          <w:p>
            <w:pPr>
              <w:jc w:val="right"/>
              <w:ind w:right="248"/>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3"/>
                <w:szCs w:val="13"/>
                <w:color w:val="auto"/>
              </w:rPr>
            </w:pPr>
          </w:p>
        </w:tc>
        <w:tc>
          <w:tcPr>
            <w:tcW w:w="1040" w:type="dxa"/>
            <w:vAlign w:val="bottom"/>
            <w:gridSpan w:val="3"/>
          </w:tcPr>
          <w:p>
            <w:pPr>
              <w:jc w:val="right"/>
              <w:ind w:right="108"/>
              <w:spacing w:after="0" w:line="155" w:lineRule="exact"/>
              <w:rPr>
                <w:sz w:val="20"/>
                <w:szCs w:val="20"/>
                <w:color w:val="auto"/>
              </w:rPr>
            </w:pPr>
            <w:r>
              <w:rPr>
                <w:rFonts w:ascii="Arial" w:cs="Arial" w:eastAsia="Arial" w:hAnsi="Arial"/>
                <w:sz w:val="14"/>
                <w:szCs w:val="14"/>
                <w:b w:val="1"/>
                <w:bCs w:val="1"/>
                <w:color w:val="auto"/>
                <w:w w:val="93"/>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 xml:space="preserve">Swift Gift Limited </w:t>
            </w:r>
            <w:r>
              <w:rPr>
                <w:rFonts w:ascii="Arial" w:cs="Arial" w:eastAsia="Arial" w:hAnsi="Arial"/>
                <w:sz w:val="12"/>
                <w:szCs w:val="12"/>
                <w:color w:val="auto"/>
              </w:rPr>
              <w:t>(3)(5)</w:t>
            </w:r>
          </w:p>
        </w:tc>
        <w:tc>
          <w:tcPr>
            <w:tcW w:w="36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First-lien loan ($28,693 par, due 1/2022)</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7/31/2017</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ind w:left="120"/>
              <w:spacing w:after="0" w:line="136" w:lineRule="exact"/>
              <w:rPr>
                <w:sz w:val="20"/>
                <w:szCs w:val="20"/>
                <w:color w:val="auto"/>
              </w:rPr>
            </w:pPr>
            <w:r>
              <w:rPr>
                <w:rFonts w:ascii="Arial" w:cs="Arial" w:eastAsia="Arial" w:hAnsi="Arial"/>
                <w:sz w:val="14"/>
                <w:szCs w:val="14"/>
                <w:color w:val="auto"/>
                <w:w w:val="94"/>
              </w:rPr>
              <w:t>L + 6.50</w:t>
            </w:r>
          </w:p>
        </w:tc>
        <w:tc>
          <w:tcPr>
            <w:tcW w:w="1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9.00</w:t>
            </w:r>
          </w:p>
        </w:tc>
        <w:tc>
          <w:tcPr>
            <w:tcW w:w="180" w:type="dxa"/>
            <w:vAlign w:val="bottom"/>
            <w:shd w:val="clear" w:color="auto" w:fill="CCEEFF"/>
          </w:tcPr>
          <w:p>
            <w:pPr>
              <w:jc w:val="right"/>
              <w:ind w:right="18"/>
              <w:spacing w:after="0" w:line="136" w:lineRule="exact"/>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28,195</w:t>
            </w:r>
          </w:p>
        </w:tc>
        <w:tc>
          <w:tcPr>
            <w:tcW w:w="16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29,984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2.8</w:t>
            </w:r>
          </w:p>
        </w:tc>
        <w:tc>
          <w:tcPr>
            <w:tcW w:w="1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346,173</w:t>
            </w:r>
          </w:p>
        </w:tc>
        <w:tc>
          <w:tcPr>
            <w:tcW w:w="160" w:type="dxa"/>
            <w:vAlign w:val="bottom"/>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350,446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Healthcare</w:t>
            </w: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Caris Life Sciences, Ltd.</w:t>
            </w: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First-lien loan ($2,500 par, due 9/2023)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9/21/2018</w:t>
            </w: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11.30%</w:t>
            </w:r>
          </w:p>
        </w:tc>
        <w:tc>
          <w:tcPr>
            <w:tcW w:w="720" w:type="dxa"/>
            <w:vAlign w:val="bottom"/>
            <w:gridSpan w:val="3"/>
          </w:tcPr>
          <w:p>
            <w:pPr>
              <w:jc w:val="right"/>
              <w:ind w:right="18"/>
              <w:spacing w:after="0" w:line="149" w:lineRule="exact"/>
              <w:rPr>
                <w:sz w:val="20"/>
                <w:szCs w:val="20"/>
                <w:color w:val="auto"/>
              </w:rPr>
            </w:pPr>
            <w:r>
              <w:rPr>
                <w:rFonts w:ascii="Arial" w:cs="Arial" w:eastAsia="Arial" w:hAnsi="Arial"/>
                <w:sz w:val="14"/>
                <w:szCs w:val="14"/>
                <w:color w:val="auto"/>
              </w:rPr>
              <w:t>11.30%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2,318</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2,306</w:t>
            </w:r>
          </w:p>
        </w:tc>
        <w:tc>
          <w:tcPr>
            <w:tcW w:w="140" w:type="dxa"/>
            <w:vAlign w:val="bottom"/>
          </w:tcPr>
          <w:p>
            <w:pPr>
              <w:spacing w:after="0"/>
              <w:rPr>
                <w:sz w:val="12"/>
                <w:szCs w:val="12"/>
                <w:color w:val="auto"/>
              </w:rPr>
            </w:pP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Convertible note ($2,500 par, due 9/2023)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9/21/2018</w:t>
            </w: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720" w:type="dxa"/>
            <w:vAlign w:val="bottom"/>
            <w:gridSpan w:val="3"/>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8.00%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2,531</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4"/>
                <w:szCs w:val="14"/>
                <w:color w:val="auto"/>
              </w:rPr>
              <w:t xml:space="preserve">Integrated Practice Solutions, Inc. </w:t>
            </w:r>
            <w:r>
              <w:rPr>
                <w:rFonts w:ascii="Arial" w:cs="Arial" w:eastAsia="Arial" w:hAnsi="Arial"/>
                <w:sz w:val="12"/>
                <w:szCs w:val="12"/>
                <w:color w:val="auto"/>
              </w:rPr>
              <w:t>(3)(5)</w:t>
            </w:r>
          </w:p>
        </w:tc>
        <w:tc>
          <w:tcPr>
            <w:tcW w:w="3020" w:type="dxa"/>
            <w:vAlign w:val="bottom"/>
            <w:gridSpan w:val="2"/>
          </w:tcPr>
          <w:p>
            <w:pPr>
              <w:ind w:left="340"/>
              <w:spacing w:after="0"/>
              <w:rPr>
                <w:sz w:val="20"/>
                <w:szCs w:val="20"/>
                <w:color w:val="auto"/>
              </w:rPr>
            </w:pPr>
            <w:r>
              <w:rPr>
                <w:rFonts w:ascii="Arial" w:cs="Arial" w:eastAsia="Arial" w:hAnsi="Arial"/>
                <w:sz w:val="14"/>
                <w:szCs w:val="14"/>
                <w:color w:val="auto"/>
              </w:rPr>
              <w:t>First-lien loan ($36,409 par, due 6/2022)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6/30/2017</w:t>
            </w: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L + 8.00%</w:t>
            </w:r>
          </w:p>
        </w:tc>
        <w:tc>
          <w:tcPr>
            <w:tcW w:w="720" w:type="dxa"/>
            <w:vAlign w:val="bottom"/>
            <w:gridSpan w:val="3"/>
          </w:tcPr>
          <w:p>
            <w:pPr>
              <w:jc w:val="right"/>
              <w:ind w:right="18"/>
              <w:spacing w:after="0"/>
              <w:rPr>
                <w:sz w:val="20"/>
                <w:szCs w:val="20"/>
                <w:color w:val="auto"/>
              </w:rPr>
            </w:pPr>
            <w:r>
              <w:rPr>
                <w:rFonts w:ascii="Arial" w:cs="Arial" w:eastAsia="Arial" w:hAnsi="Arial"/>
                <w:sz w:val="14"/>
                <w:szCs w:val="14"/>
                <w:color w:val="auto"/>
              </w:rPr>
              <w:t>10.50%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35,655</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36,227</w:t>
            </w:r>
          </w:p>
        </w:tc>
        <w:tc>
          <w:tcPr>
            <w:tcW w:w="14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InterOperability Bidco, Inc. </w:t>
            </w:r>
            <w:r>
              <w:rPr>
                <w:rFonts w:ascii="Arial" w:cs="Arial" w:eastAsia="Arial" w:hAnsi="Arial"/>
                <w:sz w:val="12"/>
                <w:szCs w:val="12"/>
                <w:color w:val="auto"/>
              </w:rPr>
              <w:t>(3)(5)</w:t>
            </w: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First-lien loan ($29,925 par, due 10/2023)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10/30/2018</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L + 7.00%</w:t>
            </w:r>
          </w:p>
        </w:tc>
        <w:tc>
          <w:tcPr>
            <w:tcW w:w="720" w:type="dxa"/>
            <w:vAlign w:val="bottom"/>
            <w:gridSpan w:val="3"/>
            <w:shd w:val="clear" w:color="auto" w:fill="CCEEFF"/>
          </w:tcPr>
          <w:p>
            <w:pPr>
              <w:jc w:val="right"/>
              <w:ind w:right="18"/>
              <w:spacing w:after="0"/>
              <w:rPr>
                <w:sz w:val="20"/>
                <w:szCs w:val="20"/>
                <w:color w:val="auto"/>
              </w:rPr>
            </w:pPr>
            <w:r>
              <w:rPr>
                <w:rFonts w:ascii="Arial" w:cs="Arial" w:eastAsia="Arial" w:hAnsi="Arial"/>
                <w:sz w:val="14"/>
                <w:szCs w:val="14"/>
                <w:color w:val="auto"/>
              </w:rPr>
              <w:t>9.50%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28,778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28,952</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MedeAnalytics, Inc. </w:t>
            </w:r>
            <w:r>
              <w:rPr>
                <w:rFonts w:ascii="Arial" w:cs="Arial" w:eastAsia="Arial" w:hAnsi="Arial"/>
                <w:sz w:val="12"/>
                <w:szCs w:val="12"/>
                <w:color w:val="auto"/>
              </w:rPr>
              <w:t>(3)(5)</w:t>
            </w: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First-lien loan ($41,606 par, due 9/2020)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9/30/2015</w:t>
            </w:r>
          </w:p>
        </w:tc>
        <w:tc>
          <w:tcPr>
            <w:tcW w:w="1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L + 7.50%</w:t>
            </w:r>
          </w:p>
        </w:tc>
        <w:tc>
          <w:tcPr>
            <w:tcW w:w="720" w:type="dxa"/>
            <w:vAlign w:val="bottom"/>
            <w:gridSpan w:val="3"/>
          </w:tcPr>
          <w:p>
            <w:pPr>
              <w:jc w:val="right"/>
              <w:ind w:right="18"/>
              <w:spacing w:after="0" w:line="149" w:lineRule="exact"/>
              <w:rPr>
                <w:sz w:val="20"/>
                <w:szCs w:val="20"/>
                <w:color w:val="auto"/>
              </w:rPr>
            </w:pPr>
            <w:r>
              <w:rPr>
                <w:rFonts w:ascii="Arial" w:cs="Arial" w:eastAsia="Arial" w:hAnsi="Arial"/>
                <w:sz w:val="14"/>
                <w:szCs w:val="14"/>
                <w:color w:val="auto"/>
              </w:rPr>
              <w:t>10.00%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41,176</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41,815</w:t>
            </w:r>
          </w:p>
        </w:tc>
        <w:tc>
          <w:tcPr>
            <w:tcW w:w="140" w:type="dxa"/>
            <w:vAlign w:val="bottom"/>
          </w:tcPr>
          <w:p>
            <w:pPr>
              <w:spacing w:after="0"/>
              <w:rPr>
                <w:sz w:val="12"/>
                <w:szCs w:val="12"/>
                <w:color w:val="auto"/>
              </w:rPr>
            </w:pP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Quantros, Inc. </w:t>
            </w:r>
            <w:r>
              <w:rPr>
                <w:rFonts w:ascii="Arial" w:cs="Arial" w:eastAsia="Arial" w:hAnsi="Arial"/>
                <w:sz w:val="12"/>
                <w:szCs w:val="12"/>
                <w:color w:val="auto"/>
              </w:rPr>
              <w:t>(3)(5)</w:t>
            </w:r>
          </w:p>
        </w:tc>
        <w:tc>
          <w:tcPr>
            <w:tcW w:w="3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First-lien loan ($27,590 par, due 9/2019)</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2/29/2016</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L + 7.75%</w:t>
            </w:r>
          </w:p>
        </w:tc>
        <w:tc>
          <w:tcPr>
            <w:tcW w:w="720" w:type="dxa"/>
            <w:vAlign w:val="bottom"/>
            <w:gridSpan w:val="3"/>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10.35%</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26,712</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27,314</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Vita Bidco, Inc. </w:t>
            </w:r>
            <w:r>
              <w:rPr>
                <w:rFonts w:ascii="Arial" w:cs="Arial" w:eastAsia="Arial" w:hAnsi="Arial"/>
                <w:sz w:val="12"/>
                <w:szCs w:val="12"/>
                <w:color w:val="auto"/>
              </w:rPr>
              <w:t>(3)(5)</w:t>
            </w: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First-lien loan ($21,938 par, due 2/2024)</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2/11/2019</w:t>
            </w:r>
          </w:p>
        </w:tc>
        <w:tc>
          <w:tcPr>
            <w:tcW w:w="1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L + 6.50%</w:t>
            </w:r>
          </w:p>
        </w:tc>
        <w:tc>
          <w:tcPr>
            <w:tcW w:w="720" w:type="dxa"/>
            <w:vAlign w:val="bottom"/>
            <w:gridSpan w:val="3"/>
          </w:tcPr>
          <w:p>
            <w:pPr>
              <w:jc w:val="right"/>
              <w:ind w:right="18"/>
              <w:spacing w:after="0" w:line="149" w:lineRule="exact"/>
              <w:rPr>
                <w:sz w:val="20"/>
                <w:szCs w:val="20"/>
                <w:color w:val="auto"/>
              </w:rPr>
            </w:pPr>
            <w:r>
              <w:rPr>
                <w:rFonts w:ascii="Arial" w:cs="Arial" w:eastAsia="Arial" w:hAnsi="Arial"/>
                <w:sz w:val="14"/>
                <w:szCs w:val="14"/>
                <w:color w:val="auto"/>
              </w:rPr>
              <w:t>9.00%</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21,317</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21,390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158,456</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160,535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Hotel, gaming, and leisure</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12"/>
                <w:szCs w:val="12"/>
                <w:color w:val="auto"/>
              </w:rPr>
              <w:t>(3)(7)</w:t>
            </w:r>
          </w:p>
        </w:tc>
        <w:tc>
          <w:tcPr>
            <w:tcW w:w="30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First-lien loan ($30,410 par, due 9/2019)</w:t>
            </w:r>
          </w:p>
        </w:tc>
        <w:tc>
          <w:tcPr>
            <w:tcW w:w="8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9/29/2015</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L + 9.50%</w:t>
            </w:r>
          </w:p>
        </w:tc>
        <w:tc>
          <w:tcPr>
            <w:tcW w:w="5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12.10%</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28,556</w:t>
            </w:r>
          </w:p>
        </w:tc>
        <w:tc>
          <w:tcPr>
            <w:tcW w:w="9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30,333</w:t>
            </w:r>
          </w:p>
        </w:tc>
        <w:tc>
          <w:tcPr>
            <w:tcW w:w="1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8"/>
              <w:spacing w:after="0" w:line="149" w:lineRule="exact"/>
              <w:rPr>
                <w:sz w:val="20"/>
                <w:szCs w:val="20"/>
                <w:color w:val="auto"/>
              </w:rPr>
            </w:pPr>
            <w:r>
              <w:rPr>
                <w:rFonts w:ascii="Arial" w:cs="Arial" w:eastAsia="Arial" w:hAnsi="Arial"/>
                <w:sz w:val="14"/>
                <w:szCs w:val="14"/>
                <w:color w:val="auto"/>
              </w:rPr>
              <w:t>(incl.</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38"/>
              <w:spacing w:after="0"/>
              <w:rPr>
                <w:sz w:val="20"/>
                <w:szCs w:val="20"/>
                <w:color w:val="auto"/>
              </w:rPr>
            </w:pPr>
            <w:r>
              <w:rPr>
                <w:rFonts w:ascii="Arial" w:cs="Arial" w:eastAsia="Arial" w:hAnsi="Arial"/>
                <w:sz w:val="14"/>
                <w:szCs w:val="14"/>
                <w:color w:val="auto"/>
              </w:rPr>
              <w:t>PIK)</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First-lien revolving loan ($894 par, due</w:t>
            </w:r>
          </w:p>
        </w:tc>
        <w:tc>
          <w:tcPr>
            <w:tcW w:w="8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9/29/2015</w:t>
            </w:r>
          </w:p>
        </w:tc>
        <w:tc>
          <w:tcPr>
            <w:tcW w:w="140" w:type="dxa"/>
            <w:vAlign w:val="bottom"/>
          </w:tcPr>
          <w:p>
            <w:pPr>
              <w:spacing w:after="0"/>
              <w:rPr>
                <w:sz w:val="11"/>
                <w:szCs w:val="11"/>
                <w:color w:val="auto"/>
              </w:rPr>
            </w:pP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L + 9.50%</w:t>
            </w:r>
          </w:p>
        </w:tc>
        <w:tc>
          <w:tcPr>
            <w:tcW w:w="5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12.00%</w:t>
            </w:r>
          </w:p>
        </w:tc>
        <w:tc>
          <w:tcPr>
            <w:tcW w:w="180" w:type="dxa"/>
            <w:vAlign w:val="bottom"/>
          </w:tcPr>
          <w:p>
            <w:pPr>
              <w:spacing w:after="0"/>
              <w:rPr>
                <w:sz w:val="11"/>
                <w:szCs w:val="11"/>
                <w:color w:val="auto"/>
              </w:rPr>
            </w:pP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894</w:t>
            </w:r>
          </w:p>
        </w:tc>
        <w:tc>
          <w:tcPr>
            <w:tcW w:w="9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886</w:t>
            </w:r>
          </w:p>
        </w:tc>
        <w:tc>
          <w:tcPr>
            <w:tcW w:w="140" w:type="dxa"/>
            <w:vAlign w:val="bottom"/>
          </w:tcPr>
          <w:p>
            <w:pPr>
              <w:spacing w:after="0"/>
              <w:rPr>
                <w:sz w:val="11"/>
                <w:szCs w:val="11"/>
                <w:color w:val="auto"/>
              </w:rPr>
            </w:pPr>
          </w:p>
        </w:tc>
        <w:tc>
          <w:tcPr>
            <w:tcW w:w="104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9/2019)</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(incl.</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jc w:val="right"/>
              <w:ind w:right="138"/>
              <w:spacing w:after="0"/>
              <w:rPr>
                <w:sz w:val="20"/>
                <w:szCs w:val="20"/>
                <w:color w:val="auto"/>
              </w:rPr>
            </w:pPr>
            <w:r>
              <w:rPr>
                <w:rFonts w:ascii="Arial" w:cs="Arial" w:eastAsia="Arial" w:hAnsi="Arial"/>
                <w:sz w:val="14"/>
                <w:szCs w:val="14"/>
                <w:color w:val="auto"/>
              </w:rPr>
              <w:t>PIK)</w:t>
            </w: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29,450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31,219</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Human resource support services</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ClearCompany, LLC </w:t>
            </w:r>
            <w:r>
              <w:rPr>
                <w:rFonts w:ascii="Arial" w:cs="Arial" w:eastAsia="Arial" w:hAnsi="Arial"/>
                <w:sz w:val="12"/>
                <w:szCs w:val="12"/>
                <w:color w:val="auto"/>
              </w:rPr>
              <w:t>(3)</w:t>
            </w:r>
          </w:p>
        </w:tc>
        <w:tc>
          <w:tcPr>
            <w:tcW w:w="30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First-lien loan ($17,261 par, due 7/2023)</w:t>
            </w:r>
          </w:p>
        </w:tc>
        <w:tc>
          <w:tcPr>
            <w:tcW w:w="8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7/23/2018</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L + 8.50%</w:t>
            </w:r>
          </w:p>
        </w:tc>
        <w:tc>
          <w:tcPr>
            <w:tcW w:w="5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11.13%</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17,011</w:t>
            </w:r>
          </w:p>
        </w:tc>
        <w:tc>
          <w:tcPr>
            <w:tcW w:w="9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17,008</w:t>
            </w:r>
          </w:p>
        </w:tc>
        <w:tc>
          <w:tcPr>
            <w:tcW w:w="1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8"/>
              <w:spacing w:after="0" w:line="149" w:lineRule="exact"/>
              <w:rPr>
                <w:sz w:val="20"/>
                <w:szCs w:val="20"/>
                <w:color w:val="auto"/>
              </w:rPr>
            </w:pPr>
            <w:r>
              <w:rPr>
                <w:rFonts w:ascii="Arial" w:cs="Arial" w:eastAsia="Arial" w:hAnsi="Arial"/>
                <w:sz w:val="14"/>
                <w:szCs w:val="14"/>
                <w:color w:val="auto"/>
              </w:rPr>
              <w:t>(incl.</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38"/>
              <w:spacing w:after="0"/>
              <w:rPr>
                <w:sz w:val="20"/>
                <w:szCs w:val="20"/>
                <w:color w:val="auto"/>
              </w:rPr>
            </w:pPr>
            <w:r>
              <w:rPr>
                <w:rFonts w:ascii="Arial" w:cs="Arial" w:eastAsia="Arial" w:hAnsi="Arial"/>
                <w:sz w:val="14"/>
                <w:szCs w:val="14"/>
                <w:color w:val="auto"/>
              </w:rPr>
              <w:t>PIK)</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PageUp People Limited </w:t>
            </w:r>
            <w:r>
              <w:rPr>
                <w:rFonts w:ascii="Arial" w:cs="Arial" w:eastAsia="Arial" w:hAnsi="Arial"/>
                <w:sz w:val="12"/>
                <w:szCs w:val="12"/>
                <w:color w:val="auto"/>
              </w:rPr>
              <w:t>(3)(4)</w:t>
            </w:r>
          </w:p>
        </w:tc>
        <w:tc>
          <w:tcPr>
            <w:tcW w:w="30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First-lien loan (AUD 47,078 par, due</w:t>
            </w:r>
          </w:p>
        </w:tc>
        <w:tc>
          <w:tcPr>
            <w:tcW w:w="8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1/11/2018</w:t>
            </w:r>
          </w:p>
        </w:tc>
        <w:tc>
          <w:tcPr>
            <w:tcW w:w="140" w:type="dxa"/>
            <w:vAlign w:val="bottom"/>
          </w:tcPr>
          <w:p>
            <w:pPr>
              <w:spacing w:after="0"/>
              <w:rPr>
                <w:sz w:val="11"/>
                <w:szCs w:val="11"/>
                <w:color w:val="auto"/>
              </w:rPr>
            </w:pP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B + 7.25%</w:t>
            </w:r>
          </w:p>
        </w:tc>
        <w:tc>
          <w:tcPr>
            <w:tcW w:w="5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9.27%</w:t>
            </w:r>
          </w:p>
        </w:tc>
        <w:tc>
          <w:tcPr>
            <w:tcW w:w="180" w:type="dxa"/>
            <w:vAlign w:val="bottom"/>
          </w:tcPr>
          <w:p>
            <w:pPr>
              <w:spacing w:after="0"/>
              <w:rPr>
                <w:sz w:val="11"/>
                <w:szCs w:val="11"/>
                <w:color w:val="auto"/>
              </w:rPr>
            </w:pP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36,372</w:t>
            </w:r>
          </w:p>
        </w:tc>
        <w:tc>
          <w:tcPr>
            <w:tcW w:w="9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33,164</w:t>
            </w:r>
          </w:p>
        </w:tc>
        <w:tc>
          <w:tcPr>
            <w:tcW w:w="140" w:type="dxa"/>
            <w:vAlign w:val="bottom"/>
          </w:tcPr>
          <w:p>
            <w:pPr>
              <w:spacing w:after="0"/>
              <w:rPr>
                <w:sz w:val="11"/>
                <w:szCs w:val="11"/>
                <w:color w:val="auto"/>
              </w:rPr>
            </w:pPr>
          </w:p>
        </w:tc>
        <w:tc>
          <w:tcPr>
            <w:tcW w:w="104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12/2022)</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(incl.</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(AUD 46,688)</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jc w:val="right"/>
              <w:ind w:right="138"/>
              <w:spacing w:after="0"/>
              <w:rPr>
                <w:sz w:val="20"/>
                <w:szCs w:val="20"/>
                <w:color w:val="auto"/>
              </w:rPr>
            </w:pPr>
            <w:r>
              <w:rPr>
                <w:rFonts w:ascii="Arial" w:cs="Arial" w:eastAsia="Arial" w:hAnsi="Arial"/>
                <w:sz w:val="14"/>
                <w:szCs w:val="14"/>
                <w:color w:val="auto"/>
              </w:rPr>
              <w:t>PIK)</w:t>
            </w: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53,383</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50,172</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Insurance</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Insurity, Inc. </w:t>
            </w:r>
            <w:r>
              <w:rPr>
                <w:rFonts w:ascii="Arial" w:cs="Arial" w:eastAsia="Arial" w:hAnsi="Arial"/>
                <w:sz w:val="12"/>
                <w:szCs w:val="12"/>
                <w:color w:val="auto"/>
              </w:rPr>
              <w:t>(3)(5)</w:t>
            </w:r>
          </w:p>
        </w:tc>
        <w:tc>
          <w:tcPr>
            <w:tcW w:w="3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First-lien loan ($60,837 par, due 10/2020)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10/31/2014</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L + 6.50%</w:t>
            </w:r>
          </w:p>
        </w:tc>
        <w:tc>
          <w:tcPr>
            <w:tcW w:w="720" w:type="dxa"/>
            <w:vAlign w:val="bottom"/>
            <w:gridSpan w:val="3"/>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9.18%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60,593</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61,293</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Riskonnect, Inc. </w:t>
            </w:r>
            <w:r>
              <w:rPr>
                <w:rFonts w:ascii="Arial" w:cs="Arial" w:eastAsia="Arial" w:hAnsi="Arial"/>
                <w:sz w:val="12"/>
                <w:szCs w:val="12"/>
                <w:color w:val="auto"/>
              </w:rPr>
              <w:t>(3)(5)</w:t>
            </w: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First-lien loan ($50,000 par, due 10/2023)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6/30/2017</w:t>
            </w:r>
          </w:p>
        </w:tc>
        <w:tc>
          <w:tcPr>
            <w:tcW w:w="1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L + 7.75%</w:t>
            </w:r>
          </w:p>
        </w:tc>
        <w:tc>
          <w:tcPr>
            <w:tcW w:w="720" w:type="dxa"/>
            <w:vAlign w:val="bottom"/>
            <w:gridSpan w:val="3"/>
          </w:tcPr>
          <w:p>
            <w:pPr>
              <w:jc w:val="right"/>
              <w:ind w:right="18"/>
              <w:spacing w:after="0" w:line="149" w:lineRule="exact"/>
              <w:rPr>
                <w:sz w:val="20"/>
                <w:szCs w:val="20"/>
                <w:color w:val="auto"/>
              </w:rPr>
            </w:pPr>
            <w:r>
              <w:rPr>
                <w:rFonts w:ascii="Arial" w:cs="Arial" w:eastAsia="Arial" w:hAnsi="Arial"/>
                <w:sz w:val="14"/>
                <w:szCs w:val="14"/>
                <w:color w:val="auto"/>
              </w:rPr>
              <w:t>10.36%</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49,455</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49,250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110,048</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110,543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Internet services</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Higher Logic, LLC </w:t>
            </w:r>
            <w:r>
              <w:rPr>
                <w:rFonts w:ascii="Arial" w:cs="Arial" w:eastAsia="Arial" w:hAnsi="Arial"/>
                <w:sz w:val="12"/>
                <w:szCs w:val="12"/>
                <w:color w:val="auto"/>
              </w:rPr>
              <w:t>(3)(5)</w:t>
            </w:r>
          </w:p>
        </w:tc>
        <w:tc>
          <w:tcPr>
            <w:tcW w:w="3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First-lien loan ($37,715 par, due 1/2022)</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6/18/2018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L + 6.00%</w:t>
            </w:r>
          </w:p>
        </w:tc>
        <w:tc>
          <w:tcPr>
            <w:tcW w:w="720" w:type="dxa"/>
            <w:vAlign w:val="bottom"/>
            <w:gridSpan w:val="3"/>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8.61%</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37,184</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37,149</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4"/>
                <w:szCs w:val="14"/>
                <w:color w:val="auto"/>
              </w:rPr>
              <w:t xml:space="preserve">Lithium Technologies, LLC </w:t>
            </w:r>
            <w:r>
              <w:rPr>
                <w:rFonts w:ascii="Arial" w:cs="Arial" w:eastAsia="Arial" w:hAnsi="Arial"/>
                <w:sz w:val="12"/>
                <w:szCs w:val="12"/>
                <w:color w:val="auto"/>
              </w:rPr>
              <w:t>(3)</w:t>
            </w:r>
          </w:p>
        </w:tc>
        <w:tc>
          <w:tcPr>
            <w:tcW w:w="3020" w:type="dxa"/>
            <w:vAlign w:val="bottom"/>
            <w:gridSpan w:val="2"/>
          </w:tcPr>
          <w:p>
            <w:pPr>
              <w:ind w:left="340"/>
              <w:spacing w:after="0"/>
              <w:rPr>
                <w:sz w:val="20"/>
                <w:szCs w:val="20"/>
                <w:color w:val="auto"/>
              </w:rPr>
            </w:pPr>
            <w:r>
              <w:rPr>
                <w:rFonts w:ascii="Arial" w:cs="Arial" w:eastAsia="Arial" w:hAnsi="Arial"/>
                <w:sz w:val="14"/>
                <w:szCs w:val="14"/>
                <w:color w:val="auto"/>
              </w:rPr>
              <w:t>First-lien loan ($54,700 par, due 10/2022)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10/3/2017</w:t>
            </w: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L + 8.00%</w:t>
            </w:r>
          </w:p>
        </w:tc>
        <w:tc>
          <w:tcPr>
            <w:tcW w:w="720" w:type="dxa"/>
            <w:vAlign w:val="bottom"/>
            <w:gridSpan w:val="3"/>
          </w:tcPr>
          <w:p>
            <w:pPr>
              <w:jc w:val="right"/>
              <w:ind w:right="18"/>
              <w:spacing w:after="0"/>
              <w:rPr>
                <w:sz w:val="20"/>
                <w:szCs w:val="20"/>
                <w:color w:val="auto"/>
              </w:rPr>
            </w:pPr>
            <w:r>
              <w:rPr>
                <w:rFonts w:ascii="Arial" w:cs="Arial" w:eastAsia="Arial" w:hAnsi="Arial"/>
                <w:sz w:val="14"/>
                <w:szCs w:val="14"/>
                <w:color w:val="auto"/>
              </w:rPr>
              <w:t>10.49%</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53,699</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54,260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90,883</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91,409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Manufacturing</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ScentAir Technologies, Inc. </w:t>
            </w:r>
            <w:r>
              <w:rPr>
                <w:rFonts w:ascii="Arial" w:cs="Arial" w:eastAsia="Arial" w:hAnsi="Arial"/>
                <w:sz w:val="12"/>
                <w:szCs w:val="12"/>
                <w:color w:val="auto"/>
              </w:rPr>
              <w:t>(3)</w:t>
            </w: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First-lien loan ($19,986 par, due 12/2019)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12/30/2014</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L + 7.25%</w:t>
            </w:r>
          </w:p>
        </w:tc>
        <w:tc>
          <w:tcPr>
            <w:tcW w:w="720" w:type="dxa"/>
            <w:vAlign w:val="bottom"/>
            <w:gridSpan w:val="3"/>
            <w:shd w:val="clear" w:color="auto" w:fill="CCEEFF"/>
          </w:tcPr>
          <w:p>
            <w:pPr>
              <w:jc w:val="right"/>
              <w:ind w:right="18"/>
              <w:spacing w:after="0"/>
              <w:rPr>
                <w:sz w:val="20"/>
                <w:szCs w:val="20"/>
                <w:color w:val="auto"/>
              </w:rPr>
            </w:pPr>
            <w:r>
              <w:rPr>
                <w:rFonts w:ascii="Arial" w:cs="Arial" w:eastAsia="Arial" w:hAnsi="Arial"/>
                <w:sz w:val="14"/>
                <w:szCs w:val="14"/>
                <w:color w:val="auto"/>
              </w:rPr>
              <w:t>9.75%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19,918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19,986</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First-lien revolving loan ($1,393 par, due</w:t>
            </w:r>
          </w:p>
        </w:tc>
        <w:tc>
          <w:tcPr>
            <w:tcW w:w="8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12/30/2014</w:t>
            </w:r>
          </w:p>
        </w:tc>
        <w:tc>
          <w:tcPr>
            <w:tcW w:w="140" w:type="dxa"/>
            <w:vAlign w:val="bottom"/>
          </w:tcPr>
          <w:p>
            <w:pPr>
              <w:spacing w:after="0"/>
              <w:rPr>
                <w:sz w:val="11"/>
                <w:szCs w:val="11"/>
                <w:color w:val="auto"/>
              </w:rPr>
            </w:pP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L + 7.25%</w:t>
            </w:r>
          </w:p>
        </w:tc>
        <w:tc>
          <w:tcPr>
            <w:tcW w:w="720" w:type="dxa"/>
            <w:vAlign w:val="bottom"/>
            <w:gridSpan w:val="3"/>
          </w:tcPr>
          <w:p>
            <w:pPr>
              <w:jc w:val="right"/>
              <w:ind w:right="18"/>
              <w:spacing w:after="0" w:line="130" w:lineRule="exact"/>
              <w:rPr>
                <w:sz w:val="20"/>
                <w:szCs w:val="20"/>
                <w:color w:val="auto"/>
              </w:rPr>
            </w:pPr>
            <w:r>
              <w:rPr>
                <w:rFonts w:ascii="Arial" w:cs="Arial" w:eastAsia="Arial" w:hAnsi="Arial"/>
                <w:sz w:val="14"/>
                <w:szCs w:val="14"/>
                <w:color w:val="auto"/>
              </w:rPr>
              <w:t>9.75%</w:t>
            </w: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1,387</w:t>
            </w:r>
          </w:p>
        </w:tc>
        <w:tc>
          <w:tcPr>
            <w:tcW w:w="9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1,393</w:t>
            </w:r>
          </w:p>
        </w:tc>
        <w:tc>
          <w:tcPr>
            <w:tcW w:w="140" w:type="dxa"/>
            <w:vAlign w:val="bottom"/>
          </w:tcPr>
          <w:p>
            <w:pPr>
              <w:spacing w:after="0"/>
              <w:rPr>
                <w:sz w:val="11"/>
                <w:szCs w:val="11"/>
                <w:color w:val="auto"/>
              </w:rPr>
            </w:pPr>
          </w:p>
        </w:tc>
        <w:tc>
          <w:tcPr>
            <w:tcW w:w="104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20" w:type="dxa"/>
            <w:vAlign w:val="bottom"/>
            <w:gridSpan w:val="2"/>
          </w:tcPr>
          <w:p>
            <w:pPr>
              <w:ind w:left="340"/>
              <w:spacing w:after="0"/>
              <w:rPr>
                <w:sz w:val="20"/>
                <w:szCs w:val="20"/>
                <w:color w:val="auto"/>
              </w:rPr>
            </w:pPr>
            <w:r>
              <w:rPr>
                <w:rFonts w:ascii="Arial" w:cs="Arial" w:eastAsia="Arial" w:hAnsi="Arial"/>
                <w:sz w:val="14"/>
                <w:szCs w:val="14"/>
                <w:color w:val="auto"/>
              </w:rPr>
              <w:t>12/2019)</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21,305</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21,379</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Marketing services</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Validity, Inc. </w:t>
            </w:r>
            <w:r>
              <w:rPr>
                <w:rFonts w:ascii="Arial" w:cs="Arial" w:eastAsia="Arial" w:hAnsi="Arial"/>
                <w:sz w:val="12"/>
                <w:szCs w:val="12"/>
                <w:color w:val="auto"/>
              </w:rPr>
              <w:t>(3)(5)(6)</w:t>
            </w:r>
          </w:p>
        </w:tc>
        <w:tc>
          <w:tcPr>
            <w:tcW w:w="3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First-lien loan ($36,797 par, due 5/2023)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5/31/2018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L + 6.50%</w:t>
            </w:r>
          </w:p>
        </w:tc>
        <w:tc>
          <w:tcPr>
            <w:tcW w:w="720" w:type="dxa"/>
            <w:vAlign w:val="bottom"/>
            <w:gridSpan w:val="3"/>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9.19%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36,243</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36,153</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Office products</w:t>
            </w:r>
          </w:p>
        </w:tc>
        <w:tc>
          <w:tcPr>
            <w:tcW w:w="3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USR Parent Inc. </w:t>
            </w:r>
            <w:r>
              <w:rPr>
                <w:rFonts w:ascii="Arial" w:cs="Arial" w:eastAsia="Arial" w:hAnsi="Arial"/>
                <w:sz w:val="12"/>
                <w:szCs w:val="12"/>
                <w:color w:val="auto"/>
              </w:rPr>
              <w:t>(3)(5)</w:t>
            </w:r>
          </w:p>
        </w:tc>
        <w:tc>
          <w:tcPr>
            <w:tcW w:w="30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ABL FILO term loan ($13,000 par, due</w:t>
            </w:r>
          </w:p>
        </w:tc>
        <w:tc>
          <w:tcPr>
            <w:tcW w:w="8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9/12/2017</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L + 7.75%</w:t>
            </w:r>
          </w:p>
        </w:tc>
        <w:tc>
          <w:tcPr>
            <w:tcW w:w="720" w:type="dxa"/>
            <w:vAlign w:val="bottom"/>
            <w:gridSpan w:val="3"/>
            <w:shd w:val="clear" w:color="auto" w:fill="CCEEFF"/>
          </w:tcPr>
          <w:p>
            <w:pPr>
              <w:jc w:val="right"/>
              <w:ind w:right="18"/>
              <w:spacing w:after="0" w:line="130" w:lineRule="exact"/>
              <w:rPr>
                <w:sz w:val="20"/>
                <w:szCs w:val="20"/>
                <w:color w:val="auto"/>
              </w:rPr>
            </w:pPr>
            <w:r>
              <w:rPr>
                <w:rFonts w:ascii="Arial" w:cs="Arial" w:eastAsia="Arial" w:hAnsi="Arial"/>
                <w:sz w:val="14"/>
                <w:szCs w:val="14"/>
                <w:color w:val="auto"/>
              </w:rPr>
              <w:t>10.23%</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12,773</w:t>
            </w:r>
          </w:p>
        </w:tc>
        <w:tc>
          <w:tcPr>
            <w:tcW w:w="9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12,967</w:t>
            </w:r>
          </w:p>
        </w:tc>
        <w:tc>
          <w:tcPr>
            <w:tcW w:w="1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9/2022)</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2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Oil, gas and consumable</w:t>
            </w:r>
          </w:p>
        </w:tc>
        <w:tc>
          <w:tcPr>
            <w:tcW w:w="3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tcPr>
          <w:p>
            <w:pPr>
              <w:ind w:left="120"/>
              <w:spacing w:after="0"/>
              <w:rPr>
                <w:sz w:val="20"/>
                <w:szCs w:val="20"/>
                <w:color w:val="auto"/>
              </w:rPr>
            </w:pPr>
            <w:r>
              <w:rPr>
                <w:rFonts w:ascii="Arial" w:cs="Arial" w:eastAsia="Arial" w:hAnsi="Arial"/>
                <w:sz w:val="14"/>
                <w:szCs w:val="14"/>
                <w:b w:val="1"/>
                <w:bCs w:val="1"/>
                <w:color w:val="auto"/>
              </w:rPr>
              <w:t>fuels</w:t>
            </w:r>
          </w:p>
        </w:tc>
        <w:tc>
          <w:tcPr>
            <w:tcW w:w="3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MD America Energy, LLC </w:t>
            </w:r>
            <w:r>
              <w:rPr>
                <w:rFonts w:ascii="Arial" w:cs="Arial" w:eastAsia="Arial" w:hAnsi="Arial"/>
                <w:sz w:val="12"/>
                <w:szCs w:val="12"/>
                <w:color w:val="auto"/>
              </w:rPr>
              <w:t>(3)</w:t>
            </w: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First-lien loan ($14,906 par, due 11/2023)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11/14/2018</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L + 7.75%</w:t>
            </w:r>
          </w:p>
        </w:tc>
        <w:tc>
          <w:tcPr>
            <w:tcW w:w="720" w:type="dxa"/>
            <w:vAlign w:val="bottom"/>
            <w:gridSpan w:val="3"/>
            <w:shd w:val="clear" w:color="auto" w:fill="CCEEFF"/>
          </w:tcPr>
          <w:p>
            <w:pPr>
              <w:jc w:val="right"/>
              <w:ind w:right="18"/>
              <w:spacing w:after="0"/>
              <w:rPr>
                <w:sz w:val="20"/>
                <w:szCs w:val="20"/>
                <w:color w:val="auto"/>
              </w:rPr>
            </w:pPr>
            <w:r>
              <w:rPr>
                <w:rFonts w:ascii="Arial" w:cs="Arial" w:eastAsia="Arial" w:hAnsi="Arial"/>
                <w:sz w:val="14"/>
                <w:szCs w:val="14"/>
                <w:color w:val="auto"/>
              </w:rPr>
              <w:t>10.44%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14,512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14,383</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Initial</w:t>
            </w: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Reference</w:t>
            </w: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Interest</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6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440" w:type="dxa"/>
            <w:vAlign w:val="bottom"/>
          </w:tcPr>
          <w:p>
            <w:pPr>
              <w:spacing w:after="0"/>
              <w:rPr>
                <w:sz w:val="12"/>
                <w:szCs w:val="12"/>
                <w:color w:val="auto"/>
              </w:rPr>
            </w:pPr>
          </w:p>
        </w:tc>
        <w:tc>
          <w:tcPr>
            <w:tcW w:w="280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Investment</w:t>
            </w:r>
          </w:p>
        </w:tc>
        <w:tc>
          <w:tcPr>
            <w:tcW w:w="820" w:type="dxa"/>
            <w:vAlign w:val="bottom"/>
            <w:gridSpan w:val="2"/>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Acquisition</w:t>
            </w:r>
          </w:p>
        </w:tc>
        <w:tc>
          <w:tcPr>
            <w:tcW w:w="16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Rate and</w:t>
            </w:r>
          </w:p>
        </w:tc>
        <w:tc>
          <w:tcPr>
            <w:tcW w:w="740" w:type="dxa"/>
            <w:vAlign w:val="bottom"/>
            <w:gridSpan w:val="3"/>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70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3"/>
                <w:szCs w:val="13"/>
                <w:color w:val="auto"/>
              </w:rPr>
            </w:pPr>
          </w:p>
        </w:tc>
        <w:tc>
          <w:tcPr>
            <w:tcW w:w="76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2"/>
              </w:rPr>
              <w:t>Spread</w:t>
            </w:r>
          </w:p>
        </w:tc>
        <w:tc>
          <w:tcPr>
            <w:tcW w:w="60" w:type="dxa"/>
            <w:vAlign w:val="bottom"/>
          </w:tcPr>
          <w:p>
            <w:pPr>
              <w:spacing w:after="0"/>
              <w:rPr>
                <w:sz w:val="13"/>
                <w:szCs w:val="13"/>
                <w:color w:val="auto"/>
              </w:rPr>
            </w:pPr>
          </w:p>
        </w:tc>
        <w:tc>
          <w:tcPr>
            <w:tcW w:w="68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Rate</w:t>
            </w: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14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(10)</w:t>
            </w:r>
          </w:p>
        </w:tc>
        <w:tc>
          <w:tcPr>
            <w:tcW w:w="1120" w:type="dxa"/>
            <w:vAlign w:val="bottom"/>
            <w:gridSpan w:val="3"/>
          </w:tcPr>
          <w:p>
            <w:pPr>
              <w:jc w:val="right"/>
              <w:ind w:right="180"/>
              <w:spacing w:after="0" w:line="158" w:lineRule="exact"/>
              <w:rPr>
                <w:sz w:val="20"/>
                <w:szCs w:val="20"/>
                <w:color w:val="auto"/>
              </w:rPr>
            </w:pPr>
            <w:r>
              <w:rPr>
                <w:rFonts w:ascii="Arial" w:cs="Arial" w:eastAsia="Arial" w:hAnsi="Arial"/>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Mississippi Resources, LLC </w:t>
            </w:r>
            <w:r>
              <w:rPr>
                <w:rFonts w:ascii="Arial" w:cs="Arial" w:eastAsia="Arial" w:hAnsi="Arial"/>
                <w:sz w:val="12"/>
                <w:szCs w:val="12"/>
                <w:color w:val="auto"/>
              </w:rPr>
              <w:t>(3)(7)</w:t>
            </w:r>
          </w:p>
        </w:tc>
        <w:tc>
          <w:tcPr>
            <w:tcW w:w="4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First-lien loan ($17,429 par, due 6/2020)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6/29/2018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L + 9.00%</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17,428</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17,212</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31,940</w:t>
            </w:r>
          </w:p>
        </w:tc>
        <w:tc>
          <w:tcPr>
            <w:tcW w:w="140" w:type="dxa"/>
            <w:vAlign w:val="bottom"/>
            <w:vMerge w:val="continue"/>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31,595</w:t>
            </w:r>
          </w:p>
        </w:tc>
        <w:tc>
          <w:tcPr>
            <w:tcW w:w="16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Pharmaceuticals</w:t>
            </w:r>
          </w:p>
        </w:tc>
        <w:tc>
          <w:tcPr>
            <w:tcW w:w="4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Ironwood Pharmaceuticals, Inc. </w:t>
            </w:r>
            <w:r>
              <w:rPr>
                <w:rFonts w:ascii="Arial" w:cs="Arial" w:eastAsia="Arial" w:hAnsi="Arial"/>
                <w:sz w:val="12"/>
                <w:szCs w:val="12"/>
                <w:color w:val="auto"/>
              </w:rPr>
              <w:t>(4)(5)(9)</w:t>
            </w:r>
          </w:p>
        </w:tc>
        <w:tc>
          <w:tcPr>
            <w:tcW w:w="3240" w:type="dxa"/>
            <w:vAlign w:val="bottom"/>
            <w:gridSpan w:val="2"/>
          </w:tcPr>
          <w:p>
            <w:pPr>
              <w:ind w:left="420"/>
              <w:spacing w:after="0"/>
              <w:rPr>
                <w:sz w:val="20"/>
                <w:szCs w:val="20"/>
                <w:color w:val="auto"/>
              </w:rPr>
            </w:pPr>
            <w:r>
              <w:rPr>
                <w:rFonts w:ascii="Arial" w:cs="Arial" w:eastAsia="Arial" w:hAnsi="Arial"/>
                <w:sz w:val="14"/>
                <w:szCs w:val="14"/>
                <w:color w:val="auto"/>
              </w:rPr>
              <w:t>Secured note ($30,610 par, due 9/2026)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1/5/2017</w:t>
            </w: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rPr>
              <w:t>8.38%</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8.38%</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30,493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31,529</w:t>
            </w: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Nektar Therapeutics </w:t>
            </w:r>
            <w:r>
              <w:rPr>
                <w:rFonts w:ascii="Arial" w:cs="Arial" w:eastAsia="Arial" w:hAnsi="Arial"/>
                <w:sz w:val="12"/>
                <w:szCs w:val="12"/>
                <w:color w:val="auto"/>
              </w:rPr>
              <w:t>(4)(5)(9)</w:t>
            </w:r>
          </w:p>
        </w:tc>
        <w:tc>
          <w:tcPr>
            <w:tcW w:w="32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Secured note ($74,950 par, due 10/2020)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10/5/2015</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7.75%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74,611</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76,824</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105,104</w:t>
            </w:r>
          </w:p>
        </w:tc>
        <w:tc>
          <w:tcPr>
            <w:tcW w:w="140" w:type="dxa"/>
            <w:vAlign w:val="bottom"/>
            <w:vMerge w:val="continue"/>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108,353</w:t>
            </w:r>
          </w:p>
        </w:tc>
        <w:tc>
          <w:tcPr>
            <w:tcW w:w="16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Retail and consumer products</w:t>
            </w:r>
          </w:p>
        </w:tc>
        <w:tc>
          <w:tcPr>
            <w:tcW w:w="4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99 Cents Only Stores LLC </w:t>
            </w:r>
            <w:r>
              <w:rPr>
                <w:rFonts w:ascii="Arial" w:cs="Arial" w:eastAsia="Arial" w:hAnsi="Arial"/>
                <w:sz w:val="12"/>
                <w:szCs w:val="12"/>
                <w:color w:val="auto"/>
              </w:rPr>
              <w:t>(3)</w:t>
            </w:r>
          </w:p>
        </w:tc>
        <w:tc>
          <w:tcPr>
            <w:tcW w:w="3240" w:type="dxa"/>
            <w:vAlign w:val="bottom"/>
            <w:gridSpan w:val="2"/>
          </w:tcPr>
          <w:p>
            <w:pPr>
              <w:ind w:left="420"/>
              <w:spacing w:after="0"/>
              <w:rPr>
                <w:sz w:val="20"/>
                <w:szCs w:val="20"/>
                <w:color w:val="auto"/>
              </w:rPr>
            </w:pPr>
            <w:r>
              <w:rPr>
                <w:rFonts w:ascii="Arial" w:cs="Arial" w:eastAsia="Arial" w:hAnsi="Arial"/>
                <w:sz w:val="14"/>
                <w:szCs w:val="14"/>
                <w:color w:val="auto"/>
                <w:w w:val="96"/>
              </w:rPr>
              <w:t>ABL FILO term loan ($32,500 par, due 4/2021)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9/6/2017</w:t>
            </w:r>
          </w:p>
        </w:tc>
        <w:tc>
          <w:tcPr>
            <w:tcW w:w="1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L + 7.75%</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10.36%</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32,197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32,825</w:t>
            </w: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American Achievement Corporation </w:t>
            </w:r>
            <w:r>
              <w:rPr>
                <w:rFonts w:ascii="Arial" w:cs="Arial" w:eastAsia="Arial" w:hAnsi="Arial"/>
                <w:sz w:val="12"/>
                <w:szCs w:val="12"/>
                <w:color w:val="auto"/>
              </w:rPr>
              <w:t>(3)</w:t>
            </w:r>
          </w:p>
        </w:tc>
        <w:tc>
          <w:tcPr>
            <w:tcW w:w="32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First-lien loan ($22,214 par, due 9/2020)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9/30/2015</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L + 8.25%</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10.74%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22,105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21,992</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240" w:type="dxa"/>
            <w:vAlign w:val="bottom"/>
            <w:gridSpan w:val="2"/>
          </w:tcPr>
          <w:p>
            <w:pPr>
              <w:ind w:left="420"/>
              <w:spacing w:after="0" w:line="130" w:lineRule="exact"/>
              <w:rPr>
                <w:sz w:val="20"/>
                <w:szCs w:val="20"/>
                <w:color w:val="auto"/>
              </w:rPr>
            </w:pPr>
            <w:r>
              <w:rPr>
                <w:rFonts w:ascii="Arial" w:cs="Arial" w:eastAsia="Arial" w:hAnsi="Arial"/>
                <w:sz w:val="14"/>
                <w:szCs w:val="14"/>
                <w:color w:val="auto"/>
              </w:rPr>
              <w:t>Secured Promissory Note ($795 par, due</w:t>
            </w:r>
          </w:p>
        </w:tc>
        <w:tc>
          <w:tcPr>
            <w:tcW w:w="8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12/19/2018</w:t>
            </w:r>
          </w:p>
        </w:tc>
        <w:tc>
          <w:tcPr>
            <w:tcW w:w="160" w:type="dxa"/>
            <w:vAlign w:val="bottom"/>
          </w:tcPr>
          <w:p>
            <w:pPr>
              <w:spacing w:after="0"/>
              <w:rPr>
                <w:sz w:val="11"/>
                <w:szCs w:val="11"/>
                <w:color w:val="auto"/>
              </w:rPr>
            </w:pPr>
          </w:p>
        </w:tc>
        <w:tc>
          <w:tcPr>
            <w:tcW w:w="76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L + 8.25%</w:t>
            </w:r>
          </w:p>
        </w:tc>
        <w:tc>
          <w:tcPr>
            <w:tcW w:w="74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10.74%</w:t>
            </w: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789</w:t>
            </w:r>
          </w:p>
        </w:tc>
        <w:tc>
          <w:tcPr>
            <w:tcW w:w="7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795</w:t>
            </w:r>
          </w:p>
        </w:tc>
        <w:tc>
          <w:tcPr>
            <w:tcW w:w="1120" w:type="dxa"/>
            <w:vAlign w:val="bottom"/>
            <w:gridSpan w:val="3"/>
          </w:tcPr>
          <w:p>
            <w:pPr>
              <w:jc w:val="right"/>
              <w:ind w:right="60"/>
              <w:spacing w:after="0" w:line="130"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40" w:type="dxa"/>
            <w:vAlign w:val="bottom"/>
            <w:gridSpan w:val="2"/>
          </w:tcPr>
          <w:p>
            <w:pPr>
              <w:ind w:left="420"/>
              <w:spacing w:after="0"/>
              <w:rPr>
                <w:sz w:val="20"/>
                <w:szCs w:val="20"/>
                <w:color w:val="auto"/>
              </w:rPr>
            </w:pPr>
            <w:r>
              <w:rPr>
                <w:rFonts w:ascii="Arial" w:cs="Arial" w:eastAsia="Arial" w:hAnsi="Arial"/>
                <w:sz w:val="14"/>
                <w:szCs w:val="14"/>
                <w:color w:val="auto"/>
              </w:rPr>
              <w:t>12/2020)</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PayLess Inc. </w:t>
            </w:r>
            <w:r>
              <w:rPr>
                <w:rFonts w:ascii="Arial" w:cs="Arial" w:eastAsia="Arial" w:hAnsi="Arial"/>
                <w:sz w:val="12"/>
                <w:szCs w:val="12"/>
                <w:color w:val="auto"/>
              </w:rPr>
              <w:t>(3)(5)</w:t>
            </w:r>
          </w:p>
        </w:tc>
        <w:tc>
          <w:tcPr>
            <w:tcW w:w="32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96"/>
              </w:rPr>
              <w:t>ABL FILO term loan ($14,235 par, due 8/2022)</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3/1/2018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L + 10.00%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14,000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14,235</w:t>
            </w:r>
          </w:p>
        </w:tc>
        <w:tc>
          <w:tcPr>
            <w:tcW w:w="11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Transform SR Holdings, LLC </w:t>
            </w:r>
            <w:r>
              <w:rPr>
                <w:rFonts w:ascii="Arial" w:cs="Arial" w:eastAsia="Arial" w:hAnsi="Arial"/>
                <w:sz w:val="12"/>
                <w:szCs w:val="12"/>
                <w:color w:val="auto"/>
              </w:rPr>
              <w:t>(3)</w:t>
            </w:r>
          </w:p>
        </w:tc>
        <w:tc>
          <w:tcPr>
            <w:tcW w:w="3240" w:type="dxa"/>
            <w:vAlign w:val="bottom"/>
            <w:gridSpan w:val="2"/>
          </w:tcPr>
          <w:p>
            <w:pPr>
              <w:ind w:left="420"/>
              <w:spacing w:after="0"/>
              <w:rPr>
                <w:sz w:val="20"/>
                <w:szCs w:val="20"/>
                <w:color w:val="auto"/>
              </w:rPr>
            </w:pPr>
            <w:r>
              <w:rPr>
                <w:rFonts w:ascii="Arial" w:cs="Arial" w:eastAsia="Arial" w:hAnsi="Arial"/>
                <w:sz w:val="14"/>
                <w:szCs w:val="14"/>
                <w:color w:val="auto"/>
                <w:w w:val="96"/>
              </w:rPr>
              <w:t>ABL FILO term loan ($75,000 par, due 2/2024)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2/11/2019</w:t>
            </w:r>
          </w:p>
        </w:tc>
        <w:tc>
          <w:tcPr>
            <w:tcW w:w="1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L + 7.25%</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9.74%</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74,265</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75,000</w:t>
            </w:r>
          </w:p>
        </w:tc>
        <w:tc>
          <w:tcPr>
            <w:tcW w:w="16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143,356</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144,847</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56"/>
        </w:trPr>
        <w:tc>
          <w:tcPr>
            <w:tcW w:w="2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Transportation</w:t>
            </w:r>
          </w:p>
        </w:tc>
        <w:tc>
          <w:tcPr>
            <w:tcW w:w="4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Ferrellgas, L.P. </w:t>
            </w:r>
            <w:r>
              <w:rPr>
                <w:rFonts w:ascii="Arial" w:cs="Arial" w:eastAsia="Arial" w:hAnsi="Arial"/>
                <w:sz w:val="12"/>
                <w:szCs w:val="12"/>
                <w:color w:val="auto"/>
              </w:rPr>
              <w:t>(3)(4)(5)</w:t>
            </w:r>
          </w:p>
        </w:tc>
        <w:tc>
          <w:tcPr>
            <w:tcW w:w="32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First-lien loan ($82,500 par, due 5/2023)</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5/4/2018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L + 5.75%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8.24%</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81,101</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84,188</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Debt Investments</w:t>
            </w:r>
          </w:p>
        </w:tc>
        <w:tc>
          <w:tcPr>
            <w:tcW w:w="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0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u w:val="single" w:color="auto"/>
                <w:color w:val="auto"/>
                <w:w w:val="99"/>
              </w:rPr>
              <w:t>1,759,407</w:t>
            </w:r>
          </w:p>
        </w:tc>
        <w:tc>
          <w:tcPr>
            <w:tcW w:w="140" w:type="dxa"/>
            <w:vAlign w:val="bottom"/>
            <w:vMerge w:val="continue"/>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u w:val="single" w:color="auto"/>
                <w:color w:val="auto"/>
                <w:w w:val="96"/>
              </w:rPr>
              <w:t>1,783,406</w:t>
            </w:r>
          </w:p>
        </w:tc>
        <w:tc>
          <w:tcPr>
            <w:tcW w:w="160" w:type="dxa"/>
            <w:vAlign w:val="bottom"/>
            <w:vMerge w:val="continue"/>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6522720</wp:posOffset>
            </wp:positionH>
            <wp:positionV relativeFrom="paragraph">
              <wp:posOffset>-12065</wp:posOffset>
            </wp:positionV>
            <wp:extent cx="50609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ind w:left="200" w:right="460"/>
        <w:spacing w:after="0" w:line="245" w:lineRule="auto"/>
        <w:rPr>
          <w:sz w:val="20"/>
          <w:szCs w:val="20"/>
          <w:color w:val="auto"/>
        </w:rPr>
      </w:pPr>
      <w:r>
        <w:rPr>
          <w:rFonts w:ascii="Arial" w:cs="Arial" w:eastAsia="Arial" w:hAnsi="Arial"/>
          <w:sz w:val="13"/>
          <w:szCs w:val="13"/>
          <w:b w:val="1"/>
          <w:bCs w:val="1"/>
          <w:color w:val="auto"/>
        </w:rPr>
        <w:t xml:space="preserve">Equity and Other Investments Beverage, food and tobacco </w:t>
      </w:r>
      <w:r>
        <w:rPr>
          <w:rFonts w:ascii="Arial" w:cs="Arial" w:eastAsia="Arial" w:hAnsi="Arial"/>
          <w:sz w:val="13"/>
          <w:szCs w:val="13"/>
          <w:color w:val="auto"/>
        </w:rPr>
        <w:t xml:space="preserve">AFS Technologies, Inc. </w:t>
      </w:r>
      <w:r>
        <w:rPr>
          <w:rFonts w:ascii="Arial" w:cs="Arial" w:eastAsia="Arial" w:hAnsi="Arial"/>
          <w:sz w:val="11"/>
          <w:szCs w:val="11"/>
          <w:color w:val="auto"/>
        </w:rPr>
        <w:t>(6)(13)(14)</w:t>
      </w:r>
    </w:p>
    <w:p>
      <w:pPr>
        <w:ind w:left="200"/>
        <w:spacing w:after="0" w:line="223" w:lineRule="auto"/>
        <w:rPr>
          <w:sz w:val="20"/>
          <w:szCs w:val="20"/>
          <w:color w:val="auto"/>
        </w:rPr>
      </w:pPr>
      <w:r>
        <w:rPr>
          <w:rFonts w:ascii="Arial" w:cs="Arial" w:eastAsia="Arial" w:hAnsi="Arial"/>
          <w:sz w:val="14"/>
          <w:szCs w:val="14"/>
          <w:b w:val="1"/>
          <w:bCs w:val="1"/>
          <w:color w:val="auto"/>
        </w:rPr>
        <w:t>Business Services</w:t>
      </w:r>
    </w:p>
    <w:p>
      <w:pPr>
        <w:ind w:left="200"/>
        <w:spacing w:after="0"/>
        <w:rPr>
          <w:sz w:val="20"/>
          <w:szCs w:val="20"/>
          <w:color w:val="auto"/>
        </w:rPr>
      </w:pPr>
      <w:r>
        <w:rPr>
          <w:rFonts w:ascii="Arial" w:cs="Arial" w:eastAsia="Arial" w:hAnsi="Arial"/>
          <w:sz w:val="14"/>
          <w:szCs w:val="14"/>
          <w:color w:val="auto"/>
        </w:rPr>
        <w:t xml:space="preserve">Motus, LLC </w:t>
      </w:r>
      <w:r>
        <w:rPr>
          <w:rFonts w:ascii="Arial" w:cs="Arial" w:eastAsia="Arial" w:hAnsi="Arial"/>
          <w:sz w:val="12"/>
          <w:szCs w:val="12"/>
          <w:color w:val="auto"/>
        </w:rPr>
        <w:t>(13)</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Nintex Global Limited </w:t>
      </w:r>
      <w:r>
        <w:rPr>
          <w:rFonts w:ascii="Arial" w:cs="Arial" w:eastAsia="Arial" w:hAnsi="Arial"/>
          <w:sz w:val="12"/>
          <w:szCs w:val="12"/>
          <w:color w:val="auto"/>
        </w:rPr>
        <w:t>(13)</w:t>
      </w:r>
    </w:p>
    <w:p>
      <w:pPr>
        <w:spacing w:after="0" w:line="33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Chemicals</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Vertellus Specialties, Inc. </w:t>
      </w:r>
      <w:r>
        <w:rPr>
          <w:rFonts w:ascii="Arial" w:cs="Arial" w:eastAsia="Arial" w:hAnsi="Arial"/>
          <w:sz w:val="12"/>
          <w:szCs w:val="12"/>
          <w:color w:val="auto"/>
        </w:rPr>
        <w:t>(13)</w:t>
      </w:r>
    </w:p>
    <w:p>
      <w:pPr>
        <w:ind w:left="200"/>
        <w:spacing w:after="0" w:line="223" w:lineRule="auto"/>
        <w:rPr>
          <w:sz w:val="20"/>
          <w:szCs w:val="20"/>
          <w:color w:val="auto"/>
        </w:rPr>
      </w:pPr>
      <w:r>
        <w:rPr>
          <w:rFonts w:ascii="Arial" w:cs="Arial" w:eastAsia="Arial" w:hAnsi="Arial"/>
          <w:sz w:val="14"/>
          <w:szCs w:val="14"/>
          <w:b w:val="1"/>
          <w:bCs w:val="1"/>
          <w:color w:val="auto"/>
        </w:rPr>
        <w:t>Financial services</w:t>
      </w:r>
    </w:p>
    <w:p>
      <w:pPr>
        <w:ind w:left="200"/>
        <w:spacing w:after="0" w:line="221" w:lineRule="auto"/>
        <w:rPr>
          <w:sz w:val="20"/>
          <w:szCs w:val="20"/>
          <w:color w:val="auto"/>
        </w:rPr>
      </w:pPr>
      <w:r>
        <w:rPr>
          <w:rFonts w:ascii="Arial" w:cs="Arial" w:eastAsia="Arial" w:hAnsi="Arial"/>
          <w:sz w:val="14"/>
          <w:szCs w:val="14"/>
          <w:color w:val="auto"/>
        </w:rPr>
        <w:t xml:space="preserve">AvidXchange, Inc. </w:t>
      </w:r>
      <w:r>
        <w:rPr>
          <w:rFonts w:ascii="Arial" w:cs="Arial" w:eastAsia="Arial" w:hAnsi="Arial"/>
          <w:sz w:val="12"/>
          <w:szCs w:val="12"/>
          <w:color w:val="auto"/>
        </w:rPr>
        <w:t>(13)</w:t>
      </w:r>
    </w:p>
    <w:p>
      <w:pPr>
        <w:ind w:left="200"/>
        <w:spacing w:after="0"/>
        <w:rPr>
          <w:sz w:val="20"/>
          <w:szCs w:val="20"/>
          <w:color w:val="auto"/>
        </w:rPr>
      </w:pPr>
      <w:r>
        <w:rPr>
          <w:rFonts w:ascii="Arial" w:cs="Arial" w:eastAsia="Arial" w:hAnsi="Arial"/>
          <w:sz w:val="13"/>
          <w:szCs w:val="13"/>
          <w:color w:val="auto"/>
        </w:rPr>
        <w:t xml:space="preserve">Oxford Square Capital Corp. </w:t>
      </w:r>
      <w:r>
        <w:rPr>
          <w:rFonts w:ascii="Arial" w:cs="Arial" w:eastAsia="Arial" w:hAnsi="Arial"/>
          <w:sz w:val="11"/>
          <w:szCs w:val="11"/>
          <w:color w:val="auto"/>
        </w:rPr>
        <w:t>(4)(12)</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Swift Gift Limited </w:t>
      </w:r>
      <w:r>
        <w:rPr>
          <w:rFonts w:ascii="Arial" w:cs="Arial" w:eastAsia="Arial" w:hAnsi="Arial"/>
          <w:sz w:val="12"/>
          <w:szCs w:val="12"/>
          <w:color w:val="auto"/>
        </w:rPr>
        <w:t>(13)</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Healthcare</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Caris Life Sciences, Ltd. </w:t>
      </w:r>
      <w:r>
        <w:rPr>
          <w:rFonts w:ascii="Arial" w:cs="Arial" w:eastAsia="Arial" w:hAnsi="Arial"/>
          <w:sz w:val="12"/>
          <w:szCs w:val="12"/>
          <w:color w:val="auto"/>
        </w:rPr>
        <w:t>(13)(14)</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Vita Topco, Inc. </w:t>
      </w:r>
      <w:r>
        <w:rPr>
          <w:rFonts w:ascii="Arial" w:cs="Arial" w:eastAsia="Arial" w:hAnsi="Arial"/>
          <w:sz w:val="12"/>
          <w:szCs w:val="12"/>
          <w:color w:val="auto"/>
        </w:rPr>
        <w:t>(13)(14)(15)</w:t>
      </w:r>
    </w:p>
    <w:p>
      <w:pPr>
        <w:spacing w:after="0" w:line="174" w:lineRule="exact"/>
        <w:rPr>
          <w:sz w:val="20"/>
          <w:szCs w:val="20"/>
          <w:color w:val="auto"/>
        </w:rPr>
      </w:pPr>
    </w:p>
    <w:p>
      <w:pPr>
        <w:ind w:left="200" w:right="740"/>
        <w:spacing w:after="0" w:line="297" w:lineRule="auto"/>
        <w:rPr>
          <w:sz w:val="20"/>
          <w:szCs w:val="20"/>
          <w:color w:val="auto"/>
        </w:rPr>
      </w:pPr>
      <w:r>
        <w:rPr>
          <w:rFonts w:ascii="Arial" w:cs="Arial" w:eastAsia="Arial" w:hAnsi="Arial"/>
          <w:sz w:val="13"/>
          <w:szCs w:val="13"/>
          <w:b w:val="1"/>
          <w:bCs w:val="1"/>
          <w:color w:val="auto"/>
        </w:rPr>
        <w:t xml:space="preserve">Hotel, gaming, and leisure </w:t>
      </w:r>
      <w:r>
        <w:rPr>
          <w:rFonts w:ascii="Arial" w:cs="Arial" w:eastAsia="Arial" w:hAnsi="Arial"/>
          <w:sz w:val="13"/>
          <w:szCs w:val="13"/>
          <w:color w:val="auto"/>
        </w:rPr>
        <w:t xml:space="preserve">IRGSE Holding Corp. </w:t>
      </w:r>
      <w:r>
        <w:rPr>
          <w:rFonts w:ascii="Arial" w:cs="Arial" w:eastAsia="Arial" w:hAnsi="Arial"/>
          <w:sz w:val="11"/>
          <w:szCs w:val="11"/>
          <w:color w:val="auto"/>
        </w:rPr>
        <w:t>(7)(13)</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720" w:type="dxa"/>
            <w:vAlign w:val="bottom"/>
          </w:tcPr>
          <w:p>
            <w:pPr>
              <w:spacing w:after="0"/>
              <w:rPr>
                <w:sz w:val="20"/>
                <w:szCs w:val="20"/>
                <w:color w:val="auto"/>
              </w:rPr>
            </w:pPr>
            <w:r>
              <w:rPr>
                <w:rFonts w:ascii="Arial" w:cs="Arial" w:eastAsia="Arial" w:hAnsi="Arial"/>
                <w:sz w:val="14"/>
                <w:szCs w:val="14"/>
                <w:color w:val="auto"/>
              </w:rPr>
              <w:t>Preferred Units (4,441,090 units)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10/16/2018</w:t>
            </w:r>
          </w:p>
        </w:tc>
        <w:tc>
          <w:tcPr>
            <w:tcW w:w="660" w:type="dxa"/>
            <w:vAlign w:val="bottom"/>
          </w:tcPr>
          <w:p>
            <w:pPr>
              <w:jc w:val="right"/>
              <w:spacing w:after="0"/>
              <w:rPr>
                <w:sz w:val="20"/>
                <w:szCs w:val="20"/>
                <w:color w:val="auto"/>
              </w:rPr>
            </w:pPr>
            <w:r>
              <w:rPr>
                <w:rFonts w:ascii="Arial" w:cs="Arial" w:eastAsia="Arial" w:hAnsi="Arial"/>
                <w:sz w:val="14"/>
                <w:szCs w:val="14"/>
                <w:color w:val="auto"/>
              </w:rPr>
              <w:t>4,441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4,441</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14"/>
                <w:szCs w:val="14"/>
                <w:color w:val="auto"/>
              </w:rPr>
              <w:t>Class A Units (1,262 units)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1/17/2018</w:t>
            </w:r>
          </w:p>
        </w:tc>
        <w:tc>
          <w:tcPr>
            <w:tcW w:w="660" w:type="dxa"/>
            <w:vAlign w:val="bottom"/>
          </w:tcPr>
          <w:p>
            <w:pPr>
              <w:jc w:val="right"/>
              <w:spacing w:after="0"/>
              <w:rPr>
                <w:sz w:val="20"/>
                <w:szCs w:val="20"/>
                <w:color w:val="auto"/>
              </w:rPr>
            </w:pPr>
            <w:r>
              <w:rPr>
                <w:rFonts w:ascii="Arial" w:cs="Arial" w:eastAsia="Arial" w:hAnsi="Arial"/>
                <w:sz w:val="14"/>
                <w:szCs w:val="14"/>
                <w:color w:val="auto"/>
              </w:rPr>
              <w:t>1,262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1,325</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Class B Units (517,020 units)</w:t>
            </w:r>
          </w:p>
        </w:tc>
        <w:tc>
          <w:tcPr>
            <w:tcW w:w="2660" w:type="dxa"/>
            <w:vAlign w:val="bottom"/>
          </w:tcPr>
          <w:p>
            <w:pPr>
              <w:jc w:val="right"/>
              <w:ind w:right="1668"/>
              <w:spacing w:after="0" w:line="149" w:lineRule="exact"/>
              <w:rPr>
                <w:sz w:val="20"/>
                <w:szCs w:val="20"/>
                <w:color w:val="auto"/>
              </w:rPr>
            </w:pPr>
            <w:r>
              <w:rPr>
                <w:rFonts w:ascii="Arial" w:cs="Arial" w:eastAsia="Arial" w:hAnsi="Arial"/>
                <w:sz w:val="14"/>
                <w:szCs w:val="14"/>
                <w:color w:val="auto"/>
              </w:rPr>
              <w:t>1/17/2018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Class A Shares (1,197 shares)</w:t>
            </w:r>
          </w:p>
        </w:tc>
        <w:tc>
          <w:tcPr>
            <w:tcW w:w="2660" w:type="dxa"/>
            <w:vAlign w:val="bottom"/>
          </w:tcPr>
          <w:p>
            <w:pPr>
              <w:jc w:val="right"/>
              <w:ind w:right="1668"/>
              <w:spacing w:after="0" w:line="149" w:lineRule="exact"/>
              <w:rPr>
                <w:sz w:val="20"/>
                <w:szCs w:val="20"/>
                <w:color w:val="auto"/>
              </w:rPr>
            </w:pPr>
            <w:r>
              <w:rPr>
                <w:rFonts w:ascii="Arial" w:cs="Arial" w:eastAsia="Arial" w:hAnsi="Arial"/>
                <w:sz w:val="14"/>
                <w:szCs w:val="14"/>
                <w:color w:val="auto"/>
              </w:rPr>
              <w:t>3/30/2018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1,197</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1,532</w:t>
            </w:r>
          </w:p>
        </w:tc>
        <w:tc>
          <w:tcPr>
            <w:tcW w:w="10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Class B Shares (398,557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3/30/2018</w:t>
            </w: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2,471</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2,872</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720" w:type="dxa"/>
            <w:vAlign w:val="bottom"/>
          </w:tcPr>
          <w:p>
            <w:pPr>
              <w:spacing w:after="0"/>
              <w:rPr>
                <w:sz w:val="20"/>
                <w:szCs w:val="20"/>
                <w:color w:val="auto"/>
              </w:rPr>
            </w:pPr>
            <w:r>
              <w:rPr>
                <w:rFonts w:ascii="Arial" w:cs="Arial" w:eastAsia="Arial" w:hAnsi="Arial"/>
                <w:sz w:val="14"/>
                <w:szCs w:val="14"/>
                <w:color w:val="auto"/>
              </w:rPr>
              <w:t>Common Units (2,672,990 units)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10/31/2016</w:t>
            </w:r>
          </w:p>
        </w:tc>
        <w:tc>
          <w:tcPr>
            <w:tcW w:w="660" w:type="dxa"/>
            <w:vAlign w:val="bottom"/>
          </w:tcPr>
          <w:p>
            <w:pPr>
              <w:jc w:val="right"/>
              <w:spacing w:after="0"/>
              <w:rPr>
                <w:sz w:val="20"/>
                <w:szCs w:val="20"/>
                <w:color w:val="auto"/>
              </w:rPr>
            </w:pPr>
            <w:r>
              <w:rPr>
                <w:rFonts w:ascii="Arial" w:cs="Arial" w:eastAsia="Arial" w:hAnsi="Arial"/>
                <w:sz w:val="14"/>
                <w:szCs w:val="14"/>
                <w:color w:val="auto"/>
              </w:rPr>
              <w:t>3,828</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3,560</w:t>
            </w: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14"/>
                <w:szCs w:val="14"/>
                <w:color w:val="auto"/>
              </w:rPr>
              <w:t>Series E Preferred Equity (214,132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8/7/2015</w:t>
            </w:r>
          </w:p>
        </w:tc>
        <w:tc>
          <w:tcPr>
            <w:tcW w:w="660" w:type="dxa"/>
            <w:vAlign w:val="bottom"/>
          </w:tcPr>
          <w:p>
            <w:pPr>
              <w:jc w:val="right"/>
              <w:spacing w:after="0"/>
              <w:rPr>
                <w:sz w:val="20"/>
                <w:szCs w:val="20"/>
                <w:color w:val="auto"/>
              </w:rPr>
            </w:pPr>
            <w:r>
              <w:rPr>
                <w:rFonts w:ascii="Arial" w:cs="Arial" w:eastAsia="Arial" w:hAnsi="Arial"/>
                <w:sz w:val="14"/>
                <w:szCs w:val="14"/>
                <w:color w:val="auto"/>
              </w:rPr>
              <w:t>3,846</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7,481</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20"/>
                <w:szCs w:val="20"/>
                <w:color w:val="auto"/>
              </w:rPr>
            </w:pPr>
            <w:r>
              <w:rPr>
                <w:rFonts w:ascii="Arial" w:cs="Arial" w:eastAsia="Arial" w:hAnsi="Arial"/>
                <w:sz w:val="14"/>
                <w:szCs w:val="14"/>
                <w:color w:val="auto"/>
              </w:rPr>
              <w:t>Common Shares (1,059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8/5/2015</w:t>
            </w: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Common Shares (35,000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7/31/2017</w:t>
            </w:r>
          </w:p>
        </w:tc>
        <w:tc>
          <w:tcPr>
            <w:tcW w:w="660" w:type="dxa"/>
            <w:vAlign w:val="bottom"/>
          </w:tcPr>
          <w:p>
            <w:pPr>
              <w:jc w:val="right"/>
              <w:spacing w:after="0"/>
              <w:rPr>
                <w:sz w:val="20"/>
                <w:szCs w:val="20"/>
                <w:color w:val="auto"/>
              </w:rPr>
            </w:pPr>
            <w:r>
              <w:rPr>
                <w:rFonts w:ascii="Arial" w:cs="Arial" w:eastAsia="Arial" w:hAnsi="Arial"/>
                <w:sz w:val="14"/>
                <w:szCs w:val="14"/>
                <w:color w:val="auto"/>
              </w:rPr>
              <w:t>3,500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7,997</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7,353</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15,485</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720" w:type="dxa"/>
            <w:vAlign w:val="bottom"/>
          </w:tcPr>
          <w:p>
            <w:pPr>
              <w:spacing w:after="0"/>
              <w:rPr>
                <w:sz w:val="20"/>
                <w:szCs w:val="20"/>
                <w:color w:val="auto"/>
              </w:rPr>
            </w:pPr>
            <w:r>
              <w:rPr>
                <w:rFonts w:ascii="Arial" w:cs="Arial" w:eastAsia="Arial" w:hAnsi="Arial"/>
                <w:sz w:val="14"/>
                <w:szCs w:val="14"/>
                <w:color w:val="auto"/>
              </w:rPr>
              <w:t>Common Shares Class A (1,980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9/21/2018</w:t>
            </w:r>
          </w:p>
        </w:tc>
        <w:tc>
          <w:tcPr>
            <w:tcW w:w="660" w:type="dxa"/>
            <w:vAlign w:val="bottom"/>
          </w:tcPr>
          <w:p>
            <w:pPr>
              <w:jc w:val="right"/>
              <w:spacing w:after="0"/>
              <w:rPr>
                <w:sz w:val="20"/>
                <w:szCs w:val="20"/>
                <w:color w:val="auto"/>
              </w:rPr>
            </w:pPr>
            <w:r>
              <w:rPr>
                <w:rFonts w:ascii="Arial" w:cs="Arial" w:eastAsia="Arial" w:hAnsi="Arial"/>
                <w:sz w:val="14"/>
                <w:szCs w:val="14"/>
                <w:color w:val="auto"/>
              </w:rPr>
              <w:t>192</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192</w:t>
            </w: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Common Shares (1,000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2/11/2019</w:t>
            </w:r>
          </w:p>
        </w:tc>
        <w:tc>
          <w:tcPr>
            <w:tcW w:w="660" w:type="dxa"/>
            <w:vAlign w:val="bottom"/>
          </w:tcPr>
          <w:p>
            <w:pPr>
              <w:jc w:val="right"/>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1,000</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1,192</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1,192</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720" w:type="dxa"/>
            <w:vAlign w:val="bottom"/>
          </w:tcPr>
          <w:p>
            <w:pPr>
              <w:spacing w:after="0"/>
              <w:rPr>
                <w:sz w:val="20"/>
                <w:szCs w:val="20"/>
                <w:color w:val="auto"/>
              </w:rPr>
            </w:pPr>
            <w:r>
              <w:rPr>
                <w:rFonts w:ascii="Arial" w:cs="Arial" w:eastAsia="Arial" w:hAnsi="Arial"/>
                <w:sz w:val="14"/>
                <w:szCs w:val="14"/>
                <w:color w:val="auto"/>
              </w:rPr>
              <w:t xml:space="preserve">Class A Units (27,690,171 units) </w:t>
            </w:r>
            <w:r>
              <w:rPr>
                <w:rFonts w:ascii="Arial" w:cs="Arial" w:eastAsia="Arial" w:hAnsi="Arial"/>
                <w:sz w:val="12"/>
                <w:szCs w:val="12"/>
                <w:color w:val="auto"/>
              </w:rPr>
              <w:t>(14)</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12/21/2018</w:t>
            </w:r>
          </w:p>
        </w:tc>
        <w:tc>
          <w:tcPr>
            <w:tcW w:w="660" w:type="dxa"/>
            <w:vAlign w:val="bottom"/>
          </w:tcPr>
          <w:p>
            <w:pPr>
              <w:jc w:val="right"/>
              <w:spacing w:after="0"/>
              <w:rPr>
                <w:sz w:val="20"/>
                <w:szCs w:val="20"/>
                <w:color w:val="auto"/>
              </w:rPr>
            </w:pPr>
            <w:r>
              <w:rPr>
                <w:rFonts w:ascii="Arial" w:cs="Arial" w:eastAsia="Arial" w:hAnsi="Arial"/>
                <w:sz w:val="14"/>
                <w:szCs w:val="14"/>
                <w:color w:val="auto"/>
              </w:rPr>
              <w:t>20,063</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3,600</w:t>
            </w: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Common Shares (8,800,000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12/21/2018</w:t>
            </w:r>
          </w:p>
        </w:tc>
        <w:tc>
          <w:tcPr>
            <w:tcW w:w="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20,163</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3,648</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-1973580</wp:posOffset>
            </wp:positionH>
            <wp:positionV relativeFrom="paragraph">
              <wp:posOffset>-2426335</wp:posOffset>
            </wp:positionV>
            <wp:extent cx="6997700" cy="946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-2237740</wp:posOffset>
            </wp:positionV>
            <wp:extent cx="6997700" cy="1028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-2040255</wp:posOffset>
            </wp:positionV>
            <wp:extent cx="6997700" cy="946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-1851660</wp:posOffset>
            </wp:positionV>
            <wp:extent cx="6997700" cy="946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-1645920</wp:posOffset>
            </wp:positionV>
            <wp:extent cx="6997700" cy="946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-1440180</wp:posOffset>
            </wp:positionV>
            <wp:extent cx="6997700" cy="1028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-1242695</wp:posOffset>
            </wp:positionV>
            <wp:extent cx="6997700" cy="946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-1045845</wp:posOffset>
            </wp:positionV>
            <wp:extent cx="6997700" cy="946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-822960</wp:posOffset>
            </wp:positionV>
            <wp:extent cx="6997700" cy="946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-625475</wp:posOffset>
            </wp:positionV>
            <wp:extent cx="6997700" cy="946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-402590</wp:posOffset>
            </wp:positionV>
            <wp:extent cx="6997700" cy="946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-213995</wp:posOffset>
            </wp:positionV>
            <wp:extent cx="6997700" cy="946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6997700" cy="9461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2600" w:space="720"/>
            <w:col w:w="7920"/>
          </w:cols>
          <w:pgMar w:left="240" w:top="459" w:right="41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240" w:top="459" w:right="41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Initial</w:t>
            </w:r>
          </w:p>
        </w:tc>
        <w:tc>
          <w:tcPr>
            <w:tcW w:w="7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1"/>
              </w:rPr>
              <w:t>Reference</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480" w:type="dxa"/>
            <w:vAlign w:val="bottom"/>
          </w:tcPr>
          <w:p>
            <w:pPr>
              <w:spacing w:after="0"/>
              <w:rPr>
                <w:sz w:val="13"/>
                <w:szCs w:val="13"/>
                <w:color w:val="auto"/>
              </w:rPr>
            </w:pPr>
          </w:p>
        </w:tc>
        <w:tc>
          <w:tcPr>
            <w:tcW w:w="286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Investment</w:t>
            </w:r>
          </w:p>
        </w:tc>
        <w:tc>
          <w:tcPr>
            <w:tcW w:w="840" w:type="dxa"/>
            <w:vAlign w:val="bottom"/>
            <w:gridSpan w:val="2"/>
          </w:tcPr>
          <w:p>
            <w:pPr>
              <w:jc w:val="center"/>
              <w:ind w:left="28"/>
              <w:spacing w:after="0" w:line="151"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3"/>
                <w:szCs w:val="13"/>
                <w:color w:val="auto"/>
              </w:rPr>
            </w:pPr>
          </w:p>
        </w:tc>
        <w:tc>
          <w:tcPr>
            <w:tcW w:w="6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4"/>
              </w:rPr>
              <w:t>Rate and</w:t>
            </w:r>
          </w:p>
        </w:tc>
        <w:tc>
          <w:tcPr>
            <w:tcW w:w="560" w:type="dxa"/>
            <w:vAlign w:val="bottom"/>
            <w:gridSpan w:val="2"/>
          </w:tcPr>
          <w:p>
            <w:pPr>
              <w:jc w:val="center"/>
              <w:ind w:left="8"/>
              <w:spacing w:after="0" w:line="151" w:lineRule="exact"/>
              <w:rPr>
                <w:sz w:val="20"/>
                <w:szCs w:val="20"/>
                <w:color w:val="auto"/>
              </w:rPr>
            </w:pPr>
            <w:r>
              <w:rPr>
                <w:rFonts w:ascii="Arial" w:cs="Arial" w:eastAsia="Arial" w:hAnsi="Arial"/>
                <w:sz w:val="14"/>
                <w:szCs w:val="14"/>
                <w:b w:val="1"/>
                <w:bCs w:val="1"/>
                <w:color w:val="auto"/>
                <w:w w:val="94"/>
              </w:rPr>
              <w:t>Interest</w:t>
            </w:r>
          </w:p>
        </w:tc>
        <w:tc>
          <w:tcPr>
            <w:tcW w:w="88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3"/>
                <w:szCs w:val="13"/>
                <w:color w:val="auto"/>
              </w:rPr>
            </w:pPr>
          </w:p>
        </w:tc>
        <w:tc>
          <w:tcPr>
            <w:tcW w:w="660" w:type="dxa"/>
            <w:vAlign w:val="bottom"/>
          </w:tcPr>
          <w:p>
            <w:pPr>
              <w:jc w:val="right"/>
              <w:spacing w:after="0" w:line="151" w:lineRule="exact"/>
              <w:rPr>
                <w:sz w:val="20"/>
                <w:szCs w:val="20"/>
                <w:color w:val="auto"/>
              </w:rPr>
            </w:pPr>
            <w:r>
              <w:rPr>
                <w:rFonts w:ascii="Arial" w:cs="Arial" w:eastAsia="Arial" w:hAnsi="Arial"/>
                <w:sz w:val="14"/>
                <w:szCs w:val="14"/>
                <w:b w:val="1"/>
                <w:bCs w:val="1"/>
                <w:color w:val="auto"/>
                <w:w w:val="92"/>
              </w:rPr>
              <w:t>Fair Value</w:t>
            </w:r>
          </w:p>
        </w:tc>
        <w:tc>
          <w:tcPr>
            <w:tcW w:w="140" w:type="dxa"/>
            <w:vAlign w:val="bottom"/>
          </w:tcPr>
          <w:p>
            <w:pPr>
              <w:spacing w:after="0"/>
              <w:rPr>
                <w:sz w:val="13"/>
                <w:szCs w:val="13"/>
                <w:color w:val="auto"/>
              </w:rPr>
            </w:pP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55"/>
        </w:trPr>
        <w:tc>
          <w:tcPr>
            <w:tcW w:w="270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2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3"/>
                <w:szCs w:val="13"/>
                <w:color w:val="auto"/>
              </w:rPr>
            </w:pPr>
          </w:p>
        </w:tc>
        <w:tc>
          <w:tcPr>
            <w:tcW w:w="6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2"/>
              </w:rPr>
              <w:t>Spread</w:t>
            </w:r>
          </w:p>
        </w:tc>
        <w:tc>
          <w:tcPr>
            <w:tcW w:w="80" w:type="dxa"/>
            <w:vAlign w:val="bottom"/>
          </w:tcPr>
          <w:p>
            <w:pPr>
              <w:spacing w:after="0"/>
              <w:rPr>
                <w:sz w:val="13"/>
                <w:szCs w:val="13"/>
                <w:color w:val="auto"/>
              </w:rPr>
            </w:pPr>
          </w:p>
        </w:tc>
        <w:tc>
          <w:tcPr>
            <w:tcW w:w="4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2"/>
              </w:rPr>
              <w:t>Rate</w:t>
            </w:r>
          </w:p>
        </w:tc>
        <w:tc>
          <w:tcPr>
            <w:tcW w:w="2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820" w:type="dxa"/>
            <w:vAlign w:val="bottom"/>
            <w:gridSpan w:val="2"/>
          </w:tcPr>
          <w:p>
            <w:pPr>
              <w:jc w:val="right"/>
              <w:ind w:right="168"/>
              <w:spacing w:after="0"/>
              <w:rPr>
                <w:sz w:val="20"/>
                <w:szCs w:val="20"/>
                <w:color w:val="auto"/>
              </w:rPr>
            </w:pPr>
            <w:r>
              <w:rPr>
                <w:rFonts w:ascii="Arial" w:cs="Arial" w:eastAsia="Arial" w:hAnsi="Arial"/>
                <w:sz w:val="12"/>
                <w:szCs w:val="12"/>
                <w:b w:val="1"/>
                <w:bCs w:val="1"/>
                <w:color w:val="auto"/>
              </w:rPr>
              <w:t>(10)</w:t>
            </w:r>
          </w:p>
        </w:tc>
        <w:tc>
          <w:tcPr>
            <w:tcW w:w="1140" w:type="dxa"/>
            <w:vAlign w:val="bottom"/>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6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Human resource support services</w:t>
            </w:r>
          </w:p>
        </w:tc>
        <w:tc>
          <w:tcPr>
            <w:tcW w:w="480" w:type="dxa"/>
            <w:vAlign w:val="bottom"/>
            <w:shd w:val="clear" w:color="auto" w:fill="CCEEFF"/>
          </w:tcPr>
          <w:p>
            <w:pPr>
              <w:spacing w:after="0"/>
              <w:rPr>
                <w:sz w:val="10"/>
                <w:szCs w:val="10"/>
                <w:color w:val="auto"/>
              </w:rPr>
            </w:pPr>
          </w:p>
        </w:tc>
        <w:tc>
          <w:tcPr>
            <w:tcW w:w="2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ClearCompany, LLC </w:t>
            </w:r>
            <w:r>
              <w:rPr>
                <w:rFonts w:ascii="Arial" w:cs="Arial" w:eastAsia="Arial" w:hAnsi="Arial"/>
                <w:sz w:val="12"/>
                <w:szCs w:val="12"/>
                <w:color w:val="auto"/>
              </w:rPr>
              <w:t>(13)(14)(15)</w:t>
            </w:r>
          </w:p>
        </w:tc>
        <w:tc>
          <w:tcPr>
            <w:tcW w:w="3340" w:type="dxa"/>
            <w:vAlign w:val="bottom"/>
            <w:gridSpan w:val="2"/>
          </w:tcPr>
          <w:p>
            <w:pPr>
              <w:ind w:left="480"/>
              <w:spacing w:after="0"/>
              <w:rPr>
                <w:sz w:val="20"/>
                <w:szCs w:val="20"/>
                <w:color w:val="auto"/>
              </w:rPr>
            </w:pPr>
            <w:r>
              <w:rPr>
                <w:rFonts w:ascii="Arial" w:cs="Arial" w:eastAsia="Arial" w:hAnsi="Arial"/>
                <w:sz w:val="14"/>
                <w:szCs w:val="14"/>
                <w:color w:val="auto"/>
              </w:rPr>
              <w:t>Class A Units (44,944 units)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8/24/2018</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1140" w:type="dxa"/>
            <w:vAlign w:val="bottom"/>
            <w:gridSpan w:val="3"/>
          </w:tcPr>
          <w:p>
            <w:pPr>
              <w:jc w:val="right"/>
              <w:ind w:right="8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Insurance</w:t>
            </w:r>
          </w:p>
        </w:tc>
        <w:tc>
          <w:tcPr>
            <w:tcW w:w="4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Riskonnect, Inc. </w:t>
            </w:r>
            <w:r>
              <w:rPr>
                <w:rFonts w:ascii="Arial" w:cs="Arial" w:eastAsia="Arial" w:hAnsi="Arial"/>
                <w:sz w:val="12"/>
                <w:szCs w:val="12"/>
                <w:color w:val="auto"/>
              </w:rPr>
              <w:t>(13)(14)</w:t>
            </w:r>
          </w:p>
        </w:tc>
        <w:tc>
          <w:tcPr>
            <w:tcW w:w="33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Common Shares Class A (1,020 units)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6/30/2017</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1,020</w:t>
            </w:r>
          </w:p>
        </w:tc>
        <w:tc>
          <w:tcPr>
            <w:tcW w:w="11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Common Shares Class B (987,929 units)</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6/30/2017</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1,030</w:t>
            </w:r>
          </w:p>
        </w:tc>
        <w:tc>
          <w:tcPr>
            <w:tcW w:w="16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1,030</w:t>
            </w:r>
          </w:p>
        </w:tc>
        <w:tc>
          <w:tcPr>
            <w:tcW w:w="140" w:type="dxa"/>
            <w:vAlign w:val="bottom"/>
            <w:vMerge w:val="continue"/>
          </w:tcPr>
          <w:p>
            <w:pPr>
              <w:spacing w:after="0"/>
              <w:rPr>
                <w:sz w:val="14"/>
                <w:szCs w:val="14"/>
                <w:color w:val="auto"/>
              </w:rPr>
            </w:pPr>
          </w:p>
        </w:tc>
        <w:tc>
          <w:tcPr>
            <w:tcW w:w="10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Marketing services</w:t>
            </w:r>
          </w:p>
        </w:tc>
        <w:tc>
          <w:tcPr>
            <w:tcW w:w="4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Validity, Inc. </w:t>
            </w:r>
            <w:r>
              <w:rPr>
                <w:rFonts w:ascii="Arial" w:cs="Arial" w:eastAsia="Arial" w:hAnsi="Arial"/>
                <w:sz w:val="12"/>
                <w:szCs w:val="12"/>
                <w:color w:val="auto"/>
              </w:rPr>
              <w:t>(6)(13)(14)</w:t>
            </w:r>
          </w:p>
        </w:tc>
        <w:tc>
          <w:tcPr>
            <w:tcW w:w="334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99"/>
              </w:rPr>
              <w:t>Series A Preferred Shares (3,840,000 shares)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5/31/2018</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3,840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3,840</w:t>
            </w:r>
          </w:p>
        </w:tc>
        <w:tc>
          <w:tcPr>
            <w:tcW w:w="11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8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Oil, gas and consumable</w:t>
            </w:r>
          </w:p>
        </w:tc>
        <w:tc>
          <w:tcPr>
            <w:tcW w:w="480" w:type="dxa"/>
            <w:vAlign w:val="bottom"/>
            <w:shd w:val="clear" w:color="auto" w:fill="CCEEFF"/>
          </w:tcPr>
          <w:p>
            <w:pPr>
              <w:spacing w:after="0"/>
              <w:rPr>
                <w:sz w:val="10"/>
                <w:szCs w:val="10"/>
                <w:color w:val="auto"/>
              </w:rPr>
            </w:pPr>
          </w:p>
        </w:tc>
        <w:tc>
          <w:tcPr>
            <w:tcW w:w="2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fuels</w:t>
            </w:r>
          </w:p>
        </w:tc>
        <w:tc>
          <w:tcPr>
            <w:tcW w:w="48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Mississippi Resources, LLC </w:t>
            </w:r>
            <w:r>
              <w:rPr>
                <w:rFonts w:ascii="Arial" w:cs="Arial" w:eastAsia="Arial" w:hAnsi="Arial"/>
                <w:sz w:val="12"/>
                <w:szCs w:val="12"/>
                <w:color w:val="auto"/>
              </w:rPr>
              <w:t>(7)(13)(14)</w:t>
            </w:r>
          </w:p>
        </w:tc>
        <w:tc>
          <w:tcPr>
            <w:tcW w:w="3340" w:type="dxa"/>
            <w:vAlign w:val="bottom"/>
            <w:gridSpan w:val="2"/>
          </w:tcPr>
          <w:p>
            <w:pPr>
              <w:ind w:left="480"/>
              <w:spacing w:after="0"/>
              <w:rPr>
                <w:sz w:val="20"/>
                <w:szCs w:val="20"/>
                <w:color w:val="auto"/>
              </w:rPr>
            </w:pPr>
            <w:r>
              <w:rPr>
                <w:rFonts w:ascii="Arial" w:cs="Arial" w:eastAsia="Arial" w:hAnsi="Arial"/>
                <w:sz w:val="14"/>
                <w:szCs w:val="14"/>
                <w:color w:val="auto"/>
              </w:rPr>
              <w:t>Class A-1 Member Units (1,360 units)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5/3/2017</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10,366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1140" w:type="dxa"/>
            <w:vAlign w:val="bottom"/>
            <w:gridSpan w:val="3"/>
          </w:tcPr>
          <w:p>
            <w:pPr>
              <w:jc w:val="right"/>
              <w:ind w:right="8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Class A-2 Member Units (933 units)</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6/4/2014</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8,874</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Northern Oil and Gas, Inc. </w:t>
            </w:r>
            <w:r>
              <w:rPr>
                <w:rFonts w:ascii="Arial" w:cs="Arial" w:eastAsia="Arial" w:hAnsi="Arial"/>
                <w:sz w:val="12"/>
                <w:szCs w:val="12"/>
                <w:color w:val="auto"/>
              </w:rPr>
              <w:t>(12)(13)</w:t>
            </w:r>
          </w:p>
        </w:tc>
        <w:tc>
          <w:tcPr>
            <w:tcW w:w="3340" w:type="dxa"/>
            <w:vAlign w:val="bottom"/>
            <w:gridSpan w:val="2"/>
          </w:tcPr>
          <w:p>
            <w:pPr>
              <w:ind w:left="480"/>
              <w:spacing w:after="0"/>
              <w:rPr>
                <w:sz w:val="20"/>
                <w:szCs w:val="20"/>
                <w:color w:val="auto"/>
              </w:rPr>
            </w:pPr>
            <w:r>
              <w:rPr>
                <w:rFonts w:ascii="Arial" w:cs="Arial" w:eastAsia="Arial" w:hAnsi="Arial"/>
                <w:sz w:val="14"/>
                <w:szCs w:val="14"/>
                <w:color w:val="auto"/>
              </w:rPr>
              <w:t>Common Shares (493,316 shares)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5/15/2018</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1,352</w:t>
            </w:r>
          </w:p>
        </w:tc>
        <w:tc>
          <w:tcPr>
            <w:tcW w:w="1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19,980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Equity and Other Investments</w:t>
            </w: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66,312</w:t>
            </w:r>
          </w:p>
        </w:tc>
        <w:tc>
          <w:tcPr>
            <w:tcW w:w="16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41,455</w:t>
            </w:r>
          </w:p>
        </w:tc>
        <w:tc>
          <w:tcPr>
            <w:tcW w:w="140" w:type="dxa"/>
            <w:vAlign w:val="bottom"/>
            <w:vMerge w:val="continue"/>
          </w:tcPr>
          <w:p>
            <w:pPr>
              <w:spacing w:after="0"/>
              <w:rPr>
                <w:sz w:val="13"/>
                <w:szCs w:val="13"/>
                <w:color w:val="auto"/>
              </w:rPr>
            </w:pPr>
          </w:p>
        </w:tc>
        <w:tc>
          <w:tcPr>
            <w:tcW w:w="10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4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1,825,719</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1,824,861</w:t>
            </w:r>
          </w:p>
        </w:tc>
        <w:tc>
          <w:tcPr>
            <w:tcW w:w="11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640" w:hanging="436"/>
        <w:spacing w:after="0"/>
        <w:tabs>
          <w:tab w:leader="none" w:pos="6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Certain portfolio company investments are subject to contractual restrictions on sales.</w:t>
      </w:r>
    </w:p>
    <w:p>
      <w:pPr>
        <w:ind w:left="640" w:hanging="436"/>
        <w:spacing w:after="0"/>
        <w:tabs>
          <w:tab w:leader="none" w:pos="6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amortized cost represents the original cost adjusted for the amortization of discounts and premiums, as applicable, on debt investments using the effective interest method.</w:t>
      </w:r>
    </w:p>
    <w:p>
      <w:pPr>
        <w:ind w:left="640" w:right="180" w:hanging="436"/>
        <w:spacing w:after="0" w:line="238" w:lineRule="auto"/>
        <w:tabs>
          <w:tab w:leader="none" w:pos="6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March 31, 2019.</w:t>
      </w:r>
    </w:p>
    <w:p>
      <w:pPr>
        <w:spacing w:after="0" w:line="1" w:lineRule="exact"/>
        <w:rPr>
          <w:rFonts w:ascii="Arial" w:cs="Arial" w:eastAsia="Arial" w:hAnsi="Arial"/>
          <w:sz w:val="13"/>
          <w:szCs w:val="13"/>
          <w:color w:val="auto"/>
        </w:rPr>
      </w:pPr>
    </w:p>
    <w:p>
      <w:pPr>
        <w:jc w:val="both"/>
        <w:ind w:left="640" w:right="220" w:hanging="436"/>
        <w:spacing w:after="0" w:line="221" w:lineRule="auto"/>
        <w:tabs>
          <w:tab w:leader="none" w:pos="6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16.5% of total assets as of March 31, 2019.</w:t>
      </w:r>
    </w:p>
    <w:p>
      <w:pPr>
        <w:jc w:val="both"/>
        <w:ind w:left="640" w:right="140" w:hanging="436"/>
        <w:spacing w:after="0" w:line="238" w:lineRule="auto"/>
        <w:tabs>
          <w:tab w:leader="none" w:pos="6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ind w:left="640" w:right="160" w:hanging="436"/>
        <w:spacing w:after="0" w:line="232" w:lineRule="auto"/>
        <w:tabs>
          <w:tab w:leader="none" w:pos="6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Under the 1940 Act, the Company is deemed to be an “Affiliated Person” of, as defined in the 1940 Act, this portfolio company, as the Company owns more than 5% of the portfolio company’s outstanding voting securities. Transactions during the three months ended March 31, 2019 in which the issuer was an Affiliated Person of the portfolio company are as follows:</w:t>
      </w:r>
    </w:p>
    <w:p>
      <w:pPr>
        <w:spacing w:after="0" w:line="28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160" w:type="dxa"/>
            <w:vAlign w:val="bottom"/>
            <w:gridSpan w:val="18"/>
          </w:tcPr>
          <w:p>
            <w:pPr>
              <w:ind w:left="760"/>
              <w:spacing w:after="0"/>
              <w:rPr>
                <w:sz w:val="20"/>
                <w:szCs w:val="20"/>
                <w:color w:val="auto"/>
              </w:rPr>
            </w:pPr>
            <w:r>
              <w:rPr>
                <w:rFonts w:ascii="Arial" w:cs="Arial" w:eastAsia="Arial" w:hAnsi="Arial"/>
                <w:sz w:val="14"/>
                <w:szCs w:val="14"/>
                <w:b w:val="1"/>
                <w:bCs w:val="1"/>
                <w:color w:val="auto"/>
                <w:w w:val="94"/>
              </w:rPr>
              <w:t>Non-controlled, Affiliated Investments during the three months ended March 31, 2019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7"/>
              </w:rPr>
              <w:t>Net</w:t>
            </w: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Fair</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Change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Fair</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4"/>
            <w:vMerge w:val="restart"/>
          </w:tcPr>
          <w:p>
            <w:pPr>
              <w:jc w:val="center"/>
              <w:ind w:left="288"/>
              <w:spacing w:after="0"/>
              <w:rPr>
                <w:sz w:val="20"/>
                <w:szCs w:val="20"/>
                <w:color w:val="auto"/>
              </w:rPr>
            </w:pPr>
            <w:r>
              <w:rPr>
                <w:rFonts w:ascii="Arial" w:cs="Arial" w:eastAsia="Arial" w:hAnsi="Arial"/>
                <w:sz w:val="14"/>
                <w:szCs w:val="14"/>
                <w:b w:val="1"/>
                <w:bCs w:val="1"/>
                <w:color w:val="auto"/>
                <w:w w:val="91"/>
              </w:rPr>
              <w:t>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Value at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860" w:type="dxa"/>
            <w:vAlign w:val="bottom"/>
            <w:gridSpan w:val="3"/>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Unrealized</w:t>
            </w:r>
          </w:p>
        </w:tc>
        <w:tc>
          <w:tcPr>
            <w:tcW w:w="92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Value at</w:t>
            </w:r>
          </w:p>
        </w:tc>
        <w:tc>
          <w:tcPr>
            <w:tcW w:w="38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92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760" w:type="dxa"/>
            <w:vAlign w:val="bottom"/>
          </w:tcPr>
          <w:p>
            <w:pPr>
              <w:spacing w:after="0"/>
              <w:rPr>
                <w:sz w:val="12"/>
                <w:szCs w:val="12"/>
                <w:color w:val="auto"/>
              </w:rPr>
            </w:pP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Gain/</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Gain/</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120" w:type="dxa"/>
            <w:vAlign w:val="bottom"/>
            <w:gridSpan w:val="3"/>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w w:val="96"/>
              </w:rPr>
              <w:t>2018</w:t>
            </w:r>
          </w:p>
        </w:tc>
        <w:tc>
          <w:tcPr>
            <w:tcW w:w="118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Additions (a)</w:t>
            </w:r>
          </w:p>
        </w:tc>
        <w:tc>
          <w:tcPr>
            <w:tcW w:w="1500" w:type="dxa"/>
            <w:vAlign w:val="bottom"/>
            <w:gridSpan w:val="4"/>
          </w:tcPr>
          <w:p>
            <w:pPr>
              <w:jc w:val="center"/>
              <w:ind w:left="48"/>
              <w:spacing w:after="0" w:line="158" w:lineRule="exact"/>
              <w:rPr>
                <w:sz w:val="20"/>
                <w:szCs w:val="20"/>
                <w:color w:val="auto"/>
              </w:rPr>
            </w:pPr>
            <w:r>
              <w:rPr>
                <w:rFonts w:ascii="Arial" w:cs="Arial" w:eastAsia="Arial" w:hAnsi="Arial"/>
                <w:sz w:val="14"/>
                <w:szCs w:val="14"/>
                <w:b w:val="1"/>
                <w:bCs w:val="1"/>
                <w:color w:val="auto"/>
                <w:w w:val="91"/>
              </w:rPr>
              <w:t>Reductions (b)</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w w:val="90"/>
              </w:rPr>
              <w:t>(Loss)</w:t>
            </w:r>
          </w:p>
        </w:tc>
        <w:tc>
          <w:tcPr>
            <w:tcW w:w="380" w:type="dxa"/>
            <w:vAlign w:val="bottom"/>
          </w:tcPr>
          <w:p>
            <w:pPr>
              <w:spacing w:after="0"/>
              <w:rPr>
                <w:sz w:val="13"/>
                <w:szCs w:val="13"/>
                <w:color w:val="auto"/>
              </w:rPr>
            </w:pPr>
          </w:p>
        </w:tc>
        <w:tc>
          <w:tcPr>
            <w:tcW w:w="54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83"/>
              </w:rPr>
              <w:t>(Losses)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89"/>
              </w:rPr>
              <w:t>2019</w:t>
            </w:r>
          </w:p>
        </w:tc>
        <w:tc>
          <w:tcPr>
            <w:tcW w:w="84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Income</w:t>
            </w:r>
          </w:p>
        </w:tc>
        <w:tc>
          <w:tcPr>
            <w:tcW w:w="380" w:type="dxa"/>
            <w:vAlign w:val="bottom"/>
          </w:tcPr>
          <w:p>
            <w:pPr>
              <w:spacing w:after="0"/>
              <w:rPr>
                <w:sz w:val="13"/>
                <w:szCs w:val="13"/>
                <w:color w:val="auto"/>
              </w:rPr>
            </w:pPr>
          </w:p>
        </w:tc>
        <w:tc>
          <w:tcPr>
            <w:tcW w:w="5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1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AFS Technologies, Inc.</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45,342</w:t>
            </w: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4,742</w:t>
            </w: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ind w:left="480"/>
              <w:spacing w:after="0" w:line="136" w:lineRule="exact"/>
              <w:rPr>
                <w:sz w:val="20"/>
                <w:szCs w:val="20"/>
                <w:color w:val="auto"/>
              </w:rPr>
            </w:pPr>
            <w:r>
              <w:rPr>
                <w:rFonts w:ascii="Arial" w:cs="Arial" w:eastAsia="Arial" w:hAnsi="Arial"/>
                <w:sz w:val="14"/>
                <w:szCs w:val="14"/>
                <w:color w:val="auto"/>
                <w:w w:val="73"/>
              </w:rPr>
              <w:t>(294)</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279</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ind w:left="240"/>
              <w:spacing w:after="0" w:line="136"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50,069</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48"/>
              <w:spacing w:after="0" w:line="136" w:lineRule="exact"/>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19</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1,248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Validity, Inc.</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38,590</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1,489</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(234)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39,993</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6"/>
              </w:rPr>
              <w:t>1,163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Total</w:t>
            </w:r>
          </w:p>
        </w:tc>
        <w:tc>
          <w:tcPr>
            <w:tcW w:w="980" w:type="dxa"/>
            <w:vAlign w:val="bottom"/>
            <w:gridSpan w:val="3"/>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83,932</w:t>
            </w:r>
          </w:p>
        </w:tc>
        <w:tc>
          <w:tcPr>
            <w:tcW w:w="5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6,231</w:t>
            </w:r>
          </w:p>
        </w:tc>
        <w:tc>
          <w:tcPr>
            <w:tcW w:w="5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b w:val="1"/>
                <w:bCs w:val="1"/>
                <w:color w:val="auto"/>
              </w:rPr>
              <w:t>(528)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427</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90,062</w:t>
            </w:r>
          </w:p>
        </w:tc>
        <w:tc>
          <w:tcPr>
            <w:tcW w:w="5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5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2,411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960" w:right="460" w:hanging="324"/>
        <w:spacing w:after="0" w:line="253" w:lineRule="auto"/>
        <w:tabs>
          <w:tab w:leader="none" w:pos="9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60" w:right="300" w:hanging="324"/>
        <w:spacing w:after="0" w:line="238" w:lineRule="auto"/>
        <w:tabs>
          <w:tab w:leader="none" w:pos="960" w:val="left"/>
        </w:tabs>
        <w:numPr>
          <w:ilvl w:val="1"/>
          <w:numId w:val="56"/>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8" w:lineRule="exact"/>
        <w:rPr>
          <w:rFonts w:ascii="Arial" w:cs="Arial" w:eastAsia="Arial" w:hAnsi="Arial"/>
          <w:sz w:val="14"/>
          <w:szCs w:val="14"/>
          <w:color w:val="auto"/>
        </w:rPr>
      </w:pPr>
    </w:p>
    <w:p>
      <w:pPr>
        <w:ind w:left="640" w:right="80" w:hanging="436"/>
        <w:spacing w:after="0" w:line="234" w:lineRule="auto"/>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2019 in which the issuer was an Affiliated Person of and was deemed to Control a portfolio company are as follows:</w:t>
      </w:r>
    </w:p>
    <w:p>
      <w:pPr>
        <w:spacing w:after="0" w:line="28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80" w:type="dxa"/>
            <w:vAlign w:val="bottom"/>
            <w:gridSpan w:val="15"/>
          </w:tcPr>
          <w:p>
            <w:pPr>
              <w:spacing w:after="0"/>
              <w:rPr>
                <w:sz w:val="20"/>
                <w:szCs w:val="20"/>
                <w:color w:val="auto"/>
              </w:rPr>
            </w:pPr>
            <w:r>
              <w:rPr>
                <w:rFonts w:ascii="Arial" w:cs="Arial" w:eastAsia="Arial" w:hAnsi="Arial"/>
                <w:sz w:val="14"/>
                <w:szCs w:val="14"/>
                <w:b w:val="1"/>
                <w:bCs w:val="1"/>
                <w:color w:val="auto"/>
                <w:w w:val="97"/>
              </w:rPr>
              <w:t>Controlled, Affiliated Investments during the three months ended March 31, 2019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Net</w:t>
            </w: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Fair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Fair</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w:t>
            </w:r>
          </w:p>
        </w:tc>
        <w:tc>
          <w:tcPr>
            <w:tcW w:w="740" w:type="dxa"/>
            <w:vAlign w:val="bottom"/>
            <w:gridSpan w:val="4"/>
            <w:vMerge w:val="restart"/>
          </w:tcPr>
          <w:p>
            <w:pPr>
              <w:jc w:val="center"/>
              <w:ind w:left="108"/>
              <w:spacing w:after="0"/>
              <w:rPr>
                <w:sz w:val="20"/>
                <w:szCs w:val="20"/>
                <w:color w:val="auto"/>
              </w:rPr>
            </w:pPr>
            <w:r>
              <w:rPr>
                <w:rFonts w:ascii="Arial" w:cs="Arial" w:eastAsia="Arial" w:hAnsi="Arial"/>
                <w:sz w:val="14"/>
                <w:szCs w:val="14"/>
                <w:b w:val="1"/>
                <w:bCs w:val="1"/>
                <w:color w:val="auto"/>
                <w:w w:val="91"/>
              </w:rPr>
              <w:t>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3"/>
              </w:rPr>
              <w:t>Value at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1280" w:type="dxa"/>
            <w:vAlign w:val="bottom"/>
            <w:gridSpan w:val="4"/>
          </w:tcPr>
          <w:p>
            <w:pPr>
              <w:jc w:val="center"/>
              <w:ind w:left="48"/>
              <w:spacing w:after="0" w:line="149" w:lineRule="exact"/>
              <w:rPr>
                <w:sz w:val="20"/>
                <w:szCs w:val="20"/>
                <w:color w:val="auto"/>
              </w:rPr>
            </w:pPr>
            <w:r>
              <w:rPr>
                <w:rFonts w:ascii="Arial" w:cs="Arial" w:eastAsia="Arial" w:hAnsi="Arial"/>
                <w:sz w:val="14"/>
                <w:szCs w:val="14"/>
                <w:b w:val="1"/>
                <w:bCs w:val="1"/>
                <w:color w:val="auto"/>
                <w:w w:val="95"/>
              </w:rPr>
              <w:t>Unrealized</w:t>
            </w:r>
          </w:p>
        </w:tc>
        <w:tc>
          <w:tcPr>
            <w:tcW w:w="74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Value at</w:t>
            </w:r>
          </w:p>
        </w:tc>
        <w:tc>
          <w:tcPr>
            <w:tcW w:w="38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92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15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Gain/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rPr>
              <w:t>Gain/</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28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w w:val="96"/>
              </w:rPr>
              <w:t>2018</w:t>
            </w:r>
          </w:p>
        </w:tc>
        <w:tc>
          <w:tcPr>
            <w:tcW w:w="118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Additions (a)</w:t>
            </w:r>
          </w:p>
        </w:tc>
        <w:tc>
          <w:tcPr>
            <w:tcW w:w="1300" w:type="dxa"/>
            <w:vAlign w:val="bottom"/>
            <w:gridSpan w:val="3"/>
          </w:tcPr>
          <w:p>
            <w:pPr>
              <w:ind w:left="380"/>
              <w:spacing w:after="0" w:line="158" w:lineRule="exact"/>
              <w:rPr>
                <w:sz w:val="20"/>
                <w:szCs w:val="20"/>
                <w:color w:val="auto"/>
              </w:rPr>
            </w:pPr>
            <w:r>
              <w:rPr>
                <w:rFonts w:ascii="Arial" w:cs="Arial" w:eastAsia="Arial" w:hAnsi="Arial"/>
                <w:sz w:val="14"/>
                <w:szCs w:val="14"/>
                <w:b w:val="1"/>
                <w:bCs w:val="1"/>
                <w:color w:val="auto"/>
                <w:w w:val="91"/>
              </w:rPr>
              <w:t>Reductions (b)</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3"/>
                <w:szCs w:val="13"/>
                <w:color w:val="auto"/>
              </w:rPr>
            </w:pPr>
          </w:p>
        </w:tc>
        <w:tc>
          <w:tcPr>
            <w:tcW w:w="54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83"/>
              </w:rPr>
              <w:t>(Losses)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89"/>
              </w:rPr>
              <w:t>2019</w:t>
            </w:r>
          </w:p>
        </w:tc>
        <w:tc>
          <w:tcPr>
            <w:tcW w:w="840" w:type="dxa"/>
            <w:vAlign w:val="bottom"/>
            <w:gridSpan w:val="3"/>
          </w:tcPr>
          <w:p>
            <w:pPr>
              <w:ind w:left="380"/>
              <w:spacing w:after="0" w:line="158" w:lineRule="exact"/>
              <w:rPr>
                <w:sz w:val="20"/>
                <w:szCs w:val="20"/>
                <w:color w:val="auto"/>
              </w:rPr>
            </w:pPr>
            <w:r>
              <w:rPr>
                <w:rFonts w:ascii="Arial" w:cs="Arial" w:eastAsia="Arial" w:hAnsi="Arial"/>
                <w:sz w:val="14"/>
                <w:szCs w:val="14"/>
                <w:b w:val="1"/>
                <w:bCs w:val="1"/>
                <w:color w:val="auto"/>
                <w:w w:val="89"/>
              </w:rPr>
              <w:t>Income</w:t>
            </w:r>
          </w:p>
        </w:tc>
        <w:tc>
          <w:tcPr>
            <w:tcW w:w="380" w:type="dxa"/>
            <w:vAlign w:val="bottom"/>
          </w:tcPr>
          <w:p>
            <w:pPr>
              <w:spacing w:after="0"/>
              <w:rPr>
                <w:sz w:val="13"/>
                <w:szCs w:val="13"/>
                <w:color w:val="auto"/>
              </w:rPr>
            </w:pPr>
          </w:p>
        </w:tc>
        <w:tc>
          <w:tcPr>
            <w:tcW w:w="5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IRGSE Holding Corp.</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34,527</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1,262</w:t>
            </w: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00"/>
              <w:spacing w:after="0" w:line="136"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(922)</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ind w:left="40"/>
              <w:spacing w:after="0" w:line="136"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34,867</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5</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937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Mississippi Resources, LLC</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21,978</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(2,745)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19,233</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56,505</w:t>
            </w:r>
          </w:p>
        </w:tc>
        <w:tc>
          <w:tcPr>
            <w:tcW w:w="5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1,262</w:t>
            </w:r>
          </w:p>
        </w:tc>
        <w:tc>
          <w:tcPr>
            <w:tcW w:w="5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(3,667)</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54,100</w:t>
            </w:r>
          </w:p>
        </w:tc>
        <w:tc>
          <w:tcPr>
            <w:tcW w:w="5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5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1,439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960" w:right="460" w:hanging="324"/>
        <w:spacing w:after="0" w:line="230" w:lineRule="auto"/>
        <w:tabs>
          <w:tab w:leader="none" w:pos="960" w:val="left"/>
        </w:tabs>
        <w:numPr>
          <w:ilvl w:val="1"/>
          <w:numId w:val="58"/>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ind w:left="960" w:right="300" w:hanging="324"/>
        <w:spacing w:after="0" w:line="232" w:lineRule="auto"/>
        <w:tabs>
          <w:tab w:leader="none" w:pos="960" w:val="left"/>
        </w:tabs>
        <w:numPr>
          <w:ilvl w:val="1"/>
          <w:numId w:val="58"/>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8" w:lineRule="exact"/>
        <w:rPr>
          <w:rFonts w:ascii="Arial" w:cs="Arial" w:eastAsia="Arial" w:hAnsi="Arial"/>
          <w:sz w:val="14"/>
          <w:szCs w:val="14"/>
          <w:color w:val="auto"/>
        </w:rPr>
      </w:pPr>
    </w:p>
    <w:p>
      <w:pPr>
        <w:ind w:left="640" w:right="240" w:hanging="436"/>
        <w:spacing w:after="0" w:line="230" w:lineRule="auto"/>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As of March 31, 2019, the estimated cost basis of investments for U.S. federal tax purposes was $1,825,595, resulting in estimated gross unrealized gains and losses of $86,883 and $82,732, respectively.</w:t>
      </w:r>
    </w:p>
    <w:p>
      <w:pPr>
        <w:ind w:left="640" w:right="280" w:hanging="436"/>
        <w:spacing w:after="0" w:line="221" w:lineRule="auto"/>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These investments contain a fixed rate structure. The Company entered into an interest rate swap agreement to swap to a floating rate. Refer to Note 5 to our consolidated financial statements in our 2019 Q1 Quarterly Report for further information related to the Company’s interest rate swaps on investments.</w:t>
      </w:r>
    </w:p>
    <w:p>
      <w:pPr>
        <w:ind w:left="640" w:right="100" w:hanging="436"/>
        <w:spacing w:after="0" w:line="221" w:lineRule="auto"/>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 xml:space="preserve">In accordance with Financial Accounting Standards Board Accounting Standards Codification 820, </w:t>
      </w:r>
      <w:r>
        <w:rPr>
          <w:rFonts w:ascii="Arial" w:cs="Arial" w:eastAsia="Arial" w:hAnsi="Arial"/>
          <w:sz w:val="14"/>
          <w:szCs w:val="14"/>
          <w:i w:val="1"/>
          <w:iCs w:val="1"/>
          <w:color w:val="auto"/>
        </w:rPr>
        <w:t>Fair Value Measurements</w:t>
      </w:r>
      <w:r>
        <w:rPr>
          <w:rFonts w:ascii="Arial" w:cs="Arial" w:eastAsia="Arial" w:hAnsi="Arial"/>
          <w:sz w:val="14"/>
          <w:szCs w:val="14"/>
          <w:color w:val="auto"/>
        </w:rPr>
        <w:t xml:space="preserve"> (“ASC 820”), unless otherwise indicated, the fair values of all investments were determined using significant unobservable inputs and are considered Level 3 investments. See Note 6 to our consolidated financial statements in our 2019 Q1 Quarterly Report for further information related to investments at fair value.</w:t>
      </w:r>
    </w:p>
    <w:p>
      <w:pPr>
        <w:ind w:left="640" w:right="300" w:hanging="436"/>
        <w:spacing w:after="0" w:line="221" w:lineRule="auto"/>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This investment is valued using observable inputs and is considered a Level 2 investment. See Note 6 to our consolidated financial statements in our 2019 Q1 Quarterly Report for further information related to investments at fair value.</w:t>
      </w:r>
    </w:p>
    <w:p>
      <w:pPr>
        <w:ind w:left="640" w:right="300" w:hanging="436"/>
        <w:spacing w:after="0" w:line="221" w:lineRule="auto"/>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This investment is valued using observable inputs and is considered a Level 1 investment. See Note 6 to our consolidated financial statements in our 2019 Q1 Quarterly Report for further information related to investments at fair value.</w:t>
      </w:r>
    </w:p>
    <w:p>
      <w:pPr>
        <w:ind w:left="640" w:hanging="436"/>
        <w:spacing w:after="0" w:line="221" w:lineRule="auto"/>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This equity investment is non-income producing.</w:t>
      </w:r>
    </w:p>
    <w:p>
      <w:pPr>
        <w:ind w:left="640" w:right="160" w:hanging="436"/>
        <w:spacing w:after="0" w:line="221" w:lineRule="auto"/>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Security acquired in transaction exempt from registration under the Securities Act of 1933, and may be deemed to be “restricted securities” under the Securities Act. As of March 31, 2019, the aggregate fair value of these securities is $15,652, or 1.5% of the Company’s net assets.</w:t>
      </w:r>
    </w:p>
    <w:p>
      <w:pPr>
        <w:ind w:left="640" w:hanging="436"/>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Ownership of equity investments may occur through a holding company or partnership.</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information in the sections entitled “Election of Directors” and “Corporate Governance” in our 2019 Annual Proxy.</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 AND OTHER AGREEMENTS</w:t>
      </w:r>
    </w:p>
    <w:p>
      <w:pPr>
        <w:spacing w:after="0" w:line="22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information in the section entitled “Management Agreements” in Part I, Item 1 of our 2018 Annual Report and in Note 3 to our consolidated financial statements in our 2019 Q1 Quarterly Report is incorporated herein by reference.</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information in the section entitled “Certain Relationships and Related Party Transactions” in our 2019 Annual Proxy is incorporated herein by reference.</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information in the sections entitled “Election of Directors” and “Security Ownership of Certain Beneficial Owners and Management” in our 2019 Annual Proxy is incorporated herein by reference.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II, Item 7 of our 2018 Annual Report and in Part I, Item 2 of our 2019 Q1 Quarterly Report, which are incorporated herein by reference.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w:t>
      </w:r>
    </w:p>
    <w:p>
      <w:pPr>
        <w:spacing w:after="0" w:line="52" w:lineRule="exact"/>
        <w:rPr>
          <w:sz w:val="20"/>
          <w:szCs w:val="20"/>
          <w:color w:val="auto"/>
        </w:rPr>
      </w:pPr>
    </w:p>
    <w:p>
      <w:pPr>
        <w:ind w:left="1180" w:hanging="436"/>
        <w:spacing w:after="0"/>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1180" w:right="80" w:hanging="436"/>
        <w:spacing w:after="0" w:line="286" w:lineRule="auto"/>
        <w:tabs>
          <w:tab w:leader="none" w:pos="11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70" w:lineRule="exact"/>
        <w:rPr>
          <w:rFonts w:ascii="Arial" w:cs="Arial" w:eastAsia="Arial" w:hAnsi="Arial"/>
          <w:sz w:val="17"/>
          <w:szCs w:val="17"/>
          <w:color w:val="auto"/>
        </w:rPr>
      </w:pPr>
    </w:p>
    <w:p>
      <w:pPr>
        <w:ind w:left="1180" w:hanging="436"/>
        <w:spacing w:after="0" w:line="257" w:lineRule="auto"/>
        <w:tabs>
          <w:tab w:leader="none" w:pos="1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8"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7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w:t>
      </w:r>
    </w:p>
    <w:p>
      <w:pPr>
        <w:spacing w:after="0" w:line="92" w:lineRule="exact"/>
        <w:rPr>
          <w:sz w:val="20"/>
          <w:szCs w:val="20"/>
          <w:color w:val="auto"/>
        </w:rPr>
      </w:pPr>
    </w:p>
    <w:p>
      <w:pPr>
        <w:ind w:left="1180" w:hanging="436"/>
        <w:spacing w:after="0"/>
        <w:tabs>
          <w:tab w:leader="none" w:pos="11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 “required majority” of our directors have determined that any such sale would be in the best interests of us and our stockholders;</w:t>
      </w:r>
    </w:p>
    <w:p>
      <w:pPr>
        <w:spacing w:after="0" w:line="142" w:lineRule="exact"/>
        <w:rPr>
          <w:rFonts w:ascii="Arial" w:cs="Arial" w:eastAsia="Arial" w:hAnsi="Arial"/>
          <w:sz w:val="17"/>
          <w:szCs w:val="17"/>
          <w:color w:val="auto"/>
        </w:rPr>
      </w:pPr>
    </w:p>
    <w:p>
      <w:pPr>
        <w:ind w:left="1180" w:hanging="436"/>
        <w:spacing w:after="0" w:line="257" w:lineRule="auto"/>
        <w:tabs>
          <w:tab w:leader="none" w:pos="1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93" w:lineRule="exact"/>
        <w:rPr>
          <w:rFonts w:ascii="Arial" w:cs="Arial" w:eastAsia="Arial" w:hAnsi="Arial"/>
          <w:sz w:val="18"/>
          <w:szCs w:val="18"/>
          <w:color w:val="auto"/>
        </w:rPr>
      </w:pPr>
    </w:p>
    <w:p>
      <w:pPr>
        <w:ind w:left="1180" w:hanging="436"/>
        <w:spacing w:after="0"/>
        <w:tabs>
          <w:tab w:leader="none" w:pos="11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number of shares to be issued does not exceed 25% of our then-outstanding common stock immediately prior to each such offering.</w:t>
      </w:r>
    </w:p>
    <w:p>
      <w:pPr>
        <w:spacing w:after="0" w:line="248"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w:t>
      </w:r>
    </w:p>
    <w:p>
      <w:pPr>
        <w:spacing w:after="0" w:line="181"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There is no limit on the percentage below net asset value per share at which shares may be sold by us or the number of offerings, each for up to 25% of our then-outstanding common stock, that we may conduct under the approval for the one-year period that authorization is granted.</w:t>
      </w:r>
    </w:p>
    <w:p>
      <w:pPr>
        <w:spacing w:after="0" w:line="124"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making a determination that an offering of common stock at a price below its net asset value per share pursuant to the approval is in our and our stockholders’ best interests, our Board will consider a variety of factors including:</w:t>
      </w:r>
    </w:p>
    <w:p>
      <w:pPr>
        <w:spacing w:after="0" w:line="76" w:lineRule="exact"/>
        <w:rPr>
          <w:sz w:val="20"/>
          <w:szCs w:val="20"/>
          <w:color w:val="auto"/>
        </w:rPr>
      </w:pPr>
    </w:p>
    <w:p>
      <w:pPr>
        <w:ind w:left="1180" w:right="120" w:hanging="436"/>
        <w:spacing w:after="0" w:line="277"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effect that an offering at a price below net asset value per share would have on our stockholders, including the potential dilution to the net asset value per share of our common stock our stockholders would experience as a result of the offering;</w:t>
      </w:r>
    </w:p>
    <w:p>
      <w:pPr>
        <w:spacing w:after="0" w:line="75"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our most recently determined net asset value per share;</w:t>
      </w:r>
    </w:p>
    <w:p>
      <w:pPr>
        <w:spacing w:after="0" w:line="75"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net asset value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shares of our common stock;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of our common stock in the offering;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leverage available to us.</w:t>
      </w:r>
    </w:p>
    <w:p>
      <w:pPr>
        <w:spacing w:after="0" w:line="225"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color w:val="auto"/>
        </w:rPr>
        <w:t>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w:t>
      </w:r>
    </w:p>
    <w:p>
      <w:pPr>
        <w:spacing w:after="0" w:line="147" w:lineRule="exact"/>
        <w:rPr>
          <w:sz w:val="20"/>
          <w:szCs w:val="20"/>
          <w:color w:val="auto"/>
        </w:rPr>
      </w:pPr>
    </w:p>
    <w:p>
      <w:pPr>
        <w:ind w:left="200" w:right="240" w:firstLine="441"/>
        <w:spacing w:after="0" w:line="270" w:lineRule="auto"/>
        <w:rPr>
          <w:sz w:val="20"/>
          <w:szCs w:val="20"/>
          <w:color w:val="auto"/>
        </w:rPr>
      </w:pPr>
      <w:r>
        <w:rPr>
          <w:rFonts w:ascii="Arial" w:cs="Arial" w:eastAsia="Arial" w:hAnsi="Arial"/>
          <w:sz w:val="17"/>
          <w:szCs w:val="17"/>
          <w:color w:val="auto"/>
        </w:rPr>
        <w:t>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 11.07 million shares of common stock at net proceeds to us of $8.50 per share, which would produce dilution of 6.67%, before we would reach the aggregate 15% limit.</w:t>
      </w:r>
    </w:p>
    <w:p>
      <w:pPr>
        <w:spacing w:after="0" w:line="178"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1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following three headings and accompanying tables explain and provide hypothetical examples on the impact of a public offering of our common stock at a price less than net asset value per share on three different types of investors:</w:t>
      </w:r>
    </w:p>
    <w:p>
      <w:pPr>
        <w:spacing w:after="0" w:line="76" w:lineRule="exact"/>
        <w:rPr>
          <w:sz w:val="20"/>
          <w:szCs w:val="20"/>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Impact on Existing Stockholders Who Do Not Participate in the Offering</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Our existing stockholders who do not participate in an offering of our common stock at a price below our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our assets, potential earning power and voting interests due to the offering. These stockholders may also experience a decline in the market price of their shares, which often reflects to some degree announced or potential increases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and decreases in net asset value per share. This decrease could be more pronounced as the size of the offering and level of discounts increase. There is no maximum level of discount from net asset value per share at which we may sell shares pursuant to such authority.</w:t>
      </w:r>
    </w:p>
    <w:p>
      <w:pPr>
        <w:spacing w:after="0" w:line="170"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following chart illustrates the level of net asset value per share dilution that would be experienced by a nonparticipating stockholder in four different hypothetical offerings of different sizes and levels of discount from net asset value per share. It is not possible to predict the level of market price decline that may occur. Actual sales prices and discounts may differ from the presentation below.</w:t>
      </w:r>
    </w:p>
    <w:p>
      <w:pPr>
        <w:spacing w:after="0" w:line="9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240" w:top="459" w:right="6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69" w:lineRule="auto"/>
        <w:rPr>
          <w:sz w:val="20"/>
          <w:szCs w:val="20"/>
          <w:color w:val="auto"/>
        </w:rPr>
      </w:pPr>
      <w:r>
        <w:rPr>
          <w:rFonts w:ascii="Arial" w:cs="Arial" w:eastAsia="Arial" w:hAnsi="Arial"/>
          <w:sz w:val="17"/>
          <w:szCs w:val="17"/>
          <w:color w:val="auto"/>
        </w:rPr>
        <w:t>The example assumes that we have 65.4 million shares outstanding, $1.7 billion in total assets and $0.7 billion in total liabilities (all figures correspond to actual data as of December 31, 2018). The current net asset value and net asset value per share are thus $1.1 billion and $16.25 per share. The chart illustrates the dilutive effect on Stockholder A of (a) an offering of 3.3 million shares of common stock (5% of the outstanding shares) at $15.44 per share after offering expenses and commissions (a 5% discount from net asset value per share), (b) an offering of 6.5 million shares of common stock (10% of the outstanding shares) at $14.63 per share after offering expenses and commissions (a 10% discount from net asset value per share), (c) an offering of 13.1 million shares of common stock (20% of the outstanding shares) at $13.00 per share after offering expenses and commissions (a 20% discount from net asset value per share), and (d) an offering of 16.4 million shares of common stock (25% of the outstanding shares) at $12.19 per share after offering expenses and commissions (a 25% discount from net asset value per share). The prospectus supplement pursuant to which any discounted offering is made will include a chart based on the actual number of shares of common stock in such offering and the actual discount to the most recently determined net asset value per share. It is not possible to predict the level of market price decline that may occur. These examples are provided for illustrative purposes only.</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Example 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Example 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Example 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Example 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rPr>
              <w:t>5% Offering at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rPr>
              <w:t>10% Offering at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20% Offering at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Prior to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5% Discount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10%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20%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25% Discount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top w:val="single" w:sz="8" w:color="auto"/>
            </w:tcBorders>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7"/>
              </w:rPr>
              <w:t>Following</w:t>
            </w:r>
          </w:p>
        </w:tc>
        <w:tc>
          <w:tcPr>
            <w:tcW w:w="56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top w:val="single" w:sz="8" w:color="auto"/>
            </w:tcBorders>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Following</w:t>
            </w:r>
          </w:p>
        </w:tc>
        <w:tc>
          <w:tcPr>
            <w:tcW w:w="56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top w:val="single" w:sz="8" w:color="auto"/>
            </w:tcBorders>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Following</w:t>
            </w:r>
          </w:p>
        </w:tc>
        <w:tc>
          <w:tcPr>
            <w:tcW w:w="56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top w:val="single" w:sz="8" w:color="auto"/>
            </w:tcBorders>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Following</w:t>
            </w:r>
          </w:p>
        </w:tc>
        <w:tc>
          <w:tcPr>
            <w:tcW w:w="58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Sale Below</w:t>
            </w: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NAV</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280"/>
              <w:spacing w:after="0" w:line="149" w:lineRule="exact"/>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15.39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Shares Outstanding</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65,412,817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68,683,458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71,954,099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78,495,380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81,766,021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280"/>
              <w:spacing w:after="0" w:line="149" w:lineRule="exact"/>
              <w:rPr>
                <w:sz w:val="20"/>
                <w:szCs w:val="20"/>
                <w:color w:val="auto"/>
              </w:rPr>
            </w:pPr>
            <w:r>
              <w:rPr>
                <w:rFonts w:ascii="Arial" w:cs="Arial" w:eastAsia="Arial" w:hAnsi="Arial"/>
                <w:sz w:val="14"/>
                <w:szCs w:val="14"/>
                <w:color w:val="auto"/>
              </w:rPr>
              <w:t>Net Asset Value per Share</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16.25</w:t>
            </w: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16.21</w:t>
            </w:r>
          </w:p>
        </w:tc>
        <w:tc>
          <w:tcPr>
            <w:tcW w:w="20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(0.22%)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16.11</w:t>
            </w:r>
          </w:p>
        </w:tc>
        <w:tc>
          <w:tcPr>
            <w:tcW w:w="20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(0.89%)</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15.71</w:t>
            </w:r>
          </w:p>
        </w:tc>
        <w:tc>
          <w:tcPr>
            <w:tcW w:w="20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(3.31%)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15.44</w:t>
            </w:r>
          </w:p>
        </w:tc>
        <w:tc>
          <w:tcPr>
            <w:tcW w:w="20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Dilution to Nonparticipating Stockholder</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280"/>
              <w:spacing w:after="0" w:line="149" w:lineRule="exact"/>
              <w:rPr>
                <w:sz w:val="20"/>
                <w:szCs w:val="20"/>
                <w:color w:val="auto"/>
              </w:rPr>
            </w:pPr>
            <w:r>
              <w:rPr>
                <w:rFonts w:ascii="Arial" w:cs="Arial" w:eastAsia="Arial" w:hAnsi="Arial"/>
                <w:sz w:val="14"/>
                <w:szCs w:val="14"/>
                <w:color w:val="auto"/>
              </w:rPr>
              <w:t>Shares Held by Stockholder 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Percentage Held by Stockholder A</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0.10%</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0.09%</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0.08%</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0.08%</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ind w:left="280"/>
              <w:spacing w:after="0" w:line="130" w:lineRule="exact"/>
              <w:rPr>
                <w:sz w:val="20"/>
                <w:szCs w:val="20"/>
                <w:color w:val="auto"/>
              </w:rPr>
            </w:pPr>
            <w:r>
              <w:rPr>
                <w:rFonts w:ascii="Arial" w:cs="Arial" w:eastAsia="Arial" w:hAnsi="Arial"/>
                <w:sz w:val="14"/>
                <w:szCs w:val="14"/>
                <w:color w:val="auto"/>
              </w:rPr>
              <w:t>Total Net Asset Value Held by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ind w:left="420"/>
              <w:spacing w:after="0"/>
              <w:rPr>
                <w:sz w:val="20"/>
                <w:szCs w:val="20"/>
                <w:color w:val="auto"/>
              </w:rPr>
            </w:pPr>
            <w:r>
              <w:rPr>
                <w:rFonts w:ascii="Arial" w:cs="Arial" w:eastAsia="Arial" w:hAnsi="Arial"/>
                <w:sz w:val="14"/>
                <w:szCs w:val="14"/>
                <w:color w:val="auto"/>
              </w:rPr>
              <w:t>Stockholder A</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1,060,662</w:t>
            </w:r>
          </w:p>
        </w:tc>
        <w:tc>
          <w:tcPr>
            <w:tcW w:w="20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(0.24%)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1,053,519</w:t>
            </w:r>
          </w:p>
        </w:tc>
        <w:tc>
          <w:tcPr>
            <w:tcW w:w="20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(0.91%)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1,027,732</w:t>
            </w:r>
          </w:p>
        </w:tc>
        <w:tc>
          <w:tcPr>
            <w:tcW w:w="20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(3.34%)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1,010,008</w:t>
            </w:r>
          </w:p>
        </w:tc>
        <w:tc>
          <w:tcPr>
            <w:tcW w:w="20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Total Investment by Stockholder A</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(Assumed to be $16.25 per Share)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1,063,202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ind w:left="280"/>
              <w:spacing w:after="0" w:line="130" w:lineRule="exact"/>
              <w:rPr>
                <w:sz w:val="20"/>
                <w:szCs w:val="20"/>
                <w:color w:val="auto"/>
              </w:rPr>
            </w:pPr>
            <w:r>
              <w:rPr>
                <w:rFonts w:ascii="Arial" w:cs="Arial" w:eastAsia="Arial" w:hAnsi="Arial"/>
                <w:sz w:val="14"/>
                <w:szCs w:val="14"/>
                <w:color w:val="auto"/>
              </w:rPr>
              <w:t>Total Dilution to Stockholder A (Total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420"/>
              <w:spacing w:after="0" w:line="149" w:lineRule="exact"/>
              <w:rPr>
                <w:sz w:val="20"/>
                <w:szCs w:val="20"/>
                <w:color w:val="auto"/>
              </w:rPr>
            </w:pPr>
            <w:r>
              <w:rPr>
                <w:rFonts w:ascii="Arial" w:cs="Arial" w:eastAsia="Arial" w:hAnsi="Arial"/>
                <w:sz w:val="14"/>
                <w:szCs w:val="14"/>
                <w:color w:val="auto"/>
              </w:rPr>
              <w:t>Net Asset Value Less Total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ind w:left="420"/>
              <w:spacing w:after="0"/>
              <w:rPr>
                <w:sz w:val="20"/>
                <w:szCs w:val="20"/>
                <w:color w:val="auto"/>
              </w:rPr>
            </w:pPr>
            <w:r>
              <w:rPr>
                <w:rFonts w:ascii="Arial" w:cs="Arial" w:eastAsia="Arial" w:hAnsi="Arial"/>
                <w:sz w:val="14"/>
                <w:szCs w:val="14"/>
                <w:color w:val="auto"/>
              </w:rPr>
              <w:t>Investment)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(2,539)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(9,682)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(35,470)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(53,194)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Investment per Share Held by</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7"/>
              </w:rPr>
              <w:t>Stockholder A (Assumed to be $16.25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2"/>
              </w:rPr>
              <w:t>per Share on Shares Held Prior to Sale)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ind w:left="280"/>
              <w:spacing w:after="0" w:line="130" w:lineRule="exact"/>
              <w:rPr>
                <w:sz w:val="20"/>
                <w:szCs w:val="20"/>
                <w:color w:val="auto"/>
              </w:rPr>
            </w:pPr>
            <w:r>
              <w:rPr>
                <w:rFonts w:ascii="Arial" w:cs="Arial" w:eastAsia="Arial" w:hAnsi="Arial"/>
                <w:sz w:val="14"/>
                <w:szCs w:val="14"/>
                <w:color w:val="auto"/>
              </w:rPr>
              <w:t>Net Asset Value per Share Held by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ind w:left="420"/>
              <w:spacing w:after="0"/>
              <w:rPr>
                <w:sz w:val="20"/>
                <w:szCs w:val="20"/>
                <w:color w:val="auto"/>
              </w:rPr>
            </w:pPr>
            <w:r>
              <w:rPr>
                <w:rFonts w:ascii="Arial" w:cs="Arial" w:eastAsia="Arial" w:hAnsi="Arial"/>
                <w:sz w:val="14"/>
                <w:szCs w:val="14"/>
                <w:color w:val="auto"/>
              </w:rPr>
              <w:t>Stockholder A</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16.21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15.71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15.44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Dilution per Share Held by Stockholder</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 (Net Asset Value per Share Less</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Investment per Share)</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(0.04)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(0.14)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(0.54)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(0.81)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ind w:left="280"/>
              <w:spacing w:after="0" w:line="130" w:lineRule="exact"/>
              <w:rPr>
                <w:sz w:val="20"/>
                <w:szCs w:val="20"/>
                <w:color w:val="auto"/>
              </w:rPr>
            </w:pPr>
            <w:r>
              <w:rPr>
                <w:rFonts w:ascii="Arial" w:cs="Arial" w:eastAsia="Arial" w:hAnsi="Arial"/>
                <w:sz w:val="14"/>
                <w:szCs w:val="14"/>
                <w:color w:val="auto"/>
              </w:rPr>
              <w:t>Percentage Dilution to Stockholder 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420"/>
              <w:spacing w:after="0" w:line="149" w:lineRule="exact"/>
              <w:rPr>
                <w:sz w:val="20"/>
                <w:szCs w:val="20"/>
                <w:color w:val="auto"/>
              </w:rPr>
            </w:pPr>
            <w:r>
              <w:rPr>
                <w:rFonts w:ascii="Arial" w:cs="Arial" w:eastAsia="Arial" w:hAnsi="Arial"/>
                <w:sz w:val="14"/>
                <w:szCs w:val="14"/>
                <w:color w:val="auto"/>
              </w:rPr>
              <w:t>(Dilution per Share Divided by</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40" w:type="dxa"/>
            <w:vAlign w:val="bottom"/>
          </w:tcPr>
          <w:p>
            <w:pPr>
              <w:ind w:left="420"/>
              <w:spacing w:after="0"/>
              <w:rPr>
                <w:sz w:val="20"/>
                <w:szCs w:val="20"/>
                <w:color w:val="auto"/>
              </w:rPr>
            </w:pPr>
            <w:r>
              <w:rPr>
                <w:rFonts w:ascii="Arial" w:cs="Arial" w:eastAsia="Arial" w:hAnsi="Arial"/>
                <w:sz w:val="14"/>
                <w:szCs w:val="14"/>
                <w:color w:val="auto"/>
              </w:rPr>
              <w:t>Investment per Share)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(0.22%)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(0.89%)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240" w:top="459" w:right="4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Impact on Existing Stockholders Who Do Participate in the Offering</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Our existing stockholders who participate in an offering at a price below net asset value per share or who buy additional shares in the secondary market at the same or lower price as we obtain in the offering (after expenses and commissions) 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 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240" w:top="459" w:right="5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13.1 million shares) rather than its 0.10% proportionate share and (b) 150% of such percentage (i.e., 0.15% of an offering of 13.1 million shares) rather than its 0.10% proportionate share.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9"/>
              </w:rPr>
              <w:t>Prior to Sale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50% Participation</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150% Participation</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Following Sale</w:t>
            </w:r>
          </w:p>
        </w:tc>
        <w:tc>
          <w:tcPr>
            <w:tcW w:w="68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Following Sale</w:t>
            </w:r>
          </w:p>
        </w:tc>
        <w:tc>
          <w:tcPr>
            <w:tcW w:w="68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Below NAV</w:t>
            </w:r>
          </w:p>
        </w:tc>
        <w:tc>
          <w:tcPr>
            <w:tcW w:w="1440" w:type="dxa"/>
            <w:vAlign w:val="bottom"/>
            <w:gridSpan w:val="4"/>
            <w:vMerge w:val="continue"/>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Change</w:t>
            </w:r>
          </w:p>
        </w:tc>
        <w:tc>
          <w:tcPr>
            <w:tcW w:w="1440" w:type="dxa"/>
            <w:vAlign w:val="bottom"/>
            <w:gridSpan w:val="4"/>
            <w:vMerge w:val="continue"/>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Price per Share to Public</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13.68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per Share to Issuer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Decrease/Increase to Net Asset Value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Shares Outstanding</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65,412,817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78,495,380</w:t>
            </w:r>
          </w:p>
        </w:tc>
        <w:tc>
          <w:tcPr>
            <w:tcW w:w="3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78,495,380</w:t>
            </w:r>
          </w:p>
        </w:tc>
        <w:tc>
          <w:tcPr>
            <w:tcW w:w="3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Net Asset Value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16.25</w:t>
            </w:r>
          </w:p>
        </w:tc>
        <w:tc>
          <w:tcPr>
            <w:tcW w:w="3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15.71</w:t>
            </w:r>
          </w:p>
        </w:tc>
        <w:tc>
          <w:tcPr>
            <w:tcW w:w="34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(3.31%)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15.71</w:t>
            </w:r>
          </w:p>
        </w:tc>
        <w:tc>
          <w:tcPr>
            <w:tcW w:w="3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Dilution/Accretion to Participating Stockholder Shares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Held by Stockholder A</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Shares Held by Stockholder 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65,413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71,954</w:t>
            </w:r>
          </w:p>
        </w:tc>
        <w:tc>
          <w:tcPr>
            <w:tcW w:w="34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85,037</w:t>
            </w:r>
          </w:p>
        </w:tc>
        <w:tc>
          <w:tcPr>
            <w:tcW w:w="34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Percentage Held by Stockholder 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340"/>
              <w:spacing w:after="0" w:line="201" w:lineRule="exact"/>
              <w:rPr>
                <w:sz w:val="20"/>
                <w:szCs w:val="20"/>
                <w:color w:val="auto"/>
              </w:rPr>
            </w:pPr>
            <w:r>
              <w:rPr>
                <w:rFonts w:ascii="Arial" w:cs="Arial" w:eastAsia="Arial" w:hAnsi="Arial"/>
                <w:sz w:val="18"/>
                <w:szCs w:val="18"/>
                <w:color w:val="auto"/>
              </w:rPr>
              <w:t>Total Net Asset Value Held by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520"/>
              <w:spacing w:after="0"/>
              <w:rPr>
                <w:sz w:val="20"/>
                <w:szCs w:val="20"/>
                <w:color w:val="auto"/>
              </w:rPr>
            </w:pPr>
            <w:r>
              <w:rPr>
                <w:rFonts w:ascii="Arial" w:cs="Arial" w:eastAsia="Arial" w:hAnsi="Arial"/>
                <w:sz w:val="18"/>
                <w:szCs w:val="18"/>
                <w:color w:val="auto"/>
              </w:rPr>
              <w:t>Stockholder 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1,063,202</w:t>
            </w:r>
          </w:p>
        </w:tc>
        <w:tc>
          <w:tcPr>
            <w:tcW w:w="34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1,130,505</w:t>
            </w:r>
          </w:p>
        </w:tc>
        <w:tc>
          <w:tcPr>
            <w:tcW w:w="340" w:type="dxa"/>
            <w:vAlign w:val="bottom"/>
          </w:tcPr>
          <w:p>
            <w:pPr>
              <w:spacing w:after="0"/>
              <w:rPr>
                <w:sz w:val="20"/>
                <w:szCs w:val="20"/>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6.33%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1,336,051</w:t>
            </w:r>
          </w:p>
        </w:tc>
        <w:tc>
          <w:tcPr>
            <w:tcW w:w="34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Investment by Stockholder A (Assumed to be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$16.25 per Share on Shares Held Prior to Sale)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1,063,202</w:t>
            </w:r>
          </w:p>
        </w:tc>
        <w:tc>
          <w:tcPr>
            <w:tcW w:w="3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1,152,714</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1,331,739</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340"/>
              <w:spacing w:after="0" w:line="201" w:lineRule="exact"/>
              <w:rPr>
                <w:sz w:val="20"/>
                <w:szCs w:val="20"/>
                <w:color w:val="auto"/>
              </w:rPr>
            </w:pPr>
            <w:r>
              <w:rPr>
                <w:rFonts w:ascii="Arial" w:cs="Arial" w:eastAsia="Arial" w:hAnsi="Arial"/>
                <w:sz w:val="18"/>
                <w:szCs w:val="18"/>
                <w:color w:val="auto"/>
              </w:rPr>
              <w:t>Total Dilution/Accretion to Stockholder A (Total Net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520"/>
              <w:spacing w:after="0"/>
              <w:rPr>
                <w:sz w:val="20"/>
                <w:szCs w:val="20"/>
                <w:color w:val="auto"/>
              </w:rPr>
            </w:pPr>
            <w:r>
              <w:rPr>
                <w:rFonts w:ascii="Arial" w:cs="Arial" w:eastAsia="Arial" w:hAnsi="Arial"/>
                <w:sz w:val="18"/>
                <w:szCs w:val="18"/>
                <w:color w:val="auto"/>
              </w:rPr>
              <w:t>Asset Value Less Total Investment)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(22,209)</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4,312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Investment per Share Held by Stockholder A (Assumed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to be $16.25 per Share on Shares Held Prior to Sale)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3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3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3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Net Asset Value per Share Held by Stockholder 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Dilution/Accretion per Share Held by Stockholder A (Net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Asset Value per Share Less Investment per Share)</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(0.31)</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340"/>
              <w:spacing w:after="0" w:line="201" w:lineRule="exact"/>
              <w:rPr>
                <w:sz w:val="20"/>
                <w:szCs w:val="20"/>
                <w:color w:val="auto"/>
              </w:rPr>
            </w:pPr>
            <w:r>
              <w:rPr>
                <w:rFonts w:ascii="Arial" w:cs="Arial" w:eastAsia="Arial" w:hAnsi="Arial"/>
                <w:sz w:val="18"/>
                <w:szCs w:val="18"/>
                <w:color w:val="auto"/>
                <w:w w:val="97"/>
              </w:rPr>
              <w:t>Percentage Dilution/Accretion to Stockholder A (Dilution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520"/>
              <w:spacing w:after="0"/>
              <w:rPr>
                <w:sz w:val="20"/>
                <w:szCs w:val="20"/>
                <w:color w:val="auto"/>
              </w:rPr>
            </w:pPr>
            <w:r>
              <w:rPr>
                <w:rFonts w:ascii="Arial" w:cs="Arial" w:eastAsia="Arial" w:hAnsi="Arial"/>
                <w:sz w:val="18"/>
                <w:szCs w:val="18"/>
                <w:color w:val="auto"/>
              </w:rPr>
              <w:t>per Share Divided by Investment per Share)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Impact on New Investors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240" w:top="459" w:right="4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color w:val="auto"/>
        </w:rPr>
        <w:t>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78"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Prior to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Example 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Example 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Example 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Example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99"/>
              </w:rPr>
              <w:t>5% Offering at 5%</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97"/>
              </w:rPr>
              <w:t>10% Offering at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99"/>
              </w:rPr>
              <w:t>20% Offering at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97"/>
              </w:rPr>
              <w:t>25% Offering at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Sale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auto"/>
                <w:w w:val="90"/>
              </w:rPr>
              <w:t>Discount</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10%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20%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Below</w:t>
            </w:r>
          </w:p>
        </w:tc>
        <w:tc>
          <w:tcPr>
            <w:tcW w:w="8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gridSpan w:val="2"/>
          </w:tcPr>
          <w:p>
            <w:pPr>
              <w:ind w:left="16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Following</w:t>
            </w:r>
          </w:p>
        </w:tc>
        <w:tc>
          <w:tcPr>
            <w:tcW w:w="58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Following</w:t>
            </w:r>
          </w:p>
        </w:tc>
        <w:tc>
          <w:tcPr>
            <w:tcW w:w="58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NAV</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16.25</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15.39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15.44</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60" w:type="dxa"/>
            <w:vAlign w:val="bottom"/>
          </w:tcPr>
          <w:p>
            <w:pPr>
              <w:spacing w:after="0" w:line="126" w:lineRule="exact"/>
              <w:rPr>
                <w:sz w:val="20"/>
                <w:szCs w:val="20"/>
                <w:color w:val="auto"/>
              </w:rPr>
            </w:pPr>
            <w:r>
              <w:rPr>
                <w:rFonts w:ascii="Arial" w:cs="Arial" w:eastAsia="Arial" w:hAnsi="Arial"/>
                <w:sz w:val="14"/>
                <w:szCs w:val="14"/>
                <w:b w:val="1"/>
                <w:bCs w:val="1"/>
                <w:color w:val="auto"/>
              </w:rPr>
              <w:t>Decrease/Increase to Net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tcPr>
          <w:p>
            <w:pPr>
              <w:ind w:left="120"/>
              <w:spacing w:after="0"/>
              <w:rPr>
                <w:sz w:val="20"/>
                <w:szCs w:val="20"/>
                <w:color w:val="auto"/>
              </w:rPr>
            </w:pPr>
            <w:r>
              <w:rPr>
                <w:rFonts w:ascii="Arial" w:cs="Arial" w:eastAsia="Arial" w:hAnsi="Arial"/>
                <w:sz w:val="14"/>
                <w:szCs w:val="14"/>
                <w:b w:val="1"/>
                <w:bCs w:val="1"/>
                <w:color w:val="auto"/>
              </w:rPr>
              <w:t>Asset Value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65,412,817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68,683,458</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71,954,099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78,495,380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81,766,021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Shares Offered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9"/>
              </w:rPr>
              <w:t>3,270,641</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6,541,282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88"/>
              </w:rPr>
              <w:t>13,082,563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16,353,204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per Share</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w:t>
            </w:r>
          </w:p>
        </w:tc>
        <w:tc>
          <w:tcPr>
            <w:tcW w:w="2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(0.22%)</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16.11</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(0.89%)</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15.71</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15.44</w:t>
            </w:r>
          </w:p>
        </w:tc>
        <w:tc>
          <w:tcPr>
            <w:tcW w:w="2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b w:val="1"/>
                <w:bCs w:val="1"/>
                <w:color w:val="auto"/>
              </w:rPr>
              <w:t>Dilution/Accretion to New Investor 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Held by Investor A</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3,271</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13,083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16,353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Percentage Held by Investor 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0.00%</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0.02%</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0.02%</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Net Asset Value Held by Investor A</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53,033</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105,352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205,546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252,501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tcPr>
          <w:p>
            <w:pPr>
              <w:spacing w:after="0" w:line="130" w:lineRule="exact"/>
              <w:rPr>
                <w:sz w:val="20"/>
                <w:szCs w:val="20"/>
                <w:color w:val="auto"/>
              </w:rPr>
            </w:pPr>
            <w:r>
              <w:rPr>
                <w:rFonts w:ascii="Arial" w:cs="Arial" w:eastAsia="Arial" w:hAnsi="Arial"/>
                <w:sz w:val="14"/>
                <w:szCs w:val="14"/>
                <w:color w:val="auto"/>
              </w:rPr>
              <w:t>Total Investment by Investor A (At Price to</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tcPr>
          <w:p>
            <w:pPr>
              <w:ind w:left="120"/>
              <w:spacing w:after="0"/>
              <w:rPr>
                <w:sz w:val="20"/>
                <w:szCs w:val="20"/>
                <w:color w:val="auto"/>
              </w:rPr>
            </w:pPr>
            <w:r>
              <w:rPr>
                <w:rFonts w:ascii="Arial" w:cs="Arial" w:eastAsia="Arial" w:hAnsi="Arial"/>
                <w:sz w:val="14"/>
                <w:szCs w:val="14"/>
                <w:color w:val="auto"/>
              </w:rPr>
              <w:t>Public)</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53,148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100,701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179,025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209,794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Total Dilution/Accretion to Investor A (Total</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Asset Value Less Total Investment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(115)</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26,521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42,707</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Investment per Share Held by Investor 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16.25</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15.39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Net Asset Value per Share Held by Investor</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tcPr>
          <w:p>
            <w:pPr>
              <w:spacing w:after="0" w:line="130" w:lineRule="exact"/>
              <w:rPr>
                <w:sz w:val="20"/>
                <w:szCs w:val="20"/>
                <w:color w:val="auto"/>
              </w:rPr>
            </w:pPr>
            <w:r>
              <w:rPr>
                <w:rFonts w:ascii="Arial" w:cs="Arial" w:eastAsia="Arial" w:hAnsi="Arial"/>
                <w:sz w:val="14"/>
                <w:szCs w:val="14"/>
                <w:color w:val="auto"/>
              </w:rPr>
              <w:t>Dilution/Accretion per Share Held by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120"/>
              <w:spacing w:after="0" w:line="149" w:lineRule="exact"/>
              <w:rPr>
                <w:sz w:val="20"/>
                <w:szCs w:val="20"/>
                <w:color w:val="auto"/>
              </w:rPr>
            </w:pPr>
            <w:r>
              <w:rPr>
                <w:rFonts w:ascii="Arial" w:cs="Arial" w:eastAsia="Arial" w:hAnsi="Arial"/>
                <w:sz w:val="14"/>
                <w:szCs w:val="14"/>
                <w:color w:val="auto"/>
              </w:rPr>
              <w:t>Investor A (Net Asset Value per Share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tcPr>
          <w:p>
            <w:pPr>
              <w:ind w:left="120"/>
              <w:spacing w:after="0"/>
              <w:rPr>
                <w:sz w:val="20"/>
                <w:szCs w:val="20"/>
                <w:color w:val="auto"/>
              </w:rPr>
            </w:pPr>
            <w:r>
              <w:rPr>
                <w:rFonts w:ascii="Arial" w:cs="Arial" w:eastAsia="Arial" w:hAnsi="Arial"/>
                <w:sz w:val="14"/>
                <w:szCs w:val="14"/>
                <w:color w:val="auto"/>
              </w:rPr>
              <w:t>Less Investment per Share)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(0.04)</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0.71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Percentage Dilution/Accretion to Investor A</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7"/>
              </w:rPr>
              <w:t>(Dilution per Share Divided by Investment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per Share)</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14.81%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20.36%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information under the heading “Dividend Reinvestment Plan” in Part I, Item I of our 2018 Annual Report is incorporated herein by reference.</w:t>
      </w:r>
    </w:p>
    <w:p>
      <w:pPr>
        <w:spacing w:after="0" w:line="24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All correspondence concerning the plan should be directed to the plan administrator by mail at State Street Corporation, Transfer Agency—TPG Specialty Lending, Box 5493, Boston, Massachusetts, 02206-5433.</w:t>
      </w:r>
    </w:p>
    <w:p>
      <w:pPr>
        <w:spacing w:after="0" w:line="170"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78" w:lineRule="exact"/>
        <w:rPr>
          <w:sz w:val="20"/>
          <w:szCs w:val="20"/>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persons holding shares of common stock or preferred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U.S. stockholders (as defined below) who have a “functional currency” other than the U.S. dollar.</w:t>
      </w:r>
    </w:p>
    <w:p>
      <w:pPr>
        <w:spacing w:after="0" w:line="22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gift and Medicare contribution tax consequences) or any state, local or foreign tax consequences.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7"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93"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For purposes of this discussion under the heading “Material U.S. Federal Income Tax Considerations,” a “U.S. stockholder” is a beneficial owner of shares of our common stock or preferred stock that is, for U.S. federal income tax purposes, an individual who is a citizen or resident of the United States or a domestic corporation or otherwise subject to U.S. federal income tax on a net income basis in respect of our stock.</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 “Non-U.S. stockholder” is a beneficial owner of shares of our common stock or preferred stock that is not a U.S. stockholder and not an entity taxed as a partnership.</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31" w:lineRule="exact"/>
        <w:rPr>
          <w:sz w:val="20"/>
          <w:szCs w:val="20"/>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maintain diversified holdings so that, subject to certain exceptions and cure periods, at the end of each quarter of our taxable year:</w:t>
      </w:r>
    </w:p>
    <w:p>
      <w:pPr>
        <w:spacing w:after="0" w:line="142" w:lineRule="exact"/>
        <w:rPr>
          <w:rFonts w:ascii="Arial" w:cs="Arial" w:eastAsia="Arial" w:hAnsi="Arial"/>
          <w:sz w:val="17"/>
          <w:szCs w:val="17"/>
          <w:color w:val="auto"/>
        </w:rPr>
      </w:pPr>
    </w:p>
    <w:p>
      <w:pPr>
        <w:ind w:left="1620" w:right="60" w:hanging="322"/>
        <w:spacing w:after="0" w:line="259" w:lineRule="auto"/>
        <w:tabs>
          <w:tab w:leader="none" w:pos="16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92" w:lineRule="exact"/>
        <w:rPr>
          <w:rFonts w:ascii="Arial" w:cs="Arial" w:eastAsia="Arial" w:hAnsi="Arial"/>
          <w:sz w:val="18"/>
          <w:szCs w:val="18"/>
          <w:color w:val="auto"/>
        </w:rPr>
      </w:pPr>
    </w:p>
    <w:p>
      <w:pPr>
        <w:jc w:val="both"/>
        <w:ind w:left="1620" w:hanging="322"/>
        <w:spacing w:after="0" w:line="286" w:lineRule="auto"/>
        <w:tabs>
          <w:tab w:leader="none" w:pos="16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66" w:lineRule="exact"/>
        <w:rPr>
          <w:sz w:val="20"/>
          <w:szCs w:val="20"/>
          <w:color w:val="auto"/>
        </w:rPr>
      </w:pPr>
    </w:p>
    <w:p>
      <w:pPr>
        <w:jc w:val="both"/>
        <w:ind w:left="200" w:right="260" w:firstLine="441"/>
        <w:spacing w:after="0" w:line="288" w:lineRule="auto"/>
        <w:rPr>
          <w:sz w:val="20"/>
          <w:szCs w:val="20"/>
          <w:color w:val="auto"/>
        </w:rPr>
      </w:pPr>
      <w:r>
        <w:rPr>
          <w:rFonts w:ascii="Arial" w:cs="Arial" w:eastAsia="Arial" w:hAnsi="Arial"/>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w:t>
      </w:r>
    </w:p>
    <w:p>
      <w:pPr>
        <w:ind w:left="200"/>
        <w:spacing w:after="0" w:line="302" w:lineRule="auto"/>
        <w:rPr>
          <w:sz w:val="20"/>
          <w:szCs w:val="20"/>
          <w:color w:val="auto"/>
        </w:rPr>
      </w:pPr>
      <w:r>
        <w:rPr>
          <w:rFonts w:ascii="Arial" w:cs="Arial" w:eastAsia="Arial" w:hAnsi="Arial"/>
          <w:sz w:val="16"/>
          <w:szCs w:val="16"/>
          <w:color w:val="auto"/>
        </w:rPr>
        <w:t>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61" w:lineRule="exact"/>
        <w:rPr>
          <w:sz w:val="20"/>
          <w:szCs w:val="20"/>
          <w:color w:val="auto"/>
        </w:rPr>
      </w:pPr>
    </w:p>
    <w:p>
      <w:pPr>
        <w:ind w:left="1180" w:hanging="436"/>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30"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on behalf of those investors that do not elect to receive their dividends in cash. See “Price Range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308" w:lineRule="auto"/>
        <w:rPr>
          <w:sz w:val="20"/>
          <w:szCs w:val="20"/>
          <w:color w:val="auto"/>
        </w:rPr>
      </w:pPr>
      <w:r>
        <w:rPr>
          <w:rFonts w:ascii="Arial" w:cs="Arial" w:eastAsia="Arial" w:hAnsi="Arial"/>
          <w:sz w:val="17"/>
          <w:szCs w:val="17"/>
          <w:color w:val="auto"/>
        </w:rPr>
        <w:t>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52" w:lineRule="exact"/>
        <w:rPr>
          <w:sz w:val="20"/>
          <w:szCs w:val="20"/>
          <w:color w:val="auto"/>
        </w:rPr>
      </w:pPr>
    </w:p>
    <w:p>
      <w:pPr>
        <w:ind w:left="1180" w:right="160" w:hanging="436"/>
        <w:spacing w:after="0" w:line="259"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92" w:lineRule="exact"/>
        <w:rPr>
          <w:rFonts w:ascii="Arial" w:cs="Arial" w:eastAsia="Arial" w:hAnsi="Arial"/>
          <w:sz w:val="18"/>
          <w:szCs w:val="18"/>
          <w:color w:val="auto"/>
        </w:rPr>
      </w:pPr>
    </w:p>
    <w:p>
      <w:pPr>
        <w:ind w:left="1180" w:right="680" w:hanging="436"/>
        <w:spacing w:after="0" w:line="342" w:lineRule="auto"/>
        <w:tabs>
          <w:tab w:leader="none" w:pos="11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24"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7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66"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stockholder’s adjusted tax basis in such U.S. stockholder’s common stock or preferred stock and, after the adjusted tax basis is reduced to zero, will constitute capital gains to such U.S. stockholder.</w:t>
      </w:r>
    </w:p>
    <w:p>
      <w:pPr>
        <w:spacing w:after="0" w:line="170" w:lineRule="exact"/>
        <w:rPr>
          <w:sz w:val="20"/>
          <w:szCs w:val="20"/>
          <w:color w:val="auto"/>
        </w:rPr>
      </w:pPr>
    </w:p>
    <w:p>
      <w:pPr>
        <w:jc w:val="both"/>
        <w:ind w:left="200" w:right="160" w:firstLine="441"/>
        <w:spacing w:after="0" w:line="279" w:lineRule="auto"/>
        <w:rPr>
          <w:sz w:val="20"/>
          <w:szCs w:val="20"/>
          <w:color w:val="auto"/>
        </w:rPr>
      </w:pPr>
      <w:r>
        <w:rPr>
          <w:rFonts w:ascii="Arial" w:cs="Arial" w:eastAsia="Arial" w:hAnsi="Arial"/>
          <w:sz w:val="17"/>
          <w:szCs w:val="17"/>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77" w:lineRule="exact"/>
        <w:rPr>
          <w:sz w:val="20"/>
          <w:szCs w:val="20"/>
          <w:color w:val="auto"/>
        </w:rPr>
      </w:pPr>
    </w:p>
    <w:p>
      <w:pPr>
        <w:ind w:left="1180" w:right="440" w:hanging="436"/>
        <w:spacing w:after="0" w:line="277"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and</w:t>
      </w:r>
    </w:p>
    <w:p>
      <w:pPr>
        <w:spacing w:after="0" w:line="130" w:lineRule="exact"/>
        <w:rPr>
          <w:rFonts w:ascii="Arial" w:cs="Arial" w:eastAsia="Arial" w:hAnsi="Arial"/>
          <w:sz w:val="18"/>
          <w:szCs w:val="18"/>
          <w:color w:val="auto"/>
        </w:rPr>
      </w:pPr>
    </w:p>
    <w:p>
      <w:pPr>
        <w:ind w:left="1180" w:right="380" w:hanging="436"/>
        <w:spacing w:after="0" w:line="277"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70"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4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8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88"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If a U.S. stockholder sells or otherwise disposes of shares of our common stock or preferred stock, the U.S. stockholder will recognize gain or loss equal to the difference between its adjusted tax basis in the shares sold 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w:t>
      </w:r>
    </w:p>
    <w:p>
      <w:pPr>
        <w:ind w:left="200" w:right="100"/>
        <w:spacing w:after="0" w:line="255" w:lineRule="auto"/>
        <w:rPr>
          <w:sz w:val="20"/>
          <w:szCs w:val="20"/>
          <w:color w:val="auto"/>
        </w:rPr>
      </w:pPr>
      <w:r>
        <w:rPr>
          <w:rFonts w:ascii="Arial" w:cs="Arial" w:eastAsia="Arial" w:hAnsi="Arial"/>
          <w:sz w:val="18"/>
          <w:szCs w:val="18"/>
          <w:color w:val="auto"/>
        </w:rPr>
        <w:t>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90"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Under applicable U.S. Treasury regulations, if a U.S. stockholder recognizes a loss with respect to our common stock or preferred stock of</w:t>
      </w:r>
    </w:p>
    <w:p>
      <w:pPr>
        <w:spacing w:after="0" w:line="23"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69"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Potential Limitation with Respect to Certain U.S. Stockholders on Deductions for Certain Fees and Expenses</w:t>
      </w:r>
    </w:p>
    <w:p>
      <w:pPr>
        <w:spacing w:after="0" w:line="117"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121" w:lineRule="exact"/>
        <w:rPr>
          <w:sz w:val="20"/>
          <w:szCs w:val="20"/>
          <w:color w:val="auto"/>
        </w:rPr>
      </w:pPr>
    </w:p>
    <w:p>
      <w:pPr>
        <w:ind w:left="200" w:right="160" w:firstLine="441"/>
        <w:spacing w:after="0" w:line="290" w:lineRule="auto"/>
        <w:rPr>
          <w:sz w:val="20"/>
          <w:szCs w:val="20"/>
          <w:color w:val="auto"/>
        </w:rPr>
      </w:pPr>
      <w:r>
        <w:rPr>
          <w:rFonts w:ascii="Arial" w:cs="Arial" w:eastAsia="Arial" w:hAnsi="Arial"/>
          <w:sz w:val="16"/>
          <w:szCs w:val="16"/>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Distributions of our investment company taxable income that we pay to a Non-U.S. stockholder will be subject to U.S. withholding tax at a 30% rate to the extent of our current or accumulated earnings and profits 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93"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60"/>
          </w:cols>
          <w:pgMar w:left="240" w:top="459"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8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the case of distributions made by the Company (other than capital gain dividends),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82"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70"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2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240" w:top="459" w:right="5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SECURITIES</w:t>
      </w:r>
    </w:p>
    <w:p>
      <w:pPr>
        <w:spacing w:after="0" w:line="229"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Under the terms of our certificate of incorporation, which was adopted on March 8, 2011 and amended on March 10, 2014, our authorized capital stock consists of 400,000,000 shares of common stock, par value $0.01 per share, of which 66,031,076 shares are outstanding as of May 6, 2019, and 100,000,000 shares of preferred stock, par value $0.01 per share, of which no shares are outstanding as of May 6, 2019.</w:t>
      </w:r>
    </w:p>
    <w:p>
      <w:pPr>
        <w:spacing w:after="0" w:line="166"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presents our outstanding classes of securities as of May 6, 2019:</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 Held by Us or for Our</w:t>
            </w:r>
          </w:p>
        </w:tc>
        <w:tc>
          <w:tcPr>
            <w:tcW w:w="3220" w:type="dxa"/>
            <w:vAlign w:val="bottom"/>
            <w:gridSpan w:val="3"/>
          </w:tcPr>
          <w:p>
            <w:pPr>
              <w:jc w:val="center"/>
              <w:ind w:left="948"/>
              <w:spacing w:after="0"/>
              <w:rPr>
                <w:sz w:val="20"/>
                <w:szCs w:val="20"/>
                <w:color w:val="auto"/>
              </w:rPr>
            </w:pPr>
            <w:r>
              <w:rPr>
                <w:rFonts w:ascii="Arial" w:cs="Arial" w:eastAsia="Arial" w:hAnsi="Arial"/>
                <w:sz w:val="14"/>
                <w:szCs w:val="14"/>
                <w:b w:val="1"/>
                <w:bCs w:val="1"/>
                <w:color w:val="auto"/>
                <w:w w:val="92"/>
              </w:rPr>
              <w:t>Amount Outstanding Exclusive of</w:t>
            </w:r>
          </w:p>
        </w:tc>
        <w:tc>
          <w:tcPr>
            <w:tcW w:w="0" w:type="dxa"/>
            <w:vAlign w:val="bottom"/>
          </w:tcPr>
          <w:p>
            <w:pPr>
              <w:spacing w:after="0"/>
              <w:rPr>
                <w:sz w:val="1"/>
                <w:szCs w:val="1"/>
                <w:color w:val="auto"/>
              </w:rPr>
            </w:pPr>
          </w:p>
        </w:tc>
      </w:tr>
      <w:tr>
        <w:trPr>
          <w:trHeight w:val="149"/>
        </w:trPr>
        <w:tc>
          <w:tcPr>
            <w:tcW w:w="1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2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 Authorized</w:t>
            </w:r>
          </w:p>
        </w:tc>
        <w:tc>
          <w:tcPr>
            <w:tcW w:w="29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2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Amount Held by Us or for Our</w:t>
            </w:r>
          </w:p>
        </w:tc>
        <w:tc>
          <w:tcPr>
            <w:tcW w:w="0" w:type="dxa"/>
            <w:vAlign w:val="bottom"/>
          </w:tcPr>
          <w:p>
            <w:pPr>
              <w:spacing w:after="0"/>
              <w:rPr>
                <w:sz w:val="1"/>
                <w:szCs w:val="1"/>
                <w:color w:val="auto"/>
              </w:rPr>
            </w:pPr>
          </w:p>
        </w:tc>
      </w:tr>
      <w:tr>
        <w:trPr>
          <w:trHeight w:val="158"/>
        </w:trPr>
        <w:tc>
          <w:tcPr>
            <w:tcW w:w="1920" w:type="dxa"/>
            <w:vAlign w:val="bottom"/>
            <w:gridSpan w:val="3"/>
            <w:vMerge w:val="continue"/>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1900" w:type="dxa"/>
            <w:vAlign w:val="bottom"/>
          </w:tcPr>
          <w:p>
            <w:pPr>
              <w:jc w:val="right"/>
              <w:ind w:right="619"/>
              <w:spacing w:after="0" w:line="158" w:lineRule="exact"/>
              <w:rPr>
                <w:sz w:val="20"/>
                <w:szCs w:val="20"/>
                <w:color w:val="auto"/>
              </w:rPr>
            </w:pPr>
            <w:r>
              <w:rPr>
                <w:rFonts w:ascii="Arial" w:cs="Arial" w:eastAsia="Arial" w:hAnsi="Arial"/>
                <w:sz w:val="14"/>
                <w:szCs w:val="14"/>
                <w:b w:val="1"/>
                <w:bCs w:val="1"/>
                <w:color w:val="auto"/>
              </w:rPr>
              <w:t>Account</w:t>
            </w:r>
          </w:p>
        </w:tc>
        <w:tc>
          <w:tcPr>
            <w:tcW w:w="1080" w:type="dxa"/>
            <w:vAlign w:val="bottom"/>
          </w:tcPr>
          <w:p>
            <w:pPr>
              <w:spacing w:after="0"/>
              <w:rPr>
                <w:sz w:val="13"/>
                <w:szCs w:val="13"/>
                <w:color w:val="auto"/>
              </w:rPr>
            </w:pPr>
          </w:p>
        </w:tc>
        <w:tc>
          <w:tcPr>
            <w:tcW w:w="21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Account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w:t>
            </w:r>
          </w:p>
        </w:tc>
        <w:tc>
          <w:tcPr>
            <w:tcW w:w="7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400,000,000</w:t>
            </w:r>
          </w:p>
        </w:tc>
        <w:tc>
          <w:tcPr>
            <w:tcW w:w="108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89,080</w:t>
            </w:r>
          </w:p>
        </w:tc>
        <w:tc>
          <w:tcPr>
            <w:tcW w:w="108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66,031,076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certification of incorporation limits our directors’ liability to the fullest extent permitted under Delaware corporate law and the 1940 Act.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Specifically, our directors will not be personally liable to us or our stockholders for any breach of fiduciary duty as a director, except for any liability:</w:t>
      </w:r>
    </w:p>
    <w:p>
      <w:pPr>
        <w:spacing w:after="0" w:line="128" w:lineRule="exact"/>
        <w:rPr>
          <w:sz w:val="20"/>
          <w:szCs w:val="20"/>
          <w:color w:val="auto"/>
        </w:rPr>
      </w:pPr>
    </w:p>
    <w:p>
      <w:pPr>
        <w:ind w:left="640" w:hanging="43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640" w:right="100" w:hanging="436"/>
        <w:spacing w:after="0" w:line="277"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87"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66"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8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70" w:lineRule="exact"/>
        <w:rPr>
          <w:sz w:val="20"/>
          <w:szCs w:val="20"/>
          <w:color w:val="auto"/>
        </w:rPr>
      </w:pPr>
    </w:p>
    <w:p>
      <w:pPr>
        <w:ind w:left="200" w:right="640" w:firstLine="441"/>
        <w:spacing w:after="0" w:line="308" w:lineRule="auto"/>
        <w:rPr>
          <w:sz w:val="20"/>
          <w:szCs w:val="20"/>
          <w:color w:val="auto"/>
        </w:rPr>
      </w:pPr>
      <w:r>
        <w:rPr>
          <w:rFonts w:ascii="Arial" w:cs="Arial" w:eastAsia="Arial" w:hAnsi="Arial"/>
          <w:sz w:val="17"/>
          <w:szCs w:val="17"/>
          <w:color w:val="auto"/>
        </w:rPr>
        <w:t>Under the Investment Advisory Agreement, we have, to the extent permitted by applicable law, indemnified the Adviser and certain of its affiliates, as described under “Management Agreements—Indemnification” in Part I, Item 1 of our 2018 Annual Report.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66"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131" w:lineRule="exact"/>
        <w:rPr>
          <w:sz w:val="20"/>
          <w:szCs w:val="20"/>
          <w:color w:val="auto"/>
        </w:rPr>
      </w:pPr>
    </w:p>
    <w:p>
      <w:pPr>
        <w:ind w:left="1180" w:right="280" w:hanging="436"/>
        <w:spacing w:after="0" w:line="277" w:lineRule="auto"/>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75"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75"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bylaws also provide that:</w:t>
      </w:r>
    </w:p>
    <w:p>
      <w:pPr>
        <w:spacing w:after="0" w:line="131" w:lineRule="exact"/>
        <w:rPr>
          <w:sz w:val="20"/>
          <w:szCs w:val="20"/>
          <w:color w:val="auto"/>
        </w:rPr>
      </w:pPr>
    </w:p>
    <w:p>
      <w:pPr>
        <w:ind w:left="1180" w:hanging="436"/>
        <w:spacing w:after="0" w:line="277" w:lineRule="auto"/>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8"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4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131" w:lineRule="exact"/>
        <w:rPr>
          <w:sz w:val="20"/>
          <w:szCs w:val="20"/>
          <w:color w:val="auto"/>
        </w:rPr>
      </w:pPr>
    </w:p>
    <w:p>
      <w:pPr>
        <w:ind w:left="1180" w:hanging="436"/>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130" w:lineRule="exact"/>
        <w:rPr>
          <w:rFonts w:ascii="Arial" w:cs="Arial" w:eastAsia="Arial" w:hAnsi="Arial"/>
          <w:sz w:val="18"/>
          <w:szCs w:val="18"/>
          <w:color w:val="auto"/>
        </w:rPr>
      </w:pPr>
    </w:p>
    <w:p>
      <w:pPr>
        <w:ind w:left="1180" w:right="120" w:hanging="436"/>
        <w:spacing w:after="0" w:line="312" w:lineRule="auto"/>
        <w:tabs>
          <w:tab w:leader="none" w:pos="11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52" w:lineRule="exact"/>
        <w:rPr>
          <w:rFonts w:ascii="Arial" w:cs="Arial" w:eastAsia="Arial" w:hAnsi="Arial"/>
          <w:sz w:val="16"/>
          <w:szCs w:val="16"/>
          <w:color w:val="auto"/>
        </w:rPr>
      </w:pPr>
    </w:p>
    <w:p>
      <w:pPr>
        <w:ind w:left="1180" w:right="60" w:hanging="436"/>
        <w:spacing w:after="0" w:line="264" w:lineRule="auto"/>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 w:hanging="436"/>
        <w:spacing w:after="0" w:line="286" w:lineRule="auto"/>
        <w:tabs>
          <w:tab w:leader="none" w:pos="11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66"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131" w:lineRule="exact"/>
        <w:rPr>
          <w:sz w:val="20"/>
          <w:szCs w:val="20"/>
          <w:color w:val="auto"/>
        </w:rPr>
      </w:pPr>
    </w:p>
    <w:p>
      <w:pPr>
        <w:ind w:left="1180" w:right="60" w:hanging="436"/>
        <w:spacing w:after="0" w:line="277" w:lineRule="auto"/>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7"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80"/>
          </w:cols>
          <w:pgMar w:left="24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65"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64" w:lineRule="exact"/>
        <w:rPr>
          <w:sz w:val="20"/>
          <w:szCs w:val="20"/>
          <w:color w:val="auto"/>
        </w:rPr>
      </w:pPr>
    </w:p>
    <w:p>
      <w:pPr>
        <w:ind w:left="1180" w:hanging="436"/>
        <w:spacing w:after="0" w:line="277" w:lineRule="auto"/>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150%; and</w:t>
      </w:r>
    </w:p>
    <w:p>
      <w:pPr>
        <w:spacing w:after="0" w:line="75" w:lineRule="exact"/>
        <w:rPr>
          <w:rFonts w:ascii="Arial" w:cs="Arial" w:eastAsia="Arial" w:hAnsi="Arial"/>
          <w:sz w:val="18"/>
          <w:szCs w:val="18"/>
          <w:color w:val="auto"/>
        </w:rPr>
      </w:pPr>
    </w:p>
    <w:p>
      <w:pPr>
        <w:jc w:val="both"/>
        <w:ind w:left="1180" w:right="120" w:hanging="436"/>
        <w:spacing w:after="0" w:line="342" w:lineRule="auto"/>
        <w:tabs>
          <w:tab w:leader="none" w:pos="11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76" w:lineRule="exact"/>
        <w:rPr>
          <w:sz w:val="20"/>
          <w:szCs w:val="20"/>
          <w:color w:val="auto"/>
        </w:rPr>
      </w:pPr>
    </w:p>
    <w:p>
      <w:pPr>
        <w:ind w:left="1180" w:hanging="436"/>
        <w:spacing w:after="0"/>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75"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 including adjustments to the conversion price of such series;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80" w:hanging="436"/>
        <w:spacing w:after="0" w:line="277" w:lineRule="auto"/>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other relative powers, preferences and participating, optional or special rights of shares of such series, and the qualifications, limitations or restrictions thereof.</w:t>
      </w:r>
    </w:p>
    <w:p>
      <w:pPr>
        <w:spacing w:after="0" w:line="170"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5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40"/>
          </w:cols>
          <w:pgMar w:left="240" w:top="459" w:right="7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7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180" w:right="140" w:hanging="436"/>
        <w:spacing w:after="0" w:line="277" w:lineRule="auto"/>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exercise price for such subscription rights (or method of calculation thereof);</w:t>
      </w:r>
    </w:p>
    <w:p>
      <w:pPr>
        <w:spacing w:after="0" w:line="130"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ratio of the offering (which, in the case of transferable rights, will require a minimum of three shares to be held of record before a person is entitled to purchase an additional share);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number of such subscription rights issued to each stockholder;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extent to which such subscription rights are transferable and the market on which they may be traded if they are transferable;</w:t>
      </w:r>
    </w:p>
    <w:p>
      <w:pPr>
        <w:spacing w:after="0" w:line="142" w:lineRule="exact"/>
        <w:rPr>
          <w:rFonts w:ascii="Arial" w:cs="Arial" w:eastAsia="Arial" w:hAnsi="Arial"/>
          <w:sz w:val="17"/>
          <w:szCs w:val="17"/>
          <w:color w:val="auto"/>
        </w:rPr>
      </w:pPr>
    </w:p>
    <w:p>
      <w:pPr>
        <w:ind w:left="1180" w:right="380" w:hanging="436"/>
        <w:spacing w:after="0" w:line="277" w:lineRule="auto"/>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applicable to the issuance or exercise of such subscription rights;</w:t>
      </w:r>
    </w:p>
    <w:p>
      <w:pPr>
        <w:spacing w:after="0" w:line="75"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shall commence, and the date on which such right shall expire (subject to any extension);</w:t>
      </w:r>
    </w:p>
    <w:p>
      <w:pPr>
        <w:spacing w:after="0" w:line="75"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 and the terms of such over-subscription privilege;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termination right we may have in connection with such subscription rights offering; and</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exercise, settlement and other procedures and limitations relating to the transfer and exercise of such subscription rights.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5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Dilutive Effects</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9"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180" w:right="20" w:hanging="436"/>
        <w:spacing w:after="0" w:line="264"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firstLine="441"/>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24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Wells Fargo Bank, National Association,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Default—Remedies If an Event of Default Occurs.” Second, the trustee performs certain administrative duties for us.</w:t>
      </w:r>
    </w:p>
    <w:p>
      <w:pPr>
        <w:spacing w:after="0" w:line="158"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w:t>
      </w:r>
    </w:p>
    <w:p>
      <w:pPr>
        <w:spacing w:after="0" w:line="154"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prospectus supplement, which will accompany this prospectus, will describe the particular series of debt securities being offered, including, among other things:</w:t>
      </w:r>
    </w:p>
    <w:p>
      <w:pPr>
        <w:spacing w:after="0" w:line="76" w:lineRule="exact"/>
        <w:rPr>
          <w:sz w:val="20"/>
          <w:szCs w:val="20"/>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whether any interest may be paid by issuing additional securities of the same series in lieu of cash (and the terms upon which any such interest may be paid by issuing additional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180" w:hanging="436"/>
        <w:spacing w:after="0" w:line="264"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in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$1,000 and any integral multiple thereof);</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the series of debt securities is issuable in certificated form;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180" w:right="500" w:hanging="436"/>
        <w:spacing w:after="0" w:line="277"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U.S. federal income tax considerations relating to original issue discount;</w:t>
      </w:r>
    </w:p>
    <w:p>
      <w:pPr>
        <w:spacing w:after="0" w:line="75" w:lineRule="exact"/>
        <w:rPr>
          <w:rFonts w:ascii="Arial" w:cs="Arial" w:eastAsia="Arial" w:hAnsi="Arial"/>
          <w:sz w:val="18"/>
          <w:szCs w:val="18"/>
          <w:color w:val="auto"/>
        </w:rPr>
      </w:pPr>
    </w:p>
    <w:p>
      <w:pPr>
        <w:ind w:left="1180" w:right="40" w:hanging="436"/>
        <w:spacing w:after="0" w:line="342" w:lineRule="auto"/>
        <w:tabs>
          <w:tab w:leader="none" w:pos="11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any security interest;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2019 Q1 Quarterly Report.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left="200" w:right="300" w:firstLine="441"/>
        <w:spacing w:after="0" w:line="255" w:lineRule="auto"/>
        <w:rPr>
          <w:sz w:val="20"/>
          <w:szCs w:val="20"/>
          <w:color w:val="auto"/>
        </w:rPr>
      </w:pPr>
      <w:r>
        <w:rPr>
          <w:rFonts w:ascii="Arial" w:cs="Arial" w:eastAsia="Arial" w:hAnsi="Arial"/>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24"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on Global Securities</w:t>
      </w:r>
    </w:p>
    <w:p>
      <w:pPr>
        <w:spacing w:after="0" w:line="121" w:lineRule="exact"/>
        <w:rPr>
          <w:sz w:val="20"/>
          <w:szCs w:val="20"/>
          <w:color w:val="auto"/>
        </w:rPr>
      </w:pPr>
    </w:p>
    <w:p>
      <w:pPr>
        <w:jc w:val="both"/>
        <w:ind w:left="200" w:right="380" w:firstLine="441"/>
        <w:spacing w:after="0" w:line="312" w:lineRule="auto"/>
        <w:rPr>
          <w:sz w:val="20"/>
          <w:szCs w:val="20"/>
          <w:color w:val="auto"/>
        </w:rPr>
      </w:pPr>
      <w:r>
        <w:rPr>
          <w:rFonts w:ascii="Arial" w:cs="Arial" w:eastAsia="Arial" w:hAnsi="Arial"/>
          <w:sz w:val="16"/>
          <w:szCs w:val="16"/>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on Certificated Securities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will make payments on a certificated debt security as follows. We will pay interest that is due on an interest payment date by check mailed on the interest payment date to the holder at his or her address shown on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1"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When Offices Are Closed</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8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term “Event of Default” in respect of the debt securities of your series means any of the following (unless the prospectus supplement relating to such debt securities states otherwise):</w:t>
      </w:r>
    </w:p>
    <w:p>
      <w:pPr>
        <w:spacing w:after="0" w:line="76" w:lineRule="exact"/>
        <w:rPr>
          <w:sz w:val="20"/>
          <w:szCs w:val="20"/>
          <w:color w:val="auto"/>
        </w:rPr>
      </w:pPr>
    </w:p>
    <w:p>
      <w:pPr>
        <w:ind w:left="1180" w:right="340" w:hanging="436"/>
        <w:spacing w:after="0" w:line="277"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 including upon any redemption date or required repurchase date.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when due, and such default is not cured within 30 days.</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do not cure this default within five days.</w:t>
      </w:r>
    </w:p>
    <w:p>
      <w:pPr>
        <w:spacing w:after="0" w:line="75" w:lineRule="exact"/>
        <w:rPr>
          <w:rFonts w:ascii="Arial" w:cs="Arial" w:eastAsia="Arial" w:hAnsi="Arial"/>
          <w:sz w:val="18"/>
          <w:szCs w:val="18"/>
          <w:color w:val="auto"/>
        </w:rPr>
      </w:pPr>
    </w:p>
    <w:p>
      <w:pPr>
        <w:ind w:left="1180" w:right="120" w:hanging="436"/>
        <w:spacing w:after="0" w:line="264"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6"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90 days.</w:t>
      </w:r>
    </w:p>
    <w:p>
      <w:pPr>
        <w:spacing w:after="0" w:line="75" w:lineRule="exact"/>
        <w:rPr>
          <w:rFonts w:ascii="Arial" w:cs="Arial" w:eastAsia="Arial" w:hAnsi="Arial"/>
          <w:sz w:val="18"/>
          <w:szCs w:val="18"/>
          <w:color w:val="auto"/>
        </w:rPr>
      </w:pPr>
    </w:p>
    <w:p>
      <w:pPr>
        <w:ind w:left="1180" w:right="60" w:hanging="436"/>
        <w:spacing w:after="0" w:line="257"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 (i) resulting in such indebtedness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00"/>
        <w:spacing w:after="0" w:line="257" w:lineRule="auto"/>
        <w:rPr>
          <w:sz w:val="20"/>
          <w:szCs w:val="20"/>
          <w:color w:val="auto"/>
        </w:rPr>
      </w:pPr>
      <w:r>
        <w:rPr>
          <w:rFonts w:ascii="Arial" w:cs="Arial" w:eastAsia="Arial" w:hAnsi="Arial"/>
          <w:sz w:val="18"/>
          <w:szCs w:val="18"/>
          <w:color w:val="auto"/>
        </w:rPr>
        <w:t>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w:t>
      </w:r>
    </w:p>
    <w:p>
      <w:pPr>
        <w:spacing w:after="0" w:line="94" w:lineRule="exact"/>
        <w:rPr>
          <w:sz w:val="20"/>
          <w:szCs w:val="20"/>
          <w:color w:val="auto"/>
        </w:rPr>
      </w:pPr>
    </w:p>
    <w:p>
      <w:pPr>
        <w:ind w:left="1180" w:hanging="436"/>
        <w:spacing w:after="0" w:line="342" w:lineRule="auto"/>
        <w:tabs>
          <w:tab w:leader="none" w:pos="11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other Event of Default in respect of debt securities of the series described in the applicable prospectus supplement occurs.</w:t>
      </w:r>
    </w:p>
    <w:p>
      <w:pPr>
        <w:spacing w:after="0" w:line="237"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If an Event of Default has occurred and has not been cured, the trustee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7"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5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180" w:hanging="436"/>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You must give your trustee written notice that an Event of Default has occurred and remains uncured.</w:t>
      </w:r>
    </w:p>
    <w:p>
      <w:pPr>
        <w:spacing w:after="0" w:line="130" w:lineRule="exact"/>
        <w:rPr>
          <w:rFonts w:ascii="Arial" w:cs="Arial" w:eastAsia="Arial" w:hAnsi="Arial"/>
          <w:sz w:val="18"/>
          <w:szCs w:val="18"/>
          <w:color w:val="auto"/>
        </w:rPr>
      </w:pPr>
    </w:p>
    <w:p>
      <w:pPr>
        <w:ind w:left="1180" w:right="20" w:hanging="436"/>
        <w:spacing w:after="0" w:line="342" w:lineRule="auto"/>
        <w:tabs>
          <w:tab w:leader="none" w:pos="11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 day period.</w:t>
      </w:r>
    </w:p>
    <w:p>
      <w:pPr>
        <w:spacing w:after="0" w:line="170" w:lineRule="exact"/>
        <w:rPr>
          <w:sz w:val="20"/>
          <w:szCs w:val="20"/>
          <w:color w:val="auto"/>
        </w:rPr>
      </w:pPr>
    </w:p>
    <w:p>
      <w:pPr>
        <w:jc w:val="center"/>
        <w:ind w:right="260"/>
        <w:spacing w:after="0" w:line="449" w:lineRule="auto"/>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 75</w:t>
      </w:r>
    </w:p>
    <w:p>
      <w:pPr>
        <w:sectPr>
          <w:pgSz w:w="11900" w:h="16838" w:orient="portrait"/>
          <w:cols w:equalWidth="0" w:num="1">
            <w:col w:w="11200"/>
          </w:cols>
          <w:pgMar w:left="24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1180" w:hanging="436"/>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payment of principal, any premium or interest;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221" w:lineRule="exact"/>
        <w:rPr>
          <w:sz w:val="20"/>
          <w:szCs w:val="20"/>
          <w:color w:val="auto"/>
        </w:rPr>
      </w:pPr>
    </w:p>
    <w:p>
      <w:pPr>
        <w:ind w:left="200" w:right="28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7" w:lineRule="exact"/>
        <w:rPr>
          <w:sz w:val="20"/>
          <w:szCs w:val="20"/>
          <w:color w:val="auto"/>
        </w:rPr>
      </w:pPr>
    </w:p>
    <w:p>
      <w:pPr>
        <w:ind w:left="1180" w:right="80" w:hanging="436"/>
        <w:spacing w:after="0" w:line="308" w:lineRule="auto"/>
        <w:tabs>
          <w:tab w:leader="none" w:pos="11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Where we merge out of existence or sell all or substantially all our assets, the resulting entity or transferee must be organized and existing in the United States and must agree to be legally responsible for our obligations under the debt securities.</w:t>
      </w:r>
    </w:p>
    <w:p>
      <w:pPr>
        <w:spacing w:after="0" w:line="51" w:lineRule="exact"/>
        <w:rPr>
          <w:rFonts w:ascii="Arial" w:cs="Arial" w:eastAsia="Arial" w:hAnsi="Arial"/>
          <w:sz w:val="17"/>
          <w:szCs w:val="17"/>
          <w:color w:val="auto"/>
        </w:rPr>
      </w:pPr>
    </w:p>
    <w:p>
      <w:pPr>
        <w:ind w:left="1180" w:right="300" w:hanging="436"/>
        <w:spacing w:after="0" w:line="277" w:lineRule="auto"/>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no Default or Event of Default shall have happened and be continuing.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1180" w:hanging="436"/>
        <w:spacing w:after="0" w:line="264" w:lineRule="auto"/>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w:t>
      </w:r>
    </w:p>
    <w:p>
      <w:pPr>
        <w:spacing w:after="0" w:line="86" w:lineRule="exact"/>
        <w:rPr>
          <w:rFonts w:ascii="Arial" w:cs="Arial" w:eastAsia="Arial" w:hAnsi="Arial"/>
          <w:sz w:val="18"/>
          <w:szCs w:val="18"/>
          <w:color w:val="auto"/>
        </w:rPr>
      </w:pPr>
    </w:p>
    <w:p>
      <w:pPr>
        <w:ind w:left="1180" w:right="60" w:hanging="436"/>
        <w:spacing w:after="0" w:line="276" w:lineRule="auto"/>
        <w:tabs>
          <w:tab w:leader="none" w:pos="11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5620" w:right="4640" w:hanging="4876"/>
        <w:spacing w:after="0" w:line="490" w:lineRule="auto"/>
        <w:tabs>
          <w:tab w:leader="none" w:pos="1172" w:val="left"/>
        </w:tabs>
        <w:numPr>
          <w:ilvl w:val="0"/>
          <w:numId w:val="90"/>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interest on a debt security; 76</w:t>
      </w:r>
    </w:p>
    <w:p>
      <w:pPr>
        <w:sectPr>
          <w:pgSz w:w="11900" w:h="16838" w:orient="portrait"/>
          <w:cols w:equalWidth="0" w:num="1">
            <w:col w:w="11180"/>
          </w:cols>
          <w:pgMar w:left="24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change the place (except as otherwise described in the prospectus or prospectus supplement) or currency of payment on a debt security;</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180" w:hanging="436"/>
        <w:spacing w:after="0"/>
        <w:tabs>
          <w:tab w:leader="none" w:pos="11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53" w:lineRule="exact"/>
        <w:rPr>
          <w:rFonts w:ascii="Arial" w:cs="Arial" w:eastAsia="Arial" w:hAnsi="Arial"/>
          <w:sz w:val="16"/>
          <w:szCs w:val="16"/>
          <w:color w:val="auto"/>
        </w:rPr>
      </w:pPr>
    </w:p>
    <w:p>
      <w:pPr>
        <w:ind w:left="1180" w:right="20" w:hanging="436"/>
        <w:spacing w:after="0" w:line="342" w:lineRule="auto"/>
        <w:tabs>
          <w:tab w:leader="none" w:pos="11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180" w:right="120" w:hanging="436"/>
        <w:spacing w:after="0" w:line="277" w:lineRule="auto"/>
        <w:tabs>
          <w:tab w:leader="none" w:pos="11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60" w:hanging="436"/>
        <w:spacing w:after="0" w:line="277"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30" w:lineRule="exact"/>
        <w:rPr>
          <w:rFonts w:ascii="Arial" w:cs="Arial" w:eastAsia="Arial" w:hAnsi="Arial"/>
          <w:sz w:val="18"/>
          <w:szCs w:val="18"/>
          <w:color w:val="auto"/>
        </w:rPr>
      </w:pPr>
    </w:p>
    <w:p>
      <w:pPr>
        <w:ind w:left="1180" w:right="160" w:hanging="436"/>
        <w:spacing w:after="0" w:line="264"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Defeasance—Full Defeasance.”</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94" w:lineRule="exact"/>
        <w:rPr>
          <w:sz w:val="20"/>
          <w:szCs w:val="20"/>
          <w:color w:val="auto"/>
        </w:rPr>
      </w:pPr>
    </w:p>
    <w:p>
      <w:pPr>
        <w:ind w:left="1180" w:right="160" w:hanging="436"/>
        <w:spacing w:after="0" w:line="286" w:lineRule="auto"/>
        <w:tabs>
          <w:tab w:leader="none" w:pos="11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jc w:val="both"/>
        <w:ind w:left="1180" w:right="40" w:hanging="436"/>
        <w:spacing w:after="0" w:line="264" w:lineRule="auto"/>
        <w:tabs>
          <w:tab w:leader="none" w:pos="1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6" w:lineRule="exact"/>
        <w:rPr>
          <w:rFonts w:ascii="Arial" w:cs="Arial" w:eastAsia="Arial" w:hAnsi="Arial"/>
          <w:sz w:val="18"/>
          <w:szCs w:val="18"/>
          <w:color w:val="auto"/>
        </w:rPr>
      </w:pPr>
    </w:p>
    <w:p>
      <w:pPr>
        <w:ind w:left="1180" w:right="360" w:hanging="436"/>
        <w:spacing w:after="0" w:line="277" w:lineRule="auto"/>
        <w:tabs>
          <w:tab w:leader="none" w:pos="1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covenant defeasance have been complied with.</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Full Defeasance</w:t>
      </w:r>
    </w:p>
    <w:p>
      <w:pPr>
        <w:spacing w:after="0" w:line="117"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180" w:right="160" w:hanging="436"/>
        <w:spacing w:after="0" w:line="286" w:lineRule="auto"/>
        <w:tabs>
          <w:tab w:leader="none" w:pos="11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180" w:hanging="436"/>
        <w:spacing w:after="0" w:line="297" w:lineRule="auto"/>
        <w:tabs>
          <w:tab w:leader="none" w:pos="11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63" w:lineRule="exact"/>
        <w:rPr>
          <w:rFonts w:ascii="Arial" w:cs="Arial" w:eastAsia="Arial" w:hAnsi="Arial"/>
          <w:sz w:val="16"/>
          <w:szCs w:val="16"/>
          <w:color w:val="auto"/>
        </w:rPr>
      </w:pPr>
    </w:p>
    <w:p>
      <w:pPr>
        <w:ind w:left="1180" w:right="660" w:hanging="436"/>
        <w:spacing w:after="0" w:line="277" w:lineRule="auto"/>
        <w:tabs>
          <w:tab w:leader="none" w:pos="11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defeasance have been complied with.</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180" w:right="360" w:hanging="436"/>
        <w:spacing w:after="0" w:line="279" w:lineRule="auto"/>
        <w:tabs>
          <w:tab w:leader="none" w:pos="11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1180" w:hanging="436"/>
        <w:spacing w:after="0"/>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Secured Indebtedness and Ranking</w:t>
      </w:r>
    </w:p>
    <w:p>
      <w:pPr>
        <w:spacing w:after="0" w:line="121"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93"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Wells Fargo Bank, National Association, will serve as the trustee under the indenture.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200" w:right="460" w:firstLine="441"/>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Debt Securities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82"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DTCC is the holding company for DTC, National Securities Clearing Corporation and Fixed Income Clearing Corporation, all of which are registered clearing agencies. DTCC is owned by the users of its regulated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80"/>
          </w:cols>
          <w:pgMar w:left="24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8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92" w:lineRule="exact"/>
        <w:rPr>
          <w:sz w:val="20"/>
          <w:szCs w:val="20"/>
          <w:color w:val="auto"/>
        </w:rPr>
      </w:pPr>
    </w:p>
    <w:p>
      <w:pPr>
        <w:ind w:left="200" w:right="260" w:firstLine="441"/>
        <w:spacing w:after="0" w:line="255" w:lineRule="auto"/>
        <w:rPr>
          <w:sz w:val="20"/>
          <w:szCs w:val="20"/>
          <w:color w:val="auto"/>
        </w:rPr>
      </w:pPr>
      <w:r>
        <w:rPr>
          <w:rFonts w:ascii="Arial" w:cs="Arial" w:eastAsia="Arial" w:hAnsi="Arial"/>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93"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could occur, could adversely affect the prevailing market price of our common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general, under Rule 144 under the Securities Act, or Rule 144, a person (or persons whose shares are aggregated) who is not deemed to have been an affiliate of ours at any time during the three-months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58"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information in the section entitled “Regulation as a Business Development Company” in Part I, Item 1 of our 2018 Annual Report is incorporated herein by reference.</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See “Available Information” below for more information regarding where you can obtain a copy of our codes of ethics and the Proxy Voting Policies and Procedures of our Advisor.</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760"/>
          </w:cols>
          <w:pgMar w:left="240" w:top="459" w:right="8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State Street Bank and Trust Company also serves as our transfer agent, distribution paying agent and registrar. The principal business address of State Street Bank and Trust Company is 1 Lincoln Street, Boston, Massachusetts 02111.</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22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88"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also pay brokerage commissions incurred in connection with purchases pursuant to the Company 10b5-1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aggregate amount of brokerage commissions paid by us during the three most recent fiscal years is $118,545.27.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8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66"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78"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78"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7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78"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24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legality of the securities offered hereby will be passed upon for us by Cleary Gottlieb Steen &amp; Hamilton LLP, New York, New York. In addition, Schulte Roth &amp; Zabel LLP and Morris, Nichols, Arsht &amp; Tunnell LLP will pass on certain legal matters for us. Cleary Gottlieb Steen &amp; Hamilton LLP and Schulte Roth &amp; Zabel LLP also represent the Adviser. Certain legal matters in connection with the offering will be passed upon for the underwriters, if any, by the counsel named in the prospectus supplement.</w:t>
      </w: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consolidated financial statements of TPG Specialty Lending, Inc. (and subsidiaries) as of December 31, 2018 and 2017, and for each of the years in the three-year period ended December 31, 2018 and the Senior Securities table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and appearing elsewhere herein, respectively, and upon the authority of said firm as experts in accounting and auditing.</w:t>
      </w:r>
    </w:p>
    <w:p>
      <w:pPr>
        <w:spacing w:after="0" w:line="38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file with or submit to the SEC periodic and current reports, proxy statements and other information meeting the informational requirements of the Exchange Act.</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35th Floor, New York, NY 10106, Attention: TSLX Investor Relations, or by emailing us at IRTSL@tpg.com.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left="200" w:right="520" w:firstLine="441"/>
        <w:spacing w:after="0" w:line="264" w:lineRule="auto"/>
        <w:rPr>
          <w:sz w:val="20"/>
          <w:szCs w:val="20"/>
          <w:color w:val="auto"/>
        </w:rPr>
      </w:pPr>
      <w:r>
        <w:rPr>
          <w:rFonts w:ascii="Arial" w:cs="Arial" w:eastAsia="Arial" w:hAnsi="Arial"/>
          <w:sz w:val="18"/>
          <w:szCs w:val="18"/>
          <w:color w:val="auto"/>
        </w:rPr>
        <w:t>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Proxy Voting Policies and Procedures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You may obtain information about how the Adviser voted proxies, free of charge, by making a written request for proxy voting information to: TSL Advisers, 888 7th Avenue, 35th Floor, New York, NY 10106, Attention: TSLX Investor Relations, or by emailing us at IRTSL@tpg.com. The SEC also maintains a website at http://www.sec.gov that contains such information.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200" w:right="240" w:firstLine="441"/>
        <w:spacing w:after="0" w:line="273" w:lineRule="auto"/>
        <w:rPr>
          <w:sz w:val="20"/>
          <w:szCs w:val="20"/>
          <w:color w:val="auto"/>
        </w:rPr>
      </w:pPr>
      <w:r>
        <w:rPr>
          <w:rFonts w:ascii="Arial" w:cs="Arial" w:eastAsia="Arial" w:hAnsi="Arial"/>
          <w:sz w:val="17"/>
          <w:szCs w:val="17"/>
          <w:color w:val="auto"/>
        </w:rPr>
        <w:t>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w:t>
      </w:r>
    </w:p>
    <w:p>
      <w:pPr>
        <w:spacing w:after="0" w:line="84" w:lineRule="exact"/>
        <w:rPr>
          <w:sz w:val="20"/>
          <w:szCs w:val="20"/>
          <w:color w:val="auto"/>
        </w:rPr>
      </w:pPr>
    </w:p>
    <w:p>
      <w:pPr>
        <w:jc w:val="both"/>
        <w:ind w:left="1180" w:right="180" w:hanging="436"/>
        <w:spacing w:after="0" w:line="264" w:lineRule="auto"/>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December 31, 2018, filed with the SEC on </w:t>
      </w:r>
      <w:hyperlink r:id="rId16">
        <w:r>
          <w:rPr>
            <w:rFonts w:ascii="Arial" w:cs="Arial" w:eastAsia="Arial" w:hAnsi="Arial"/>
            <w:sz w:val="18"/>
            <w:szCs w:val="18"/>
            <w:u w:val="single" w:color="auto"/>
            <w:color w:val="0000EE"/>
          </w:rPr>
          <w:t>February 20, 2019</w:t>
        </w:r>
      </w:hyperlink>
      <w:r>
        <w:rPr>
          <w:rFonts w:ascii="Arial" w:cs="Arial" w:eastAsia="Arial" w:hAnsi="Arial"/>
          <w:sz w:val="18"/>
          <w:szCs w:val="18"/>
          <w:color w:val="auto"/>
        </w:rPr>
        <w:t xml:space="preserve">, including the information specifically incorporated by reference into the Form 10-K from our Definitive Proxy Statement on Schedule 14A relating to our 2019 Annual Meeting of Stockholders, filed with the SEC on </w:t>
      </w:r>
      <w:hyperlink r:id="rId17">
        <w:r>
          <w:rPr>
            <w:rFonts w:ascii="Arial" w:cs="Arial" w:eastAsia="Arial" w:hAnsi="Arial"/>
            <w:sz w:val="18"/>
            <w:szCs w:val="18"/>
            <w:u w:val="single" w:color="auto"/>
            <w:color w:val="0000EE"/>
          </w:rPr>
          <w:t>April 5, 2019</w:t>
        </w:r>
      </w:hyperlink>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18">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three months ended March 31, 2019, filed with the SEC on May 2, 2019;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208">
        <w:r>
          <w:rPr>
            <w:rFonts w:ascii="Arial" w:cs="Arial" w:eastAsia="Arial" w:hAnsi="Arial"/>
            <w:sz w:val="18"/>
            <w:szCs w:val="18"/>
            <w:u w:val="single" w:color="auto"/>
            <w:color w:val="0000EE"/>
          </w:rPr>
          <w:t>February 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09">
        <w:r>
          <w:rPr>
            <w:rFonts w:ascii="Arial" w:cs="Arial" w:eastAsia="Arial" w:hAnsi="Arial"/>
            <w:sz w:val="18"/>
            <w:szCs w:val="18"/>
            <w:u w:val="single" w:color="auto"/>
            <w:color w:val="0000EE"/>
          </w:rPr>
          <w:t>February 14, 2019</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78" w:lineRule="exact"/>
        <w:rPr>
          <w:rFonts w:ascii="Arial" w:cs="Arial" w:eastAsia="Arial" w:hAnsi="Arial"/>
          <w:sz w:val="18"/>
          <w:szCs w:val="18"/>
          <w:color w:val="auto"/>
        </w:rPr>
      </w:pPr>
    </w:p>
    <w:p>
      <w:pPr>
        <w:jc w:val="both"/>
        <w:ind w:left="200" w:right="380" w:firstLine="441"/>
        <w:spacing w:after="0" w:line="312"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w:t>
      </w:r>
    </w:p>
    <w:p>
      <w:pPr>
        <w:spacing w:after="0" w:line="147"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TPG Specialty Lending, Inc.</w:t>
      </w:r>
    </w:p>
    <w:p>
      <w:pPr>
        <w:spacing w:after="0" w:line="23"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888 7th Avenue, 35th Floor</w:t>
      </w:r>
    </w:p>
    <w:p>
      <w:pPr>
        <w:spacing w:after="0" w:line="9"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New York, NY 10106</w:t>
      </w:r>
    </w:p>
    <w:p>
      <w:pPr>
        <w:spacing w:after="0" w:line="9"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Attention: TSLX Investor Relations</w:t>
      </w:r>
    </w:p>
    <w:p>
      <w:pPr>
        <w:spacing w:after="0" w:line="9"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u w:val="single" w:color="auto"/>
          <w:color w:val="auto"/>
        </w:rPr>
        <w:t>Email</w:t>
      </w:r>
      <w:r>
        <w:rPr>
          <w:rFonts w:ascii="Arial" w:cs="Arial" w:eastAsia="Arial" w:hAnsi="Arial"/>
          <w:sz w:val="18"/>
          <w:szCs w:val="18"/>
          <w:color w:val="auto"/>
        </w:rPr>
        <w:t>: IRTSL@tpg.com.</w:t>
      </w:r>
    </w:p>
    <w:p>
      <w:pPr>
        <w:spacing w:after="0" w:line="211" w:lineRule="exact"/>
        <w:rPr>
          <w:rFonts w:ascii="Arial" w:cs="Arial" w:eastAsia="Arial" w:hAnsi="Arial"/>
          <w:sz w:val="18"/>
          <w:szCs w:val="18"/>
          <w:color w:val="auto"/>
        </w:rPr>
      </w:pPr>
    </w:p>
    <w:p>
      <w:pPr>
        <w:ind w:left="200" w:firstLine="441"/>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80"/>
          </w:cols>
          <w:pgMar w:left="24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282575</wp:posOffset>
            </wp:positionV>
            <wp:extent cx="6997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00"/>
        <w:spacing w:after="0"/>
        <w:rPr>
          <w:sz w:val="20"/>
          <w:szCs w:val="20"/>
          <w:color w:val="auto"/>
        </w:rPr>
      </w:pPr>
      <w:r>
        <w:rPr>
          <w:rFonts w:ascii="Arial" w:cs="Arial" w:eastAsia="Arial" w:hAnsi="Arial"/>
          <w:sz w:val="29"/>
          <w:szCs w:val="2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1077595</wp:posOffset>
            </wp:positionV>
            <wp:extent cx="1337945" cy="5657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 Notes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989965</wp:posOffset>
            </wp:positionV>
            <wp:extent cx="146621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225425</wp:posOffset>
            </wp:positionV>
            <wp:extent cx="146621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ind w:left="260"/>
              <w:spacing w:after="0"/>
              <w:rPr>
                <w:sz w:val="20"/>
                <w:szCs w:val="20"/>
                <w:color w:val="auto"/>
              </w:rPr>
            </w:pPr>
            <w:r>
              <w:rPr>
                <w:rFonts w:ascii="Arial" w:cs="Arial" w:eastAsia="Arial" w:hAnsi="Arial"/>
                <w:sz w:val="18"/>
                <w:szCs w:val="18"/>
                <w:b w:val="1"/>
                <w:bCs w:val="1"/>
                <w:color w:val="auto"/>
                <w:w w:val="99"/>
              </w:rPr>
              <w:t>BofA Securities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97"/>
        </w:trPr>
        <w:tc>
          <w:tcPr>
            <w:tcW w:w="880" w:type="dxa"/>
            <w:vAlign w:val="bottom"/>
          </w:tcPr>
          <w:p>
            <w:pPr>
              <w:spacing w:after="0"/>
              <w:rPr>
                <w:sz w:val="24"/>
                <w:szCs w:val="24"/>
                <w:color w:val="auto"/>
              </w:rPr>
            </w:pPr>
          </w:p>
        </w:tc>
        <w:tc>
          <w:tcPr>
            <w:tcW w:w="3780" w:type="dxa"/>
            <w:vAlign w:val="bottom"/>
            <w:gridSpan w:val="2"/>
          </w:tcPr>
          <w:p>
            <w:pPr>
              <w:ind w:left="120"/>
              <w:spacing w:after="0"/>
              <w:rPr>
                <w:sz w:val="20"/>
                <w:szCs w:val="20"/>
                <w:color w:val="auto"/>
              </w:rPr>
            </w:pPr>
            <w:r>
              <w:rPr>
                <w:rFonts w:ascii="Arial" w:cs="Arial" w:eastAsia="Arial" w:hAnsi="Arial"/>
                <w:sz w:val="18"/>
                <w:szCs w:val="18"/>
                <w:b w:val="1"/>
                <w:bCs w:val="1"/>
                <w:color w:val="auto"/>
              </w:rPr>
              <w:t>J.P. Morgan</w:t>
            </w:r>
          </w:p>
        </w:tc>
        <w:tc>
          <w:tcPr>
            <w:tcW w:w="16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Citigroup</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160" w:type="dxa"/>
            <w:vAlign w:val="bottom"/>
            <w:gridSpan w:val="2"/>
          </w:tcPr>
          <w:p>
            <w:pPr>
              <w:ind w:left="380"/>
              <w:spacing w:after="0"/>
              <w:rPr>
                <w:sz w:val="20"/>
                <w:szCs w:val="20"/>
                <w:color w:val="auto"/>
              </w:rPr>
            </w:pPr>
            <w:r>
              <w:rPr>
                <w:rFonts w:ascii="Arial" w:cs="Arial" w:eastAsia="Arial" w:hAnsi="Arial"/>
                <w:sz w:val="18"/>
                <w:szCs w:val="18"/>
                <w:b w:val="1"/>
                <w:bCs w:val="1"/>
                <w:color w:val="auto"/>
              </w:rPr>
              <w:t>SunTrust Robinson Humphrey</w:t>
            </w:r>
          </w:p>
        </w:tc>
      </w:tr>
      <w:tr>
        <w:trPr>
          <w:trHeight w:val="279"/>
        </w:trPr>
        <w:tc>
          <w:tcPr>
            <w:tcW w:w="880" w:type="dxa"/>
            <w:vAlign w:val="bottom"/>
          </w:tcPr>
          <w:p>
            <w:pPr>
              <w:spacing w:after="0"/>
              <w:rPr>
                <w:sz w:val="20"/>
                <w:szCs w:val="20"/>
                <w:color w:val="auto"/>
              </w:rPr>
            </w:pPr>
            <w:r>
              <w:rPr>
                <w:rFonts w:ascii="Arial" w:cs="Arial" w:eastAsia="Arial" w:hAnsi="Arial"/>
                <w:sz w:val="18"/>
                <w:szCs w:val="18"/>
                <w:b w:val="1"/>
                <w:bCs w:val="1"/>
                <w:color w:val="auto"/>
              </w:rPr>
              <w:t>Mizuho</w:t>
            </w:r>
          </w:p>
        </w:tc>
        <w:tc>
          <w:tcPr>
            <w:tcW w:w="3780" w:type="dxa"/>
            <w:vAlign w:val="bottom"/>
            <w:gridSpan w:val="2"/>
          </w:tcPr>
          <w:p>
            <w:pPr>
              <w:ind w:left="600"/>
              <w:spacing w:after="0"/>
              <w:rPr>
                <w:sz w:val="20"/>
                <w:szCs w:val="20"/>
                <w:color w:val="auto"/>
              </w:rPr>
            </w:pPr>
            <w:r>
              <w:rPr>
                <w:rFonts w:ascii="Arial" w:cs="Arial" w:eastAsia="Arial" w:hAnsi="Arial"/>
                <w:sz w:val="18"/>
                <w:szCs w:val="18"/>
                <w:b w:val="1"/>
                <w:bCs w:val="1"/>
                <w:color w:val="auto"/>
              </w:rPr>
              <w:t>Goldman Sachs &amp;   Morgan Stanley</w:t>
            </w: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RBC Capital</w:t>
            </w:r>
          </w:p>
        </w:tc>
        <w:tc>
          <w:tcPr>
            <w:tcW w:w="1580" w:type="dxa"/>
            <w:vAlign w:val="bottom"/>
            <w:gridSpan w:val="2"/>
          </w:tcPr>
          <w:p>
            <w:pPr>
              <w:ind w:left="180"/>
              <w:spacing w:after="0"/>
              <w:rPr>
                <w:sz w:val="20"/>
                <w:szCs w:val="20"/>
                <w:color w:val="auto"/>
              </w:rPr>
            </w:pPr>
            <w:r>
              <w:rPr>
                <w:rFonts w:ascii="Arial" w:cs="Arial" w:eastAsia="Arial" w:hAnsi="Arial"/>
                <w:sz w:val="18"/>
                <w:szCs w:val="18"/>
                <w:b w:val="1"/>
                <w:bCs w:val="1"/>
                <w:color w:val="auto"/>
              </w:rPr>
              <w:t>SMBC Nikko</w:t>
            </w:r>
          </w:p>
        </w:tc>
        <w:tc>
          <w:tcPr>
            <w:tcW w:w="1840" w:type="dxa"/>
            <w:vAlign w:val="bottom"/>
          </w:tcPr>
          <w:p>
            <w:pPr>
              <w:ind w:left="480"/>
              <w:spacing w:after="0"/>
              <w:rPr>
                <w:sz w:val="20"/>
                <w:szCs w:val="20"/>
                <w:color w:val="auto"/>
              </w:rPr>
            </w:pPr>
            <w:r>
              <w:rPr>
                <w:rFonts w:ascii="Arial" w:cs="Arial" w:eastAsia="Arial" w:hAnsi="Arial"/>
                <w:sz w:val="18"/>
                <w:szCs w:val="18"/>
                <w:b w:val="1"/>
                <w:bCs w:val="1"/>
                <w:color w:val="auto"/>
              </w:rPr>
              <w:t>MUFG</w:t>
            </w:r>
          </w:p>
        </w:tc>
        <w:tc>
          <w:tcPr>
            <w:tcW w:w="1320" w:type="dxa"/>
            <w:vAlign w:val="bottom"/>
          </w:tcPr>
          <w:p>
            <w:pPr>
              <w:ind w:left="840"/>
              <w:spacing w:after="0"/>
              <w:rPr>
                <w:sz w:val="20"/>
                <w:szCs w:val="20"/>
                <w:color w:val="auto"/>
              </w:rPr>
            </w:pPr>
            <w:r>
              <w:rPr>
                <w:rFonts w:ascii="Arial" w:cs="Arial" w:eastAsia="Arial" w:hAnsi="Arial"/>
                <w:sz w:val="18"/>
                <w:szCs w:val="18"/>
                <w:b w:val="1"/>
                <w:bCs w:val="1"/>
                <w:color w:val="auto"/>
                <w:w w:val="90"/>
              </w:rPr>
              <w:t>HSBC</w:t>
            </w:r>
          </w:p>
        </w:tc>
      </w:t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w w:val="99"/>
              </w:rPr>
              <w:t>Securities</w:t>
            </w:r>
          </w:p>
        </w:tc>
        <w:tc>
          <w:tcPr>
            <w:tcW w:w="3780" w:type="dxa"/>
            <w:vAlign w:val="bottom"/>
            <w:gridSpan w:val="2"/>
          </w:tcPr>
          <w:p>
            <w:pPr>
              <w:ind w:left="960"/>
              <w:spacing w:after="0"/>
              <w:rPr>
                <w:sz w:val="20"/>
                <w:szCs w:val="20"/>
                <w:color w:val="auto"/>
              </w:rPr>
            </w:pPr>
            <w:r>
              <w:rPr>
                <w:rFonts w:ascii="Arial" w:cs="Arial" w:eastAsia="Arial" w:hAnsi="Arial"/>
                <w:sz w:val="18"/>
                <w:szCs w:val="18"/>
                <w:b w:val="1"/>
                <w:bCs w:val="1"/>
                <w:color w:val="auto"/>
              </w:rPr>
              <w:t>Co. LLC</w:t>
            </w:r>
          </w:p>
        </w:tc>
        <w:tc>
          <w:tcPr>
            <w:tcW w:w="16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Markets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459"/>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429260</wp:posOffset>
            </wp:positionV>
            <wp:extent cx="6997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488950</wp:posOffset>
            </wp:positionV>
            <wp:extent cx="699770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1220"/>
      </w:cols>
      <w:pgMar w:left="240" w:top="459" w:right="439" w:bottom="11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1)"/>
      <w:numFmt w:val="decimal"/>
      <w:start w:val="1"/>
    </w:lvl>
  </w:abstractNum>
  <w:abstractNum w:abstractNumId="8">
    <w:nsid w:val="520EEDD1"/>
    <w:multiLevelType w:val="hybridMultilevel"/>
    <w:lvl w:ilvl="0">
      <w:lvlJc w:val="left"/>
      <w:lvlText w:val="(%1)"/>
      <w:numFmt w:val="decimal"/>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1)"/>
      <w:numFmt w:val="decimal"/>
      <w:start w:val="1"/>
    </w:lvl>
  </w:abstractNum>
  <w:abstractNum w:abstractNumId="14">
    <w:nsid w:val="39386575"/>
    <w:multiLevelType w:val="hybridMultilevel"/>
    <w:lvl w:ilvl="0">
      <w:lvlJc w:val="left"/>
      <w:lvlText w:val="(%1)"/>
      <w:numFmt w:val="decimal"/>
      <w:start w:val="1"/>
    </w:lvl>
  </w:abstractNum>
  <w:abstractNum w:abstractNumId="15">
    <w:nsid w:val="1CF10FD8"/>
    <w:multiLevelType w:val="hybridMultilevel"/>
    <w:lvl w:ilvl="0">
      <w:lvlJc w:val="left"/>
      <w:lvlText w:val="(%1)"/>
      <w:numFmt w:val="decimal"/>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1)"/>
      <w:numFmt w:val="decimal"/>
      <w:start w:val="1"/>
    </w:lvl>
  </w:abstractNum>
  <w:abstractNum w:abstractNumId="19">
    <w:nsid w:val="354FE9F9"/>
    <w:multiLevelType w:val="hybridMultilevel"/>
    <w:lvl w:ilvl="0">
      <w:lvlJc w:val="left"/>
      <w:lvlText w:val="(%1)"/>
      <w:numFmt w:val="decimal"/>
      <w:start w:val="5"/>
    </w:lvl>
  </w:abstractNum>
  <w:abstractNum w:abstractNumId="20">
    <w:nsid w:val="15B5AF5C"/>
    <w:multiLevelType w:val="hybridMultilevel"/>
    <w:lvl w:ilvl="0">
      <w:lvlJc w:val="left"/>
      <w:lvlText w:val="(%1)"/>
      <w:numFmt w:val="lowerRoman"/>
      <w:start w:val="1"/>
    </w:lvl>
  </w:abstractNum>
  <w:abstractNum w:abstractNumId="21">
    <w:nsid w:val="741226BB"/>
    <w:multiLevelType w:val="hybridMultilevel"/>
    <w:lvl w:ilvl="0">
      <w:lvlJc w:val="left"/>
      <w:lvlText w:val="(%1)"/>
      <w:numFmt w:val="lowerRoman"/>
      <w:start w:val="5"/>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1."/>
      <w:numFmt w:val="upperLetter"/>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lvl w:ilvl="1">
      <w:lvlJc w:val="left"/>
      <w:lvlText w:val="•"/>
      <w:numFmt w:val="bullet"/>
      <w:start w:val="1"/>
    </w:lvl>
  </w:abstractNum>
  <w:abstractNum w:abstractNumId="33">
    <w:nsid w:val="1DBABF00"/>
    <w:multiLevelType w:val="hybridMultilevel"/>
    <w:lvl w:ilvl="0">
      <w:lvlJc w:val="left"/>
      <w:lvlText w:val="•"/>
      <w:numFmt w:val="bullet"/>
      <w:start w:val="1"/>
    </w:lvl>
    <w:lvl w:ilvl="1">
      <w:lvlJc w:val="left"/>
      <w:lvlText w:val="•"/>
      <w:numFmt w:val="bullet"/>
      <w:start w:val="1"/>
    </w:lvl>
  </w:abstractNum>
  <w:abstractNum w:abstractNumId="34">
    <w:nsid w:val="4AD084E9"/>
    <w:multiLevelType w:val="hybridMultilevel"/>
    <w:lvl w:ilvl="0">
      <w:lvlJc w:val="left"/>
      <w:lvlText w:val="•"/>
      <w:numFmt w:val="bullet"/>
      <w:start w:val="1"/>
    </w:lvl>
    <w:lvl w:ilvl="1">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1)"/>
      <w:numFmt w:val="decimal"/>
      <w:start w:val="817"/>
    </w:lvl>
  </w:abstractNum>
  <w:abstractNum w:abstractNumId="40">
    <w:nsid w:val="15014ACB"/>
    <w:multiLevelType w:val="hybridMultilevel"/>
    <w:lvl w:ilvl="0">
      <w:lvlJc w:val="left"/>
      <w:lvlText w:val="(%1)"/>
      <w:numFmt w:val="decimal"/>
      <w:start w:val="1"/>
    </w:lvl>
  </w:abstractNum>
  <w:abstractNum w:abstractNumId="41">
    <w:nsid w:val="5F5E7FD0"/>
    <w:multiLevelType w:val="hybridMultilevel"/>
    <w:lvl w:ilvl="0">
      <w:lvlJc w:val="left"/>
      <w:lvlText w:val="(%1)"/>
      <w:numFmt w:val="decimal"/>
      <w:start w:val="6"/>
    </w:lvl>
  </w:abstractNum>
  <w:abstractNum w:abstractNumId="42">
    <w:nsid w:val="98A3148"/>
    <w:multiLevelType w:val="hybridMultilevel"/>
    <w:lvl w:ilvl="0">
      <w:lvlJc w:val="left"/>
      <w:lvlText w:val="(%1)"/>
      <w:numFmt w:val="decimal"/>
      <w:start w:val="8"/>
    </w:lvl>
  </w:abstractNum>
  <w:abstractNum w:abstractNumId="43">
    <w:nsid w:val="799D0247"/>
    <w:multiLevelType w:val="hybridMultilevel"/>
    <w:lvl w:ilvl="0">
      <w:lvlJc w:val="left"/>
      <w:lvlText w:val="(%1)"/>
      <w:numFmt w:val="decimal"/>
      <w:start w:val="1"/>
    </w:lvl>
  </w:abstractNum>
  <w:abstractNum w:abstractNumId="44">
    <w:nsid w:val="6B94764"/>
    <w:multiLevelType w:val="hybridMultilevel"/>
    <w:lvl w:ilvl="0">
      <w:lvlJc w:val="left"/>
      <w:lvlText w:val="(%1)"/>
      <w:numFmt w:val="decimal"/>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1)"/>
      <w:numFmt w:val="decimal"/>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1)"/>
      <w:numFmt w:val="decimal"/>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1)"/>
      <w:numFmt w:val="decimal"/>
      <w:start w:val="1"/>
    </w:lvl>
  </w:abstractNum>
  <w:abstractNum w:abstractNumId="53">
    <w:nsid w:val="613EFDC5"/>
    <w:multiLevelType w:val="hybridMultilevel"/>
    <w:lvl w:ilvl="0">
      <w:lvlJc w:val="left"/>
      <w:lvlText w:val="(%1)"/>
      <w:numFmt w:val="decimal"/>
      <w:start w:val="1"/>
    </w:lvl>
  </w:abstractNum>
  <w:abstractNum w:abstractNumId="54">
    <w:nsid w:val="BF72B14"/>
    <w:multiLevelType w:val="hybridMultilevel"/>
    <w:lvl w:ilvl="0">
      <w:lvlJc w:val="left"/>
      <w:lvlText w:val="(%1)"/>
      <w:numFmt w:val="lowerLetter"/>
      <w:start w:val="1"/>
    </w:lvl>
  </w:abstractNum>
  <w:abstractNum w:abstractNumId="55">
    <w:nsid w:val="11447B73"/>
    <w:multiLevelType w:val="hybridMultilevel"/>
    <w:lvl w:ilvl="0">
      <w:lvlJc w:val="left"/>
      <w:lvlText w:val="%1"/>
      <w:numFmt w:val="decimal"/>
      <w:start w:val="1"/>
    </w:lvl>
    <w:lvl w:ilvl="1">
      <w:lvlJc w:val="left"/>
      <w:lvlText w:val="(%2)"/>
      <w:numFmt w:val="lowerLetter"/>
      <w:start w:val="2"/>
    </w:lvl>
  </w:abstractNum>
  <w:abstractNum w:abstractNumId="56">
    <w:nsid w:val="42963E5A"/>
    <w:multiLevelType w:val="hybridMultilevel"/>
    <w:lvl w:ilvl="0">
      <w:lvlJc w:val="left"/>
      <w:lvlText w:val="(%1)"/>
      <w:numFmt w:val="decimal"/>
      <w:start w:val="7"/>
    </w:lvl>
    <w:lvl w:ilvl="1">
      <w:lvlJc w:val="left"/>
      <w:lvlText w:val="%2"/>
      <w:numFmt w:val="lowerLetter"/>
      <w:start w:val="1"/>
    </w:lvl>
  </w:abstractNum>
  <w:abstractNum w:abstractNumId="57">
    <w:nsid w:val="A0382C5"/>
    <w:multiLevelType w:val="hybridMultilevel"/>
    <w:lvl w:ilvl="0">
      <w:lvlJc w:val="left"/>
      <w:lvlText w:val="%1"/>
      <w:numFmt w:val="decimal"/>
      <w:start w:val="1"/>
    </w:lvl>
    <w:lvl w:ilvl="1">
      <w:lvlJc w:val="left"/>
      <w:lvlText w:val="(%2)"/>
      <w:numFmt w:val="lowerLetter"/>
      <w:start w:val="1"/>
    </w:lvl>
  </w:abstractNum>
  <w:abstractNum w:abstractNumId="58">
    <w:nsid w:val="8F2B15E"/>
    <w:multiLevelType w:val="hybridMultilevel"/>
    <w:lvl w:ilvl="0">
      <w:lvlJc w:val="left"/>
      <w:lvlText w:val="(%1)"/>
      <w:numFmt w:val="decimal"/>
      <w:start w:val="8"/>
    </w:lvl>
    <w:lvl w:ilvl="1">
      <w:lvlJc w:val="left"/>
      <w:lvlText w:val="%2"/>
      <w:numFmt w:val="lowerLetter"/>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
      <w:numFmt w:val="bullet"/>
      <w:start w:val="1"/>
    </w:lvl>
  </w:abstractNum>
  <w:abstractNum w:abstractNumId="65">
    <w:nsid w:val="14330624"/>
    <w:multiLevelType w:val="hybridMultilevel"/>
    <w:lvl w:ilvl="0">
      <w:lvlJc w:val="left"/>
      <w:lvlText w:val="•"/>
      <w:numFmt w:val="bullet"/>
      <w:start w:val="1"/>
    </w:lvl>
    <w:lvl w:ilvl="1">
      <w:lvlJc w:val="left"/>
      <w:lvlText w:val="•"/>
      <w:numFmt w:val="bullet"/>
      <w:start w:val="1"/>
    </w:lvl>
  </w:abstractNum>
  <w:abstractNum w:abstractNumId="66">
    <w:nsid w:val="7FFFCA11"/>
    <w:multiLevelType w:val="hybridMultilevel"/>
    <w:lvl w:ilvl="0">
      <w:lvlJc w:val="left"/>
      <w:lvlText w:val="•"/>
      <w:numFmt w:val="bullet"/>
      <w:start w:val="1"/>
    </w:lvl>
  </w:abstractNum>
  <w:abstractNum w:abstractNumId="67">
    <w:nsid w:val="1A27709E"/>
    <w:multiLevelType w:val="hybridMultilevel"/>
    <w:lvl w:ilvl="0">
      <w:lvlJc w:val="left"/>
      <w:lvlText w:val="•"/>
      <w:numFmt w:val="bullet"/>
      <w:start w:val="1"/>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1)"/>
      <w:numFmt w:val="lowerRoman"/>
      <w:start w:val="1"/>
    </w:lvl>
  </w:abstractNum>
  <w:abstractNum w:abstractNumId="70">
    <w:nsid w:val="7FB7E0AA"/>
    <w:multiLevelType w:val="hybridMultilevel"/>
    <w:lvl w:ilvl="0">
      <w:lvlJc w:val="left"/>
      <w:lvlText w:val="•"/>
      <w:numFmt w:val="bullet"/>
      <w:start w:val="1"/>
    </w:lvl>
  </w:abstractNum>
  <w:abstractNum w:abstractNumId="71">
    <w:nsid w:val="6EB5BD4"/>
    <w:multiLevelType w:val="hybridMultilevel"/>
    <w:lvl w:ilvl="0">
      <w:lvlJc w:val="left"/>
      <w:lvlText w:val="•"/>
      <w:numFmt w:val="bullet"/>
      <w:start w:val="1"/>
    </w:lvl>
  </w:abstractNum>
  <w:abstractNum w:abstractNumId="72">
    <w:nsid w:val="6F6DD9AC"/>
    <w:multiLevelType w:val="hybridMultilevel"/>
    <w:lvl w:ilvl="0">
      <w:lvlJc w:val="left"/>
      <w:lvlText w:val="•"/>
      <w:numFmt w:val="bullet"/>
      <w:start w:val="1"/>
    </w:lvl>
  </w:abstractNum>
  <w:abstractNum w:abstractNumId="73">
    <w:nsid w:val="94211F2"/>
    <w:multiLevelType w:val="hybridMultilevel"/>
    <w:lvl w:ilvl="0">
      <w:lvlJc w:val="left"/>
      <w:lvlText w:val="•"/>
      <w:numFmt w:val="bullet"/>
      <w:start w:val="1"/>
    </w:lvl>
  </w:abstractNum>
  <w:abstractNum w:abstractNumId="74">
    <w:nsid w:val="885E1B"/>
    <w:multiLevelType w:val="hybridMultilevel"/>
    <w:lvl w:ilvl="0">
      <w:lvlJc w:val="left"/>
      <w:lvlText w:val="•"/>
      <w:numFmt w:val="bullet"/>
      <w:start w:val="1"/>
    </w:lvl>
  </w:abstractNum>
  <w:abstractNum w:abstractNumId="75">
    <w:nsid w:val="76272110"/>
    <w:multiLevelType w:val="hybridMultilevel"/>
    <w:lvl w:ilvl="0">
      <w:lvlJc w:val="left"/>
      <w:lvlText w:val="•"/>
      <w:numFmt w:val="bullet"/>
      <w:start w:val="1"/>
    </w:lvl>
  </w:abstractNum>
  <w:abstractNum w:abstractNumId="76">
    <w:nsid w:val="4C04A8AF"/>
    <w:multiLevelType w:val="hybridMultilevel"/>
    <w:lvl w:ilvl="0">
      <w:lvlJc w:val="left"/>
      <w:lvlText w:val="•"/>
      <w:numFmt w:val="bullet"/>
      <w:start w:val="1"/>
    </w:lvl>
  </w:abstractNum>
  <w:abstractNum w:abstractNumId="77">
    <w:nsid w:val="1716703B"/>
    <w:multiLevelType w:val="hybridMultilevel"/>
    <w:lvl w:ilvl="0">
      <w:lvlJc w:val="left"/>
      <w:lvlText w:val="•"/>
      <w:numFmt w:val="bullet"/>
      <w:start w:val="1"/>
    </w:lvl>
  </w:abstractNum>
  <w:abstractNum w:abstractNumId="78">
    <w:nsid w:val="14E17E33"/>
    <w:multiLevelType w:val="hybridMultilevel"/>
    <w:lvl w:ilvl="0">
      <w:lvlJc w:val="left"/>
      <w:lvlText w:val="•"/>
      <w:numFmt w:val="bullet"/>
      <w:start w:val="1"/>
    </w:lvl>
  </w:abstractNum>
  <w:abstractNum w:abstractNumId="79">
    <w:nsid w:val="3222E7CD"/>
    <w:multiLevelType w:val="hybridMultilevel"/>
    <w:lvl w:ilvl="0">
      <w:lvlJc w:val="left"/>
      <w:lvlText w:val="•"/>
      <w:numFmt w:val="bullet"/>
      <w:start w:val="1"/>
    </w:lvl>
  </w:abstractNum>
  <w:abstractNum w:abstractNumId="80">
    <w:nsid w:val="74DE0EE3"/>
    <w:multiLevelType w:val="hybridMultilevel"/>
    <w:lvl w:ilvl="0">
      <w:lvlJc w:val="left"/>
      <w:lvlText w:val="•"/>
      <w:numFmt w:val="bullet"/>
      <w:start w:val="1"/>
    </w:lvl>
  </w:abstractNum>
  <w:abstractNum w:abstractNumId="81">
    <w:nsid w:val="68EBC550"/>
    <w:multiLevelType w:val="hybridMultilevel"/>
    <w:lvl w:ilvl="0">
      <w:lvlJc w:val="left"/>
      <w:lvlText w:val="•"/>
      <w:numFmt w:val="bullet"/>
      <w:start w:val="1"/>
    </w:lvl>
  </w:abstractNum>
  <w:abstractNum w:abstractNumId="82">
    <w:nsid w:val="2DF6D648"/>
    <w:multiLevelType w:val="hybridMultilevel"/>
    <w:lvl w:ilvl="0">
      <w:lvlJc w:val="left"/>
      <w:lvlText w:val="•"/>
      <w:numFmt w:val="bullet"/>
      <w:start w:val="1"/>
    </w:lvl>
  </w:abstractNum>
  <w:abstractNum w:abstractNumId="83">
    <w:nsid w:val="46B7D447"/>
    <w:multiLevelType w:val="hybridMultilevel"/>
    <w:lvl w:ilvl="0">
      <w:lvlJc w:val="left"/>
      <w:lvlText w:val="•"/>
      <w:numFmt w:val="bullet"/>
      <w:start w:val="1"/>
    </w:lvl>
  </w:abstractNum>
  <w:abstractNum w:abstractNumId="84">
    <w:nsid w:val="4A2AC315"/>
    <w:multiLevelType w:val="hybridMultilevel"/>
    <w:lvl w:ilvl="0">
      <w:lvlJc w:val="left"/>
      <w:lvlText w:val="•"/>
      <w:numFmt w:val="bullet"/>
      <w:start w:val="1"/>
    </w:lvl>
  </w:abstractNum>
  <w:abstractNum w:abstractNumId="85">
    <w:nsid w:val="39EE015C"/>
    <w:multiLevelType w:val="hybridMultilevel"/>
    <w:lvl w:ilvl="0">
      <w:lvlJc w:val="left"/>
      <w:lvlText w:val="•"/>
      <w:numFmt w:val="bullet"/>
      <w:start w:val="1"/>
    </w:lvl>
  </w:abstractNum>
  <w:abstractNum w:abstractNumId="86">
    <w:nsid w:val="57FC4FBB"/>
    <w:multiLevelType w:val="hybridMultilevel"/>
    <w:lvl w:ilvl="0">
      <w:lvlJc w:val="left"/>
      <w:lvlText w:val="•"/>
      <w:numFmt w:val="bullet"/>
      <w:start w:val="1"/>
    </w:lvl>
  </w:abstractNum>
  <w:abstractNum w:abstractNumId="87">
    <w:nsid w:val="CC1016F"/>
    <w:multiLevelType w:val="hybridMultilevel"/>
    <w:lvl w:ilvl="0">
      <w:lvlJc w:val="left"/>
      <w:lvlText w:val="•"/>
      <w:numFmt w:val="bullet"/>
      <w:start w:val="1"/>
    </w:lvl>
  </w:abstractNum>
  <w:abstractNum w:abstractNumId="88">
    <w:nsid w:val="43F18422"/>
    <w:multiLevelType w:val="hybridMultilevel"/>
    <w:lvl w:ilvl="0">
      <w:lvlJc w:val="left"/>
      <w:lvlText w:val="•"/>
      <w:numFmt w:val="bullet"/>
      <w:start w:val="1"/>
    </w:lvl>
  </w:abstractNum>
  <w:abstractNum w:abstractNumId="89">
    <w:nsid w:val="60EF0119"/>
    <w:multiLevelType w:val="hybridMultilevel"/>
    <w:lvl w:ilvl="0">
      <w:lvlJc w:val="left"/>
      <w:lvlText w:val="•"/>
      <w:numFmt w:val="bullet"/>
      <w:start w:val="1"/>
    </w:lvl>
  </w:abstractNum>
  <w:abstractNum w:abstractNumId="90">
    <w:nsid w:val="26F324BA"/>
    <w:multiLevelType w:val="hybridMultilevel"/>
    <w:lvl w:ilvl="0">
      <w:lvlJc w:val="left"/>
      <w:lvlText w:val="•"/>
      <w:numFmt w:val="bullet"/>
      <w:start w:val="1"/>
    </w:lvl>
  </w:abstractNum>
  <w:abstractNum w:abstractNumId="91">
    <w:nsid w:val="7F01579B"/>
    <w:multiLevelType w:val="hybridMultilevel"/>
    <w:lvl w:ilvl="0">
      <w:lvlJc w:val="left"/>
      <w:lvlText w:val="•"/>
      <w:numFmt w:val="bullet"/>
      <w:start w:val="1"/>
    </w:lvl>
  </w:abstractNum>
  <w:abstractNum w:abstractNumId="92">
    <w:nsid w:val="49DA307D"/>
    <w:multiLevelType w:val="hybridMultilevel"/>
    <w:lvl w:ilvl="0">
      <w:lvlJc w:val="left"/>
      <w:lvlText w:val="•"/>
      <w:numFmt w:val="bullet"/>
      <w:start w:val="1"/>
    </w:lvl>
  </w:abstractNum>
  <w:abstractNum w:abstractNumId="93">
    <w:nsid w:val="7055A5F5"/>
    <w:multiLevelType w:val="hybridMultilevel"/>
    <w:lvl w:ilvl="0">
      <w:lvlJc w:val="left"/>
      <w:lvlText w:val="•"/>
      <w:numFmt w:val="bullet"/>
      <w:start w:val="1"/>
    </w:lvl>
  </w:abstractNum>
  <w:abstractNum w:abstractNumId="94">
    <w:nsid w:val="5FB8370B"/>
    <w:multiLevelType w:val="hybridMultilevel"/>
    <w:lvl w:ilvl="0">
      <w:lvlJc w:val="left"/>
      <w:lvlText w:val="•"/>
      <w:numFmt w:val="bullet"/>
      <w:start w:val="1"/>
    </w:lvl>
  </w:abstractNum>
  <w:abstractNum w:abstractNumId="95">
    <w:nsid w:val="50801EE1"/>
    <w:multiLevelType w:val="hybridMultilevel"/>
    <w:lvl w:ilvl="0">
      <w:lvlJc w:val="left"/>
      <w:lvlText w:val="•"/>
      <w:numFmt w:val="bullet"/>
      <w:start w:val="1"/>
    </w:lvl>
  </w:abstractNum>
  <w:abstractNum w:abstractNumId="96">
    <w:nsid w:val="488AC1A"/>
    <w:multiLevelType w:val="hybridMultilevel"/>
    <w:lvl w:ilvl="0">
      <w:lvlJc w:val="left"/>
      <w:lvlText w:val="•"/>
      <w:numFmt w:val="bullet"/>
      <w:start w:val="1"/>
    </w:lvl>
  </w:abstractNum>
  <w:abstractNum w:abstractNumId="97">
    <w:nsid w:val="5FB8011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jpe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jpe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16" Type="http://schemas.openxmlformats.org/officeDocument/2006/relationships/hyperlink" Target="http://www.sec.gov/Archives/edgar/data/1508655/000156459019003442/tslx-10k_20181231.htm" TargetMode="External"/><Relationship Id="rId17" Type="http://schemas.openxmlformats.org/officeDocument/2006/relationships/hyperlink" Target="http://www.sec.gov/Archives/edgar/data/1508655/000119312519099195/d928549ddef14a.htm" TargetMode="External"/><Relationship Id="rId18" Type="http://schemas.openxmlformats.org/officeDocument/2006/relationships/hyperlink" Target="http://www.sec.gov/Archives/edgar/data/1508655/000156459019015321/tslx-10q_20190331.htm" TargetMode="External"/><Relationship Id="rId19" Type="http://schemas.openxmlformats.org/officeDocument/2006/relationships/hyperlink" Target="http://www.sec.gov/Archives/edgar/data/1508655/000156459019027468/tslx-10q_20190630.htm" TargetMode="External"/><Relationship Id="rId20" Type="http://schemas.openxmlformats.org/officeDocument/2006/relationships/hyperlink" Target="http://www.sec.gov/Archives/edgar/data/1508655/000119312519173659/d724881d8k.htm" TargetMode="External"/><Relationship Id="rId21" Type="http://schemas.openxmlformats.org/officeDocument/2006/relationships/hyperlink" Target="http://www.sec.gov/Archives/edgar/data/1508655/000119312519244854/d794786d8k.htm" TargetMode="External"/><Relationship Id="rId208" Type="http://schemas.openxmlformats.org/officeDocument/2006/relationships/hyperlink" Target="http://www.sec.gov/Archives/edgar/data/1508655/000119312519025867/d642257d8k.htm" TargetMode="External"/><Relationship Id="rId209" Type="http://schemas.openxmlformats.org/officeDocument/2006/relationships/hyperlink" Target="http://www.sec.gov/Archives/edgar/data/1508655/000119312519041197/d71069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2019-12-04T22:28:57Z</dcterms:created>
  <dcterms:modified xsi:type="dcterms:W3CDTF">2019-12-04T22:28:57Z</dcterms:modified>
</cp:coreProperties>
</file>