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50331.htm"/>
      <w:bookmarkStart w:id="1" w:name="kstslx20250331"/>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001-36364</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474" w:type="dxa"/>
        <w:jc w:val="left"/>
        <w:tblInd w:w="0" w:type="dxa"/>
        <w:tblLayout w:type="fixed"/>
        <w:tblCellMar>
          <w:top w:w="28" w:type="dxa"/>
          <w:left w:w="28" w:type="dxa"/>
          <w:bottom w:w="28" w:type="dxa"/>
          <w:right w:w="28" w:type="dxa"/>
        </w:tblCellMar>
      </w:tblPr>
      <w:tblGrid>
        <w:gridCol w:w="1666"/>
        <w:gridCol w:w="376"/>
        <w:gridCol w:w="207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number of shares of the registrant’s common stock, $.01 par value per share, outstanding at April 30, 2025 was 93,964,358.</w:t>
      </w:r>
    </w:p>
    <w:p>
      <w:pPr>
        <w:pStyle w:val="TextBody"/>
        <w:bidi w:val="0"/>
        <w:jc w:val="left"/>
        <w:rPr/>
      </w:pPr>
      <w:r>
        <w:rPr/>
        <w: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98"/>
        <w:gridCol w:w="146"/>
        <w:gridCol w:w="8498"/>
        <w:gridCol w:w="146"/>
        <w:gridCol w:w="617"/>
      </w:tblGrid>
      <w:tr>
        <w:trPr/>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March 31, 2025 (Unaudited)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three months ended March 31,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as of March 31, 2025 (Unaudited)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hanges_in_ne">
              <w:r>
                <w:rPr>
                  <w:rStyle w:val="InternetLink"/>
                  <w:rFonts w:ascii="Times New Roman" w:hAnsi="Times New Roman"/>
                  <w:color w:val="0000FF"/>
                  <w:sz w:val="20"/>
                  <w:u w:val="single"/>
                </w:rPr>
                <w:t>Consolidated Statements of Changes in Net Assets for the three months ended March 31,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_fo">
              <w:r>
                <w:rPr>
                  <w:rStyle w:val="InternetLink"/>
                  <w:rFonts w:ascii="Times New Roman" w:hAnsi="Times New Roman"/>
                  <w:color w:val="0000FF"/>
                  <w:sz w:val="20"/>
                  <w:u w:val="single"/>
                </w:rPr>
                <w:t>Consolidated Statements of Cash Flows for the three months ended March 31,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3_quantitative_disclosur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s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3_default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tcMar>
              <w:top w:w="0" w:type="dxa"/>
              <w:left w:w="0" w:type="dxa"/>
              <w:bottom w:w="0" w:type="dxa"/>
              <w:right w:w="0" w:type="dxa"/>
            </w:tcMar>
            <w:vAlign w:val="center"/>
          </w:tcPr>
          <w:p>
            <w:pPr>
              <w:pStyle w:val="TableContents"/>
              <w:bidi w:val="0"/>
              <w:spacing w:before="0" w:after="283"/>
              <w:jc w:val="left"/>
              <w:rPr/>
            </w:pPr>
            <w:hyperlink w:anchor="signature_page">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factors previously identified elsewhere in the reports and other documents Sixth Street Specialty Lending, Inc. (the "Company", "we", "us", or "our") has filed with the Securities and Exchange Commission, or SEC, the following factors, among others, could cause actual results to differ materially from forward-looking statements or historical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economic downturn, which could impair our portfolio companies’ abilities to continue to operate, and could lead to the loss of some or all of our investments in those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also impact availability and pricing of our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could negatively impact our business, including our ability to access the debt markets on favorable terms, or could negatively impact our portfolio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uncertainties and other factors we identify in the section entitled “Risk Factors” in this report, in our Annual Report on Form 10-K for the year ended December 31, 2024, filed with the SEC on February 13, 2025, and elsewhere in our filings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“TSLX” and “TAO” marks are marks of Sixth Street.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consolidated_balance_sheets"/>
      <w:bookmarkEnd w:id="3"/>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45"/>
        <w:gridCol w:w="146"/>
        <w:gridCol w:w="196"/>
        <w:gridCol w:w="826"/>
        <w:gridCol w:w="166"/>
        <w:gridCol w:w="146"/>
        <w:gridCol w:w="208"/>
        <w:gridCol w:w="879"/>
        <w:gridCol w:w="593"/>
      </w:tblGrid>
      <w:tr>
        <w:trPr/>
        <w:tc>
          <w:tcPr>
            <w:tcW w:w="7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non-affiliated investments (amortized cost of $3,352,041</w:t>
            </w:r>
            <w:r>
              <w:rPr>
                <w:rFonts w:ascii="Times New Roman" w:hAnsi="Times New Roman"/>
                <w:color w:val="000000"/>
                <w:sz w:val="20"/>
              </w:rPr>
              <w:t> </w:t>
            </w:r>
            <w:r>
              <w:rPr>
                <w:rFonts w:ascii="Times New Roman" w:hAnsi="Times New Roman"/>
                <w:color w:val="000000"/>
                <w:sz w:val="16"/>
              </w:rPr>
              <w:t>and $3,450,644,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3,453,317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Controlled, affiliated investments (amortized cost of $91,549</w:t>
            </w:r>
            <w:r>
              <w:rPr>
                <w:rFonts w:ascii="Times New Roman" w:hAnsi="Times New Roman"/>
                <w:color w:val="000000"/>
                <w:sz w:val="20"/>
              </w:rPr>
              <w:t> </w:t>
            </w:r>
            <w:r>
              <w:rPr>
                <w:rFonts w:ascii="Times New Roman" w:hAnsi="Times New Roman"/>
                <w:color w:val="000000"/>
                <w:sz w:val="16"/>
              </w:rPr>
              <w:t>and $88,509,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65,095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(amortized cost of $3,443,590</w:t>
            </w:r>
            <w:r>
              <w:rPr>
                <w:rFonts w:ascii="Times New Roman" w:hAnsi="Times New Roman"/>
                <w:color w:val="000000"/>
                <w:sz w:val="20"/>
              </w:rPr>
              <w:t> </w:t>
            </w:r>
            <w:r>
              <w:rPr>
                <w:rFonts w:ascii="Times New Roman" w:hAnsi="Times New Roman"/>
                <w:color w:val="000000"/>
                <w:sz w:val="16"/>
              </w:rPr>
              <w:t>and $3,539,153,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3,518,412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(restricted cash of $42,713</w:t>
            </w:r>
            <w:r>
              <w:rPr>
                <w:rFonts w:ascii="Times New Roman" w:hAnsi="Times New Roman"/>
                <w:color w:val="000000"/>
                <w:sz w:val="20"/>
              </w:rPr>
              <w:t> </w:t>
            </w:r>
            <w:r>
              <w:rPr>
                <w:rFonts w:ascii="Times New Roman" w:hAnsi="Times New Roman"/>
                <w:color w:val="000000"/>
                <w:sz w:val="16"/>
              </w:rPr>
              <w:t>and $22,362,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3,582,225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Debt (net of deferred financing costs of $29,646</w:t>
            </w:r>
            <w:r>
              <w:rPr>
                <w:rFonts w:ascii="Times New Roman" w:hAnsi="Times New Roman"/>
                <w:color w:val="000000"/>
                <w:sz w:val="20"/>
              </w:rPr>
              <w:t> </w:t>
            </w:r>
            <w:r>
              <w:rPr>
                <w:rFonts w:ascii="Times New Roman" w:hAnsi="Times New Roman"/>
                <w:color w:val="000000"/>
                <w:sz w:val="16"/>
              </w:rPr>
              <w:t>and $23,837,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1,901,142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1,974,696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shares</w:t>
              <w:br/>
              <w:t>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400,000,000</w:t>
            </w:r>
            <w:r>
              <w:rPr>
                <w:rFonts w:ascii="Times New Roman" w:hAnsi="Times New Roman"/>
                <w:color w:val="000000"/>
                <w:sz w:val="20"/>
              </w:rPr>
              <w:t> </w:t>
            </w:r>
            <w:r>
              <w:rPr>
                <w:rFonts w:ascii="Times New Roman" w:hAnsi="Times New Roman"/>
                <w:color w:val="000000"/>
                <w:sz w:val="16"/>
              </w:rPr>
              <w:t>shares authorized, 94,628,608</w:t>
              <w:br/>
              <w:t>   and 94,325,686</w:t>
            </w:r>
            <w:r>
              <w:rPr>
                <w:rFonts w:ascii="Times New Roman" w:hAnsi="Times New Roman"/>
                <w:color w:val="000000"/>
                <w:sz w:val="20"/>
              </w:rPr>
              <w:t> </w:t>
            </w:r>
            <w:r>
              <w:rPr>
                <w:rFonts w:ascii="Times New Roman" w:hAnsi="Times New Roman"/>
                <w:color w:val="000000"/>
                <w:sz w:val="16"/>
              </w:rPr>
              <w:t>shares issued, respectively; and 93,964,358</w:t>
            </w:r>
            <w:r>
              <w:rPr>
                <w:rFonts w:ascii="Times New Roman" w:hAnsi="Times New Roman"/>
                <w:color w:val="000000"/>
                <w:sz w:val="20"/>
              </w:rPr>
              <w:t> </w:t>
            </w:r>
            <w:r>
              <w:rPr>
                <w:rFonts w:ascii="Times New Roman" w:hAnsi="Times New Roman"/>
                <w:color w:val="000000"/>
                <w:sz w:val="16"/>
              </w:rPr>
              <w:t>and 93,661,436</w:t>
              <w:br/>
              <w:t>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1,519,337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Treasury stock at cost; 664,250</w:t>
            </w:r>
            <w:r>
              <w:rPr>
                <w:rFonts w:ascii="Times New Roman" w:hAnsi="Times New Roman"/>
                <w:color w:val="000000"/>
                <w:sz w:val="20"/>
              </w:rPr>
              <w:t> </w:t>
            </w:r>
            <w:r>
              <w:rPr>
                <w:rFonts w:ascii="Times New Roman" w:hAnsi="Times New Roman"/>
                <w:color w:val="000000"/>
                <w:sz w:val="16"/>
              </w:rPr>
              <w:t>and 664,250</w:t>
            </w:r>
            <w:r>
              <w:rPr>
                <w:rFonts w:ascii="Times New Roman" w:hAnsi="Times New Roman"/>
                <w:color w:val="000000"/>
                <w:sz w:val="20"/>
              </w:rPr>
              <w:t> </w:t>
            </w:r>
            <w:r>
              <w:rPr>
                <w:rFonts w:ascii="Times New Roman" w:hAnsi="Times New Roman"/>
                <w:color w:val="000000"/>
                <w:sz w:val="16"/>
              </w:rPr>
              <w:t>shares held,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1,607,529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3,582,225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statements_of_operations"/>
      <w:bookmarkEnd w:id="4"/>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580" w:type="dxa"/>
        <w:jc w:val="left"/>
        <w:tblInd w:w="0" w:type="dxa"/>
        <w:tblLayout w:type="fixed"/>
        <w:tblCellMar>
          <w:top w:w="28" w:type="dxa"/>
          <w:left w:w="28" w:type="dxa"/>
          <w:bottom w:w="28" w:type="dxa"/>
          <w:right w:w="28" w:type="dxa"/>
        </w:tblCellMar>
      </w:tblPr>
      <w:tblGrid>
        <w:gridCol w:w="5591"/>
        <w:gridCol w:w="146"/>
        <w:gridCol w:w="222"/>
        <w:gridCol w:w="1038"/>
        <w:gridCol w:w="166"/>
        <w:gridCol w:w="146"/>
        <w:gridCol w:w="222"/>
        <w:gridCol w:w="1038"/>
        <w:gridCol w:w="1011"/>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102,407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115,549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64,969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waived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53,212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of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93,669,671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89,032,381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5" w:name="consolidated_schedule_of_investments"/>
      <w:bookmarkEnd w:id="5"/>
      <w:r>
        <w:rPr>
          <w:rFonts w:ascii="Times New Roman" w:hAnsi="Times New Roman"/>
          <w:b/>
          <w:color w:val="000000"/>
          <w:sz w:val="20"/>
        </w:rPr>
        <w:t>Consolidated Schedule of Investments as of March 31, 2025</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83"/>
        <w:gridCol w:w="146"/>
        <w:gridCol w:w="1378"/>
        <w:gridCol w:w="146"/>
        <w:gridCol w:w="856"/>
        <w:gridCol w:w="146"/>
        <w:gridCol w:w="146"/>
        <w:gridCol w:w="853"/>
        <w:gridCol w:w="146"/>
        <w:gridCol w:w="146"/>
        <w:gridCol w:w="200"/>
        <w:gridCol w:w="619"/>
        <w:gridCol w:w="226"/>
        <w:gridCol w:w="146"/>
        <w:gridCol w:w="146"/>
        <w:gridCol w:w="181"/>
        <w:gridCol w:w="601"/>
        <w:gridCol w:w="146"/>
        <w:gridCol w:w="146"/>
        <w:gridCol w:w="146"/>
        <w:gridCol w:w="191"/>
        <w:gridCol w:w="635"/>
        <w:gridCol w:w="146"/>
        <w:gridCol w:w="146"/>
        <w:gridCol w:w="225"/>
        <w:gridCol w:w="582"/>
        <w:gridCol w:w="277"/>
      </w:tblGrid>
      <w:tr>
        <w:trPr/>
        <w:tc>
          <w:tcPr>
            <w:tcW w:w="1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 xml:space="preserve">Company </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Rate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Amortized</w:t>
              <w:br/>
              <w:t xml:space="preserve">Cost </w:t>
            </w:r>
            <w:r>
              <w:rPr>
                <w:rFonts w:ascii="Times New Roman" w:hAnsi="Times New Roman"/>
                <w:b/>
                <w:color w:val="000000"/>
                <w:sz w:val="1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Fair Value</w:t>
            </w:r>
            <w:r>
              <w:rPr>
                <w:rFonts w:ascii="Times New Roman" w:hAnsi="Times New Roman"/>
                <w:color w:val="000000"/>
                <w:sz w:val="15"/>
              </w:rPr>
              <w:t> </w:t>
            </w:r>
            <w:r>
              <w:rPr>
                <w:rFonts w:ascii="Times New Roman" w:hAnsi="Times New Roman"/>
                <w:b/>
                <w:color w:val="000000"/>
                <w:sz w:val="1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w:t>
              <w:br/>
              <w:t>of Net Assets</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Truck-Lite Co.,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($42,824</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($291</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Alpha Midco,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($69,618</w:t>
            </w:r>
            <w:r>
              <w:rPr>
                <w:rFonts w:ascii="Times New Roman" w:hAnsi="Times New Roman"/>
                <w:color w:val="000000"/>
                <w:sz w:val="20"/>
              </w:rPr>
              <w:t> </w:t>
            </w:r>
            <w:r>
              <w:rPr>
                <w:rFonts w:ascii="Times New Roman" w:hAnsi="Times New Roman"/>
                <w:color w:val="000000"/>
                <w:sz w:val="15"/>
              </w:rPr>
              <w:t>par, due 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Bidco, Inc.</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($38,732</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17,513</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18,918</w:t>
              <w:br/>
              <w:t> (EUR 17,513)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($1,334</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Azurite Intermediate Holdings,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($42,750</w:t>
            </w:r>
            <w:r>
              <w:rPr>
                <w:rFonts w:ascii="Times New Roman" w:hAnsi="Times New Roman"/>
                <w:color w:val="000000"/>
                <w:sz w:val="20"/>
              </w:rPr>
              <w:t> </w:t>
            </w:r>
            <w:r>
              <w:rPr>
                <w:rFonts w:ascii="Times New Roman" w:hAnsi="Times New Roman"/>
                <w:color w:val="000000"/>
                <w:sz w:val="15"/>
              </w:rPr>
              <w:t>par, due 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Ignition Purchaser,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holdco loan ($50,286</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11.79%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Crewline Buyer, Inc.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($58,384</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Dye &amp; Durham Corp.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($952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Elements Finco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($2,232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 (incl. 1.97%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($1,848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10,332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9.71%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13,437</w:t>
              <w:br/>
              <w:t> (GBP 10,410)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ExtraHop Networks,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($76,884</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ForeScout Technologies,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($5,583</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Galileo Parent,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($63,930</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($5,481</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Lynx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($1,441</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11.40% (incl. 5.61%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606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9.90%(incl. 5.61%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645</w:t>
              <w:br/>
              <w:t> (EUR 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Corporate Purchaser, Inc. </w:t>
            </w:r>
            <w:r>
              <w:rPr>
                <w:rFonts w:ascii="Times New Roman" w:hAnsi="Times New Roman"/>
                <w:color w:val="000000"/>
                <w:sz w:val="1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($325</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Price Fx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998</w:t>
              <w:br/>
              <w:t> (EUR 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988</w:t>
              <w:br/>
              <w:t> (EUR 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USA DeBusk,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($6,958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($611</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Wrangler TopCo,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($6,015</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460,495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Erling Lux Bidco SARL</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7,239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7,927</w:t>
              <w:br/>
              <w:t> (EUR 7,339)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19,592</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25,541</w:t>
              <w:br/>
              <w:t> (GBP 19,787)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(NOK 7,427</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 + 7.00%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w:t>
              <w:br/>
              <w:t> (NOK 7,501)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Aurelia Netherlands MidCo 2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32,904</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35,543</w:t>
              <w:br/>
              <w:t> (EUR 32,904)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Babylon Finco Limited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($1,557</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($25,196</w:t>
            </w:r>
            <w:r>
              <w:rPr>
                <w:rFonts w:ascii="Times New Roman" w:hAnsi="Times New Roman"/>
                <w:color w:val="000000"/>
                <w:sz w:val="20"/>
              </w:rPr>
              <w:t> </w:t>
            </w:r>
            <w:r>
              <w:rPr>
                <w:rFonts w:ascii="Times New Roman" w:hAnsi="Times New Roman"/>
                <w:color w:val="000000"/>
                <w:sz w:val="15"/>
              </w:rPr>
              <w:t>par, due 11/2026)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X Holdings Inc. </w:t>
            </w:r>
            <w:r>
              <w:rPr>
                <w:rFonts w:ascii="Times New Roman" w:hAnsi="Times New Roman"/>
                <w:color w:val="000000"/>
                <w:sz w:val="1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($9,410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2"/>
        <w:gridCol w:w="146"/>
        <w:gridCol w:w="1828"/>
        <w:gridCol w:w="146"/>
        <w:gridCol w:w="540"/>
        <w:gridCol w:w="146"/>
        <w:gridCol w:w="195"/>
        <w:gridCol w:w="866"/>
        <w:gridCol w:w="226"/>
        <w:gridCol w:w="146"/>
        <w:gridCol w:w="238"/>
        <w:gridCol w:w="736"/>
        <w:gridCol w:w="226"/>
        <w:gridCol w:w="146"/>
        <w:gridCol w:w="146"/>
        <w:gridCol w:w="146"/>
        <w:gridCol w:w="601"/>
        <w:gridCol w:w="146"/>
        <w:gridCol w:w="146"/>
        <w:gridCol w:w="146"/>
        <w:gridCol w:w="158"/>
        <w:gridCol w:w="651"/>
        <w:gridCol w:w="146"/>
        <w:gridCol w:w="146"/>
        <w:gridCol w:w="146"/>
        <w:gridCol w:w="376"/>
        <w:gridCol w:w="274"/>
      </w:tblGrid>
      <w:tr>
        <w:trPr/>
        <w:tc>
          <w:tcPr>
            <w:tcW w:w="1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70,482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71,663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Astra Acquisition Corp. </w:t>
            </w:r>
            <w:r>
              <w:rPr>
                <w:rFonts w:ascii="Times New Roman" w:hAnsi="Times New Roman"/>
                <w:color w:val="000000"/>
                <w:sz w:val="1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($40,302</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+ 10.14%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($56,216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($5,270</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Kangaroo Bidco AS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($30,625</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Severin Acquisition,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($15,306</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($283</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Sapphire Software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($27,164</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 (incl. 3.00%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Alaska Bidco Oy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w:t>
              <w:br/>
              <w:t> (EUR 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Arlberg Bidco LLC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 (incl. 2.50%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Bluebill Buyer,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($29,458</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BlueSnap,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($47,174</w:t>
            </w:r>
            <w:r>
              <w:rPr>
                <w:rFonts w:ascii="Times New Roman" w:hAnsi="Times New Roman"/>
                <w:color w:val="000000"/>
                <w:sz w:val="20"/>
              </w:rPr>
              <w:t> </w:t>
            </w:r>
            <w:r>
              <w:rPr>
                <w:rFonts w:ascii="Times New Roman" w:hAnsi="Times New Roman"/>
                <w:color w:val="000000"/>
                <w:sz w:val="15"/>
              </w:rPr>
              <w:t>par, due 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CLGF Holdco 2, LLC</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($3,916</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($3,357</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+ 12.00%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Fullsteam Operations, LLC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($39,394</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($2,811</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GreenShoot BidCo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5,107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5,457</w:t>
              <w:br/>
              <w:t> (EUR 5,052)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Intermediate Co.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($1,181</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US Blocker Co.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($18,895</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Passport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($24,995, par, due 7/2025)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Promissory Note A ($1,086</w:t>
            </w:r>
            <w:r>
              <w:rPr>
                <w:rFonts w:ascii="Times New Roman" w:hAnsi="Times New Roman"/>
                <w:color w:val="000000"/>
                <w:sz w:val="20"/>
              </w:rPr>
              <w:t> </w:t>
            </w:r>
            <w:r>
              <w:rPr>
                <w:rFonts w:ascii="Times New Roman" w:hAnsi="Times New Roman"/>
                <w:color w:val="000000"/>
                <w:sz w:val="15"/>
              </w:rPr>
              <w:t>par, due 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TradingScreen,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($55,386</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($1,232</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P + 5.25%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Volante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($3,199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Ace Purchaser,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($70,101</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($6,855</w:t>
            </w:r>
            <w:r>
              <w:rPr>
                <w:rFonts w:ascii="Times New Roman" w:hAnsi="Times New Roman"/>
                <w:color w:val="000000"/>
                <w:sz w:val="20"/>
              </w:rPr>
              <w:t> </w:t>
            </w:r>
            <w:r>
              <w:rPr>
                <w:rFonts w:ascii="Times New Roman" w:hAnsi="Times New Roman"/>
                <w:color w:val="000000"/>
                <w:sz w:val="15"/>
              </w:rPr>
              <w:t>par, due 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+ 10.70%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Edge Bidco B.V.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5,947</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6,555</w:t>
              <w:br/>
              <w:t> (EUR 6,068)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Eventus Buyer,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($25,900</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($1,867</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L.P.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($70,103</w:t>
            </w:r>
            <w:r>
              <w:rPr>
                <w:rFonts w:ascii="Times New Roman" w:hAnsi="Times New Roman"/>
                <w:color w:val="000000"/>
                <w:sz w:val="20"/>
              </w:rPr>
              <w:t> </w:t>
            </w:r>
            <w:r>
              <w:rPr>
                <w:rFonts w:ascii="Times New Roman" w:hAnsi="Times New Roman"/>
                <w:color w:val="000000"/>
                <w:sz w:val="15"/>
              </w:rPr>
              <w:t>par, due 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($18,087</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SL Buyer Corp.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($34,079</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ASG II,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($65,000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4"/>
        <w:gridCol w:w="146"/>
        <w:gridCol w:w="1717"/>
        <w:gridCol w:w="146"/>
        <w:gridCol w:w="538"/>
        <w:gridCol w:w="146"/>
        <w:gridCol w:w="146"/>
        <w:gridCol w:w="799"/>
        <w:gridCol w:w="226"/>
        <w:gridCol w:w="146"/>
        <w:gridCol w:w="237"/>
        <w:gridCol w:w="733"/>
        <w:gridCol w:w="226"/>
        <w:gridCol w:w="146"/>
        <w:gridCol w:w="146"/>
        <w:gridCol w:w="146"/>
        <w:gridCol w:w="601"/>
        <w:gridCol w:w="146"/>
        <w:gridCol w:w="146"/>
        <w:gridCol w:w="146"/>
        <w:gridCol w:w="163"/>
        <w:gridCol w:w="676"/>
        <w:gridCol w:w="146"/>
        <w:gridCol w:w="146"/>
        <w:gridCol w:w="146"/>
        <w:gridCol w:w="376"/>
        <w:gridCol w:w="275"/>
      </w:tblGrid>
      <w:tr>
        <w:trPr/>
        <w:tc>
          <w:tcPr>
            <w:tcW w:w="1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AVSC Holding Corp.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($45,167</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($387</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Equinox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First-lien loan ($50,102 par, due 3/2029)</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12.55%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($2,440</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($30,261</w:t>
            </w:r>
            <w:r>
              <w:rPr>
                <w:rFonts w:ascii="Times New Roman" w:hAnsi="Times New Roman"/>
                <w:color w:val="000000"/>
                <w:sz w:val="20"/>
              </w:rPr>
              <w:t> </w:t>
            </w:r>
            <w:r>
              <w:rPr>
                <w:rFonts w:ascii="Times New Roman" w:hAnsi="Times New Roman"/>
                <w:color w:val="000000"/>
                <w:sz w:val="15"/>
              </w:rPr>
              <w:t>par, due 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($41,012</w:t>
            </w:r>
            <w:r>
              <w:rPr>
                <w:rFonts w:ascii="Times New Roman" w:hAnsi="Times New Roman"/>
                <w:color w:val="000000"/>
                <w:sz w:val="20"/>
              </w:rPr>
              <w:t> </w:t>
            </w:r>
            <w:r>
              <w:rPr>
                <w:rFonts w:ascii="Times New Roman" w:hAnsi="Times New Roman"/>
                <w:color w:val="000000"/>
                <w:sz w:val="15"/>
              </w:rPr>
              <w:t>par, due 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QSR Acquisition Co.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($29,925</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Sport Alliance GmbH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4,509</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10.01% (incl. 3.88%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4,907</w:t>
              <w:br/>
              <w:t> (EUR 4,543)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208</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w:t>
              <w:br/>
              <w:t> (EUR 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($45,113</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bswift,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($44,798</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Elysian Finco Ltd.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($21,822</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(AUD 60,001</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B</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37,487</w:t>
              <w:br/>
              <w:t> (AUD 60,158)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HireVue, Inc.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($53,436</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($2,017</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Madcap Software, Inc.</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($32,094</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PayScale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($70,282</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PrimePay Intermediate,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($36,041</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344,862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Disco Parent,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($5,319</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 Buyer,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($34,856</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($41,014</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10.56% (incl. 3.38%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Coupa Holdings,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($42,867</w:t>
            </w:r>
            <w:r>
              <w:rPr>
                <w:rFonts w:ascii="Times New Roman" w:hAnsi="Times New Roman"/>
                <w:color w:val="000000"/>
                <w:sz w:val="20"/>
              </w:rPr>
              <w:t> </w:t>
            </w:r>
            <w:r>
              <w:rPr>
                <w:rFonts w:ascii="Times New Roman" w:hAnsi="Times New Roman"/>
                <w:color w:val="000000"/>
                <w:sz w:val="15"/>
              </w:rPr>
              <w:t>par, due 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CrunchTime Information, Systems,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($58,748</w:t>
            </w:r>
            <w:r>
              <w:rPr>
                <w:rFonts w:ascii="Times New Roman" w:hAnsi="Times New Roman"/>
                <w:color w:val="000000"/>
                <w:sz w:val="20"/>
              </w:rPr>
              <w:t> </w:t>
            </w:r>
            <w:r>
              <w:rPr>
                <w:rFonts w:ascii="Times New Roman" w:hAnsi="Times New Roman"/>
                <w:color w:val="000000"/>
                <w:sz w:val="15"/>
              </w:rPr>
              <w:t>par, due 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EDB Parent,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($71,651</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Flight Intermediate HoldCo,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($40,000</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Hippo XPA Bidco AB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(SEK 80,919</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STIBOR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8.59% (incl. 3.38%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8,031</w:t>
              <w:br/>
              <w:t> (SEK 80,670)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2,494</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8.73% (incl. 3.38%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2,687</w:t>
              <w:br/>
              <w:t> (EUR 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Kryptona BidCo US,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($20,080</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10.55% (incl. 3.38%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4,647</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8.73% (incl. 3.38%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4,995</w:t>
              <w:br/>
              <w:t> (EUR 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LeanTaaS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($58,171</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Lithium Technologies, LLC </w:t>
            </w:r>
            <w:r>
              <w:rPr>
                <w:rFonts w:ascii="Times New Roman" w:hAnsi="Times New Roman"/>
                <w:color w:val="000000"/>
                <w:sz w:val="1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($61,483</w:t>
            </w:r>
            <w:r>
              <w:rPr>
                <w:rFonts w:ascii="Times New Roman" w:hAnsi="Times New Roman"/>
                <w:color w:val="000000"/>
                <w:sz w:val="20"/>
              </w:rPr>
              <w:t> </w:t>
            </w:r>
            <w:r>
              <w:rPr>
                <w:rFonts w:ascii="Times New Roman" w:hAnsi="Times New Roman"/>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($9,607</w:t>
            </w:r>
            <w:r>
              <w:rPr>
                <w:rFonts w:ascii="Times New Roman" w:hAnsi="Times New Roman"/>
                <w:color w:val="000000"/>
                <w:sz w:val="20"/>
              </w:rPr>
              <w:t> </w:t>
            </w:r>
            <w:r>
              <w:rPr>
                <w:rFonts w:ascii="Times New Roman" w:hAnsi="Times New Roman"/>
                <w:color w:val="000000"/>
                <w:sz w:val="15"/>
              </w:rPr>
              <w:t>par, due 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 (incl. 3.5%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Merit Software Finance Holdings,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($43,214</w:t>
            </w:r>
            <w:r>
              <w:rPr>
                <w:rFonts w:ascii="Times New Roman" w:hAnsi="Times New Roman"/>
                <w:color w:val="000000"/>
                <w:sz w:val="20"/>
              </w:rPr>
              <w:t> </w:t>
            </w:r>
            <w:r>
              <w:rPr>
                <w:rFonts w:ascii="Times New Roman" w:hAnsi="Times New Roman"/>
                <w:color w:val="000000"/>
                <w:sz w:val="15"/>
              </w:rPr>
              <w:t>par, due 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9"/>
        <w:gridCol w:w="146"/>
        <w:gridCol w:w="1591"/>
        <w:gridCol w:w="146"/>
        <w:gridCol w:w="531"/>
        <w:gridCol w:w="146"/>
        <w:gridCol w:w="173"/>
        <w:gridCol w:w="885"/>
        <w:gridCol w:w="226"/>
        <w:gridCol w:w="146"/>
        <w:gridCol w:w="238"/>
        <w:gridCol w:w="736"/>
        <w:gridCol w:w="226"/>
        <w:gridCol w:w="146"/>
        <w:gridCol w:w="146"/>
        <w:gridCol w:w="146"/>
        <w:gridCol w:w="601"/>
        <w:gridCol w:w="146"/>
        <w:gridCol w:w="146"/>
        <w:gridCol w:w="146"/>
        <w:gridCol w:w="161"/>
        <w:gridCol w:w="668"/>
        <w:gridCol w:w="146"/>
        <w:gridCol w:w="146"/>
        <w:gridCol w:w="146"/>
        <w:gridCol w:w="376"/>
        <w:gridCol w:w="276"/>
      </w:tblGrid>
      <w:tr>
        <w:trPr/>
        <w:tc>
          <w:tcPr>
            <w:tcW w:w="1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SMA Technologies Holdings, LLC</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($53,991</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Aptean,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($8,987</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ASP Unifrax Holdings, Inc. </w:t>
            </w:r>
            <w:r>
              <w:rPr>
                <w:rFonts w:ascii="Times New Roman" w:hAnsi="Times New Roman"/>
                <w:color w:val="000000"/>
                <w:sz w:val="1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First-lien loan ($3,490 par, due 9/2029)</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12.05% (incl. 4.75%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($2,005</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 (incl. 1.25%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Heritage Environmental Services,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($12,253</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($1,329</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Skylark UK DebtCo Limited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($16,340</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4,851</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5,306</w:t>
              <w:br/>
              <w:t> (EUR 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22,186</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28,995</w:t>
              <w:br/>
              <w:t> (GBP 22,463)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643</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w:t>
              <w:br/>
              <w:t> (GBP 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Varinem German BidCo GMBH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12,696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13,897</w:t>
              <w:br/>
              <w:t> (EUR 12,865)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USR Parent,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($12,185</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Laramie Energy,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($27,317</w:t>
            </w:r>
            <w:r>
              <w:rPr>
                <w:rFonts w:ascii="Times New Roman" w:hAnsi="Times New Roman"/>
                <w:color w:val="000000"/>
                <w:sz w:val="20"/>
              </w:rPr>
              <w:t> </w:t>
            </w:r>
            <w:r>
              <w:rPr>
                <w:rFonts w:ascii="Times New Roman" w:hAnsi="Times New Roman"/>
                <w:color w:val="000000"/>
                <w:sz w:val="15"/>
              </w:rPr>
              <w:t>par, due 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Northwind Midstream Partners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($25,000</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($54,834</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Boréal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13,024</w:t>
            </w:r>
            <w:r>
              <w:rPr>
                <w:rFonts w:ascii="Times New Roman" w:hAnsi="Times New Roman"/>
                <w:color w:val="000000"/>
                <w:sz w:val="20"/>
              </w:rPr>
              <w:t> </w:t>
            </w:r>
            <w:r>
              <w:rPr>
                <w:rFonts w:ascii="Times New Roman" w:hAnsi="Times New Roman"/>
                <w:color w:val="000000"/>
                <w:sz w:val="15"/>
              </w:rPr>
              <w:t>par, due 3/2032)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9.61% (incl. 5.75%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13,724</w:t>
              <w:br/>
              <w:t> (EUR 12,705)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Omnigo Software,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($39,430</w:t>
            </w:r>
            <w:r>
              <w:rPr>
                <w:rFonts w:ascii="Times New Roman" w:hAnsi="Times New Roman"/>
                <w:color w:val="000000"/>
                <w:sz w:val="20"/>
              </w:rPr>
              <w:t> </w:t>
            </w:r>
            <w:r>
              <w:rPr>
                <w:rFonts w:ascii="Times New Roman" w:hAnsi="Times New Roman"/>
                <w:color w:val="000000"/>
                <w:sz w:val="15"/>
              </w:rPr>
              <w:t>par, due 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Scorpio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2,511</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2,688</w:t>
              <w:br/>
              <w:t> (EUR 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Sky Bidco S.p.A.</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6,368</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6,772</w:t>
              <w:br/>
              <w:t> (EUR 6,269)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($14,085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Apellis Pharmaceuticals,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($19,737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Arrowhead Pharmaceuticals, Inc.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($28,262</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17,985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18,893</w:t>
              <w:br/>
              <w:t> (EUR 17,490)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9,953</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12,526</w:t>
              <w:br/>
              <w:t> (GBP 9,704)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Cirrus (BidCo) Limited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683</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10.71% (incl. 3.00%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878</w:t>
              <w:br/>
              <w:t> (GBP 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Acosta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($9,975</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($26,816</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 (incl. 11.17%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($1,338</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+ 15.10%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19.42% (incl. 18.92%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7"/>
        <w:gridCol w:w="146"/>
        <w:gridCol w:w="1641"/>
        <w:gridCol w:w="146"/>
        <w:gridCol w:w="462"/>
        <w:gridCol w:w="146"/>
        <w:gridCol w:w="179"/>
        <w:gridCol w:w="795"/>
        <w:gridCol w:w="226"/>
        <w:gridCol w:w="146"/>
        <w:gridCol w:w="182"/>
        <w:gridCol w:w="563"/>
        <w:gridCol w:w="226"/>
        <w:gridCol w:w="146"/>
        <w:gridCol w:w="146"/>
        <w:gridCol w:w="146"/>
        <w:gridCol w:w="721"/>
        <w:gridCol w:w="146"/>
        <w:gridCol w:w="146"/>
        <w:gridCol w:w="146"/>
        <w:gridCol w:w="149"/>
        <w:gridCol w:w="739"/>
        <w:gridCol w:w="146"/>
        <w:gridCol w:w="146"/>
        <w:gridCol w:w="146"/>
        <w:gridCol w:w="451"/>
        <w:gridCol w:w="276"/>
      </w:tblGrid>
      <w:tr>
        <w:trPr/>
        <w:tc>
          <w:tcPr>
            <w:tcW w:w="1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Subordinated note ($4,740</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Bed Bath and Beyond Inc. </w:t>
            </w:r>
            <w:r>
              <w:rPr>
                <w:rFonts w:ascii="Times New Roman" w:hAnsi="Times New Roman"/>
                <w:color w:val="000000"/>
                <w:sz w:val="1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($8,745</w:t>
            </w:r>
            <w:r>
              <w:rPr>
                <w:rFonts w:ascii="Times New Roman" w:hAnsi="Times New Roman"/>
                <w:color w:val="000000"/>
                <w:sz w:val="20"/>
              </w:rPr>
              <w:t> </w:t>
            </w:r>
            <w:r>
              <w:rPr>
                <w:rFonts w:ascii="Times New Roman" w:hAnsi="Times New Roman"/>
                <w:color w:val="000000"/>
                <w:sz w:val="15"/>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Roll Up DIP term loan ($25,476</w:t>
            </w:r>
            <w:r>
              <w:rPr>
                <w:rFonts w:ascii="Times New Roman" w:hAnsi="Times New Roman"/>
                <w:color w:val="000000"/>
                <w:sz w:val="20"/>
              </w:rPr>
              <w:t> </w:t>
            </w:r>
            <w:r>
              <w:rPr>
                <w:rFonts w:ascii="Times New Roman" w:hAnsi="Times New Roman"/>
                <w:color w:val="000000"/>
                <w:sz w:val="15"/>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Super-Priority DIP term loan ($3,954</w:t>
            </w:r>
            <w:r>
              <w:rPr>
                <w:rFonts w:ascii="Times New Roman" w:hAnsi="Times New Roman"/>
                <w:color w:val="000000"/>
                <w:sz w:val="20"/>
              </w:rPr>
              <w:t> </w:t>
            </w:r>
            <w:r>
              <w:rPr>
                <w:rFonts w:ascii="Times New Roman" w:hAnsi="Times New Roman"/>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Belk,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($48,750</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Cordance Operations,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($61,934</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Hudson's Bay Company LLC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 Out Term Loan (CAD 31,597</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C</w:t>
            </w:r>
            <w:r>
              <w:rPr>
                <w:rFonts w:ascii="Times New Roman" w:hAnsi="Times New Roman"/>
                <w:color w:val="000000"/>
                <w:sz w:val="20"/>
              </w:rPr>
              <w:t> </w:t>
            </w:r>
            <w:r>
              <w:rPr>
                <w:rFonts w:ascii="Times New Roman" w:hAnsi="Times New Roman"/>
                <w:color w:val="000000"/>
                <w:sz w:val="15"/>
              </w:rPr>
              <w:t>+ 9.05%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21,859</w:t>
              <w:br/>
              <w:t> (CAD 31,461)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Neuintel,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($54,760</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PDI TA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($19,734</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($219</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Rapid Data GmbH Unternehmensberatung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7,435</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 (incl. 3.00%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8,079</w:t>
              <w:br/>
              <w:t> (EUR 7,479)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Tango Management Consulting,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($69,218</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($2,615</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 Nevis Midco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($3,635</w:t>
            </w:r>
            <w:r>
              <w:rPr>
                <w:rFonts w:ascii="Times New Roman" w:hAnsi="Times New Roman"/>
                <w:color w:val="000000"/>
                <w:sz w:val="20"/>
              </w:rPr>
              <w:t> </w:t>
            </w:r>
            <w:r>
              <w:rPr>
                <w:rFonts w:ascii="Times New Roman" w:hAnsi="Times New Roman"/>
                <w:color w:val="000000"/>
                <w:sz w:val="15"/>
              </w:rPr>
              <w:t>par, due 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Marcura Equities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($33,874</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1,083</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1,412</w:t>
              <w:br/>
              <w:t> (GBP 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($2,333</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Project44,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($54,756</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Rail Acquisitions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($25,408 par, due 1/2030)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($19,322</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Shiftmove GMBH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31,875</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33,581</w:t>
              <w:br/>
              <w:t> (EUR 31,087)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3,292,781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3,253,992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Clarience Technologies, LLC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(333</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Topco LP</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Preferred Units (2,117,264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Dye &amp; Durham, Ltd. </w:t>
            </w:r>
            <w:r>
              <w:rPr>
                <w:rFonts w:ascii="Times New Roman" w:hAnsi="Times New Roman"/>
                <w:color w:val="000000"/>
                <w:sz w:val="1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(126,968</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955</w:t>
              <w:br/>
              <w:t> (CAD 1,375)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Insight Hideaway Aggregator,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Interest (329,861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TA Aggregator,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(0.43%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Newark FP Co-Invest, L.P.</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(2,527,719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ReliaQuest, LLC </w:t>
            </w:r>
            <w:r>
              <w:rPr>
                <w:rFonts w:ascii="Times New Roman" w:hAnsi="Times New Roman"/>
                <w:color w:val="000000"/>
                <w:sz w:val="1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Class A-1 Units (637,713 units)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A-2 Units (10,611 units) </w:t>
            </w:r>
            <w:r>
              <w:rPr>
                <w:rFonts w:ascii="Times New Roman" w:hAnsi="Times New Roman"/>
                <w:color w:val="000000"/>
                <w:sz w:val="10"/>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A-3 Units (16,957 units)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Series A Preferred Stock (1,667 units)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+ 12.00%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Warrants (90,634 warrants)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Sprinklr, Inc. </w:t>
            </w:r>
            <w:r>
              <w:rPr>
                <w:rFonts w:ascii="Times New Roman" w:hAnsi="Times New Roman"/>
                <w:color w:val="000000"/>
                <w:sz w:val="1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(283,499</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Warrior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(423,729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5"/>
        <w:gridCol w:w="146"/>
        <w:gridCol w:w="2140"/>
        <w:gridCol w:w="146"/>
        <w:gridCol w:w="623"/>
        <w:gridCol w:w="146"/>
        <w:gridCol w:w="146"/>
        <w:gridCol w:w="451"/>
        <w:gridCol w:w="226"/>
        <w:gridCol w:w="146"/>
        <w:gridCol w:w="146"/>
        <w:gridCol w:w="451"/>
        <w:gridCol w:w="226"/>
        <w:gridCol w:w="146"/>
        <w:gridCol w:w="146"/>
        <w:gridCol w:w="146"/>
        <w:gridCol w:w="526"/>
        <w:gridCol w:w="146"/>
        <w:gridCol w:w="146"/>
        <w:gridCol w:w="146"/>
        <w:gridCol w:w="178"/>
        <w:gridCol w:w="645"/>
        <w:gridCol w:w="146"/>
        <w:gridCol w:w="146"/>
        <w:gridCol w:w="146"/>
        <w:gridCol w:w="301"/>
        <w:gridCol w:w="273"/>
      </w:tblGrid>
      <w:tr>
        <w:trPr/>
        <w:tc>
          <w:tcPr>
            <w:tcW w:w="1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(1,250,000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IntelePeer Holdings,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(1,816,295</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(1,598,874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Warrants (106,592</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Astra 2L Holdings II LLC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(10.17%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(5,522,526</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AF Eagle Parent, L.P.</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Units (121,329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CLGF Holdings, L.P.</w:t>
            </w:r>
            <w:r>
              <w:rPr>
                <w:rFonts w:ascii="Times New Roman" w:hAnsi="Times New Roman"/>
                <w:color w:val="000000"/>
                <w:sz w:val="1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(334,682</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Newport Parent Holdings,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A-2 Units (131,569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Oxford Square Capital Corp. </w:t>
            </w:r>
            <w:r>
              <w:rPr>
                <w:rFonts w:ascii="Times New Roman" w:hAnsi="Times New Roman"/>
                <w:color w:val="000000"/>
                <w:sz w:val="1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(1,620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Passport Labs,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(17,534</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TradingScreen, Inc. </w:t>
            </w:r>
            <w:r>
              <w:rPr>
                <w:rFonts w:ascii="Times New Roman" w:hAnsi="Times New Roman"/>
                <w:color w:val="000000"/>
                <w:sz w:val="1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 Units (600,000 units)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AA Units (19,093 units) </w:t>
            </w:r>
            <w:r>
              <w:rPr>
                <w:rFonts w:ascii="Times New Roman" w:hAnsi="Times New Roman"/>
                <w:color w:val="000000"/>
                <w:sz w:val="1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Caris Life Sciences,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(1,915,114</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(1,240,740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(633,376</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(569,991</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(989,691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Ordinary Shares (13,176</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(33,790,171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C-1 Units (8,800,000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(4)(11)(13)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(3,780,000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bswift,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(2,393,509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DaySmart Holdings, LLC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(166,811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E Preferred Shares (113,250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3,393</w:t>
              <w:br/>
              <w:t> (AUD 5,445)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Common Units (8,837,008</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2 Common Units (3,493,701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F Preferred Shares (199,054</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Piano Software,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C-1 Preferred Shares (418,527</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C-2 Preferred Shares (27,588</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SMA Technologies Holdings, LLC </w:t>
            </w:r>
            <w:r>
              <w:rPr>
                <w:rFonts w:ascii="Times New Roman" w:hAnsi="Times New Roman"/>
                <w:color w:val="000000"/>
                <w:sz w:val="10"/>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(1,584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(1,124,813</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Marketing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Validity,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 Preferred Shares (3,840,000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Murchison Oil and Gas, LLC </w:t>
            </w:r>
            <w:r>
              <w:rPr>
                <w:rFonts w:ascii="Times New Roman" w:hAnsi="Times New Roman"/>
                <w:color w:val="000000"/>
                <w:sz w:val="1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Preferred Units (13,355</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(1.89%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9"/>
        <w:gridCol w:w="146"/>
        <w:gridCol w:w="2529"/>
        <w:gridCol w:w="146"/>
        <w:gridCol w:w="671"/>
        <w:gridCol w:w="146"/>
        <w:gridCol w:w="146"/>
        <w:gridCol w:w="146"/>
        <w:gridCol w:w="146"/>
        <w:gridCol w:w="146"/>
        <w:gridCol w:w="146"/>
        <w:gridCol w:w="146"/>
        <w:gridCol w:w="181"/>
        <w:gridCol w:w="146"/>
        <w:gridCol w:w="721"/>
        <w:gridCol w:w="146"/>
        <w:gridCol w:w="146"/>
        <w:gridCol w:w="181"/>
        <w:gridCol w:w="152"/>
        <w:gridCol w:w="757"/>
        <w:gridCol w:w="146"/>
        <w:gridCol w:w="146"/>
        <w:gridCol w:w="146"/>
        <w:gridCol w:w="451"/>
        <w:gridCol w:w="303"/>
      </w:tblGrid>
      <w:tr>
        <w:trPr/>
        <w:tc>
          <w:tcPr>
            <w:tcW w:w="2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3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TherapeuticsMD, Inc. </w:t>
            </w:r>
            <w:r>
              <w:rPr>
                <w:rFonts w:ascii="Times New Roman" w:hAnsi="Times New Roman"/>
                <w:color w:val="000000"/>
                <w:sz w:val="1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(14,256</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(4)(11)(12)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Preference Shares (4,976,563</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6,424</w:t>
              <w:br/>
              <w:t> (GBP 4,977)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(687</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Copper Bidco, LLC </w:t>
            </w: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Trust Certificates (996,958</w:t>
            </w:r>
            <w:r>
              <w:rPr>
                <w:rFonts w:ascii="Times New Roman" w:hAnsi="Times New Roman"/>
                <w:color w:val="000000"/>
                <w:sz w:val="20"/>
              </w:rPr>
              <w:t> </w:t>
            </w:r>
            <w:r>
              <w:rPr>
                <w:rFonts w:ascii="Times New Roman" w:hAnsi="Times New Roman"/>
                <w:color w:val="000000"/>
                <w:sz w:val="15"/>
              </w:rPr>
              <w:t>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Neuintel, LLC </w:t>
            </w:r>
            <w:r>
              <w:rPr>
                <w:rFonts w:ascii="Times New Roman" w:hAnsi="Times New Roman"/>
                <w:color w:val="000000"/>
                <w:sz w:val="1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(1,176,494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RailTrac Holdings Inc. </w:t>
            </w:r>
            <w:r>
              <w:rPr>
                <w:rFonts w:ascii="Times New Roman" w:hAnsi="Times New Roman"/>
                <w:color w:val="000000"/>
                <w:sz w:val="10"/>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(3,059</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3,443,590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3,412,032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213.1</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3"/>
        <w:gridCol w:w="146"/>
        <w:gridCol w:w="811"/>
        <w:gridCol w:w="146"/>
        <w:gridCol w:w="970"/>
        <w:gridCol w:w="146"/>
        <w:gridCol w:w="954"/>
        <w:gridCol w:w="146"/>
        <w:gridCol w:w="196"/>
        <w:gridCol w:w="826"/>
        <w:gridCol w:w="146"/>
        <w:gridCol w:w="146"/>
        <w:gridCol w:w="196"/>
        <w:gridCol w:w="661"/>
        <w:gridCol w:w="166"/>
        <w:gridCol w:w="146"/>
        <w:gridCol w:w="351"/>
        <w:gridCol w:w="622"/>
        <w:gridCol w:w="146"/>
        <w:gridCol w:w="146"/>
        <w:gridCol w:w="257"/>
        <w:gridCol w:w="794"/>
        <w:gridCol w:w="394"/>
      </w:tblGrid>
      <w:tr>
        <w:trPr/>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2"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March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Contains a variable rate structure. Bears interest at a rate determined by SOFR.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Certain portfolio company investments are subject to contractual restrictions on sales.</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Canadian Overnight Repo Rate Average ("CORRA" or "C")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March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16.6%</w:t>
      </w:r>
      <w:r>
        <w:rPr>
          <w:color w:val="000000"/>
        </w:rPr>
        <w:t xml:space="preserve"> </w:t>
      </w:r>
      <w:r>
        <w:rPr>
          <w:rFonts w:ascii="Times New Roman" w:hAnsi="Times New Roman"/>
          <w:color w:val="000000"/>
          <w:sz w:val="20"/>
        </w:rPr>
        <w:t>of total assets as of March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2025 in which the issuer was an Affiliated Person of and was deemed to Control a portfolio company are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three months ended March 31, 2025</w:t>
      </w:r>
    </w:p>
    <w:p>
      <w:pPr>
        <w:pStyle w:val="TextBody"/>
        <w:bidi w:val="0"/>
        <w:spacing w:before="40" w:after="283"/>
        <w:jc w:val="center"/>
        <w:rPr/>
      </w:pPr>
      <w:r>
        <w:rPr/>
        <w:t> </w:t>
      </w:r>
    </w:p>
    <w:tbl>
      <w:tblPr>
        <w:tblW w:w="10806" w:type="dxa"/>
        <w:jc w:val="left"/>
        <w:tblInd w:w="0" w:type="dxa"/>
        <w:tblLayout w:type="fixed"/>
        <w:tblCellMar>
          <w:top w:w="28" w:type="dxa"/>
          <w:left w:w="28" w:type="dxa"/>
          <w:bottom w:w="28" w:type="dxa"/>
          <w:right w:w="28" w:type="dxa"/>
        </w:tblCellMar>
      </w:tblPr>
      <w:tblGrid>
        <w:gridCol w:w="826"/>
        <w:gridCol w:w="146"/>
        <w:gridCol w:w="211"/>
        <w:gridCol w:w="676"/>
        <w:gridCol w:w="146"/>
        <w:gridCol w:w="146"/>
        <w:gridCol w:w="214"/>
        <w:gridCol w:w="582"/>
        <w:gridCol w:w="146"/>
        <w:gridCol w:w="146"/>
        <w:gridCol w:w="341"/>
        <w:gridCol w:w="560"/>
        <w:gridCol w:w="146"/>
        <w:gridCol w:w="146"/>
        <w:gridCol w:w="222"/>
        <w:gridCol w:w="664"/>
        <w:gridCol w:w="166"/>
        <w:gridCol w:w="146"/>
        <w:gridCol w:w="273"/>
        <w:gridCol w:w="448"/>
        <w:gridCol w:w="146"/>
        <w:gridCol w:w="146"/>
        <w:gridCol w:w="301"/>
        <w:gridCol w:w="495"/>
        <w:gridCol w:w="146"/>
        <w:gridCol w:w="146"/>
        <w:gridCol w:w="211"/>
        <w:gridCol w:w="676"/>
        <w:gridCol w:w="146"/>
        <w:gridCol w:w="146"/>
        <w:gridCol w:w="315"/>
        <w:gridCol w:w="316"/>
        <w:gridCol w:w="146"/>
        <w:gridCol w:w="146"/>
        <w:gridCol w:w="211"/>
        <w:gridCol w:w="57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March 31, 2025, the estimated cost basis of investments for U.S. federal tax purposes was $3,439,986</w:t>
      </w:r>
      <w:r>
        <w:rPr>
          <w:color w:val="000000"/>
        </w:rPr>
        <w:t xml:space="preserve"> </w:t>
      </w:r>
      <w:r>
        <w:rPr>
          <w:rFonts w:ascii="Times New Roman" w:hAnsi="Times New Roman"/>
          <w:color w:val="000000"/>
          <w:sz w:val="20"/>
        </w:rPr>
        <w:t>resulting in estimated gross unrealized gains and losses of $196,404</w:t>
      </w:r>
      <w:r>
        <w:rPr>
          <w:color w:val="000000"/>
        </w:rPr>
        <w:t xml:space="preserve"> </w:t>
      </w:r>
      <w:r>
        <w:rPr>
          <w:rFonts w:ascii="Times New Roman" w:hAnsi="Times New Roman"/>
          <w:color w:val="000000"/>
          <w:sz w:val="20"/>
        </w:rPr>
        <w:t>and $227,390,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pPr>
      <w:r>
        <w:rPr>
          <w:rFonts w:ascii="Times New Roman" w:hAnsi="Times New Roman"/>
          <w:color w:val="000000"/>
          <w:sz w:val="20"/>
        </w:rPr>
        <w:t>This investment is valued using observable inputs and is considered a Level 2 investment. See Note 6 for further information related to investments at fair value.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This investment is valued using observable inputs and is considered a Level 1 investment. See Note 6 for further information related to investments at fair value.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This investment is non-income producing.</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and may be deemed to be “restricted securities” under the Securities Act. As of March 31, 2025, the aggregate fair value of these securities is $9,775, or 0.6%</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pPr>
      <w:r>
        <w:rPr>
          <w:rFonts w:ascii="Times New Roman" w:hAnsi="Times New Roman"/>
          <w:color w:val="000000"/>
          <w:sz w:val="20"/>
        </w:rPr>
        <w:t>Ownership of equity investments may occur through a holding company or partnership.</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March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$14.2</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as of December 31, 2024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6"/>
        <w:gridCol w:w="146"/>
        <w:gridCol w:w="1653"/>
        <w:gridCol w:w="146"/>
        <w:gridCol w:w="916"/>
        <w:gridCol w:w="146"/>
        <w:gridCol w:w="1037"/>
        <w:gridCol w:w="146"/>
        <w:gridCol w:w="952"/>
        <w:gridCol w:w="146"/>
        <w:gridCol w:w="146"/>
        <w:gridCol w:w="871"/>
        <w:gridCol w:w="146"/>
        <w:gridCol w:w="146"/>
        <w:gridCol w:w="795"/>
        <w:gridCol w:w="146"/>
        <w:gridCol w:w="99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Company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Amortized</w:t>
              <w:br/>
              <w:t xml:space="preserve">Cost </w:t>
            </w:r>
            <w:r>
              <w:rPr>
                <w:rFonts w:ascii="Times New Roman" w:hAnsi="Times New Roman"/>
                <w:b/>
                <w:color w:val="000000"/>
                <w:sz w:val="11"/>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color w:val="000000"/>
                <w:sz w:val="16"/>
              </w:rPr>
              <w:t> </w:t>
            </w:r>
            <w:r>
              <w:rPr>
                <w:rFonts w:ascii="Times New Roman" w:hAnsi="Times New Roman"/>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Net Assets</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Truck-Lite Co., LLC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($40,134</w:t>
            </w:r>
            <w:r>
              <w:rPr>
                <w:rFonts w:ascii="Times New Roman" w:hAnsi="Times New Roman"/>
                <w:color w:val="000000"/>
                <w:sz w:val="20"/>
              </w:rPr>
              <w:t> </w:t>
            </w:r>
            <w:r>
              <w:rPr>
                <w:rFonts w:ascii="Times New Roman" w:hAnsi="Times New Roman"/>
                <w:color w:val="000000"/>
                <w:sz w:val="16"/>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Alpha Midco, Inc.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($69,624</w:t>
            </w:r>
            <w:r>
              <w:rPr>
                <w:rFonts w:ascii="Times New Roman" w:hAnsi="Times New Roman"/>
                <w:color w:val="000000"/>
                <w:sz w:val="20"/>
              </w:rPr>
              <w:t> </w:t>
            </w:r>
            <w:r>
              <w:rPr>
                <w:rFonts w:ascii="Times New Roman" w:hAnsi="Times New Roman"/>
                <w:color w:val="000000"/>
                <w:sz w:val="16"/>
              </w:rPr>
              <w:t>par, due 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Artisan Bidco, Inc.</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($38,830</w:t>
            </w:r>
            <w:r>
              <w:rPr>
                <w:rFonts w:ascii="Times New Roman" w:hAnsi="Times New Roman"/>
                <w:color w:val="000000"/>
                <w:sz w:val="20"/>
              </w:rPr>
              <w:t> </w:t>
            </w:r>
            <w:r>
              <w:rPr>
                <w:rFonts w:ascii="Times New Roman" w:hAnsi="Times New Roman"/>
                <w:color w:val="000000"/>
                <w:sz w:val="16"/>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17,558</w:t>
            </w:r>
            <w:r>
              <w:rPr>
                <w:rFonts w:ascii="Times New Roman" w:hAnsi="Times New Roman"/>
                <w:color w:val="000000"/>
                <w:sz w:val="20"/>
              </w:rPr>
              <w:t> </w:t>
            </w:r>
            <w:r>
              <w:rPr>
                <w:rFonts w:ascii="Times New Roman" w:hAnsi="Times New Roman"/>
                <w:color w:val="000000"/>
                <w:sz w:val="16"/>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18,181</w:t>
              <w:br/>
              <w:t> (EUR 17,558)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Azurite Intermediate Holdings,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($42,750</w:t>
            </w:r>
            <w:r>
              <w:rPr>
                <w:rFonts w:ascii="Times New Roman" w:hAnsi="Times New Roman"/>
                <w:color w:val="000000"/>
                <w:sz w:val="20"/>
              </w:rPr>
              <w:t> </w:t>
            </w:r>
            <w:r>
              <w:rPr>
                <w:rFonts w:ascii="Times New Roman" w:hAnsi="Times New Roman"/>
                <w:color w:val="000000"/>
                <w:sz w:val="16"/>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BCTO Ignition Purchaser, Inc.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holdco loan ($36,231</w:t>
            </w:r>
            <w:r>
              <w:rPr>
                <w:rFonts w:ascii="Times New Roman" w:hAnsi="Times New Roman"/>
                <w:color w:val="000000"/>
                <w:sz w:val="20"/>
              </w:rPr>
              <w:t> </w:t>
            </w:r>
            <w:r>
              <w:rPr>
                <w:rFonts w:ascii="Times New Roman" w:hAnsi="Times New Roman"/>
                <w:color w:val="000000"/>
                <w:sz w:val="16"/>
              </w:rPr>
              <w:t>par, due 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Crewline Buyer, Inc.</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($58,384</w:t>
            </w:r>
            <w:r>
              <w:rPr>
                <w:rFonts w:ascii="Times New Roman" w:hAnsi="Times New Roman"/>
                <w:color w:val="000000"/>
                <w:sz w:val="20"/>
              </w:rPr>
              <w:t> </w:t>
            </w:r>
            <w:r>
              <w:rPr>
                <w:rFonts w:ascii="Times New Roman" w:hAnsi="Times New Roman"/>
                <w:color w:val="000000"/>
                <w:sz w:val="16"/>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Dye &amp; Durham Corp. </w:t>
            </w:r>
            <w:r>
              <w:rPr>
                <w:rFonts w:ascii="Times New Roman" w:hAnsi="Times New Roman"/>
                <w:color w:val="000000"/>
                <w:sz w:val="11"/>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($955</w:t>
            </w:r>
            <w:r>
              <w:rPr>
                <w:rFonts w:ascii="Times New Roman" w:hAnsi="Times New Roman"/>
                <w:color w:val="000000"/>
                <w:sz w:val="20"/>
              </w:rPr>
              <w:t> </w:t>
            </w:r>
            <w:r>
              <w:rPr>
                <w:rFonts w:ascii="Times New Roman" w:hAnsi="Times New Roman"/>
                <w:color w:val="000000"/>
                <w:sz w:val="16"/>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Elements Finco Limited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($4,069</w:t>
            </w:r>
            <w:r>
              <w:rPr>
                <w:rFonts w:ascii="Times New Roman" w:hAnsi="Times New Roman"/>
                <w:color w:val="000000"/>
                <w:sz w:val="20"/>
              </w:rPr>
              <w:t> </w:t>
            </w:r>
            <w:r>
              <w:rPr>
                <w:rFonts w:ascii="Times New Roman" w:hAnsi="Times New Roman"/>
                <w:color w:val="000000"/>
                <w:sz w:val="16"/>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 (incl. 1.97%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(GBP 10,275</w:t>
            </w:r>
            <w:r>
              <w:rPr>
                <w:rFonts w:ascii="Times New Roman" w:hAnsi="Times New Roman"/>
                <w:color w:val="000000"/>
                <w:sz w:val="20"/>
              </w:rPr>
              <w:t> </w:t>
            </w:r>
            <w:r>
              <w:rPr>
                <w:rFonts w:ascii="Times New Roman" w:hAnsi="Times New Roman"/>
                <w:color w:val="000000"/>
                <w:sz w:val="16"/>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w:t>
            </w:r>
            <w:r>
              <w:rPr>
                <w:rFonts w:ascii="Times New Roman" w:hAnsi="Times New Roman"/>
                <w:color w:val="000000"/>
                <w:sz w:val="20"/>
              </w:rPr>
              <w:t> </w:t>
            </w:r>
            <w:r>
              <w:rPr>
                <w:rFonts w:ascii="Times New Roman" w:hAnsi="Times New Roman"/>
                <w:color w:val="000000"/>
                <w:sz w:val="16"/>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 (incl. 2.25%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12,869</w:t>
              <w:br/>
              <w:t> (GBP 10,275)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ExtraHop Networks, Inc.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($74,616</w:t>
            </w:r>
            <w:r>
              <w:rPr>
                <w:rFonts w:ascii="Times New Roman" w:hAnsi="Times New Roman"/>
                <w:color w:val="000000"/>
                <w:sz w:val="20"/>
              </w:rPr>
              <w:t> </w:t>
            </w:r>
            <w:r>
              <w:rPr>
                <w:rFonts w:ascii="Times New Roman" w:hAnsi="Times New Roman"/>
                <w:color w:val="000000"/>
                <w:sz w:val="16"/>
              </w:rPr>
              <w:t>par, due 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SOFR</w:t>
            </w:r>
            <w:r>
              <w:rPr>
                <w:rFonts w:ascii="Times New Roman" w:hAnsi="Times New Roman"/>
                <w:color w:val="000000"/>
                <w:sz w:val="20"/>
              </w:rPr>
              <w:t> </w:t>
            </w:r>
            <w:r>
              <w:rPr>
                <w:rFonts w:ascii="Times New Roman" w:hAnsi="Times New Roman"/>
                <w:color w:val="000000"/>
                <w:sz w:val="16"/>
              </w:rPr>
              <w:t>+ 7.60%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ForeScout Technologies, Inc.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($5,597</w:t>
            </w:r>
            <w:r>
              <w:rPr>
                <w:rFonts w:ascii="Times New Roman" w:hAnsi="Times New Roman"/>
                <w:color w:val="000000"/>
                <w:sz w:val="20"/>
              </w:rPr>
              <w:t> </w:t>
            </w:r>
            <w:r>
              <w:rPr>
                <w:rFonts w:ascii="Times New Roman" w:hAnsi="Times New Roman"/>
                <w:color w:val="000000"/>
                <w:sz w:val="16"/>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SOFR</w:t>
            </w:r>
            <w:r>
              <w:rPr>
                <w:rFonts w:ascii="Times New Roman" w:hAnsi="Times New Roman"/>
                <w:color w:val="000000"/>
                <w:sz w:val="20"/>
              </w:rPr>
              <w:t> </w:t>
            </w:r>
            <w:r>
              <w:rPr>
                <w:rFonts w:ascii="Times New Roman" w:hAnsi="Times New Roman"/>
                <w:color w:val="000000"/>
                <w:sz w:val="16"/>
              </w:rPr>
              <w:t>+ 5.00%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Galileo Parent,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($64,093</w:t>
            </w:r>
            <w:r>
              <w:rPr>
                <w:rFonts w:ascii="Times New Roman" w:hAnsi="Times New Roman"/>
                <w:color w:val="000000"/>
                <w:sz w:val="20"/>
              </w:rPr>
              <w:t> </w:t>
            </w:r>
            <w:r>
              <w:rPr>
                <w:rFonts w:ascii="Times New Roman" w:hAnsi="Times New Roman"/>
                <w:color w:val="000000"/>
                <w:sz w:val="16"/>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SOFR</w:t>
            </w:r>
            <w:r>
              <w:rPr>
                <w:rFonts w:ascii="Times New Roman" w:hAnsi="Times New Roman"/>
                <w:color w:val="000000"/>
                <w:sz w:val="20"/>
              </w:rPr>
              <w:t> </w:t>
            </w:r>
            <w:r>
              <w:rPr>
                <w:rFonts w:ascii="Times New Roman" w:hAnsi="Times New Roman"/>
                <w:color w:val="000000"/>
                <w:sz w:val="16"/>
              </w:rPr>
              <w:t>+ 5.75%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($4,615</w:t>
            </w:r>
            <w:r>
              <w:rPr>
                <w:rFonts w:ascii="Times New Roman" w:hAnsi="Times New Roman"/>
                <w:color w:val="000000"/>
                <w:sz w:val="20"/>
              </w:rPr>
              <w:t> </w:t>
            </w:r>
            <w:r>
              <w:rPr>
                <w:rFonts w:ascii="Times New Roman" w:hAnsi="Times New Roman"/>
                <w:color w:val="000000"/>
                <w:sz w:val="16"/>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Lynx BidCo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($1,421</w:t>
            </w:r>
            <w:r>
              <w:rPr>
                <w:rFonts w:ascii="Times New Roman" w:hAnsi="Times New Roman"/>
                <w:color w:val="000000"/>
                <w:sz w:val="20"/>
              </w:rPr>
              <w:t> </w:t>
            </w:r>
            <w:r>
              <w:rPr>
                <w:rFonts w:ascii="Times New Roman" w:hAnsi="Times New Roman"/>
                <w:color w:val="000000"/>
                <w:sz w:val="16"/>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 (incl. 5.61%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597</w:t>
            </w:r>
            <w:r>
              <w:rPr>
                <w:rFonts w:ascii="Times New Roman" w:hAnsi="Times New Roman"/>
                <w:color w:val="000000"/>
                <w:sz w:val="20"/>
              </w:rPr>
              <w:t> </w:t>
            </w:r>
            <w:r>
              <w:rPr>
                <w:rFonts w:ascii="Times New Roman" w:hAnsi="Times New Roman"/>
                <w:color w:val="000000"/>
                <w:sz w:val="16"/>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 (incl. 5.61%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br/>
              <w:t> (EUR 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Mitnick Corporate Purchaser, Inc. </w:t>
            </w:r>
            <w:r>
              <w:rPr>
                <w:rFonts w:ascii="Times New Roman" w:hAnsi="Times New Roman"/>
                <w:color w:val="000000"/>
                <w:sz w:val="11"/>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($326</w:t>
            </w:r>
            <w:r>
              <w:rPr>
                <w:rFonts w:ascii="Times New Roman" w:hAnsi="Times New Roman"/>
                <w:color w:val="000000"/>
                <w:sz w:val="20"/>
              </w:rPr>
              <w:t> </w:t>
            </w:r>
            <w:r>
              <w:rPr>
                <w:rFonts w:ascii="Times New Roman" w:hAnsi="Times New Roman"/>
                <w:color w:val="000000"/>
                <w:sz w:val="16"/>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Price Fx Inc.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910</w:t>
            </w:r>
            <w:r>
              <w:rPr>
                <w:rFonts w:ascii="Times New Roman" w:hAnsi="Times New Roman"/>
                <w:color w:val="000000"/>
                <w:sz w:val="20"/>
              </w:rPr>
              <w:t> </w:t>
            </w:r>
            <w:r>
              <w:rPr>
                <w:rFonts w:ascii="Times New Roman" w:hAnsi="Times New Roman"/>
                <w:color w:val="000000"/>
                <w:sz w:val="16"/>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br/>
              <w:t> (EUR 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910</w:t>
            </w:r>
            <w:r>
              <w:rPr>
                <w:rFonts w:ascii="Times New Roman" w:hAnsi="Times New Roman"/>
                <w:color w:val="000000"/>
                <w:sz w:val="20"/>
              </w:rPr>
              <w:t> </w:t>
            </w:r>
            <w:r>
              <w:rPr>
                <w:rFonts w:ascii="Times New Roman" w:hAnsi="Times New Roman"/>
                <w:color w:val="000000"/>
                <w:sz w:val="16"/>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br/>
              <w:t> (EUR 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USA DeBusk, LLC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($6,899</w:t>
            </w:r>
            <w:r>
              <w:rPr>
                <w:rFonts w:ascii="Times New Roman" w:hAnsi="Times New Roman"/>
                <w:color w:val="000000"/>
                <w:sz w:val="20"/>
              </w:rPr>
              <w:t> </w:t>
            </w:r>
            <w:r>
              <w:rPr>
                <w:rFonts w:ascii="Times New Roman" w:hAnsi="Times New Roman"/>
                <w:color w:val="000000"/>
                <w:sz w:val="16"/>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SOFR</w:t>
            </w:r>
            <w:r>
              <w:rPr>
                <w:rFonts w:ascii="Times New Roman" w:hAnsi="Times New Roman"/>
                <w:color w:val="000000"/>
                <w:sz w:val="20"/>
              </w:rPr>
              <w:t> </w:t>
            </w:r>
            <w:r>
              <w:rPr>
                <w:rFonts w:ascii="Times New Roman" w:hAnsi="Times New Roman"/>
                <w:color w:val="000000"/>
                <w:sz w:val="16"/>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($275</w:t>
            </w:r>
            <w:r>
              <w:rPr>
                <w:rFonts w:ascii="Times New Roman" w:hAnsi="Times New Roman"/>
                <w:color w:val="000000"/>
                <w:sz w:val="20"/>
              </w:rPr>
              <w:t> </w:t>
            </w:r>
            <w:r>
              <w:rPr>
                <w:rFonts w:ascii="Times New Roman" w:hAnsi="Times New Roman"/>
                <w:color w:val="000000"/>
                <w:sz w:val="16"/>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Wrangler TopCo, LLC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($5,484</w:t>
            </w:r>
            <w:r>
              <w:rPr>
                <w:rFonts w:ascii="Times New Roman" w:hAnsi="Times New Roman"/>
                <w:color w:val="000000"/>
                <w:sz w:val="20"/>
              </w:rPr>
              <w:t> </w:t>
            </w:r>
            <w:r>
              <w:rPr>
                <w:rFonts w:ascii="Times New Roman" w:hAnsi="Times New Roman"/>
                <w:color w:val="000000"/>
                <w:sz w:val="16"/>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Erling Lux Bidco SARL</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7,239</w:t>
            </w:r>
            <w:r>
              <w:rPr>
                <w:rFonts w:ascii="Times New Roman" w:hAnsi="Times New Roman"/>
                <w:color w:val="000000"/>
                <w:sz w:val="20"/>
              </w:rPr>
              <w:t> </w:t>
            </w:r>
            <w:r>
              <w:rPr>
                <w:rFonts w:ascii="Times New Roman" w:hAnsi="Times New Roman"/>
                <w:color w:val="000000"/>
                <w:sz w:val="16"/>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7,650</w:t>
              <w:br/>
              <w:t> (EUR 7,388)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(GBP 19,591</w:t>
            </w:r>
            <w:r>
              <w:rPr>
                <w:rFonts w:ascii="Times New Roman" w:hAnsi="Times New Roman"/>
                <w:color w:val="000000"/>
                <w:sz w:val="20"/>
              </w:rPr>
              <w:t> </w:t>
            </w:r>
            <w:r>
              <w:rPr>
                <w:rFonts w:ascii="Times New Roman" w:hAnsi="Times New Roman"/>
                <w:color w:val="000000"/>
                <w:sz w:val="16"/>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w:t>
            </w:r>
            <w:r>
              <w:rPr>
                <w:rFonts w:ascii="Times New Roman" w:hAnsi="Times New Roman"/>
                <w:color w:val="000000"/>
                <w:sz w:val="20"/>
              </w:rPr>
              <w:t> </w:t>
            </w:r>
            <w:r>
              <w:rPr>
                <w:rFonts w:ascii="Times New Roman" w:hAnsi="Times New Roman"/>
                <w:color w:val="000000"/>
                <w:sz w:val="16"/>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24,904</w:t>
              <w:br/>
              <w:t> (GBP 19,885)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(NOK 7,428</w:t>
            </w:r>
            <w:r>
              <w:rPr>
                <w:rFonts w:ascii="Times New Roman" w:hAnsi="Times New Roman"/>
                <w:color w:val="000000"/>
                <w:sz w:val="20"/>
              </w:rPr>
              <w:t> </w:t>
            </w:r>
            <w:r>
              <w:rPr>
                <w:rFonts w:ascii="Times New Roman" w:hAnsi="Times New Roman"/>
                <w:color w:val="000000"/>
                <w:sz w:val="16"/>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N</w:t>
            </w:r>
            <w:r>
              <w:rPr>
                <w:rFonts w:ascii="Times New Roman" w:hAnsi="Times New Roman"/>
                <w:color w:val="000000"/>
                <w:sz w:val="20"/>
              </w:rPr>
              <w:t> </w:t>
            </w:r>
            <w:r>
              <w:rPr>
                <w:rFonts w:ascii="Times New Roman" w:hAnsi="Times New Roman"/>
                <w:color w:val="000000"/>
                <w:sz w:val="16"/>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br/>
              <w:t> (NOK 7,538)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Aurelia Netherlands MidCo 2 B.V.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32,904</w:t>
            </w:r>
            <w:r>
              <w:rPr>
                <w:rFonts w:ascii="Times New Roman" w:hAnsi="Times New Roman"/>
                <w:color w:val="000000"/>
                <w:sz w:val="20"/>
              </w:rPr>
              <w:t> </w:t>
            </w:r>
            <w:r>
              <w:rPr>
                <w:rFonts w:ascii="Times New Roman" w:hAnsi="Times New Roman"/>
                <w:color w:val="000000"/>
                <w:sz w:val="16"/>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34,157</w:t>
              <w:br/>
              <w:t> (EUR 32,986)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Babylon Finco Limited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($1,557</w:t>
            </w:r>
            <w:r>
              <w:rPr>
                <w:rFonts w:ascii="Times New Roman" w:hAnsi="Times New Roman"/>
                <w:color w:val="000000"/>
                <w:sz w:val="20"/>
              </w:rPr>
              <w:t> </w:t>
            </w:r>
            <w:r>
              <w:rPr>
                <w:rFonts w:ascii="Times New Roman" w:hAnsi="Times New Roman"/>
                <w:color w:val="000000"/>
                <w:sz w:val="16"/>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Banyan Software Holdings, LLC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($39,386</w:t>
            </w:r>
            <w:r>
              <w:rPr>
                <w:rFonts w:ascii="Times New Roman" w:hAnsi="Times New Roman"/>
                <w:color w:val="000000"/>
                <w:sz w:val="20"/>
              </w:rPr>
              <w:t> </w:t>
            </w:r>
            <w:r>
              <w:rPr>
                <w:rFonts w:ascii="Times New Roman" w:hAnsi="Times New Roman"/>
                <w:color w:val="000000"/>
                <w:sz w:val="16"/>
              </w:rPr>
              <w:t>par, due 10/2026)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($16,045</w:t>
            </w:r>
            <w:r>
              <w:rPr>
                <w:rFonts w:ascii="Times New Roman" w:hAnsi="Times New Roman"/>
                <w:color w:val="000000"/>
                <w:sz w:val="20"/>
              </w:rPr>
              <w:t> </w:t>
            </w:r>
            <w:r>
              <w:rPr>
                <w:rFonts w:ascii="Times New Roman" w:hAnsi="Times New Roman"/>
                <w:color w:val="000000"/>
                <w:sz w:val="16"/>
              </w:rPr>
              <w:t>par, due 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Celtra Technologies, Inc.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($26,437</w:t>
            </w:r>
            <w:r>
              <w:rPr>
                <w:rFonts w:ascii="Times New Roman" w:hAnsi="Times New Roman"/>
                <w:color w:val="000000"/>
                <w:sz w:val="20"/>
              </w:rPr>
              <w:t> </w:t>
            </w:r>
            <w:r>
              <w:rPr>
                <w:rFonts w:ascii="Times New Roman" w:hAnsi="Times New Roman"/>
                <w:color w:val="000000"/>
                <w:sz w:val="16"/>
              </w:rPr>
              <w:t>par, due 11/2026)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9"/>
        <w:gridCol w:w="146"/>
        <w:gridCol w:w="2201"/>
        <w:gridCol w:w="146"/>
        <w:gridCol w:w="634"/>
        <w:gridCol w:w="146"/>
        <w:gridCol w:w="902"/>
        <w:gridCol w:w="146"/>
        <w:gridCol w:w="1089"/>
        <w:gridCol w:w="146"/>
        <w:gridCol w:w="146"/>
        <w:gridCol w:w="691"/>
        <w:gridCol w:w="146"/>
        <w:gridCol w:w="146"/>
        <w:gridCol w:w="825"/>
        <w:gridCol w:w="146"/>
        <w:gridCol w:w="520"/>
      </w:tblGrid>
      <w:tr>
        <w:trPr/>
        <w:tc>
          <w:tcPr>
            <w:tcW w:w="2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Astra Acquisition Corp. </w:t>
            </w:r>
            <w:r>
              <w:rPr>
                <w:rFonts w:ascii="Times New Roman" w:hAnsi="Times New Roman"/>
                <w:color w:val="000000"/>
                <w:sz w:val="11"/>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Second-lien loan ($40,302</w:t>
            </w:r>
            <w:r>
              <w:rPr>
                <w:rFonts w:ascii="Times New Roman" w:hAnsi="Times New Roman"/>
                <w:color w:val="000000"/>
                <w:sz w:val="20"/>
              </w:rPr>
              <w:t> </w:t>
            </w:r>
            <w:r>
              <w:rPr>
                <w:rFonts w:ascii="Times New Roman" w:hAnsi="Times New Roman"/>
                <w:color w:val="000000"/>
                <w:sz w:val="16"/>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Destiny Solutions Parent Holding Company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($58,950</w:t>
            </w:r>
            <w:r>
              <w:rPr>
                <w:rFonts w:ascii="Times New Roman" w:hAnsi="Times New Roman"/>
                <w:color w:val="000000"/>
                <w:sz w:val="20"/>
              </w:rPr>
              <w:t> </w:t>
            </w:r>
            <w:r>
              <w:rPr>
                <w:rFonts w:ascii="Times New Roman" w:hAnsi="Times New Roman"/>
                <w:color w:val="000000"/>
                <w:sz w:val="16"/>
              </w:rPr>
              <w:t>par, due 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EMS Linq,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($56,216</w:t>
            </w:r>
            <w:r>
              <w:rPr>
                <w:rFonts w:ascii="Times New Roman" w:hAnsi="Times New Roman"/>
                <w:color w:val="000000"/>
                <w:sz w:val="20"/>
              </w:rPr>
              <w:t> </w:t>
            </w:r>
            <w:r>
              <w:rPr>
                <w:rFonts w:ascii="Times New Roman" w:hAnsi="Times New Roman"/>
                <w:color w:val="000000"/>
                <w:sz w:val="16"/>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($4,216</w:t>
            </w:r>
            <w:r>
              <w:rPr>
                <w:rFonts w:ascii="Times New Roman" w:hAnsi="Times New Roman"/>
                <w:color w:val="000000"/>
                <w:sz w:val="20"/>
              </w:rPr>
              <w:t> </w:t>
            </w:r>
            <w:r>
              <w:rPr>
                <w:rFonts w:ascii="Times New Roman" w:hAnsi="Times New Roman"/>
                <w:color w:val="000000"/>
                <w:sz w:val="16"/>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Kangaroo Bidco AS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($30,625</w:t>
            </w:r>
            <w:r>
              <w:rPr>
                <w:rFonts w:ascii="Times New Roman" w:hAnsi="Times New Roman"/>
                <w:color w:val="000000"/>
                <w:sz w:val="20"/>
              </w:rPr>
              <w:t> </w:t>
            </w:r>
            <w:r>
              <w:rPr>
                <w:rFonts w:ascii="Times New Roman" w:hAnsi="Times New Roman"/>
                <w:color w:val="000000"/>
                <w:sz w:val="16"/>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Severin Acquisition, LLC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($15,046</w:t>
            </w:r>
            <w:r>
              <w:rPr>
                <w:rFonts w:ascii="Times New Roman" w:hAnsi="Times New Roman"/>
                <w:color w:val="000000"/>
                <w:sz w:val="20"/>
              </w:rPr>
              <w:t> </w:t>
            </w:r>
            <w:r>
              <w:rPr>
                <w:rFonts w:ascii="Times New Roman" w:hAnsi="Times New Roman"/>
                <w:color w:val="000000"/>
                <w:sz w:val="16"/>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 (incl. 2.25%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Sapphire Software Buyer,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($26,962</w:t>
            </w:r>
            <w:r>
              <w:rPr>
                <w:rFonts w:ascii="Times New Roman" w:hAnsi="Times New Roman"/>
                <w:color w:val="000000"/>
                <w:sz w:val="20"/>
              </w:rPr>
              <w:t> </w:t>
            </w:r>
            <w:r>
              <w:rPr>
                <w:rFonts w:ascii="Times New Roman" w:hAnsi="Times New Roman"/>
                <w:color w:val="000000"/>
                <w:sz w:val="16"/>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 (incl. 3.0%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Alaska Bidco Oy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727</w:t>
            </w:r>
            <w:r>
              <w:rPr>
                <w:rFonts w:ascii="Times New Roman" w:hAnsi="Times New Roman"/>
                <w:color w:val="000000"/>
                <w:sz w:val="20"/>
              </w:rPr>
              <w:t> </w:t>
            </w:r>
            <w:r>
              <w:rPr>
                <w:rFonts w:ascii="Times New Roman" w:hAnsi="Times New Roman"/>
                <w:color w:val="000000"/>
                <w:sz w:val="16"/>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br/>
              <w:t> (EUR 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BCTO Bluebill Buyer, Inc.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($29,532</w:t>
            </w:r>
            <w:r>
              <w:rPr>
                <w:rFonts w:ascii="Times New Roman" w:hAnsi="Times New Roman"/>
                <w:color w:val="000000"/>
                <w:sz w:val="20"/>
              </w:rPr>
              <w:t> </w:t>
            </w:r>
            <w:r>
              <w:rPr>
                <w:rFonts w:ascii="Times New Roman" w:hAnsi="Times New Roman"/>
                <w:color w:val="000000"/>
                <w:sz w:val="16"/>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BlueSnap, Inc.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($45,106</w:t>
            </w:r>
            <w:r>
              <w:rPr>
                <w:rFonts w:ascii="Times New Roman" w:hAnsi="Times New Roman"/>
                <w:color w:val="000000"/>
                <w:sz w:val="20"/>
              </w:rPr>
              <w:t> </w:t>
            </w:r>
            <w:r>
              <w:rPr>
                <w:rFonts w:ascii="Times New Roman" w:hAnsi="Times New Roman"/>
                <w:color w:val="000000"/>
                <w:sz w:val="16"/>
              </w:rPr>
              <w:t>par, due 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BTRS Holdings, Inc.</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($48,983</w:t>
            </w:r>
            <w:r>
              <w:rPr>
                <w:rFonts w:ascii="Times New Roman" w:hAnsi="Times New Roman"/>
                <w:color w:val="000000"/>
                <w:sz w:val="20"/>
              </w:rPr>
              <w:t> </w:t>
            </w:r>
            <w:r>
              <w:rPr>
                <w:rFonts w:ascii="Times New Roman" w:hAnsi="Times New Roman"/>
                <w:color w:val="000000"/>
                <w:sz w:val="16"/>
              </w:rPr>
              <w:t>par, due 12/2028)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($1,807</w:t>
            </w:r>
            <w:r>
              <w:rPr>
                <w:rFonts w:ascii="Times New Roman" w:hAnsi="Times New Roman"/>
                <w:color w:val="000000"/>
                <w:sz w:val="20"/>
              </w:rPr>
              <w:t> </w:t>
            </w:r>
            <w:r>
              <w:rPr>
                <w:rFonts w:ascii="Times New Roman" w:hAnsi="Times New Roman"/>
                <w:color w:val="000000"/>
                <w:sz w:val="16"/>
              </w:rPr>
              <w:t>par, due 12/2028)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CLGF Holdco 2, LLC</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($3,916</w:t>
            </w:r>
            <w:r>
              <w:rPr>
                <w:rFonts w:ascii="Times New Roman" w:hAnsi="Times New Roman"/>
                <w:color w:val="000000"/>
                <w:sz w:val="20"/>
              </w:rPr>
              <w:t> </w:t>
            </w:r>
            <w:r>
              <w:rPr>
                <w:rFonts w:ascii="Times New Roman" w:hAnsi="Times New Roman"/>
                <w:color w:val="000000"/>
                <w:sz w:val="16"/>
              </w:rPr>
              <w:t>par, due 11/2027)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Second-lien loan ($3,357</w:t>
            </w:r>
            <w:r>
              <w:rPr>
                <w:rFonts w:ascii="Times New Roman" w:hAnsi="Times New Roman"/>
                <w:color w:val="000000"/>
                <w:sz w:val="20"/>
              </w:rPr>
              <w:t> </w:t>
            </w:r>
            <w:r>
              <w:rPr>
                <w:rFonts w:ascii="Times New Roman" w:hAnsi="Times New Roman"/>
                <w:color w:val="000000"/>
                <w:sz w:val="16"/>
              </w:rPr>
              <w:t>par, due 11/2028)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Fullsteam Operations, LLC</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($40,048</w:t>
            </w:r>
            <w:r>
              <w:rPr>
                <w:rFonts w:ascii="Times New Roman" w:hAnsi="Times New Roman"/>
                <w:color w:val="000000"/>
                <w:sz w:val="20"/>
              </w:rPr>
              <w:t> </w:t>
            </w:r>
            <w:r>
              <w:rPr>
                <w:rFonts w:ascii="Times New Roman" w:hAnsi="Times New Roman"/>
                <w:color w:val="000000"/>
                <w:sz w:val="16"/>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GreenShoot BidCo B.V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5,107</w:t>
            </w:r>
            <w:r>
              <w:rPr>
                <w:rFonts w:ascii="Times New Roman" w:hAnsi="Times New Roman"/>
                <w:color w:val="000000"/>
                <w:sz w:val="20"/>
              </w:rPr>
              <w:t> </w:t>
            </w:r>
            <w:r>
              <w:rPr>
                <w:rFonts w:ascii="Times New Roman" w:hAnsi="Times New Roman"/>
                <w:color w:val="000000"/>
                <w:sz w:val="16"/>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5,246</w:t>
              <w:br/>
              <w:t> (EUR 5,066)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Ibis Intermediate Co.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($1,185</w:t>
            </w:r>
            <w:r>
              <w:rPr>
                <w:rFonts w:ascii="Times New Roman" w:hAnsi="Times New Roman"/>
                <w:color w:val="000000"/>
                <w:sz w:val="20"/>
              </w:rPr>
              <w:t> </w:t>
            </w:r>
            <w:r>
              <w:rPr>
                <w:rFonts w:ascii="Times New Roman" w:hAnsi="Times New Roman"/>
                <w:color w:val="000000"/>
                <w:sz w:val="16"/>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Ibis US Blocker Co.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($18,290</w:t>
            </w:r>
            <w:r>
              <w:rPr>
                <w:rFonts w:ascii="Times New Roman" w:hAnsi="Times New Roman"/>
                <w:color w:val="000000"/>
                <w:sz w:val="20"/>
              </w:rPr>
              <w:t> </w:t>
            </w:r>
            <w:r>
              <w:rPr>
                <w:rFonts w:ascii="Times New Roman" w:hAnsi="Times New Roman"/>
                <w:color w:val="000000"/>
                <w:sz w:val="16"/>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Passport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First-lien loan ($24,995, par, due 4/2026)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Convertible Promissory Note A ($1,086</w:t>
            </w:r>
            <w:r>
              <w:rPr>
                <w:rFonts w:ascii="Times New Roman" w:hAnsi="Times New Roman"/>
                <w:color w:val="000000"/>
                <w:sz w:val="20"/>
              </w:rPr>
              <w:t> </w:t>
            </w:r>
            <w:r>
              <w:rPr>
                <w:rFonts w:ascii="Times New Roman" w:hAnsi="Times New Roman"/>
                <w:color w:val="000000"/>
                <w:sz w:val="16"/>
              </w:rPr>
              <w:t>par, due</w:t>
            </w:r>
            <w:r>
              <w:rPr>
                <w:rFonts w:ascii="Times New Roman" w:hAnsi="Times New Roman"/>
                <w:color w:val="000000"/>
                <w:sz w:val="20"/>
              </w:rPr>
              <w:t xml:space="preserve"> </w:t>
            </w:r>
            <w:r>
              <w:rPr>
                <w:rFonts w:ascii="Times New Roman" w:hAnsi="Times New Roman"/>
                <w:color w:val="000000"/>
                <w:sz w:val="16"/>
              </w:rPr>
              <w:t>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TradingScreen, Inc.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($55,528</w:t>
            </w:r>
            <w:r>
              <w:rPr>
                <w:rFonts w:ascii="Times New Roman" w:hAnsi="Times New Roman"/>
                <w:color w:val="000000"/>
                <w:sz w:val="20"/>
              </w:rPr>
              <w:t> </w:t>
            </w:r>
            <w:r>
              <w:rPr>
                <w:rFonts w:ascii="Times New Roman" w:hAnsi="Times New Roman"/>
                <w:color w:val="000000"/>
                <w:sz w:val="16"/>
              </w:rPr>
              <w:t>par, due 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($899</w:t>
            </w:r>
            <w:r>
              <w:rPr>
                <w:rFonts w:ascii="Times New Roman" w:hAnsi="Times New Roman"/>
                <w:color w:val="000000"/>
                <w:sz w:val="20"/>
              </w:rPr>
              <w:t> </w:t>
            </w:r>
            <w:r>
              <w:rPr>
                <w:rFonts w:ascii="Times New Roman" w:hAnsi="Times New Roman"/>
                <w:color w:val="000000"/>
                <w:sz w:val="16"/>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P</w:t>
            </w:r>
            <w:r>
              <w:rPr>
                <w:rFonts w:ascii="Times New Roman" w:hAnsi="Times New Roman"/>
                <w:color w:val="000000"/>
                <w:sz w:val="20"/>
              </w:rPr>
              <w:t> </w:t>
            </w:r>
            <w:r>
              <w:rPr>
                <w:rFonts w:ascii="Times New Roman" w:hAnsi="Times New Roman"/>
                <w:color w:val="000000"/>
                <w:sz w:val="16"/>
              </w:rPr>
              <w:t>+ 5.25%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Volante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($3,072</w:t>
            </w:r>
            <w:r>
              <w:rPr>
                <w:rFonts w:ascii="Times New Roman" w:hAnsi="Times New Roman"/>
                <w:color w:val="000000"/>
                <w:sz w:val="20"/>
              </w:rPr>
              <w:t> </w:t>
            </w:r>
            <w:r>
              <w:rPr>
                <w:rFonts w:ascii="Times New Roman" w:hAnsi="Times New Roman"/>
                <w:color w:val="000000"/>
                <w:sz w:val="16"/>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BCTO Ace Purchaser,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($70,154</w:t>
            </w:r>
            <w:r>
              <w:rPr>
                <w:rFonts w:ascii="Times New Roman" w:hAnsi="Times New Roman"/>
                <w:color w:val="000000"/>
                <w:sz w:val="20"/>
              </w:rPr>
              <w:t> </w:t>
            </w:r>
            <w:r>
              <w:rPr>
                <w:rFonts w:ascii="Times New Roman" w:hAnsi="Times New Roman"/>
                <w:color w:val="000000"/>
                <w:sz w:val="16"/>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Second-lien loan ($6,596</w:t>
            </w:r>
            <w:r>
              <w:rPr>
                <w:rFonts w:ascii="Times New Roman" w:hAnsi="Times New Roman"/>
                <w:color w:val="000000"/>
                <w:sz w:val="20"/>
              </w:rPr>
              <w:t> </w:t>
            </w:r>
            <w:r>
              <w:rPr>
                <w:rFonts w:ascii="Times New Roman" w:hAnsi="Times New Roman"/>
                <w:color w:val="000000"/>
                <w:sz w:val="16"/>
              </w:rPr>
              <w:t>par, due 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+ 10.70%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Edge Bidco B.V. </w:t>
            </w:r>
            <w:r>
              <w:rPr>
                <w:rFonts w:ascii="Times New Roman" w:hAnsi="Times New Roman"/>
                <w:color w:val="000000"/>
                <w:sz w:val="11"/>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5,947</w:t>
            </w:r>
            <w:r>
              <w:rPr>
                <w:rFonts w:ascii="Times New Roman" w:hAnsi="Times New Roman"/>
                <w:color w:val="000000"/>
                <w:sz w:val="20"/>
              </w:rPr>
              <w:t> </w:t>
            </w:r>
            <w:r>
              <w:rPr>
                <w:rFonts w:ascii="Times New Roman" w:hAnsi="Times New Roman"/>
                <w:color w:val="000000"/>
                <w:sz w:val="16"/>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6,284</w:t>
              <w:br/>
              <w:t> (EUR 6,068)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Eventus Buyer, LLC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($25,900</w:t>
            </w:r>
            <w:r>
              <w:rPr>
                <w:rFonts w:ascii="Times New Roman" w:hAnsi="Times New Roman"/>
                <w:color w:val="000000"/>
                <w:sz w:val="20"/>
              </w:rPr>
              <w:t> </w:t>
            </w:r>
            <w:r>
              <w:rPr>
                <w:rFonts w:ascii="Times New Roman" w:hAnsi="Times New Roman"/>
                <w:color w:val="000000"/>
                <w:sz w:val="16"/>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($467</w:t>
            </w:r>
            <w:r>
              <w:rPr>
                <w:rFonts w:ascii="Times New Roman" w:hAnsi="Times New Roman"/>
                <w:color w:val="000000"/>
                <w:sz w:val="20"/>
              </w:rPr>
              <w:t> </w:t>
            </w:r>
            <w:r>
              <w:rPr>
                <w:rFonts w:ascii="Times New Roman" w:hAnsi="Times New Roman"/>
                <w:color w:val="000000"/>
                <w:sz w:val="16"/>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Merative L.P.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($70,103</w:t>
            </w:r>
            <w:r>
              <w:rPr>
                <w:rFonts w:ascii="Times New Roman" w:hAnsi="Times New Roman"/>
                <w:color w:val="000000"/>
                <w:sz w:val="20"/>
              </w:rPr>
              <w:t> </w:t>
            </w:r>
            <w:r>
              <w:rPr>
                <w:rFonts w:ascii="Times New Roman" w:hAnsi="Times New Roman"/>
                <w:color w:val="000000"/>
                <w:sz w:val="16"/>
              </w:rPr>
              <w:t>par, due 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Raptor US Buyer II Corp.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($18,133</w:t>
            </w:r>
            <w:r>
              <w:rPr>
                <w:rFonts w:ascii="Times New Roman" w:hAnsi="Times New Roman"/>
                <w:color w:val="000000"/>
                <w:sz w:val="20"/>
              </w:rPr>
              <w:t> </w:t>
            </w:r>
            <w:r>
              <w:rPr>
                <w:rFonts w:ascii="Times New Roman" w:hAnsi="Times New Roman"/>
                <w:color w:val="000000"/>
                <w:sz w:val="16"/>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SL Buyer Corp.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($33,416</w:t>
            </w:r>
            <w:r>
              <w:rPr>
                <w:rFonts w:ascii="Times New Roman" w:hAnsi="Times New Roman"/>
                <w:color w:val="000000"/>
                <w:sz w:val="20"/>
              </w:rPr>
              <w:t> </w:t>
            </w:r>
            <w:r>
              <w:rPr>
                <w:rFonts w:ascii="Times New Roman" w:hAnsi="Times New Roman"/>
                <w:color w:val="000000"/>
                <w:sz w:val="16"/>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r>
      <w:tr>
        <w:trPr/>
        <w:tc>
          <w:tcPr>
            <w:tcW w:w="2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ASG II, LLC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($65,000</w:t>
            </w:r>
            <w:r>
              <w:rPr>
                <w:rFonts w:ascii="Times New Roman" w:hAnsi="Times New Roman"/>
                <w:color w:val="000000"/>
                <w:sz w:val="20"/>
              </w:rPr>
              <w:t> </w:t>
            </w:r>
            <w:r>
              <w:rPr>
                <w:rFonts w:ascii="Times New Roman" w:hAnsi="Times New Roman"/>
                <w:color w:val="000000"/>
                <w:sz w:val="16"/>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9"/>
        <w:gridCol w:w="146"/>
        <w:gridCol w:w="2128"/>
        <w:gridCol w:w="146"/>
        <w:gridCol w:w="645"/>
        <w:gridCol w:w="146"/>
        <w:gridCol w:w="950"/>
        <w:gridCol w:w="146"/>
        <w:gridCol w:w="1153"/>
        <w:gridCol w:w="146"/>
        <w:gridCol w:w="146"/>
        <w:gridCol w:w="691"/>
        <w:gridCol w:w="146"/>
        <w:gridCol w:w="146"/>
        <w:gridCol w:w="882"/>
        <w:gridCol w:w="146"/>
        <w:gridCol w:w="523"/>
      </w:tblGrid>
      <w:tr>
        <w:trPr/>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AVSC Holding Corp.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($45,167</w:t>
            </w:r>
            <w:r>
              <w:rPr>
                <w:rFonts w:ascii="Times New Roman" w:hAnsi="Times New Roman"/>
                <w:color w:val="000000"/>
                <w:sz w:val="20"/>
              </w:rPr>
              <w:t> </w:t>
            </w:r>
            <w:r>
              <w:rPr>
                <w:rFonts w:ascii="Times New Roman" w:hAnsi="Times New Roman"/>
                <w:color w:val="000000"/>
                <w:sz w:val="16"/>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Equinox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First-lien loan ($49,590 par, due 3/2029)</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 (incl. 4.13%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Second-lien loan ($2,347</w:t>
            </w:r>
            <w:r>
              <w:rPr>
                <w:rFonts w:ascii="Times New Roman" w:hAnsi="Times New Roman"/>
                <w:color w:val="000000"/>
                <w:sz w:val="20"/>
              </w:rPr>
              <w:t> </w:t>
            </w:r>
            <w:r>
              <w:rPr>
                <w:rFonts w:ascii="Times New Roman" w:hAnsi="Times New Roman"/>
                <w:color w:val="000000"/>
                <w:sz w:val="16"/>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IRGSE Holding Corp. </w:t>
            </w:r>
            <w:r>
              <w:rPr>
                <w:rFonts w:ascii="Times New Roman" w:hAnsi="Times New Roman"/>
                <w:color w:val="000000"/>
                <w:sz w:val="11"/>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($30,261</w:t>
            </w:r>
            <w:r>
              <w:rPr>
                <w:rFonts w:ascii="Times New Roman" w:hAnsi="Times New Roman"/>
                <w:color w:val="000000"/>
                <w:sz w:val="20"/>
              </w:rPr>
              <w:t> </w:t>
            </w:r>
            <w:r>
              <w:rPr>
                <w:rFonts w:ascii="Times New Roman" w:hAnsi="Times New Roman"/>
                <w:color w:val="000000"/>
                <w:sz w:val="16"/>
              </w:rPr>
              <w:t>par, due 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($37,972</w:t>
            </w:r>
            <w:r>
              <w:rPr>
                <w:rFonts w:ascii="Times New Roman" w:hAnsi="Times New Roman"/>
                <w:color w:val="000000"/>
                <w:sz w:val="20"/>
              </w:rPr>
              <w:t> </w:t>
            </w:r>
            <w:r>
              <w:rPr>
                <w:rFonts w:ascii="Times New Roman" w:hAnsi="Times New Roman"/>
                <w:color w:val="000000"/>
                <w:sz w:val="16"/>
              </w:rPr>
              <w:t>par, due 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QSR Acquisition Co.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($30,000</w:t>
            </w:r>
            <w:r>
              <w:rPr>
                <w:rFonts w:ascii="Times New Roman" w:hAnsi="Times New Roman"/>
                <w:color w:val="000000"/>
                <w:sz w:val="20"/>
              </w:rPr>
              <w:t> </w:t>
            </w:r>
            <w:r>
              <w:rPr>
                <w:rFonts w:ascii="Times New Roman" w:hAnsi="Times New Roman"/>
                <w:color w:val="000000"/>
                <w:sz w:val="16"/>
              </w:rPr>
              <w:t>par, due 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Sport Alliance GmbH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4,494</w:t>
            </w:r>
            <w:r>
              <w:rPr>
                <w:rFonts w:ascii="Times New Roman" w:hAnsi="Times New Roman"/>
                <w:color w:val="000000"/>
                <w:sz w:val="20"/>
              </w:rPr>
              <w:t> </w:t>
            </w:r>
            <w:r>
              <w:rPr>
                <w:rFonts w:ascii="Times New Roman" w:hAnsi="Times New Roman"/>
                <w:color w:val="000000"/>
                <w:sz w:val="16"/>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 (incl. 3.88%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4,601</w:t>
              <w:br/>
              <w:t> (EUR 4,443)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Axonify, Inc. </w:t>
            </w:r>
            <w:r>
              <w:rPr>
                <w:rFonts w:ascii="Times New Roman" w:hAnsi="Times New Roman"/>
                <w:color w:val="000000"/>
                <w:sz w:val="11"/>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($44,419</w:t>
            </w:r>
            <w:r>
              <w:rPr>
                <w:rFonts w:ascii="Times New Roman" w:hAnsi="Times New Roman"/>
                <w:color w:val="000000"/>
                <w:sz w:val="20"/>
              </w:rPr>
              <w:t> </w:t>
            </w:r>
            <w:r>
              <w:rPr>
                <w:rFonts w:ascii="Times New Roman" w:hAnsi="Times New Roman"/>
                <w:color w:val="000000"/>
                <w:sz w:val="16"/>
              </w:rPr>
              <w:t>par, due 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bswift, LLC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($43,910</w:t>
            </w:r>
            <w:r>
              <w:rPr>
                <w:rFonts w:ascii="Times New Roman" w:hAnsi="Times New Roman"/>
                <w:color w:val="000000"/>
                <w:sz w:val="20"/>
              </w:rPr>
              <w:t> </w:t>
            </w:r>
            <w:r>
              <w:rPr>
                <w:rFonts w:ascii="Times New Roman" w:hAnsi="Times New Roman"/>
                <w:color w:val="000000"/>
                <w:sz w:val="16"/>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Elysian Finco Ltd. </w:t>
            </w:r>
            <w:r>
              <w:rPr>
                <w:rFonts w:ascii="Times New Roman" w:hAnsi="Times New Roman"/>
                <w:color w:val="000000"/>
                <w:sz w:val="11"/>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($21,899</w:t>
            </w:r>
            <w:r>
              <w:rPr>
                <w:rFonts w:ascii="Times New Roman" w:hAnsi="Times New Roman"/>
                <w:color w:val="000000"/>
                <w:sz w:val="20"/>
              </w:rPr>
              <w:t> </w:t>
            </w:r>
            <w:r>
              <w:rPr>
                <w:rFonts w:ascii="Times New Roman" w:hAnsi="Times New Roman"/>
                <w:color w:val="000000"/>
                <w:sz w:val="16"/>
              </w:rPr>
              <w:t>par, due 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(GBP 325</w:t>
            </w:r>
            <w:r>
              <w:rPr>
                <w:rFonts w:ascii="Times New Roman" w:hAnsi="Times New Roman"/>
                <w:color w:val="000000"/>
                <w:sz w:val="20"/>
              </w:rPr>
              <w:t> </w:t>
            </w:r>
            <w:r>
              <w:rPr>
                <w:rFonts w:ascii="Times New Roman" w:hAnsi="Times New Roman"/>
                <w:color w:val="000000"/>
                <w:sz w:val="16"/>
              </w:rPr>
              <w:t>par, due 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w:t>
            </w:r>
            <w:r>
              <w:rPr>
                <w:rFonts w:ascii="Times New Roman" w:hAnsi="Times New Roman"/>
                <w:color w:val="000000"/>
                <w:sz w:val="20"/>
              </w:rPr>
              <w:t> </w:t>
            </w:r>
            <w:r>
              <w:rPr>
                <w:rFonts w:ascii="Times New Roman" w:hAnsi="Times New Roman"/>
                <w:color w:val="000000"/>
                <w:sz w:val="16"/>
              </w:rPr>
              <w:t>+ 5.00%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br/>
              <w:t> (GBP 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Employment Hero Holdings Pty Ltd.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(AUD 60,000</w:t>
            </w:r>
            <w:r>
              <w:rPr>
                <w:rFonts w:ascii="Times New Roman" w:hAnsi="Times New Roman"/>
                <w:color w:val="000000"/>
                <w:sz w:val="20"/>
              </w:rPr>
              <w:t> </w:t>
            </w:r>
            <w:r>
              <w:rPr>
                <w:rFonts w:ascii="Times New Roman" w:hAnsi="Times New Roman"/>
                <w:color w:val="000000"/>
                <w:sz w:val="16"/>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B</w:t>
            </w:r>
            <w:r>
              <w:rPr>
                <w:rFonts w:ascii="Times New Roman" w:hAnsi="Times New Roman"/>
                <w:color w:val="000000"/>
                <w:sz w:val="20"/>
              </w:rPr>
              <w:t> </w:t>
            </w:r>
            <w:r>
              <w:rPr>
                <w:rFonts w:ascii="Times New Roman" w:hAnsi="Times New Roman"/>
                <w:color w:val="000000"/>
                <w:sz w:val="16"/>
              </w:rPr>
              <w:t>+ 6.25%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37,247</w:t>
              <w:br/>
              <w:t> (AUD 60,158)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HireVue, Inc.</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($53,572</w:t>
            </w:r>
            <w:r>
              <w:rPr>
                <w:rFonts w:ascii="Times New Roman" w:hAnsi="Times New Roman"/>
                <w:color w:val="000000"/>
                <w:sz w:val="20"/>
              </w:rPr>
              <w:t> </w:t>
            </w:r>
            <w:r>
              <w:rPr>
                <w:rFonts w:ascii="Times New Roman" w:hAnsi="Times New Roman"/>
                <w:color w:val="000000"/>
                <w:sz w:val="16"/>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($4,378</w:t>
            </w:r>
            <w:r>
              <w:rPr>
                <w:rFonts w:ascii="Times New Roman" w:hAnsi="Times New Roman"/>
                <w:color w:val="000000"/>
                <w:sz w:val="20"/>
              </w:rPr>
              <w:t> </w:t>
            </w:r>
            <w:r>
              <w:rPr>
                <w:rFonts w:ascii="Times New Roman" w:hAnsi="Times New Roman"/>
                <w:color w:val="000000"/>
                <w:sz w:val="16"/>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Madcap Software, Inc.</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($32,175</w:t>
            </w:r>
            <w:r>
              <w:rPr>
                <w:rFonts w:ascii="Times New Roman" w:hAnsi="Times New Roman"/>
                <w:color w:val="000000"/>
                <w:sz w:val="20"/>
              </w:rPr>
              <w:t> </w:t>
            </w:r>
            <w:r>
              <w:rPr>
                <w:rFonts w:ascii="Times New Roman" w:hAnsi="Times New Roman"/>
                <w:color w:val="000000"/>
                <w:sz w:val="16"/>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PayScale Holdings, Inc.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($70,465</w:t>
            </w:r>
            <w:r>
              <w:rPr>
                <w:rFonts w:ascii="Times New Roman" w:hAnsi="Times New Roman"/>
                <w:color w:val="000000"/>
                <w:sz w:val="20"/>
              </w:rPr>
              <w:t> </w:t>
            </w:r>
            <w:r>
              <w:rPr>
                <w:rFonts w:ascii="Times New Roman" w:hAnsi="Times New Roman"/>
                <w:color w:val="000000"/>
                <w:sz w:val="16"/>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PrimePay Intermediate, LLC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($34,025</w:t>
            </w:r>
            <w:r>
              <w:rPr>
                <w:rFonts w:ascii="Times New Roman" w:hAnsi="Times New Roman"/>
                <w:color w:val="000000"/>
                <w:sz w:val="20"/>
              </w:rPr>
              <w:t> </w:t>
            </w:r>
            <w:r>
              <w:rPr>
                <w:rFonts w:ascii="Times New Roman" w:hAnsi="Times New Roman"/>
                <w:color w:val="000000"/>
                <w:sz w:val="16"/>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Disco Parent,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($5,319</w:t>
            </w:r>
            <w:r>
              <w:rPr>
                <w:rFonts w:ascii="Times New Roman" w:hAnsi="Times New Roman"/>
                <w:color w:val="000000"/>
                <w:sz w:val="20"/>
              </w:rPr>
              <w:t> </w:t>
            </w:r>
            <w:r>
              <w:rPr>
                <w:rFonts w:ascii="Times New Roman" w:hAnsi="Times New Roman"/>
                <w:color w:val="000000"/>
                <w:sz w:val="16"/>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Arrow Buyer,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($34,944</w:t>
            </w:r>
            <w:r>
              <w:rPr>
                <w:rFonts w:ascii="Times New Roman" w:hAnsi="Times New Roman"/>
                <w:color w:val="000000"/>
                <w:sz w:val="20"/>
              </w:rPr>
              <w:t> </w:t>
            </w:r>
            <w:r>
              <w:rPr>
                <w:rFonts w:ascii="Times New Roman" w:hAnsi="Times New Roman"/>
                <w:color w:val="000000"/>
                <w:sz w:val="16"/>
              </w:rPr>
              <w:t>par, due 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Bayshore Intermediate #2, L.P.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($40,663</w:t>
            </w:r>
            <w:r>
              <w:rPr>
                <w:rFonts w:ascii="Times New Roman" w:hAnsi="Times New Roman"/>
                <w:color w:val="000000"/>
                <w:sz w:val="20"/>
              </w:rPr>
              <w:t> </w:t>
            </w:r>
            <w:r>
              <w:rPr>
                <w:rFonts w:ascii="Times New Roman" w:hAnsi="Times New Roman"/>
                <w:color w:val="000000"/>
                <w:sz w:val="16"/>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 (incl. 3.38%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Coupa Holdings, LLC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($42,975</w:t>
            </w:r>
            <w:r>
              <w:rPr>
                <w:rFonts w:ascii="Times New Roman" w:hAnsi="Times New Roman"/>
                <w:color w:val="000000"/>
                <w:sz w:val="20"/>
              </w:rPr>
              <w:t> </w:t>
            </w:r>
            <w:r>
              <w:rPr>
                <w:rFonts w:ascii="Times New Roman" w:hAnsi="Times New Roman"/>
                <w:color w:val="000000"/>
                <w:sz w:val="16"/>
              </w:rPr>
              <w:t>par, due 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CrunchTime Information, Systems, Inc.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($58,898</w:t>
            </w:r>
            <w:r>
              <w:rPr>
                <w:rFonts w:ascii="Times New Roman" w:hAnsi="Times New Roman"/>
                <w:color w:val="000000"/>
                <w:sz w:val="20"/>
              </w:rPr>
              <w:t> </w:t>
            </w:r>
            <w:r>
              <w:rPr>
                <w:rFonts w:ascii="Times New Roman" w:hAnsi="Times New Roman"/>
                <w:color w:val="000000"/>
                <w:sz w:val="16"/>
              </w:rPr>
              <w:t>par, due 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EDB Parent, LLC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($69,873</w:t>
            </w:r>
            <w:r>
              <w:rPr>
                <w:rFonts w:ascii="Times New Roman" w:hAnsi="Times New Roman"/>
                <w:color w:val="000000"/>
                <w:sz w:val="20"/>
              </w:rPr>
              <w:t> </w:t>
            </w:r>
            <w:r>
              <w:rPr>
                <w:rFonts w:ascii="Times New Roman" w:hAnsi="Times New Roman"/>
                <w:color w:val="000000"/>
                <w:sz w:val="16"/>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Flight Intermediate HoldCo,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($40,000</w:t>
            </w:r>
            <w:r>
              <w:rPr>
                <w:rFonts w:ascii="Times New Roman" w:hAnsi="Times New Roman"/>
                <w:color w:val="000000"/>
                <w:sz w:val="20"/>
              </w:rPr>
              <w:t> </w:t>
            </w:r>
            <w:r>
              <w:rPr>
                <w:rFonts w:ascii="Times New Roman" w:hAnsi="Times New Roman"/>
                <w:color w:val="000000"/>
                <w:sz w:val="16"/>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Higher Logic, LLC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($50,054</w:t>
            </w:r>
            <w:r>
              <w:rPr>
                <w:rFonts w:ascii="Times New Roman" w:hAnsi="Times New Roman"/>
                <w:color w:val="000000"/>
                <w:sz w:val="20"/>
              </w:rPr>
              <w:t> </w:t>
            </w:r>
            <w:r>
              <w:rPr>
                <w:rFonts w:ascii="Times New Roman" w:hAnsi="Times New Roman"/>
                <w:color w:val="000000"/>
                <w:sz w:val="16"/>
              </w:rPr>
              <w:t>par, due 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Hippo XPA Bidco AB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(SEK 80,225</w:t>
            </w:r>
            <w:r>
              <w:rPr>
                <w:rFonts w:ascii="Times New Roman" w:hAnsi="Times New Roman"/>
                <w:color w:val="000000"/>
                <w:sz w:val="20"/>
              </w:rPr>
              <w:t> </w:t>
            </w:r>
            <w:r>
              <w:rPr>
                <w:rFonts w:ascii="Times New Roman" w:hAnsi="Times New Roman"/>
                <w:color w:val="000000"/>
                <w:sz w:val="16"/>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STIBOR + 6.50%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 (incl. 3.50%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7,238</w:t>
              <w:br/>
              <w:t> (SEK 79,977)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2,472</w:t>
            </w:r>
            <w:r>
              <w:rPr>
                <w:rFonts w:ascii="Times New Roman" w:hAnsi="Times New Roman"/>
                <w:color w:val="000000"/>
                <w:sz w:val="20"/>
              </w:rPr>
              <w:t> </w:t>
            </w:r>
            <w:r>
              <w:rPr>
                <w:rFonts w:ascii="Times New Roman" w:hAnsi="Times New Roman"/>
                <w:color w:val="000000"/>
                <w:sz w:val="16"/>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 (incl. 3.50%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2,554</w:t>
              <w:br/>
              <w:t> (EUR 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Kryptona BidCo US, LLC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($19,912</w:t>
            </w:r>
            <w:r>
              <w:rPr>
                <w:rFonts w:ascii="Times New Roman" w:hAnsi="Times New Roman"/>
                <w:color w:val="000000"/>
                <w:sz w:val="20"/>
              </w:rPr>
              <w:t> </w:t>
            </w:r>
            <w:r>
              <w:rPr>
                <w:rFonts w:ascii="Times New Roman" w:hAnsi="Times New Roman"/>
                <w:color w:val="000000"/>
                <w:sz w:val="16"/>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4,608</w:t>
            </w:r>
            <w:r>
              <w:rPr>
                <w:rFonts w:ascii="Times New Roman" w:hAnsi="Times New Roman"/>
                <w:color w:val="000000"/>
                <w:sz w:val="20"/>
              </w:rPr>
              <w:t> </w:t>
            </w:r>
            <w:r>
              <w:rPr>
                <w:rFonts w:ascii="Times New Roman" w:hAnsi="Times New Roman"/>
                <w:color w:val="000000"/>
                <w:sz w:val="16"/>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4,688</w:t>
              <w:br/>
              <w:t> (EUR 4,527)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LeanTaaS Holdings, Inc.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($56,156</w:t>
            </w:r>
            <w:r>
              <w:rPr>
                <w:rFonts w:ascii="Times New Roman" w:hAnsi="Times New Roman"/>
                <w:color w:val="000000"/>
                <w:sz w:val="20"/>
              </w:rPr>
              <w:t> </w:t>
            </w:r>
            <w:r>
              <w:rPr>
                <w:rFonts w:ascii="Times New Roman" w:hAnsi="Times New Roman"/>
                <w:color w:val="000000"/>
                <w:sz w:val="16"/>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Lithium Technologies, LLC </w:t>
            </w:r>
            <w:r>
              <w:rPr>
                <w:rFonts w:ascii="Times New Roman" w:hAnsi="Times New Roman"/>
                <w:color w:val="000000"/>
                <w:sz w:val="11"/>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($61,483</w:t>
            </w:r>
            <w:r>
              <w:rPr>
                <w:rFonts w:ascii="Times New Roman" w:hAnsi="Times New Roman"/>
                <w:color w:val="000000"/>
                <w:sz w:val="20"/>
              </w:rPr>
              <w:t> </w:t>
            </w:r>
            <w:r>
              <w:rPr>
                <w:rFonts w:ascii="Times New Roman" w:hAnsi="Times New Roman"/>
                <w:color w:val="000000"/>
                <w:sz w:val="16"/>
              </w:rPr>
              <w:t>par, due 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Lucidworks, Inc.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($9,477</w:t>
            </w:r>
            <w:r>
              <w:rPr>
                <w:rFonts w:ascii="Times New Roman" w:hAnsi="Times New Roman"/>
                <w:color w:val="000000"/>
                <w:sz w:val="20"/>
              </w:rPr>
              <w:t> </w:t>
            </w:r>
            <w:r>
              <w:rPr>
                <w:rFonts w:ascii="Times New Roman" w:hAnsi="Times New Roman"/>
                <w:color w:val="000000"/>
                <w:sz w:val="16"/>
              </w:rPr>
              <w:t>par, due 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 (incl. 3.5%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2"/>
        <w:gridCol w:w="146"/>
        <w:gridCol w:w="1976"/>
        <w:gridCol w:w="146"/>
        <w:gridCol w:w="636"/>
        <w:gridCol w:w="146"/>
        <w:gridCol w:w="1091"/>
        <w:gridCol w:w="146"/>
        <w:gridCol w:w="1163"/>
        <w:gridCol w:w="146"/>
        <w:gridCol w:w="146"/>
        <w:gridCol w:w="691"/>
        <w:gridCol w:w="146"/>
        <w:gridCol w:w="146"/>
        <w:gridCol w:w="861"/>
        <w:gridCol w:w="146"/>
        <w:gridCol w:w="521"/>
      </w:tblGrid>
      <w:tr>
        <w:trPr/>
        <w:tc>
          <w:tcPr>
            <w:tcW w:w="1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Merit Software Finance Holdings, LLC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($43,214</w:t>
            </w:r>
            <w:r>
              <w:rPr>
                <w:rFonts w:ascii="Times New Roman" w:hAnsi="Times New Roman"/>
                <w:color w:val="000000"/>
                <w:sz w:val="20"/>
              </w:rPr>
              <w:t> </w:t>
            </w:r>
            <w:r>
              <w:rPr>
                <w:rFonts w:ascii="Times New Roman" w:hAnsi="Times New Roman"/>
                <w:color w:val="000000"/>
                <w:sz w:val="16"/>
              </w:rPr>
              <w:t>par, due 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SMA Technologies Holdings, LLC</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($53,991</w:t>
            </w:r>
            <w:r>
              <w:rPr>
                <w:rFonts w:ascii="Times New Roman" w:hAnsi="Times New Roman"/>
                <w:color w:val="000000"/>
                <w:sz w:val="20"/>
              </w:rPr>
              <w:t> </w:t>
            </w:r>
            <w:r>
              <w:rPr>
                <w:rFonts w:ascii="Times New Roman" w:hAnsi="Times New Roman"/>
                <w:color w:val="000000"/>
                <w:sz w:val="16"/>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Aptean,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($8,835</w:t>
            </w:r>
            <w:r>
              <w:rPr>
                <w:rFonts w:ascii="Times New Roman" w:hAnsi="Times New Roman"/>
                <w:color w:val="000000"/>
                <w:sz w:val="20"/>
              </w:rPr>
              <w:t> </w:t>
            </w:r>
            <w:r>
              <w:rPr>
                <w:rFonts w:ascii="Times New Roman" w:hAnsi="Times New Roman"/>
                <w:color w:val="000000"/>
                <w:sz w:val="16"/>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ASP Unifrax Holdings, Inc. </w:t>
            </w: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First-lien loan ($3,449 par, due 9/2029)</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 (incl. 4.75%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Second-lien note ($1,999</w:t>
            </w:r>
            <w:r>
              <w:rPr>
                <w:rFonts w:ascii="Times New Roman" w:hAnsi="Times New Roman"/>
                <w:color w:val="000000"/>
                <w:sz w:val="20"/>
              </w:rPr>
              <w:t> </w:t>
            </w:r>
            <w:r>
              <w:rPr>
                <w:rFonts w:ascii="Times New Roman" w:hAnsi="Times New Roman"/>
                <w:color w:val="000000"/>
                <w:sz w:val="16"/>
              </w:rPr>
              <w:t>par, due 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 (incl. 1.25%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Avalara, Inc.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($38,636</w:t>
            </w:r>
            <w:r>
              <w:rPr>
                <w:rFonts w:ascii="Times New Roman" w:hAnsi="Times New Roman"/>
                <w:color w:val="000000"/>
                <w:sz w:val="20"/>
              </w:rPr>
              <w:t> </w:t>
            </w:r>
            <w:r>
              <w:rPr>
                <w:rFonts w:ascii="Times New Roman" w:hAnsi="Times New Roman"/>
                <w:color w:val="000000"/>
                <w:sz w:val="16"/>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Heritage Environmental Services,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($12,284</w:t>
            </w:r>
            <w:r>
              <w:rPr>
                <w:rFonts w:ascii="Times New Roman" w:hAnsi="Times New Roman"/>
                <w:color w:val="000000"/>
                <w:sz w:val="20"/>
              </w:rPr>
              <w:t> </w:t>
            </w:r>
            <w:r>
              <w:rPr>
                <w:rFonts w:ascii="Times New Roman" w:hAnsi="Times New Roman"/>
                <w:color w:val="000000"/>
                <w:sz w:val="16"/>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($1,329</w:t>
            </w:r>
            <w:r>
              <w:rPr>
                <w:rFonts w:ascii="Times New Roman" w:hAnsi="Times New Roman"/>
                <w:color w:val="000000"/>
                <w:sz w:val="20"/>
              </w:rPr>
              <w:t> </w:t>
            </w:r>
            <w:r>
              <w:rPr>
                <w:rFonts w:ascii="Times New Roman" w:hAnsi="Times New Roman"/>
                <w:color w:val="000000"/>
                <w:sz w:val="16"/>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Skylark UK DebtCo Limited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($16,340</w:t>
            </w:r>
            <w:r>
              <w:rPr>
                <w:rFonts w:ascii="Times New Roman" w:hAnsi="Times New Roman"/>
                <w:color w:val="000000"/>
                <w:sz w:val="20"/>
              </w:rPr>
              <w:t> </w:t>
            </w:r>
            <w:r>
              <w:rPr>
                <w:rFonts w:ascii="Times New Roman" w:hAnsi="Times New Roman"/>
                <w:color w:val="000000"/>
                <w:sz w:val="16"/>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4,851</w:t>
            </w:r>
            <w:r>
              <w:rPr>
                <w:rFonts w:ascii="Times New Roman" w:hAnsi="Times New Roman"/>
                <w:color w:val="000000"/>
                <w:sz w:val="20"/>
              </w:rPr>
              <w:t> </w:t>
            </w:r>
            <w:r>
              <w:rPr>
                <w:rFonts w:ascii="Times New Roman" w:hAnsi="Times New Roman"/>
                <w:color w:val="000000"/>
                <w:sz w:val="16"/>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5,074</w:t>
              <w:br/>
              <w:t> (EUR 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(GBP 16,640</w:t>
            </w:r>
            <w:r>
              <w:rPr>
                <w:rFonts w:ascii="Times New Roman" w:hAnsi="Times New Roman"/>
                <w:color w:val="000000"/>
                <w:sz w:val="20"/>
              </w:rPr>
              <w:t> </w:t>
            </w:r>
            <w:r>
              <w:rPr>
                <w:rFonts w:ascii="Times New Roman" w:hAnsi="Times New Roman"/>
                <w:color w:val="000000"/>
                <w:sz w:val="16"/>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w:t>
            </w:r>
            <w:r>
              <w:rPr>
                <w:rFonts w:ascii="Times New Roman" w:hAnsi="Times New Roman"/>
                <w:color w:val="000000"/>
                <w:sz w:val="20"/>
              </w:rPr>
              <w:t> </w:t>
            </w:r>
            <w:r>
              <w:rPr>
                <w:rFonts w:ascii="Times New Roman" w:hAnsi="Times New Roman"/>
                <w:color w:val="000000"/>
                <w:sz w:val="16"/>
              </w:rPr>
              <w:t>+ 5.66%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21,117</w:t>
              <w:br/>
              <w:t> (GBP 16,861)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Varinem German BidCo GMBH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12,696</w:t>
            </w:r>
            <w:r>
              <w:rPr>
                <w:rFonts w:ascii="Times New Roman" w:hAnsi="Times New Roman"/>
                <w:color w:val="000000"/>
                <w:sz w:val="20"/>
              </w:rPr>
              <w:t> </w:t>
            </w:r>
            <w:r>
              <w:rPr>
                <w:rFonts w:ascii="Times New Roman" w:hAnsi="Times New Roman"/>
                <w:color w:val="000000"/>
                <w:sz w:val="16"/>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13,105</w:t>
              <w:br/>
              <w:t> (EUR 12,656)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Office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USR Parent, Inc.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ABL FILO term loan ($15,000</w:t>
            </w:r>
            <w:r>
              <w:rPr>
                <w:rFonts w:ascii="Times New Roman" w:hAnsi="Times New Roman"/>
                <w:color w:val="000000"/>
                <w:sz w:val="20"/>
              </w:rPr>
              <w:t> </w:t>
            </w:r>
            <w:r>
              <w:rPr>
                <w:rFonts w:ascii="Times New Roman" w:hAnsi="Times New Roman"/>
                <w:color w:val="000000"/>
                <w:sz w:val="16"/>
              </w:rPr>
              <w:t>par, due 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Laramie Energy, LLC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($27,317</w:t>
            </w:r>
            <w:r>
              <w:rPr>
                <w:rFonts w:ascii="Times New Roman" w:hAnsi="Times New Roman"/>
                <w:color w:val="000000"/>
                <w:sz w:val="20"/>
              </w:rPr>
              <w:t> </w:t>
            </w:r>
            <w:r>
              <w:rPr>
                <w:rFonts w:ascii="Times New Roman" w:hAnsi="Times New Roman"/>
                <w:color w:val="000000"/>
                <w:sz w:val="16"/>
              </w:rPr>
              <w:t>par, due 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Mach Natural Resources LP</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($4,625</w:t>
            </w:r>
            <w:r>
              <w:rPr>
                <w:rFonts w:ascii="Times New Roman" w:hAnsi="Times New Roman"/>
                <w:color w:val="000000"/>
                <w:sz w:val="20"/>
              </w:rPr>
              <w:t> </w:t>
            </w:r>
            <w:r>
              <w:rPr>
                <w:rFonts w:ascii="Times New Roman" w:hAnsi="Times New Roman"/>
                <w:color w:val="000000"/>
                <w:sz w:val="16"/>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TRP Assets, LLC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($54,834</w:t>
            </w:r>
            <w:r>
              <w:rPr>
                <w:rFonts w:ascii="Times New Roman" w:hAnsi="Times New Roman"/>
                <w:color w:val="000000"/>
                <w:sz w:val="20"/>
              </w:rPr>
              <w:t> </w:t>
            </w:r>
            <w:r>
              <w:rPr>
                <w:rFonts w:ascii="Times New Roman" w:hAnsi="Times New Roman"/>
                <w:color w:val="000000"/>
                <w:sz w:val="16"/>
              </w:rPr>
              <w:t>par, due 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SOFR</w:t>
            </w:r>
            <w:r>
              <w:rPr>
                <w:rFonts w:ascii="Times New Roman" w:hAnsi="Times New Roman"/>
                <w:color w:val="000000"/>
                <w:sz w:val="20"/>
              </w:rPr>
              <w:t> </w:t>
            </w:r>
            <w:r>
              <w:rPr>
                <w:rFonts w:ascii="Times New Roman" w:hAnsi="Times New Roman"/>
                <w:color w:val="000000"/>
                <w:sz w:val="16"/>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Omnigo Software, LLC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($39,533</w:t>
            </w:r>
            <w:r>
              <w:rPr>
                <w:rFonts w:ascii="Times New Roman" w:hAnsi="Times New Roman"/>
                <w:color w:val="000000"/>
                <w:sz w:val="20"/>
              </w:rPr>
              <w:t> </w:t>
            </w:r>
            <w:r>
              <w:rPr>
                <w:rFonts w:ascii="Times New Roman" w:hAnsi="Times New Roman"/>
                <w:color w:val="000000"/>
                <w:sz w:val="16"/>
              </w:rPr>
              <w:t>par, due 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Scorpio Bidco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2,511</w:t>
            </w:r>
            <w:r>
              <w:rPr>
                <w:rFonts w:ascii="Times New Roman" w:hAnsi="Times New Roman"/>
                <w:color w:val="000000"/>
                <w:sz w:val="20"/>
              </w:rPr>
              <w:t> </w:t>
            </w:r>
            <w:r>
              <w:rPr>
                <w:rFonts w:ascii="Times New Roman" w:hAnsi="Times New Roman"/>
                <w:color w:val="000000"/>
                <w:sz w:val="16"/>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w:t>
              <w:br/>
              <w:t> (EUR 2,496)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Sky Bidco S.p.A.</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note (EUR 6,368</w:t>
            </w:r>
            <w:r>
              <w:rPr>
                <w:rFonts w:ascii="Times New Roman" w:hAnsi="Times New Roman"/>
                <w:color w:val="000000"/>
                <w:sz w:val="20"/>
              </w:rPr>
              <w:t> </w:t>
            </w:r>
            <w:r>
              <w:rPr>
                <w:rFonts w:ascii="Times New Roman" w:hAnsi="Times New Roman"/>
                <w:color w:val="000000"/>
                <w:sz w:val="16"/>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6,415</w:t>
              <w:br/>
              <w:t> (EUR 6,195)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note ($14,085</w:t>
            </w:r>
            <w:r>
              <w:rPr>
                <w:rFonts w:ascii="Times New Roman" w:hAnsi="Times New Roman"/>
                <w:color w:val="000000"/>
                <w:sz w:val="20"/>
              </w:rPr>
              <w:t> </w:t>
            </w:r>
            <w:r>
              <w:rPr>
                <w:rFonts w:ascii="Times New Roman" w:hAnsi="Times New Roman"/>
                <w:color w:val="000000"/>
                <w:sz w:val="16"/>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Apellis Pharmaceuticals, Inc.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($19,737</w:t>
            </w:r>
            <w:r>
              <w:rPr>
                <w:rFonts w:ascii="Times New Roman" w:hAnsi="Times New Roman"/>
                <w:color w:val="000000"/>
                <w:sz w:val="20"/>
              </w:rPr>
              <w:t> </w:t>
            </w:r>
            <w:r>
              <w:rPr>
                <w:rFonts w:ascii="Times New Roman" w:hAnsi="Times New Roman"/>
                <w:color w:val="000000"/>
                <w:sz w:val="16"/>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Arrowhead Pharmaceuticals, Inc. </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($33,059</w:t>
            </w:r>
            <w:r>
              <w:rPr>
                <w:rFonts w:ascii="Times New Roman" w:hAnsi="Times New Roman"/>
                <w:color w:val="000000"/>
                <w:sz w:val="20"/>
              </w:rPr>
              <w:t> </w:t>
            </w:r>
            <w:r>
              <w:rPr>
                <w:rFonts w:ascii="Times New Roman" w:hAnsi="Times New Roman"/>
                <w:color w:val="000000"/>
                <w:sz w:val="16"/>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Elysium BidCo Limited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17,985</w:t>
            </w:r>
            <w:r>
              <w:rPr>
                <w:rFonts w:ascii="Times New Roman" w:hAnsi="Times New Roman"/>
                <w:color w:val="000000"/>
                <w:sz w:val="20"/>
              </w:rPr>
              <w:t> </w:t>
            </w:r>
            <w:r>
              <w:rPr>
                <w:rFonts w:ascii="Times New Roman" w:hAnsi="Times New Roman"/>
                <w:color w:val="000000"/>
                <w:sz w:val="16"/>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18,204</w:t>
              <w:br/>
              <w:t> (EUR 17,580)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(GBP 9,953</w:t>
            </w:r>
            <w:r>
              <w:rPr>
                <w:rFonts w:ascii="Times New Roman" w:hAnsi="Times New Roman"/>
                <w:color w:val="000000"/>
                <w:sz w:val="20"/>
              </w:rPr>
              <w:t> </w:t>
            </w:r>
            <w:r>
              <w:rPr>
                <w:rFonts w:ascii="Times New Roman" w:hAnsi="Times New Roman"/>
                <w:color w:val="000000"/>
                <w:sz w:val="16"/>
              </w:rPr>
              <w:t>par, due 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w:t>
            </w:r>
            <w:r>
              <w:rPr>
                <w:rFonts w:ascii="Times New Roman" w:hAnsi="Times New Roman"/>
                <w:color w:val="000000"/>
                <w:sz w:val="20"/>
              </w:rPr>
              <w:t> </w:t>
            </w:r>
            <w:r>
              <w:rPr>
                <w:rFonts w:ascii="Times New Roman" w:hAnsi="Times New Roman"/>
                <w:color w:val="000000"/>
                <w:sz w:val="16"/>
              </w:rPr>
              <w:t>+ 7.25%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12,129</w:t>
              <w:br/>
              <w:t> (GBP 9,684)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Cirrus (BidCo) Limited </w:t>
            </w:r>
            <w:r>
              <w:rPr>
                <w:rFonts w:ascii="Times New Roman" w:hAnsi="Times New Roman"/>
                <w:color w:val="000000"/>
                <w:sz w:val="11"/>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(GBP 675</w:t>
            </w:r>
            <w:r>
              <w:rPr>
                <w:rFonts w:ascii="Times New Roman" w:hAnsi="Times New Roman"/>
                <w:color w:val="000000"/>
                <w:sz w:val="20"/>
              </w:rPr>
              <w:t> </w:t>
            </w:r>
            <w:r>
              <w:rPr>
                <w:rFonts w:ascii="Times New Roman" w:hAnsi="Times New Roman"/>
                <w:color w:val="000000"/>
                <w:sz w:val="16"/>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w:t>
            </w:r>
            <w:r>
              <w:rPr>
                <w:rFonts w:ascii="Times New Roman" w:hAnsi="Times New Roman"/>
                <w:color w:val="000000"/>
                <w:sz w:val="20"/>
              </w:rPr>
              <w:t> </w:t>
            </w:r>
            <w:r>
              <w:rPr>
                <w:rFonts w:ascii="Times New Roman" w:hAnsi="Times New Roman"/>
                <w:color w:val="000000"/>
                <w:sz w:val="16"/>
              </w:rPr>
              <w:t>+ 6.25%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 (incl. 3.00%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br/>
              <w:t> (GBP 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Acosta </w:t>
            </w:r>
            <w:r>
              <w:rPr>
                <w:rFonts w:ascii="Times New Roman" w:hAnsi="Times New Roman"/>
                <w:color w:val="000000"/>
                <w:sz w:val="11"/>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($10,000</w:t>
            </w:r>
            <w:r>
              <w:rPr>
                <w:rFonts w:ascii="Times New Roman" w:hAnsi="Times New Roman"/>
                <w:color w:val="000000"/>
                <w:sz w:val="20"/>
              </w:rPr>
              <w:t> </w:t>
            </w:r>
            <w:r>
              <w:rPr>
                <w:rFonts w:ascii="Times New Roman" w:hAnsi="Times New Roman"/>
                <w:color w:val="000000"/>
                <w:sz w:val="16"/>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American Achievement, Corp. </w:t>
            </w:r>
            <w:r>
              <w:rPr>
                <w:rFonts w:ascii="Times New Roman" w:hAnsi="Times New Roman"/>
                <w:color w:val="000000"/>
                <w:sz w:val="11"/>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($26,864</w:t>
            </w:r>
            <w:r>
              <w:rPr>
                <w:rFonts w:ascii="Times New Roman" w:hAnsi="Times New Roman"/>
                <w:color w:val="000000"/>
                <w:sz w:val="20"/>
              </w:rPr>
              <w:t> </w:t>
            </w:r>
            <w:r>
              <w:rPr>
                <w:rFonts w:ascii="Times New Roman" w:hAnsi="Times New Roman"/>
                <w:color w:val="000000"/>
                <w:sz w:val="16"/>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 (incl. 11.40%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($1,341</w:t>
            </w:r>
            <w:r>
              <w:rPr>
                <w:rFonts w:ascii="Times New Roman" w:hAnsi="Times New Roman"/>
                <w:color w:val="000000"/>
                <w:sz w:val="20"/>
              </w:rPr>
              <w:t> </w:t>
            </w:r>
            <w:r>
              <w:rPr>
                <w:rFonts w:ascii="Times New Roman" w:hAnsi="Times New Roman"/>
                <w:color w:val="000000"/>
                <w:sz w:val="16"/>
              </w:rPr>
              <w:t>par, due 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 (incl. 19.15%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Subordinated note ($4,740</w:t>
            </w:r>
            <w:r>
              <w:rPr>
                <w:rFonts w:ascii="Times New Roman" w:hAnsi="Times New Roman"/>
                <w:color w:val="000000"/>
                <w:sz w:val="20"/>
              </w:rPr>
              <w:t> </w:t>
            </w:r>
            <w:r>
              <w:rPr>
                <w:rFonts w:ascii="Times New Roman" w:hAnsi="Times New Roman"/>
                <w:color w:val="000000"/>
                <w:sz w:val="16"/>
              </w:rPr>
              <w:t>par, due</w:t>
            </w:r>
            <w:r>
              <w:rPr>
                <w:rFonts w:ascii="Times New Roman" w:hAnsi="Times New Roman"/>
                <w:color w:val="000000"/>
                <w:sz w:val="20"/>
              </w:rPr>
              <w:t xml:space="preserve"> </w:t>
            </w:r>
            <w:r>
              <w:rPr>
                <w:rFonts w:ascii="Times New Roman" w:hAnsi="Times New Roman"/>
                <w:color w:val="000000"/>
                <w:sz w:val="16"/>
              </w:rPr>
              <w:t>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bl>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9"/>
        <w:gridCol w:w="146"/>
        <w:gridCol w:w="2078"/>
        <w:gridCol w:w="146"/>
        <w:gridCol w:w="577"/>
        <w:gridCol w:w="146"/>
        <w:gridCol w:w="836"/>
        <w:gridCol w:w="146"/>
        <w:gridCol w:w="940"/>
        <w:gridCol w:w="146"/>
        <w:gridCol w:w="146"/>
        <w:gridCol w:w="826"/>
        <w:gridCol w:w="146"/>
        <w:gridCol w:w="146"/>
        <w:gridCol w:w="904"/>
        <w:gridCol w:w="146"/>
        <w:gridCol w:w="591"/>
      </w:tblGrid>
      <w:tr>
        <w:trPr/>
        <w:tc>
          <w:tcPr>
            <w:tcW w:w="2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Bed Bath and Beyond Inc. </w:t>
            </w:r>
            <w:r>
              <w:rPr>
                <w:rFonts w:ascii="Times New Roman" w:hAnsi="Times New Roman"/>
                <w:color w:val="000000"/>
                <w:sz w:val="11"/>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ABL FILO term loan ($8,994</w:t>
            </w:r>
            <w:r>
              <w:rPr>
                <w:rFonts w:ascii="Times New Roman" w:hAnsi="Times New Roman"/>
                <w:color w:val="000000"/>
                <w:sz w:val="20"/>
              </w:rPr>
              <w:t> </w:t>
            </w:r>
            <w:r>
              <w:rPr>
                <w:rFonts w:ascii="Times New Roman" w:hAnsi="Times New Roman"/>
                <w:color w:val="000000"/>
                <w:sz w:val="16"/>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Roll Up DIP term loan ($24,924</w:t>
            </w:r>
            <w:r>
              <w:rPr>
                <w:rFonts w:ascii="Times New Roman" w:hAnsi="Times New Roman"/>
                <w:color w:val="000000"/>
                <w:sz w:val="20"/>
              </w:rPr>
              <w:t> </w:t>
            </w:r>
            <w:r>
              <w:rPr>
                <w:rFonts w:ascii="Times New Roman" w:hAnsi="Times New Roman"/>
                <w:color w:val="000000"/>
                <w:sz w:val="16"/>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Super-Priority DIP term loan ($3,988</w:t>
            </w:r>
            <w:r>
              <w:rPr>
                <w:rFonts w:ascii="Times New Roman" w:hAnsi="Times New Roman"/>
                <w:color w:val="000000"/>
                <w:sz w:val="20"/>
              </w:rPr>
              <w:t> </w:t>
            </w:r>
            <w:r>
              <w:rPr>
                <w:rFonts w:ascii="Times New Roman" w:hAnsi="Times New Roman"/>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Belk, Inc.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($49,375</w:t>
            </w:r>
            <w:r>
              <w:rPr>
                <w:rFonts w:ascii="Times New Roman" w:hAnsi="Times New Roman"/>
                <w:color w:val="000000"/>
                <w:sz w:val="20"/>
              </w:rPr>
              <w:t> </w:t>
            </w:r>
            <w:r>
              <w:rPr>
                <w:rFonts w:ascii="Times New Roman" w:hAnsi="Times New Roman"/>
                <w:color w:val="000000"/>
                <w:sz w:val="16"/>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Cordance Operations, LLC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($60,781</w:t>
            </w:r>
            <w:r>
              <w:rPr>
                <w:rFonts w:ascii="Times New Roman" w:hAnsi="Times New Roman"/>
                <w:color w:val="000000"/>
                <w:sz w:val="20"/>
              </w:rPr>
              <w:t> </w:t>
            </w:r>
            <w:r>
              <w:rPr>
                <w:rFonts w:ascii="Times New Roman" w:hAnsi="Times New Roman"/>
                <w:color w:val="000000"/>
                <w:sz w:val="16"/>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Neuintel, LLC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($55,038</w:t>
            </w:r>
            <w:r>
              <w:rPr>
                <w:rFonts w:ascii="Times New Roman" w:hAnsi="Times New Roman"/>
                <w:color w:val="000000"/>
                <w:sz w:val="20"/>
              </w:rPr>
              <w:t> </w:t>
            </w:r>
            <w:r>
              <w:rPr>
                <w:rFonts w:ascii="Times New Roman" w:hAnsi="Times New Roman"/>
                <w:color w:val="000000"/>
                <w:sz w:val="16"/>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PDI TA Holdings, Inc.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($18,133</w:t>
            </w:r>
            <w:r>
              <w:rPr>
                <w:rFonts w:ascii="Times New Roman" w:hAnsi="Times New Roman"/>
                <w:color w:val="000000"/>
                <w:sz w:val="20"/>
              </w:rPr>
              <w:t> </w:t>
            </w:r>
            <w:r>
              <w:rPr>
                <w:rFonts w:ascii="Times New Roman" w:hAnsi="Times New Roman"/>
                <w:color w:val="000000"/>
                <w:sz w:val="16"/>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Rapid Data GmbH Unternehmensberatung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7,378</w:t>
            </w:r>
            <w:r>
              <w:rPr>
                <w:rFonts w:ascii="Times New Roman" w:hAnsi="Times New Roman"/>
                <w:color w:val="000000"/>
                <w:sz w:val="20"/>
              </w:rPr>
              <w:t> </w:t>
            </w:r>
            <w:r>
              <w:rPr>
                <w:rFonts w:ascii="Times New Roman" w:hAnsi="Times New Roman"/>
                <w:color w:val="000000"/>
                <w:sz w:val="16"/>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 (incl. 3.00%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7,685</w:t>
              <w:br/>
              <w:t> (EUR 7,422)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Tango Management Consulting, LLC </w:t>
            </w:r>
            <w:r>
              <w:rPr>
                <w:rFonts w:ascii="Times New Roman" w:hAnsi="Times New Roman"/>
                <w:color w:val="000000"/>
                <w:sz w:val="11"/>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($69,218</w:t>
            </w:r>
            <w:r>
              <w:rPr>
                <w:rFonts w:ascii="Times New Roman" w:hAnsi="Times New Roman"/>
                <w:color w:val="000000"/>
                <w:sz w:val="20"/>
              </w:rPr>
              <w:t> </w:t>
            </w:r>
            <w:r>
              <w:rPr>
                <w:rFonts w:ascii="Times New Roman" w:hAnsi="Times New Roman"/>
                <w:color w:val="000000"/>
                <w:sz w:val="16"/>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($2,454</w:t>
            </w:r>
            <w:r>
              <w:rPr>
                <w:rFonts w:ascii="Times New Roman" w:hAnsi="Times New Roman"/>
                <w:color w:val="000000"/>
                <w:sz w:val="20"/>
              </w:rPr>
              <w:t> </w:t>
            </w:r>
            <w:r>
              <w:rPr>
                <w:rFonts w:ascii="Times New Roman" w:hAnsi="Times New Roman"/>
                <w:color w:val="000000"/>
                <w:sz w:val="16"/>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P</w:t>
            </w:r>
            <w:r>
              <w:rPr>
                <w:rFonts w:ascii="Times New Roman" w:hAnsi="Times New Roman"/>
                <w:color w:val="000000"/>
                <w:sz w:val="20"/>
              </w:rPr>
              <w:t> </w:t>
            </w:r>
            <w:r>
              <w:rPr>
                <w:rFonts w:ascii="Times New Roman" w:hAnsi="Times New Roman"/>
                <w:color w:val="000000"/>
                <w:sz w:val="16"/>
              </w:rPr>
              <w:t>+ 6.75%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Ben Nevis Midco Limited </w:t>
            </w:r>
            <w:r>
              <w:rPr>
                <w:rFonts w:ascii="Times New Roman" w:hAnsi="Times New Roman"/>
                <w:color w:val="000000"/>
                <w:sz w:val="11"/>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($3,635</w:t>
            </w:r>
            <w:r>
              <w:rPr>
                <w:rFonts w:ascii="Times New Roman" w:hAnsi="Times New Roman"/>
                <w:color w:val="000000"/>
                <w:sz w:val="20"/>
              </w:rPr>
              <w:t> </w:t>
            </w:r>
            <w:r>
              <w:rPr>
                <w:rFonts w:ascii="Times New Roman" w:hAnsi="Times New Roman"/>
                <w:color w:val="000000"/>
                <w:sz w:val="16"/>
              </w:rPr>
              <w:t>par, due 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Marcura Equities LTD </w:t>
            </w:r>
            <w:r>
              <w:rPr>
                <w:rFonts w:ascii="Times New Roman" w:hAnsi="Times New Roman"/>
                <w:color w:val="000000"/>
                <w:sz w:val="11"/>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($33,874</w:t>
            </w:r>
            <w:r>
              <w:rPr>
                <w:rFonts w:ascii="Times New Roman" w:hAnsi="Times New Roman"/>
                <w:color w:val="000000"/>
                <w:sz w:val="20"/>
              </w:rPr>
              <w:t> </w:t>
            </w:r>
            <w:r>
              <w:rPr>
                <w:rFonts w:ascii="Times New Roman" w:hAnsi="Times New Roman"/>
                <w:color w:val="000000"/>
                <w:sz w:val="16"/>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revolving loan ($2,333</w:t>
            </w:r>
            <w:r>
              <w:rPr>
                <w:rFonts w:ascii="Times New Roman" w:hAnsi="Times New Roman"/>
                <w:color w:val="000000"/>
                <w:sz w:val="20"/>
              </w:rPr>
              <w:t> </w:t>
            </w:r>
            <w:r>
              <w:rPr>
                <w:rFonts w:ascii="Times New Roman" w:hAnsi="Times New Roman"/>
                <w:color w:val="000000"/>
                <w:sz w:val="16"/>
              </w:rPr>
              <w:t>par, due 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Project44, Inc. </w:t>
            </w:r>
            <w:r>
              <w:rPr>
                <w:rFonts w:ascii="Times New Roman" w:hAnsi="Times New Roman"/>
                <w:color w:val="000000"/>
                <w:sz w:val="1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($54,824</w:t>
            </w:r>
            <w:r>
              <w:rPr>
                <w:rFonts w:ascii="Times New Roman" w:hAnsi="Times New Roman"/>
                <w:color w:val="000000"/>
                <w:sz w:val="20"/>
              </w:rPr>
              <w:t> </w:t>
            </w:r>
            <w:r>
              <w:rPr>
                <w:rFonts w:ascii="Times New Roman" w:hAnsi="Times New Roman"/>
                <w:color w:val="000000"/>
                <w:sz w:val="16"/>
              </w:rPr>
              <w:t>par, due 11/2027)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Shiftmove GMBH </w:t>
            </w:r>
            <w:r>
              <w:rPr>
                <w:rFonts w:ascii="Times New Roman" w:hAnsi="Times New Roman"/>
                <w:color w:val="000000"/>
                <w:sz w:val="11"/>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First-lien loan (EUR 31,875</w:t>
            </w:r>
            <w:r>
              <w:rPr>
                <w:rFonts w:ascii="Times New Roman" w:hAnsi="Times New Roman"/>
                <w:color w:val="000000"/>
                <w:sz w:val="20"/>
              </w:rPr>
              <w:t> </w:t>
            </w:r>
            <w:r>
              <w:rPr>
                <w:rFonts w:ascii="Times New Roman" w:hAnsi="Times New Roman"/>
                <w:color w:val="000000"/>
                <w:sz w:val="16"/>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E</w:t>
            </w:r>
            <w:r>
              <w:rPr>
                <w:rFonts w:ascii="Times New Roman" w:hAnsi="Times New Roman"/>
                <w:color w:val="000000"/>
                <w:sz w:val="20"/>
              </w:rPr>
              <w:t> </w:t>
            </w:r>
            <w:r>
              <w:rPr>
                <w:rFonts w:ascii="Times New Roman" w:hAnsi="Times New Roman"/>
                <w:color w:val="000000"/>
                <w:sz w:val="16"/>
              </w:rPr>
              <w:t>+ 6.00%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32,191</w:t>
              <w:br/>
              <w:t> (EUR 31,088)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3,388,244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3,361,439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Clarience Technologies, LLC </w:t>
            </w:r>
            <w:r>
              <w:rPr>
                <w:rFonts w:ascii="Times New Roman" w:hAnsi="Times New Roman"/>
                <w:color w:val="000000"/>
                <w:sz w:val="11"/>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Units (333</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Artisan Topco LP</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Preferred Units (2,117,264</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Dye &amp; Durham, Ltd. </w:t>
            </w:r>
            <w:r>
              <w:rPr>
                <w:rFonts w:ascii="Times New Roman" w:hAnsi="Times New Roman"/>
                <w:color w:val="000000"/>
                <w:sz w:val="11"/>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Shares (126,968</w:t>
            </w:r>
            <w:r>
              <w:rPr>
                <w:rFonts w:ascii="Times New Roman" w:hAnsi="Times New Roman"/>
                <w:color w:val="000000"/>
                <w:sz w:val="20"/>
              </w:rPr>
              <w:t> </w:t>
            </w:r>
            <w:r>
              <w:rPr>
                <w:rFonts w:ascii="Times New Roman" w:hAnsi="Times New Roman"/>
                <w:color w:val="000000"/>
                <w:sz w:val="16"/>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w:t>
              <w:br/>
              <w:t> (CAD 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Insight Hideaway Aggregator, L.P. </w:t>
            </w:r>
            <w:r>
              <w:rPr>
                <w:rFonts w:ascii="Times New Roman" w:hAnsi="Times New Roman"/>
                <w:color w:val="000000"/>
                <w:sz w:val="11"/>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Partnership Interest (329,861</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Mitnick TA Aggregator, L.P.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Membership Interest (0.43%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Newark FP Co-Invest, L.P.</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Partnership (2,527,719</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ReliaQuest, LLC </w:t>
            </w:r>
            <w:r>
              <w:rPr>
                <w:rFonts w:ascii="Times New Roman" w:hAnsi="Times New Roman"/>
                <w:color w:val="000000"/>
                <w:sz w:val="11"/>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Class A-1 Units (637,713 units)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Class A-2 Units (10,611 units) </w:t>
            </w:r>
            <w:r>
              <w:rPr>
                <w:rFonts w:ascii="Times New Roman" w:hAnsi="Times New Roman"/>
                <w:color w:val="000000"/>
                <w:sz w:val="11"/>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Class A-3 Units (16,957 units)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Series A Preferred Stock (1,667 units)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 + 12.00%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 (90,634 warrants)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Sprinklr, Inc. </w:t>
            </w:r>
            <w:r>
              <w:rPr>
                <w:rFonts w:ascii="Times New Roman" w:hAnsi="Times New Roman"/>
                <w:color w:val="000000"/>
                <w:sz w:val="11"/>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Shares (283,499</w:t>
            </w:r>
            <w:r>
              <w:rPr>
                <w:rFonts w:ascii="Times New Roman" w:hAnsi="Times New Roman"/>
                <w:color w:val="000000"/>
                <w:sz w:val="20"/>
              </w:rPr>
              <w:t> </w:t>
            </w:r>
            <w:r>
              <w:rPr>
                <w:rFonts w:ascii="Times New Roman" w:hAnsi="Times New Roman"/>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Warrior TopCo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Units (423,729</w:t>
            </w:r>
            <w:r>
              <w:rPr>
                <w:rFonts w:ascii="Times New Roman" w:hAnsi="Times New Roman"/>
                <w:color w:val="000000"/>
                <w:sz w:val="20"/>
              </w:rPr>
              <w:t> </w:t>
            </w:r>
            <w:r>
              <w:rPr>
                <w:rFonts w:ascii="Times New Roman" w:hAnsi="Times New Roman"/>
                <w:color w:val="000000"/>
                <w:sz w:val="16"/>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Celtra Technologies, Inc.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Units (1,250,000</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IntelePeer Holdings, Inc.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C Preferred Shares (1,816,295</w:t>
            </w:r>
            <w:r>
              <w:rPr>
                <w:rFonts w:ascii="Times New Roman" w:hAnsi="Times New Roman"/>
                <w:color w:val="000000"/>
                <w:sz w:val="20"/>
              </w:rPr>
              <w:t> </w:t>
            </w:r>
            <w:r>
              <w:rPr>
                <w:rFonts w:ascii="Times New Roman" w:hAnsi="Times New Roman"/>
                <w:color w:val="000000"/>
                <w:sz w:val="16"/>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D Preferred Shares (1,598,874</w:t>
            </w:r>
            <w:r>
              <w:rPr>
                <w:rFonts w:ascii="Times New Roman" w:hAnsi="Times New Roman"/>
                <w:color w:val="000000"/>
                <w:sz w:val="20"/>
              </w:rPr>
              <w:t> </w:t>
            </w:r>
            <w:r>
              <w:rPr>
                <w:rFonts w:ascii="Times New Roman" w:hAnsi="Times New Roman"/>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bl>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1"/>
        <w:gridCol w:w="146"/>
        <w:gridCol w:w="2595"/>
        <w:gridCol w:w="146"/>
        <w:gridCol w:w="755"/>
        <w:gridCol w:w="146"/>
        <w:gridCol w:w="597"/>
        <w:gridCol w:w="146"/>
        <w:gridCol w:w="597"/>
        <w:gridCol w:w="146"/>
        <w:gridCol w:w="146"/>
        <w:gridCol w:w="601"/>
        <w:gridCol w:w="146"/>
        <w:gridCol w:w="146"/>
        <w:gridCol w:w="909"/>
        <w:gridCol w:w="146"/>
        <w:gridCol w:w="46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C Warrants (280,000</w:t>
            </w:r>
            <w:r>
              <w:rPr>
                <w:rFonts w:ascii="Times New Roman" w:hAnsi="Times New Roman"/>
                <w:color w:val="000000"/>
                <w:sz w:val="20"/>
              </w:rPr>
              <w:t> </w:t>
            </w: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D Warrants (106,592</w:t>
            </w:r>
            <w:r>
              <w:rPr>
                <w:rFonts w:ascii="Times New Roman" w:hAnsi="Times New Roman"/>
                <w:color w:val="000000"/>
                <w:sz w:val="20"/>
              </w:rPr>
              <w:t> </w:t>
            </w: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Astra 2L Holdings II LLC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Membership Interest (10.17%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EMS Linq, Inc.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B Units (5,522,526</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RMCF IV CIV XXXV, LP.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Partnership Interest (11.94%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AF Eagle Parent, L.P.</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Partnership Units (121,329</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CLGF Holdings, L.P.</w:t>
            </w:r>
            <w:r>
              <w:rPr>
                <w:rFonts w:ascii="Times New Roman" w:hAnsi="Times New Roman"/>
                <w:color w:val="000000"/>
                <w:sz w:val="11"/>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(334,682</w:t>
            </w:r>
            <w:r>
              <w:rPr>
                <w:rFonts w:ascii="Times New Roman" w:hAnsi="Times New Roman"/>
                <w:color w:val="000000"/>
                <w:sz w:val="20"/>
              </w:rPr>
              <w:t> </w:t>
            </w: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Newport Parent Holdings, L.P.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A-2 Units (131,569</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Oxford Square Capital Corp. </w:t>
            </w:r>
            <w:r>
              <w:rPr>
                <w:rFonts w:ascii="Times New Roman" w:hAnsi="Times New Roman"/>
                <w:color w:val="000000"/>
                <w:sz w:val="11"/>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Shares (1,620</w:t>
            </w:r>
            <w:r>
              <w:rPr>
                <w:rFonts w:ascii="Times New Roman" w:hAnsi="Times New Roman"/>
                <w:color w:val="000000"/>
                <w:sz w:val="20"/>
              </w:rPr>
              <w:t> </w:t>
            </w:r>
            <w:r>
              <w:rPr>
                <w:rFonts w:ascii="Times New Roman" w:hAnsi="Times New Roman"/>
                <w:color w:val="000000"/>
                <w:sz w:val="16"/>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Passport Labs, Inc.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(17,534</w:t>
            </w:r>
            <w:r>
              <w:rPr>
                <w:rFonts w:ascii="Times New Roman" w:hAnsi="Times New Roman"/>
                <w:color w:val="000000"/>
                <w:sz w:val="20"/>
              </w:rPr>
              <w:t> </w:t>
            </w: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TradingScreen, Inc. </w:t>
            </w:r>
            <w:r>
              <w:rPr>
                <w:rFonts w:ascii="Times New Roman" w:hAnsi="Times New Roman"/>
                <w:color w:val="000000"/>
                <w:sz w:val="11"/>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Class A Units (600,000 units)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Class AA Units (19,093 units) </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Caris Life Sciences, Inc.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C Preferred Shares (1,915,114</w:t>
            </w:r>
            <w:r>
              <w:rPr>
                <w:rFonts w:ascii="Times New Roman" w:hAnsi="Times New Roman"/>
                <w:color w:val="000000"/>
                <w:sz w:val="20"/>
              </w:rPr>
              <w:t> </w:t>
            </w:r>
            <w:r>
              <w:rPr>
                <w:rFonts w:ascii="Times New Roman" w:hAnsi="Times New Roman"/>
                <w:color w:val="000000"/>
                <w:sz w:val="16"/>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D Preferred Shares (1,240,740</w:t>
            </w:r>
            <w:r>
              <w:rPr>
                <w:rFonts w:ascii="Times New Roman" w:hAnsi="Times New Roman"/>
                <w:color w:val="000000"/>
                <w:sz w:val="20"/>
              </w:rPr>
              <w:t> </w:t>
            </w:r>
            <w:r>
              <w:rPr>
                <w:rFonts w:ascii="Times New Roman" w:hAnsi="Times New Roman"/>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(633,376</w:t>
            </w:r>
            <w:r>
              <w:rPr>
                <w:rFonts w:ascii="Times New Roman" w:hAnsi="Times New Roman"/>
                <w:color w:val="000000"/>
                <w:sz w:val="20"/>
              </w:rPr>
              <w:t> </w:t>
            </w: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(569,991</w:t>
            </w:r>
            <w:r>
              <w:rPr>
                <w:rFonts w:ascii="Times New Roman" w:hAnsi="Times New Roman"/>
                <w:color w:val="000000"/>
                <w:sz w:val="20"/>
              </w:rPr>
              <w:t> </w:t>
            </w: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Merative Topco L.P.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A-1 Units (989,691</w:t>
            </w:r>
            <w:r>
              <w:rPr>
                <w:rFonts w:ascii="Times New Roman" w:hAnsi="Times New Roman"/>
                <w:color w:val="000000"/>
                <w:sz w:val="20"/>
              </w:rPr>
              <w:t> </w:t>
            </w:r>
            <w:r>
              <w:rPr>
                <w:rFonts w:ascii="Times New Roman" w:hAnsi="Times New Roman"/>
                <w:color w:val="000000"/>
                <w:sz w:val="16"/>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Raptor US Buyer II Corp.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Ordinary Shares (13,176</w:t>
            </w:r>
            <w:r>
              <w:rPr>
                <w:rFonts w:ascii="Times New Roman" w:hAnsi="Times New Roman"/>
                <w:color w:val="000000"/>
                <w:sz w:val="20"/>
              </w:rPr>
              <w:t> </w:t>
            </w:r>
            <w:r>
              <w:rPr>
                <w:rFonts w:ascii="Times New Roman" w:hAnsi="Times New Roman"/>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IRGSE Holding Corp. </w:t>
            </w:r>
            <w:r>
              <w:rPr>
                <w:rFonts w:ascii="Times New Roman" w:hAnsi="Times New Roman"/>
                <w:color w:val="000000"/>
                <w:sz w:val="11"/>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Units (33,790,171</w:t>
            </w:r>
            <w:r>
              <w:rPr>
                <w:rFonts w:ascii="Times New Roman" w:hAnsi="Times New Roman"/>
                <w:color w:val="000000"/>
                <w:sz w:val="20"/>
              </w:rPr>
              <w:t> </w:t>
            </w:r>
            <w:r>
              <w:rPr>
                <w:rFonts w:ascii="Times New Roman" w:hAnsi="Times New Roman"/>
                <w:color w:val="000000"/>
                <w:sz w:val="16"/>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C-1 Units (8,800,000</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Axonify, Inc. </w:t>
            </w:r>
            <w:r>
              <w:rPr>
                <w:rFonts w:ascii="Times New Roman" w:hAnsi="Times New Roman"/>
                <w:color w:val="000000"/>
                <w:sz w:val="11"/>
              </w:rPr>
              <w:t>(4)(11)(13)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A-1 Units (3,780,000</w:t>
            </w:r>
            <w:r>
              <w:rPr>
                <w:rFonts w:ascii="Times New Roman" w:hAnsi="Times New Roman"/>
                <w:color w:val="000000"/>
                <w:sz w:val="20"/>
              </w:rPr>
              <w:t> </w:t>
            </w:r>
            <w:r>
              <w:rPr>
                <w:rFonts w:ascii="Times New Roman" w:hAnsi="Times New Roman"/>
                <w:color w:val="000000"/>
                <w:sz w:val="16"/>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bswift, LLC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A-1 Units (2,393,509</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DaySmart Holdings, LLC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Units (166,811</w:t>
            </w:r>
            <w:r>
              <w:rPr>
                <w:rFonts w:ascii="Times New Roman" w:hAnsi="Times New Roman"/>
                <w:color w:val="000000"/>
                <w:sz w:val="20"/>
              </w:rPr>
              <w:t> </w:t>
            </w:r>
            <w:r>
              <w:rPr>
                <w:rFonts w:ascii="Times New Roman" w:hAnsi="Times New Roman"/>
                <w:color w:val="000000"/>
                <w:sz w:val="16"/>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Employment Hero Holdings Pty Ltd. </w:t>
            </w:r>
            <w:r>
              <w:rPr>
                <w:rFonts w:ascii="Times New Roman" w:hAnsi="Times New Roman"/>
                <w:color w:val="000000"/>
                <w:sz w:val="11"/>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E Preferred Shares (113,250</w:t>
            </w:r>
            <w:r>
              <w:rPr>
                <w:rFonts w:ascii="Times New Roman" w:hAnsi="Times New Roman"/>
                <w:color w:val="000000"/>
                <w:sz w:val="20"/>
              </w:rPr>
              <w:t> </w:t>
            </w:r>
            <w:r>
              <w:rPr>
                <w:rFonts w:ascii="Times New Roman" w:hAnsi="Times New Roman"/>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2,819</w:t>
              <w:br/>
              <w:t> (AUD 4,552)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Bayshore Intermediate #2, L.P. </w:t>
            </w:r>
            <w:r>
              <w:rPr>
                <w:rFonts w:ascii="Times New Roman" w:hAnsi="Times New Roman"/>
                <w:color w:val="000000"/>
                <w:sz w:val="11"/>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Co-Invest Common Units (8,837,008</w:t>
            </w:r>
            <w:r>
              <w:rPr>
                <w:rFonts w:ascii="Times New Roman" w:hAnsi="Times New Roman"/>
                <w:color w:val="000000"/>
                <w:sz w:val="20"/>
              </w:rPr>
              <w:t> </w:t>
            </w:r>
            <w:r>
              <w:rPr>
                <w:rFonts w:ascii="Times New Roman" w:hAnsi="Times New Roman"/>
                <w:color w:val="000000"/>
                <w:sz w:val="16"/>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Co-Invest 2 Common Units (3,493,701</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Lucidworks, Inc. </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F Preferred Shares (199,054</w:t>
            </w:r>
            <w:r>
              <w:rPr>
                <w:rFonts w:ascii="Times New Roman" w:hAnsi="Times New Roman"/>
                <w:color w:val="000000"/>
                <w:sz w:val="20"/>
              </w:rPr>
              <w:t> </w:t>
            </w:r>
            <w:r>
              <w:rPr>
                <w:rFonts w:ascii="Times New Roman" w:hAnsi="Times New Roman"/>
                <w:color w:val="000000"/>
                <w:sz w:val="16"/>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Piano Software, Inc.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C-1 Preferred Shares (418,527</w:t>
            </w:r>
            <w:r>
              <w:rPr>
                <w:rFonts w:ascii="Times New Roman" w:hAnsi="Times New Roman"/>
                <w:color w:val="000000"/>
                <w:sz w:val="20"/>
              </w:rPr>
              <w:t> </w:t>
            </w:r>
            <w:r>
              <w:rPr>
                <w:rFonts w:ascii="Times New Roman" w:hAnsi="Times New Roman"/>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C-2 Preferred Shares (27,588</w:t>
            </w:r>
            <w:r>
              <w:rPr>
                <w:rFonts w:ascii="Times New Roman" w:hAnsi="Times New Roman"/>
                <w:color w:val="000000"/>
                <w:sz w:val="20"/>
              </w:rPr>
              <w:t> </w:t>
            </w:r>
            <w:r>
              <w:rPr>
                <w:rFonts w:ascii="Times New Roman" w:hAnsi="Times New Roman"/>
                <w:color w:val="000000"/>
                <w:sz w:val="16"/>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SMA Technologies Holdings, LLC </w:t>
            </w:r>
            <w:r>
              <w:rPr>
                <w:rFonts w:ascii="Times New Roman" w:hAnsi="Times New Roman"/>
                <w:color w:val="000000"/>
                <w:sz w:val="11"/>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Units (1,584</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B Units (1,124,813</w:t>
            </w:r>
            <w:r>
              <w:rPr>
                <w:rFonts w:ascii="Times New Roman" w:hAnsi="Times New Roman"/>
                <w:color w:val="000000"/>
                <w:sz w:val="20"/>
              </w:rPr>
              <w:t> </w:t>
            </w:r>
            <w:r>
              <w:rPr>
                <w:rFonts w:ascii="Times New Roman" w:hAnsi="Times New Roman"/>
                <w:color w:val="000000"/>
                <w:sz w:val="16"/>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Marketing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Validity, Inc.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A Preferred Shares (3,840,000</w:t>
            </w:r>
            <w:r>
              <w:rPr>
                <w:rFonts w:ascii="Times New Roman" w:hAnsi="Times New Roman"/>
                <w:color w:val="000000"/>
                <w:sz w:val="20"/>
              </w:rPr>
              <w:t> </w:t>
            </w:r>
            <w:r>
              <w:rPr>
                <w:rFonts w:ascii="Times New Roman" w:hAnsi="Times New Roman"/>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1"/>
        <w:gridCol w:w="146"/>
        <w:gridCol w:w="2200"/>
        <w:gridCol w:w="146"/>
        <w:gridCol w:w="609"/>
        <w:gridCol w:w="146"/>
        <w:gridCol w:w="1048"/>
        <w:gridCol w:w="146"/>
        <w:gridCol w:w="553"/>
        <w:gridCol w:w="146"/>
        <w:gridCol w:w="196"/>
        <w:gridCol w:w="826"/>
        <w:gridCol w:w="146"/>
        <w:gridCol w:w="196"/>
        <w:gridCol w:w="892"/>
        <w:gridCol w:w="146"/>
        <w:gridCol w:w="612"/>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Murchison Oil and Gas, LLC </w:t>
            </w: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Units (13,355</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TRP Assets, LLC </w:t>
            </w:r>
            <w:r>
              <w:rPr>
                <w:rFonts w:ascii="Times New Roman" w:hAnsi="Times New Roman"/>
                <w:color w:val="000000"/>
                <w:sz w:val="11"/>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Partnership Interest (1.89%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TherapeuticsMD, Inc. </w:t>
            </w:r>
            <w:r>
              <w:rPr>
                <w:rFonts w:ascii="Times New Roman" w:hAnsi="Times New Roman"/>
                <w:color w:val="000000"/>
                <w:sz w:val="11"/>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(14,256</w:t>
            </w:r>
            <w:r>
              <w:rPr>
                <w:rFonts w:ascii="Times New Roman" w:hAnsi="Times New Roman"/>
                <w:color w:val="000000"/>
                <w:sz w:val="20"/>
              </w:rPr>
              <w:t> </w:t>
            </w: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Elysium BidCo Limited </w:t>
            </w:r>
            <w:r>
              <w:rPr>
                <w:rFonts w:ascii="Times New Roman" w:hAnsi="Times New Roman"/>
                <w:color w:val="000000"/>
                <w:sz w:val="11"/>
              </w:rPr>
              <w:t>(4)(11)(12)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Convertible Preference Shares (4,976,563</w:t>
            </w:r>
            <w:r>
              <w:rPr>
                <w:rFonts w:ascii="Times New Roman" w:hAnsi="Times New Roman"/>
                <w:color w:val="000000"/>
                <w:sz w:val="20"/>
              </w:rPr>
              <w:t> </w:t>
            </w:r>
            <w:r>
              <w:rPr>
                <w:rFonts w:ascii="Times New Roman" w:hAnsi="Times New Roman"/>
                <w:color w:val="000000"/>
                <w:sz w:val="16"/>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6,341</w:t>
              <w:br/>
              <w:t> (GBP 5,063)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American Achievement, Corp.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Units (687</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Copper Bidco, LLC </w:t>
            </w:r>
            <w:r>
              <w:rPr>
                <w:rFonts w:ascii="Times New Roman" w:hAnsi="Times New Roman"/>
                <w:color w:val="000000"/>
                <w:sz w:val="11"/>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Trust Certificates (996,958</w:t>
            </w:r>
            <w:r>
              <w:rPr>
                <w:rFonts w:ascii="Times New Roman" w:hAnsi="Times New Roman"/>
                <w:color w:val="000000"/>
                <w:sz w:val="20"/>
              </w:rPr>
              <w:t> </w:t>
            </w:r>
            <w:r>
              <w:rPr>
                <w:rFonts w:ascii="Times New Roman" w:hAnsi="Times New Roman"/>
                <w:color w:val="000000"/>
                <w:sz w:val="16"/>
              </w:rPr>
              <w:t>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Neuintel, LLC </w:t>
            </w:r>
            <w:r>
              <w:rPr>
                <w:rFonts w:ascii="Times New Roman" w:hAnsi="Times New Roman"/>
                <w:color w:val="000000"/>
                <w:sz w:val="11"/>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Units (1,176,494</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Dryden Senior Loan Fund, Series 2020-86A </w:t>
            </w:r>
            <w:r>
              <w:rPr>
                <w:rFonts w:ascii="Times New Roman" w:hAnsi="Times New Roman"/>
                <w:color w:val="000000"/>
                <w:sz w:val="11"/>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Structured Credit ($1,500</w:t>
            </w:r>
            <w:r>
              <w:rPr>
                <w:rFonts w:ascii="Times New Roman" w:hAnsi="Times New Roman"/>
                <w:color w:val="000000"/>
                <w:sz w:val="20"/>
              </w:rPr>
              <w:t> </w:t>
            </w:r>
            <w:r>
              <w:rPr>
                <w:rFonts w:ascii="Times New Roman" w:hAnsi="Times New Roman"/>
                <w:color w:val="000000"/>
                <w:sz w:val="16"/>
              </w:rPr>
              <w:t>par, due 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SOFR</w:t>
            </w:r>
            <w:r>
              <w:rPr>
                <w:rFonts w:ascii="Times New Roman" w:hAnsi="Times New Roman"/>
                <w:color w:val="000000"/>
                <w:sz w:val="20"/>
              </w:rPr>
              <w:t> </w:t>
            </w:r>
            <w:r>
              <w:rPr>
                <w:rFonts w:ascii="Times New Roman" w:hAnsi="Times New Roman"/>
                <w:color w:val="000000"/>
                <w:sz w:val="16"/>
              </w:rPr>
              <w:t>+ 6.76%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r>
      <w:tr>
        <w:trPr/>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156,973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3,539,153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3,518,412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218.9%</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811"/>
        <w:gridCol w:w="146"/>
        <w:gridCol w:w="989"/>
        <w:gridCol w:w="146"/>
        <w:gridCol w:w="976"/>
        <w:gridCol w:w="146"/>
        <w:gridCol w:w="196"/>
        <w:gridCol w:w="691"/>
        <w:gridCol w:w="146"/>
        <w:gridCol w:w="146"/>
        <w:gridCol w:w="196"/>
        <w:gridCol w:w="661"/>
        <w:gridCol w:w="166"/>
        <w:gridCol w:w="146"/>
        <w:gridCol w:w="353"/>
        <w:gridCol w:w="625"/>
        <w:gridCol w:w="146"/>
        <w:gridCol w:w="146"/>
        <w:gridCol w:w="273"/>
        <w:gridCol w:w="798"/>
        <w:gridCol w:w="395"/>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3"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December 31, 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(2,807</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pPr>
      <w:r>
        <w:rPr>
          <w:rFonts w:ascii="Times New Roman" w:hAnsi="Times New Roman"/>
          <w:color w:val="000000"/>
          <w:sz w:val="20"/>
        </w:rPr>
        <w:t>Contains a variable rate structure. Bears interest at a rate determined by SOFR.</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December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color w:val="00000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2024</w:t>
      </w:r>
      <w:r>
        <w:rPr>
          <w:color w:val="000000"/>
        </w:rPr>
        <w:t xml:space="preserve"> </w:t>
      </w:r>
      <w:r>
        <w:rPr>
          <w:rFonts w:ascii="Times New Roman" w:hAnsi="Times New Roman"/>
          <w:color w:val="000000"/>
          <w:sz w:val="20"/>
        </w:rPr>
        <w:t>in which the issuer was an Affiliated Person of and was deemed to Control a portfolio company are as follows:</w:t>
      </w:r>
      <w:r>
        <w:rPr>
          <w:color w:val="00000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year ended December 31, 2024</w:t>
      </w:r>
    </w:p>
    <w:tbl>
      <w:tblPr>
        <w:tblW w:w="10610" w:type="dxa"/>
        <w:jc w:val="left"/>
        <w:tblInd w:w="0" w:type="dxa"/>
        <w:tblLayout w:type="fixed"/>
        <w:tblCellMar>
          <w:top w:w="28" w:type="dxa"/>
          <w:left w:w="28" w:type="dxa"/>
          <w:bottom w:w="28" w:type="dxa"/>
          <w:right w:w="28" w:type="dxa"/>
        </w:tblCellMar>
      </w:tblPr>
      <w:tblGrid>
        <w:gridCol w:w="826"/>
        <w:gridCol w:w="146"/>
        <w:gridCol w:w="203"/>
        <w:gridCol w:w="623"/>
        <w:gridCol w:w="146"/>
        <w:gridCol w:w="146"/>
        <w:gridCol w:w="196"/>
        <w:gridCol w:w="601"/>
        <w:gridCol w:w="146"/>
        <w:gridCol w:w="146"/>
        <w:gridCol w:w="325"/>
        <w:gridCol w:w="576"/>
        <w:gridCol w:w="146"/>
        <w:gridCol w:w="146"/>
        <w:gridCol w:w="226"/>
        <w:gridCol w:w="660"/>
        <w:gridCol w:w="166"/>
        <w:gridCol w:w="146"/>
        <w:gridCol w:w="260"/>
        <w:gridCol w:w="461"/>
        <w:gridCol w:w="146"/>
        <w:gridCol w:w="146"/>
        <w:gridCol w:w="287"/>
        <w:gridCol w:w="509"/>
        <w:gridCol w:w="146"/>
        <w:gridCol w:w="146"/>
        <w:gridCol w:w="203"/>
        <w:gridCol w:w="623"/>
        <w:gridCol w:w="146"/>
        <w:gridCol w:w="146"/>
        <w:gridCol w:w="256"/>
        <w:gridCol w:w="375"/>
        <w:gridCol w:w="146"/>
        <w:gridCol w:w="146"/>
        <w:gridCol w:w="196"/>
        <w:gridCol w:w="51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IRGSE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December 31, 2024, the estimated cost basis of investments for U.S. federal tax purposes was $3,535,963</w:t>
      </w:r>
      <w:r>
        <w:rPr>
          <w:color w:val="000000"/>
        </w:rPr>
        <w:t xml:space="preserve"> </w:t>
      </w:r>
      <w:r>
        <w:rPr>
          <w:rFonts w:ascii="Times New Roman" w:hAnsi="Times New Roman"/>
          <w:color w:val="000000"/>
          <w:sz w:val="20"/>
        </w:rPr>
        <w:t>resulting in estimated gross unrealized gains and losses of $207,435</w:t>
      </w:r>
      <w:r>
        <w:rPr>
          <w:color w:val="000000"/>
        </w:rPr>
        <w:t xml:space="preserve"> </w:t>
      </w:r>
      <w:r>
        <w:rPr>
          <w:rFonts w:ascii="Times New Roman" w:hAnsi="Times New Roman"/>
          <w:color w:val="000000"/>
          <w:sz w:val="20"/>
        </w:rPr>
        <w:t>and $216,975, respectively.</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pPr>
      <w:r>
        <w:rPr>
          <w:rFonts w:ascii="Times New Roman" w:hAnsi="Times New Roman"/>
          <w:color w:val="000000"/>
          <w:sz w:val="20"/>
        </w:rPr>
        <w:t xml:space="preserve">In accordance with Financial Accounting Standards Board Accounting Standards Codification Topic 820, </w:t>
      </w:r>
      <w:r>
        <w:rPr>
          <w:rFonts w:ascii="Times New Roman" w:hAnsi="Times New Roman"/>
          <w:i/>
          <w:color w:val="000000"/>
          <w:sz w:val="20"/>
        </w:rPr>
        <w:t>Fair Value Measurements</w:t>
      </w:r>
      <w:r>
        <w:rPr>
          <w:color w:val="000000"/>
        </w:rPr>
        <w:t xml:space="preserve"> </w:t>
      </w:r>
      <w:r>
        <w:rPr>
          <w:rFonts w:ascii="Times New Roman" w:hAnsi="Times New Roman"/>
          <w:color w:val="000000"/>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and may be deemed to be “restricted securities” under the Securities Act. As of December 31, 2024, the aggregate fair value of these securities is $12,926, or 0.8%</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Ownership of equity investments may occur through a holding company or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December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w:t>
        <w:br/>
        <w:t>separate Make-Whole Amount (the “Make-Whole”) of $13.7</w:t>
      </w:r>
      <w:r>
        <w:rPr>
          <w:color w:val="000000"/>
        </w:rPr>
        <w:t xml:space="preserve"> </w:t>
      </w:r>
      <w:r>
        <w:rPr>
          <w:rFonts w:ascii="Times New Roman" w:hAnsi="Times New Roman"/>
          <w:color w:val="000000"/>
          <w:sz w:val="20"/>
        </w:rPr>
        <w:t>million. The Make-Whole is a contractual obligation of the</w:t>
        <w:br/>
        <w:t>borrower and accrues interest on the balance outstanding. The Make-Whole is included on the Company’s Consolidated Balance</w:t>
        <w:br/>
        <w:t>Sheet within other assets, net of any valuation allowance. Given uncertainty relating to collectability of the Make-Whole, the</w:t>
        <w:br/>
        <w:t>Company has applied a full valuation allowance against the amount of the Make-Whole balance outstanding.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6" w:name="consolidated_statements_of_changes_in_ne"/>
      <w:bookmarkEnd w:id="6"/>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303"/>
        <w:gridCol w:w="146"/>
        <w:gridCol w:w="146"/>
        <w:gridCol w:w="916"/>
        <w:gridCol w:w="146"/>
        <w:gridCol w:w="146"/>
        <w:gridCol w:w="236"/>
        <w:gridCol w:w="455"/>
        <w:gridCol w:w="146"/>
        <w:gridCol w:w="146"/>
        <w:gridCol w:w="146"/>
        <w:gridCol w:w="691"/>
        <w:gridCol w:w="146"/>
        <w:gridCol w:w="146"/>
        <w:gridCol w:w="196"/>
        <w:gridCol w:w="661"/>
        <w:gridCol w:w="166"/>
        <w:gridCol w:w="146"/>
        <w:gridCol w:w="198"/>
        <w:gridCol w:w="834"/>
        <w:gridCol w:w="146"/>
        <w:gridCol w:w="146"/>
        <w:gridCol w:w="240"/>
        <w:gridCol w:w="811"/>
        <w:gridCol w:w="166"/>
        <w:gridCol w:w="146"/>
        <w:gridCol w:w="196"/>
        <w:gridCol w:w="826"/>
        <w:gridCol w:w="412"/>
      </w:tblGrid>
      <w:tr>
        <w:trPr/>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br/>
              <w:t>Assets</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93,661,436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1,607,529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93,964,358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1,525,774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1,601,283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47" w:type="dxa"/>
        <w:jc w:val="left"/>
        <w:tblInd w:w="0" w:type="dxa"/>
        <w:tblLayout w:type="fixed"/>
        <w:tblCellMar>
          <w:top w:w="28" w:type="dxa"/>
          <w:left w:w="28" w:type="dxa"/>
          <w:bottom w:w="28" w:type="dxa"/>
          <w:right w:w="28" w:type="dxa"/>
        </w:tblCellMar>
      </w:tblPr>
      <w:tblGrid>
        <w:gridCol w:w="1356"/>
        <w:gridCol w:w="146"/>
        <w:gridCol w:w="146"/>
        <w:gridCol w:w="916"/>
        <w:gridCol w:w="146"/>
        <w:gridCol w:w="146"/>
        <w:gridCol w:w="236"/>
        <w:gridCol w:w="455"/>
        <w:gridCol w:w="146"/>
        <w:gridCol w:w="146"/>
        <w:gridCol w:w="146"/>
        <w:gridCol w:w="691"/>
        <w:gridCol w:w="146"/>
        <w:gridCol w:w="146"/>
        <w:gridCol w:w="196"/>
        <w:gridCol w:w="661"/>
        <w:gridCol w:w="166"/>
        <w:gridCol w:w="146"/>
        <w:gridCol w:w="196"/>
        <w:gridCol w:w="826"/>
        <w:gridCol w:w="146"/>
        <w:gridCol w:w="146"/>
        <w:gridCol w:w="232"/>
        <w:gridCol w:w="819"/>
        <w:gridCol w:w="166"/>
        <w:gridCol w:w="146"/>
        <w:gridCol w:w="196"/>
        <w:gridCol w:w="826"/>
        <w:gridCol w:w="411"/>
      </w:tblGrid>
      <w:tr>
        <w:trPr/>
        <w:tc>
          <w:tcPr>
            <w:tcW w:w="1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br/>
              <w:t>Assets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87,829,499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1,496,375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Net Assets Resulting from Capital Share</w:t>
              <w:br/>
              <w:t>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Issuance of common stock, net of offering and </w:t>
              <w:br/>
              <w:t>   underwriting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92,121,556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1,492,511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1,582,006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s_of_cash_flows_fo"/>
      <w:bookmarkEnd w:id="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4"/>
        <w:gridCol w:w="146"/>
        <w:gridCol w:w="279"/>
        <w:gridCol w:w="1071"/>
        <w:gridCol w:w="166"/>
        <w:gridCol w:w="146"/>
        <w:gridCol w:w="279"/>
        <w:gridCol w:w="1071"/>
        <w:gridCol w:w="613"/>
      </w:tblGrid>
      <w:tr>
        <w:trPr/>
        <w:tc>
          <w:tcPr>
            <w:tcW w:w="6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increase (decrease) in net assets resulting from operations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amortization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discount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and originations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(211,348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26,102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89,294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 paid-in-kind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(65,538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622,000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(578,847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net of offering and</w:t>
              <w:br/>
              <w:t>   underwriting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81,457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(43,344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76,232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35,890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Excise and other taxes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declared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49,268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Reinvestment of dividends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solidated_financial_statemen"/>
      <w:bookmarkEnd w:id="8"/>
      <w:r>
        <w:rPr>
          <w:rFonts w:ascii="Times New Roman" w:hAnsi="Times New Roman"/>
          <w:b/>
          <w:color w:val="000000"/>
          <w:sz w:val="20"/>
        </w:rPr>
        <w:t>Notes to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unless otherwise indicated)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21, 2014, the Company completed its initial public offering (“IPO”) and the Company’s shares began trading on the New York Stock Exchange (“NYSE”) under the symbol “TSLX.” </w:t>
      </w:r>
    </w:p>
    <w:p>
      <w:pPr>
        <w:pStyle w:val="TextBody"/>
        <w:bidi w:val="0"/>
        <w:spacing w:before="36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2024, which was filed with the Securities and Exchange Commission (“SEC”), on February 13,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i/>
          <w:color w:val="000000"/>
          <w:sz w:val="20"/>
        </w:rPr>
        <w:t>Financial Services – Investment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fiscal year ends on December 31. </w:t>
      </w:r>
    </w:p>
    <w:p>
      <w:pPr>
        <w:pStyle w:val="TextBody"/>
        <w:bidi w:val="0"/>
        <w:spacing w:before="36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 originations are recorded on the date of the binding commitment, which is generally the funding date. Investment transactions purchased through the secondary markets are recorded on the trade date. Realized gains or losses are measured by the difference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undertakes a multi-step valuation process, which includes, among other procedures,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conducts this valuation process on a quarterly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engaged independent third-party valuation firms to perform certain limited procedures that the Board has identified and requested them to perform in connection with the valuation process of investments for which no market quotations are readily available. At March 31, 2025,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applies Financial Accounting Standards Board Accounting Standards Codification Topic 820, </w:t>
      </w:r>
      <w:r>
        <w:rPr>
          <w:rFonts w:ascii="Times New Roman" w:hAnsi="Times New Roman"/>
          <w:i/>
          <w:color w:val="000000"/>
          <w:sz w:val="20"/>
        </w:rPr>
        <w:t xml:space="preserve">Fair Value Measurement </w:t>
      </w:r>
      <w:r>
        <w:rPr>
          <w:rFonts w:ascii="Times New Roman" w:hAnsi="Times New Roman"/>
          <w:color w:val="000000"/>
          <w:sz w:val="20"/>
        </w:rPr>
        <w:t xml:space="preserve">(“ASC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hierarchy that prioritizes and ranks the level of observability of inputs used in determination of fair value. In accordance with ASC Topic 820, these levels are summarized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based on quoted prices in active markets for identical assets or liabilities that the Company has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based on inputs that are unobservable and significant to the overall fair value measurement.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and Derivative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Derivatives, including the Company’s interest rate swaps, for which broker quotes are available are typically valued at those broker quotes.</w:t>
      </w:r>
    </w:p>
    <w:p>
      <w:pPr>
        <w:pStyle w:val="TextBody"/>
        <w:bidi w:val="0"/>
        <w:spacing w:before="360" w:after="283"/>
        <w:jc w:val="left"/>
        <w:rPr>
          <w:rFonts w:ascii="Times New Roman" w:hAnsi="Times New Roman"/>
          <w:sz w:val="20"/>
        </w:rPr>
      </w:pPr>
      <w:r>
        <w:rPr>
          <w:rFonts w:ascii="Times New Roman" w:hAnsi="Times New Roman"/>
          <w:i/>
          <w:color w:val="000000"/>
          <w:sz w:val="20"/>
        </w:rPr>
        <w:t>Offsetting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 </w:t>
      </w:r>
    </w:p>
    <w:p>
      <w:pPr>
        <w:pStyle w:val="TextBody"/>
        <w:bidi w:val="0"/>
        <w:spacing w:before="360" w:after="283"/>
        <w:jc w:val="left"/>
        <w:rPr>
          <w:rFonts w:ascii="Times New Roman" w:hAnsi="Times New Roman"/>
          <w:sz w:val="20"/>
        </w:rPr>
      </w:pPr>
      <w:r>
        <w:rPr>
          <w:rFonts w:ascii="Times New Roman" w:hAnsi="Times New Roman"/>
          <w:i/>
          <w:color w:val="000000"/>
          <w:sz w:val="20"/>
        </w:rPr>
        <w:t>Foreign Currency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amounts are translated into U.S. dollars on the following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purchases and sales of investments, borrowings and repayments of such borrowings, income and expenses: at the rates of exchange prevailing on the respective dates of such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denominated in foreign currencies and foreign currency transactions may involve certain considerations and risks not typically associated with those of domestic origin, including unanticipated movements in the value of the foreign currency relative to the U.S. dollar. </w:t>
      </w:r>
    </w:p>
    <w:p>
      <w:pPr>
        <w:pStyle w:val="TextBody"/>
        <w:bidi w:val="0"/>
        <w:spacing w:before="360" w:after="283"/>
        <w:jc w:val="left"/>
        <w:rPr>
          <w:rFonts w:ascii="Times New Roman" w:hAnsi="Times New Roman"/>
          <w:sz w:val="20"/>
        </w:rPr>
      </w:pPr>
      <w:r>
        <w:rPr>
          <w:rFonts w:ascii="Times New Roman" w:hAnsi="Times New Roman"/>
          <w:i/>
          <w:color w:val="000000"/>
          <w:sz w:val="20"/>
        </w:rPr>
        <w:t>Equity Offering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expenses related to equity offerings as a reduction of capital upon completion of an offering of registered securities. The costs associated with renewals of the Company’s shelf registration statement are expensed as incurred. </w:t>
      </w:r>
    </w:p>
    <w:p>
      <w:pPr>
        <w:pStyle w:val="TextBody"/>
        <w:bidi w:val="0"/>
        <w:spacing w:before="360" w:after="283"/>
        <w:jc w:val="left"/>
        <w:rPr>
          <w:rFonts w:ascii="Times New Roman" w:hAnsi="Times New Roman"/>
          <w:sz w:val="20"/>
        </w:rPr>
      </w:pPr>
      <w:r>
        <w:rPr>
          <w:rFonts w:ascii="Times New Roman" w:hAnsi="Times New Roman"/>
          <w:i/>
          <w:color w:val="000000"/>
          <w:sz w:val="20"/>
        </w:rPr>
        <w:t>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providing services in connection with an investment, such as syndication, structuring or diligence, all or a portion of any loan fees received by the Company will be deferred and amortized over the investment’s life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 </w:t>
      </w:r>
    </w:p>
    <w:p>
      <w:pPr>
        <w:pStyle w:val="TextBody"/>
        <w:bidi w:val="0"/>
        <w:spacing w:before="360" w:after="283"/>
        <w:jc w:val="left"/>
        <w:rPr>
          <w:rFonts w:ascii="Times New Roman" w:hAnsi="Times New Roman"/>
          <w:sz w:val="20"/>
        </w:rPr>
      </w:pPr>
      <w:r>
        <w:rPr>
          <w:rFonts w:ascii="Times New Roman" w:hAnsi="Times New Roman"/>
          <w:i/>
          <w:color w:val="000000"/>
          <w:sz w:val="20"/>
        </w:rPr>
        <w:t>Reimbursement of Transaction-Related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and 2024, the Company recorded a net expense of $1.4 million and $0.8 million, respectively, for U.S. federal excise tax and other taxes.</w:t>
      </w:r>
    </w:p>
    <w:p>
      <w:pPr>
        <w:pStyle w:val="TextBody"/>
        <w:bidi w:val="0"/>
        <w:spacing w:before="360" w:after="283"/>
        <w:jc w:val="left"/>
        <w:rPr>
          <w:rFonts w:ascii="Times New Roman" w:hAnsi="Times New Roman"/>
          <w:sz w:val="20"/>
        </w:rPr>
      </w:pPr>
      <w:r>
        <w:rPr>
          <w:rFonts w:ascii="Times New Roman" w:hAnsi="Times New Roman"/>
          <w:i/>
          <w:color w:val="000000"/>
          <w:sz w:val="20"/>
        </w:rPr>
        <w:t>Dividends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chief operating decision maker (the “CODM”) is comprised of the senior executive committee that includes the Chief Executive Officer, President, Chief Financial Officer, and the Deputy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Standards and Regulatory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does not expect this update to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the Company's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3. Agreements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Administration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and 2024, the Company incurred expenses of $1.0 million and $0.9 million, respectively, for administrative services payable to the Adviser under the terms of the Administration Agreement, which is included in other general and administrative expenses in the Consolidated Statements of Operations.</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and 2024, Management Fees (gross of waivers) were $13.1 million and $12.6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Management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months ended March 31, 2025 and 2024, the Adviser waived Management Fees of $0.4 million and $0.4 million, respectively, have been waived pursuant to the Leverage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Incentive Fee consists of two parts,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determining whether pre-Incentive Fee net investment income exceeds the hurdle rate, pre-Incentive Fee net investment income is expressed as a rate of return on the value of the Company’s net assets at the end of the immediately preceding calendar quarter.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Incentive Fees were $7.8 million, of which $11.5 million were realized and payable to the Adviser. For the three months ended March 31, 2024, Incentive Fees were $10.1 million, of which $10.9 million were realized and payable to the Adviser. For the three months ended March 31, 2025 and 2024, $(3.7) million and $(0.8) million, respectively, of Incentive Fees was accrued related to Capital Gains Fees. As of March 31, 2025, the Capital Gains Fees accrued are not contractually payable to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Incentive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w:t>
      </w:r>
    </w:p>
    <w:p>
      <w:pPr>
        <w:pStyle w:val="TextBody"/>
        <w:bidi w:val="0"/>
        <w:spacing w:before="360" w:after="283"/>
        <w:jc w:val="left"/>
        <w:rPr>
          <w:rFonts w:ascii="Times New Roman" w:hAnsi="Times New Roman"/>
          <w:sz w:val="20"/>
        </w:rPr>
      </w:pPr>
      <w:r>
        <w:rPr>
          <w:rFonts w:ascii="Times New Roman" w:hAnsi="Times New Roman"/>
          <w:b/>
          <w:color w:val="000000"/>
          <w:sz w:val="20"/>
        </w:rPr>
        <w:t>4. 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at fair value consisted of the following at March 31, 2025 and December 31, 2024: </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represents the original cost adjusted for the amortization of discounts or premiums, as applicable, on debt investments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industry composition of investments at fair value at March 31, 2025 and December 31, 2024 is as follows: </w:t>
      </w:r>
    </w:p>
    <w:p>
      <w:pPr>
        <w:pStyle w:val="TextBody"/>
        <w:bidi w:val="0"/>
        <w:jc w:val="left"/>
        <w:rPr/>
      </w:pPr>
      <w:r>
        <w:rPr/>
        <w:t> </w:t>
      </w:r>
    </w:p>
    <w:tbl>
      <w:tblPr>
        <w:tblW w:w="6950" w:type="dxa"/>
        <w:jc w:val="left"/>
        <w:tblInd w:w="0" w:type="dxa"/>
        <w:tblLayout w:type="fixed"/>
        <w:tblCellMar>
          <w:top w:w="28" w:type="dxa"/>
          <w:left w:w="28" w:type="dxa"/>
          <w:bottom w:w="28" w:type="dxa"/>
          <w:right w:w="28" w:type="dxa"/>
        </w:tblCellMar>
      </w:tblPr>
      <w:tblGrid>
        <w:gridCol w:w="2911"/>
        <w:gridCol w:w="146"/>
        <w:gridCol w:w="256"/>
        <w:gridCol w:w="1004"/>
        <w:gridCol w:w="371"/>
        <w:gridCol w:w="2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geographic composition of investments at fair value at March 31, 2025 and December 31, 2024 is as follows: </w:t>
      </w:r>
    </w:p>
    <w:p>
      <w:pPr>
        <w:pStyle w:val="TextBody"/>
        <w:bidi w:val="0"/>
        <w:jc w:val="left"/>
        <w:rPr/>
      </w:pPr>
      <w:r>
        <w:rPr/>
        <w:t> </w:t>
      </w:r>
    </w:p>
    <w:tbl>
      <w:tblPr>
        <w:tblW w:w="5325" w:type="dxa"/>
        <w:jc w:val="left"/>
        <w:tblInd w:w="0" w:type="dxa"/>
        <w:tblLayout w:type="fixed"/>
        <w:tblCellMar>
          <w:top w:w="28" w:type="dxa"/>
          <w:left w:w="28" w:type="dxa"/>
          <w:bottom w:w="28" w:type="dxa"/>
          <w:right w:w="28" w:type="dxa"/>
        </w:tblCellMar>
      </w:tblPr>
      <w:tblGrid>
        <w:gridCol w:w="1486"/>
        <w:gridCol w:w="146"/>
        <w:gridCol w:w="256"/>
        <w:gridCol w:w="1004"/>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Finland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spacing w:before="360" w:after="283"/>
        <w:jc w:val="left"/>
        <w:rPr>
          <w:rFonts w:ascii="Times New Roman" w:hAnsi="Times New Roman"/>
          <w:sz w:val="20"/>
        </w:rPr>
      </w:pPr>
      <w:r>
        <w:rPr>
          <w:rFonts w:ascii="Times New Roman" w:hAnsi="Times New Roman"/>
          <w:b/>
          <w:color w:val="000000"/>
          <w:sz w:val="20"/>
        </w:rPr>
        <w:t>5.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Swaps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related to the Company's derivatives are included within operating activities on the Consolidated Statements of Cash Flows. The following tables present the amounts paid and received on the Company’s interest rate swap transactions for the three months ended March 31, 2025 and 2024:</w:t>
      </w:r>
    </w:p>
    <w:p>
      <w:pPr>
        <w:pStyle w:val="TextBody"/>
        <w:bidi w:val="0"/>
        <w:jc w:val="left"/>
        <w:rPr/>
      </w:pPr>
      <w:r>
        <w:rPr/>
        <w:t> </w:t>
      </w:r>
    </w:p>
    <w:tbl>
      <w:tblPr>
        <w:tblW w:w="8397" w:type="dxa"/>
        <w:jc w:val="left"/>
        <w:tblInd w:w="0" w:type="dxa"/>
        <w:tblLayout w:type="fixed"/>
        <w:tblCellMar>
          <w:top w:w="28" w:type="dxa"/>
          <w:left w:w="28" w:type="dxa"/>
          <w:bottom w:w="28" w:type="dxa"/>
          <w:right w:w="28" w:type="dxa"/>
        </w:tblCellMar>
      </w:tblPr>
      <w:tblGrid>
        <w:gridCol w:w="1516"/>
        <w:gridCol w:w="146"/>
        <w:gridCol w:w="1156"/>
        <w:gridCol w:w="146"/>
        <w:gridCol w:w="252"/>
        <w:gridCol w:w="1113"/>
        <w:gridCol w:w="146"/>
        <w:gridCol w:w="146"/>
        <w:gridCol w:w="218"/>
        <w:gridCol w:w="760"/>
        <w:gridCol w:w="171"/>
        <w:gridCol w:w="150"/>
        <w:gridCol w:w="218"/>
        <w:gridCol w:w="698"/>
        <w:gridCol w:w="150"/>
        <w:gridCol w:w="150"/>
        <w:gridCol w:w="218"/>
        <w:gridCol w:w="652"/>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8417" w:type="dxa"/>
        <w:jc w:val="left"/>
        <w:tblInd w:w="0" w:type="dxa"/>
        <w:tblLayout w:type="fixed"/>
        <w:tblCellMar>
          <w:top w:w="28" w:type="dxa"/>
          <w:left w:w="28" w:type="dxa"/>
          <w:bottom w:w="28" w:type="dxa"/>
          <w:right w:w="28" w:type="dxa"/>
        </w:tblCellMar>
      </w:tblPr>
      <w:tblGrid>
        <w:gridCol w:w="1516"/>
        <w:gridCol w:w="146"/>
        <w:gridCol w:w="1156"/>
        <w:gridCol w:w="146"/>
        <w:gridCol w:w="252"/>
        <w:gridCol w:w="1113"/>
        <w:gridCol w:w="146"/>
        <w:gridCol w:w="146"/>
        <w:gridCol w:w="218"/>
        <w:gridCol w:w="760"/>
        <w:gridCol w:w="171"/>
        <w:gridCol w:w="150"/>
        <w:gridCol w:w="218"/>
        <w:gridCol w:w="698"/>
        <w:gridCol w:w="150"/>
        <w:gridCol w:w="150"/>
        <w:gridCol w:w="218"/>
        <w:gridCol w:w="652"/>
        <w:gridCol w:w="41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5,213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(5,215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4,109</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(23,974</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14,594</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2025 the Company recognized $17.6 million of unrealized gains on interest rate swaps designated as hedging instruments in the Consolidated Statements of Operations. For the three months ended March 31, 2024, the Company recognized $10.4 million of unrealized losses on interest rate swaps designated as hedging instruments in the Consolidated Statements of Operations. For the three months ended March 31, 2024, this amount is offset by an increase of $2.2 million for a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the carrying value of the 2024 Notes. For the three months ended March 31, 2025 and 2024, this amount is offset by an increase of $3.4 million and a decrease of $1.2 million, respectively, for a change in carrying value of the 2026 Notes, for the three months ended March 31, 2025 and 2024, an increase of $3.6 million and a decrease of $6.2 million, respectively, for a change in carrying value of the 2028 Notes and for the three months ended March 31, 2025 and 2024 this amount is offset by an increase of $5.0 million and a decrease of $5.2 million for a change in carrying value of the 2029 Notes. For the three months ended March 31, 2025 this amount if offset by an increase of $5.6 million for a change in carrying value of the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swap transactions had a fair value of $(6.6) million, which is netted against cash collateral of $49.4 million. Cash is pledged as collateral under the Company’s derivative agreements and is included in restricted cash as a component of cash and cash equivalents on the Company’s Consolidated Balance Sheet. As of December 31, 2024, the swap transactions had a fair value of $(24.2) million, which is netted against cash collateral of $46.6 million. Cash is pledged as collateral under the Company’s derivative agreements and is included in restricted cash as a component of cash and cash equivalents on the Company’s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enter into other derivative instruments and incur other exposures with the same or other counterparties in the future.</w:t>
      </w:r>
    </w:p>
    <w:p>
      <w:pPr>
        <w:pStyle w:val="TextBody"/>
        <w:bidi w:val="0"/>
        <w:spacing w:before="360" w:after="283"/>
        <w:jc w:val="left"/>
        <w:rPr>
          <w:rFonts w:ascii="Times New Roman" w:hAnsi="Times New Roman"/>
          <w:sz w:val="20"/>
        </w:rPr>
      </w:pPr>
      <w:r>
        <w:rPr>
          <w:rFonts w:ascii="Times New Roman" w:hAnsi="Times New Roman"/>
          <w:b/>
          <w:color w:val="000000"/>
          <w:sz w:val="20"/>
        </w:rPr>
        <w:t>6.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fair value measurements of investments as of March 31, 2025 and December 31, 2024: </w:t>
      </w:r>
    </w:p>
    <w:tbl>
      <w:tblPr>
        <w:tblW w:w="8187" w:type="dxa"/>
        <w:jc w:val="left"/>
        <w:tblInd w:w="0" w:type="dxa"/>
        <w:tblLayout w:type="fixed"/>
        <w:tblCellMar>
          <w:top w:w="28" w:type="dxa"/>
          <w:left w:w="28" w:type="dxa"/>
          <w:bottom w:w="28" w:type="dxa"/>
          <w:right w:w="28" w:type="dxa"/>
        </w:tblCellMar>
      </w:tblPr>
      <w:tblGrid>
        <w:gridCol w:w="2781"/>
        <w:gridCol w:w="146"/>
        <w:gridCol w:w="211"/>
        <w:gridCol w:w="571"/>
        <w:gridCol w:w="146"/>
        <w:gridCol w:w="146"/>
        <w:gridCol w:w="211"/>
        <w:gridCol w:w="676"/>
        <w:gridCol w:w="166"/>
        <w:gridCol w:w="146"/>
        <w:gridCol w:w="211"/>
        <w:gridCol w:w="931"/>
        <w:gridCol w:w="146"/>
        <w:gridCol w:w="146"/>
        <w:gridCol w:w="211"/>
        <w:gridCol w:w="93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3,168,510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247" w:type="dxa"/>
        <w:jc w:val="left"/>
        <w:tblInd w:w="0" w:type="dxa"/>
        <w:tblLayout w:type="fixed"/>
        <w:tblCellMar>
          <w:top w:w="28" w:type="dxa"/>
          <w:left w:w="28" w:type="dxa"/>
          <w:bottom w:w="28" w:type="dxa"/>
          <w:right w:w="28" w:type="dxa"/>
        </w:tblCellMar>
      </w:tblPr>
      <w:tblGrid>
        <w:gridCol w:w="27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3,302,504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3,494,174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tables present the changes in the fair value of investments for which Level 3 inputs were used to determine the fair value as of and for the three months ended March 31, 2025 and 2024: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3,371,229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pPr>
      <w:r>
        <w:rPr/>
        <w:t> </w:t>
      </w:r>
    </w:p>
    <w:tbl>
      <w:tblPr>
        <w:tblW w:w="10205" w:type="dxa"/>
        <w:jc w:val="left"/>
        <w:tblInd w:w="0" w:type="dxa"/>
        <w:tblLayout w:type="fixed"/>
        <w:tblCellMar>
          <w:top w:w="28" w:type="dxa"/>
          <w:left w:w="28" w:type="dxa"/>
          <w:bottom w:w="28" w:type="dxa"/>
          <w:right w:w="28" w:type="dxa"/>
        </w:tblCellMar>
      </w:tblPr>
      <w:tblGrid>
        <w:gridCol w:w="3292"/>
        <w:gridCol w:w="146"/>
        <w:gridCol w:w="211"/>
        <w:gridCol w:w="931"/>
        <w:gridCol w:w="166"/>
        <w:gridCol w:w="146"/>
        <w:gridCol w:w="225"/>
        <w:gridCol w:w="721"/>
        <w:gridCol w:w="166"/>
        <w:gridCol w:w="146"/>
        <w:gridCol w:w="225"/>
        <w:gridCol w:w="721"/>
        <w:gridCol w:w="146"/>
        <w:gridCol w:w="146"/>
        <w:gridCol w:w="211"/>
        <w:gridCol w:w="781"/>
        <w:gridCol w:w="146"/>
        <w:gridCol w:w="146"/>
        <w:gridCol w:w="211"/>
        <w:gridCol w:w="931"/>
        <w:gridCol w:w="391"/>
      </w:tblGrid>
      <w:tr>
        <w:trPr/>
        <w:tc>
          <w:tcPr>
            <w:tcW w:w="3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3,330,769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presents information with respect to the net change in unrealized gains or losses on investments for which Level 3 inputs were used in determining fair value that are still held by the Company at March 31, 2025 and 2024: </w:t>
      </w:r>
    </w:p>
    <w:tbl>
      <w:tblPr>
        <w:tblW w:w="7660" w:type="dxa"/>
        <w:jc w:val="left"/>
        <w:tblInd w:w="0" w:type="dxa"/>
        <w:tblLayout w:type="fixed"/>
        <w:tblCellMar>
          <w:top w:w="28" w:type="dxa"/>
          <w:left w:w="28" w:type="dxa"/>
          <w:bottom w:w="28" w:type="dxa"/>
          <w:right w:w="28" w:type="dxa"/>
        </w:tblCellMar>
      </w:tblPr>
      <w:tblGrid>
        <w:gridCol w:w="2521"/>
        <w:gridCol w:w="146"/>
        <w:gridCol w:w="537"/>
        <w:gridCol w:w="1608"/>
        <w:gridCol w:w="166"/>
        <w:gridCol w:w="146"/>
        <w:gridCol w:w="537"/>
        <w:gridCol w:w="1608"/>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the fair value of Level 3 Investments and the significant unobservable inputs used in the valuations as of March 31, 2025 and December 31, 2024. The tables are not intended to be all-inclusive, but instead capture the significant unobservable inputs relevant to the Company’s determination of fair values.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7.4% — 18.2% (12.0%)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14.6% — 18.9% (15.3%)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11.6% — 20.0% (11.8%)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2.3x — 20.0x (8.2x)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3,371,229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sz w:val="24"/>
        </w:rPr>
      </w:pPr>
      <w:r>
        <w:rPr>
          <w:rFonts w:ascii="Times New Roman" w:hAnsi="Times New Roman"/>
          <w:color w:val="000000"/>
          <w:sz w:val="20"/>
        </w:rPr>
        <w:t>Includes $161.8</w:t>
      </w:r>
      <w:r>
        <w:rPr>
          <w:rFonts w:ascii="Times New Roman" w:hAnsi="Times New Roman"/>
          <w:color w:val="000000"/>
          <w:sz w:val="24"/>
        </w:rPr>
        <w:t xml:space="preserve"> </w:t>
      </w:r>
      <w:r>
        <w:rPr>
          <w:rFonts w:ascii="Times New Roman" w:hAnsi="Times New Roman"/>
          <w:color w:val="000000"/>
          <w:sz w:val="20"/>
        </w:rPr>
        <w:t xml:space="preserve">million of debt investments which were valued using an asset valuation waterfall.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sz w:val="24"/>
        </w:rPr>
      </w:pPr>
      <w:r>
        <w:rPr>
          <w:rFonts w:ascii="Times New Roman" w:hAnsi="Times New Roman"/>
          <w:color w:val="000000"/>
          <w:sz w:val="20"/>
        </w:rPr>
        <w:t>Includes $3.0</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sz w:val="24"/>
        </w:rPr>
      </w:pPr>
      <w:r>
        <w:rPr>
          <w:rFonts w:ascii="Times New Roman" w:hAnsi="Times New Roman"/>
          <w:color w:val="000000"/>
          <w:sz w:val="20"/>
        </w:rPr>
        <w:t>Includes $0.1</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sz w:val="24"/>
        </w:rPr>
      </w:pPr>
      <w:r>
        <w:rPr>
          <w:rFonts w:ascii="Times New Roman" w:hAnsi="Times New Roman"/>
          <w:color w:val="000000"/>
          <w:sz w:val="20"/>
        </w:rPr>
        <w:t>Includes $13.1</w:t>
      </w:r>
      <w:r>
        <w:rPr>
          <w:rFonts w:ascii="Times New Roman" w:hAnsi="Times New Roman"/>
          <w:color w:val="000000"/>
          <w:sz w:val="24"/>
        </w:rPr>
        <w:t xml:space="preserve"> </w:t>
      </w:r>
      <w:r>
        <w:rPr>
          <w:rFonts w:ascii="Times New Roman" w:hAnsi="Times New Roman"/>
          <w:color w:val="000000"/>
          <w:sz w:val="20"/>
        </w:rPr>
        <w:t>million of equity investments which were valued using an asset valuation waterfall, $0.7</w:t>
      </w:r>
      <w:r>
        <w:rPr>
          <w:rFonts w:ascii="Times New Roman" w:hAnsi="Times New Roman"/>
          <w:color w:val="000000"/>
          <w:sz w:val="24"/>
        </w:rPr>
        <w:t xml:space="preserve"> </w:t>
      </w:r>
      <w:r>
        <w:rPr>
          <w:rFonts w:ascii="Times New Roman" w:hAnsi="Times New Roman"/>
          <w:color w:val="000000"/>
          <w:sz w:val="20"/>
        </w:rPr>
        <w:t>million of equity investments using a Black-Scholes model and $20.4</w:t>
      </w:r>
      <w:r>
        <w:rPr>
          <w:rFonts w:ascii="Times New Roman" w:hAnsi="Times New Roman"/>
          <w:color w:val="000000"/>
          <w:sz w:val="24"/>
        </w:rPr>
        <w:t xml:space="preserve"> </w:t>
      </w:r>
      <w:r>
        <w:rPr>
          <w:rFonts w:ascii="Times New Roman" w:hAnsi="Times New Roman"/>
          <w:color w:val="000000"/>
          <w:sz w:val="20"/>
        </w:rPr>
        <w:t>million of equity investments using a discounted cash flow analysis.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7.7% — 17.7% (12.1%)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14.6% — 18.1% (15.6%)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12.2% — 22.5% (12.7%)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2.3x — 20.0x (7.8x)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4"/>
        </w:rPr>
      </w:pPr>
      <w:r>
        <w:rPr>
          <w:rFonts w:ascii="Times New Roman" w:hAnsi="Times New Roman"/>
          <w:color w:val="000000"/>
          <w:sz w:val="20"/>
        </w:rPr>
        <w:t>Includes $199.4</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Includes $6.0</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sz w:val="24"/>
        </w:rPr>
      </w:pPr>
      <w:r>
        <w:rPr>
          <w:rFonts w:ascii="Times New Roman" w:hAnsi="Times New Roman"/>
          <w:color w:val="000000"/>
          <w:sz w:val="20"/>
        </w:rPr>
        <w:t>Includes $0.1</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sz w:val="24"/>
        </w:rPr>
      </w:pPr>
      <w:r>
        <w:rPr>
          <w:rFonts w:ascii="Times New Roman" w:hAnsi="Times New Roman"/>
          <w:color w:val="000000"/>
          <w:sz w:val="20"/>
        </w:rPr>
        <w:t>Includes $13.6</w:t>
      </w:r>
      <w:r>
        <w:rPr>
          <w:rFonts w:ascii="Times New Roman" w:hAnsi="Times New Roman"/>
          <w:color w:val="000000"/>
          <w:sz w:val="24"/>
        </w:rPr>
        <w:t xml:space="preserve"> </w:t>
      </w:r>
      <w:r>
        <w:rPr>
          <w:rFonts w:ascii="Times New Roman" w:hAnsi="Times New Roman"/>
          <w:color w:val="000000"/>
          <w:sz w:val="20"/>
        </w:rPr>
        <w:t>million of equity investments which were valued using an asset valuation waterfall, $0.5</w:t>
      </w:r>
      <w:r>
        <w:rPr>
          <w:rFonts w:ascii="Times New Roman" w:hAnsi="Times New Roman"/>
          <w:color w:val="000000"/>
          <w:sz w:val="24"/>
        </w:rPr>
        <w:t xml:space="preserve"> </w:t>
      </w:r>
      <w:r>
        <w:rPr>
          <w:rFonts w:ascii="Times New Roman" w:hAnsi="Times New Roman"/>
          <w:color w:val="000000"/>
          <w:sz w:val="20"/>
        </w:rPr>
        <w:t>million of equity investments using a Black-Scholes model and $20.4</w:t>
      </w:r>
      <w:r>
        <w:rPr>
          <w:rFonts w:ascii="Times New Roman" w:hAnsi="Times New Roman"/>
          <w:color w:val="000000"/>
          <w:sz w:val="24"/>
        </w:rPr>
        <w:t xml:space="preserve"> </w:t>
      </w:r>
      <w:r>
        <w:rPr>
          <w:rFonts w:ascii="Times New Roman" w:hAnsi="Times New Roman"/>
          <w:color w:val="000000"/>
          <w:sz w:val="20"/>
        </w:rPr>
        <w:t>million of equity investments using a discounted cash flow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Instruments Not Carried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Company’s Revolving Credit Facility, which is categorized as Level 3 within the fair value hierarchy, as of March 31, 2025 and December 31, 2024, approximates its carrying value as the outstanding balance is callable at carrying value.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presents the fair value of the Company’s 2026 Notes, 2028 Notes, 2029 Notes and 2030 Notes as of March 31, 2025 and December 31, 2024. </w:t>
      </w:r>
    </w:p>
    <w:tbl>
      <w:tblPr>
        <w:tblW w:w="6746" w:type="dxa"/>
        <w:jc w:val="left"/>
        <w:tblInd w:w="0" w:type="dxa"/>
        <w:tblLayout w:type="fixed"/>
        <w:tblCellMar>
          <w:top w:w="28" w:type="dxa"/>
          <w:left w:w="28" w:type="dxa"/>
          <w:bottom w:w="28" w:type="dxa"/>
          <w:right w:w="28" w:type="dxa"/>
        </w:tblCellMar>
      </w:tblPr>
      <w:tblGrid>
        <w:gridCol w:w="1051"/>
        <w:gridCol w:w="146"/>
        <w:gridCol w:w="211"/>
        <w:gridCol w:w="931"/>
        <w:gridCol w:w="146"/>
        <w:gridCol w:w="146"/>
        <w:gridCol w:w="211"/>
        <w:gridCol w:w="931"/>
        <w:gridCol w:w="146"/>
        <w:gridCol w:w="146"/>
        <w:gridCol w:w="213"/>
        <w:gridCol w:w="793"/>
        <w:gridCol w:w="146"/>
        <w:gridCol w:w="146"/>
        <w:gridCol w:w="211"/>
        <w:gridCol w:w="781"/>
        <w:gridCol w:w="3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is based on broker quotes received by the Company and is categorized as Level 2 within the fair value hierarchy.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Other Financial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the Company’s assets and liabilities, other than investments at fair value and the 2026 Notes, 2028 Notes, 2029 Notes and 2030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 </w:t>
      </w:r>
    </w:p>
    <w:p>
      <w:pPr>
        <w:pStyle w:val="TextBody"/>
        <w:bidi w:val="0"/>
        <w:spacing w:before="360" w:after="283"/>
        <w:jc w:val="left"/>
        <w:rPr>
          <w:rFonts w:ascii="Times New Roman" w:hAnsi="Times New Roman"/>
          <w:sz w:val="20"/>
        </w:rPr>
      </w:pPr>
      <w:r>
        <w:rPr>
          <w:rFonts w:ascii="Times New Roman" w:hAnsi="Times New Roman"/>
          <w:b/>
          <w:color w:val="000000"/>
          <w:sz w:val="20"/>
        </w:rPr>
        <w:t>7. Debt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aggregate commitments under the Revolving Credit Facility were $1.675 billion. The Revolving Credit Facility includes an uncommitted accordion feature that allows the Company, under certain circumstances, to increase the size of the Revolving Credit Facility to up to $2.5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March 31, 2025, the Company had outstanding debt denominated in Australian dollars (AUD) of 63.0 million, British pounds (GBP) of 69.4 million, Canadian dollars (CAD) of 35.0 million, Swedish Krona (SEK) of 80.9 million and Euro (EUR) of 180.4 million on its Revolving Credit Facility, included in the Outstanding Principal amount in the table above. As of December 31, 2024, the Company had outstanding debt denominated in Australian dollars (AUD) of 63.0 million, British pounds (GBP) of 62.4 million, Canadian dollars (CAD) of 5.0 million, Swedish Krona (SEK) of 80.2 million, and Euro (EUR) of 167.2 million on our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also provides for the issuance of letters of credit up to an aggregate amount of $75 million. As of March 31, 2025 and December 31, 2024, the Company had $23.0 million and $21.8 million outstanding letters of credit issued through the Revolving Credit Facility. The amount available for borrowing under the Revolving Credit Facility is reduced by any letters of credit issued through the Revolving Credit Facility.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0.325%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includes customary events of default, as well as customary covenants, including restrictions on certain distributions and financial covenants. In accordance with the terms of the Sixteenth Amendment, the financial covenants require: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asset coverage ratio of no less than 2</w:t>
      </w:r>
      <w:r>
        <w:rPr>
          <w:color w:val="000000"/>
        </w:rPr>
        <w:t xml:space="preserve"> </w:t>
      </w:r>
      <w:r>
        <w:rPr>
          <w:rFonts w:ascii="Times New Roman" w:hAnsi="Times New Roman"/>
          <w:color w:val="000000"/>
          <w:sz w:val="20"/>
        </w:rPr>
        <w:t xml:space="preserve">to 1 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stockholders’ equity of at least $650</w:t>
      </w:r>
      <w:r>
        <w:rPr>
          <w:color w:val="000000"/>
        </w:rPr>
        <w:t xml:space="preserve"> </w:t>
      </w:r>
      <w:r>
        <w:rPr>
          <w:rFonts w:ascii="Times New Roman" w:hAnsi="Times New Roman"/>
          <w:color w:val="000000"/>
          <w:sz w:val="20"/>
        </w:rPr>
        <w:t>million plus 25% of the net proceeds of the sale of equity interests after April 24, 2024;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minimum asset coverage ratio of no less than 1.5</w:t>
      </w:r>
      <w:r>
        <w:rPr>
          <w:color w:val="000000"/>
        </w:rPr>
        <w:t xml:space="preserve"> </w:t>
      </w:r>
      <w:r>
        <w:rPr>
          <w:rFonts w:ascii="Times New Roman" w:hAnsi="Times New Roman"/>
          <w:color w:val="000000"/>
          <w:sz w:val="20"/>
        </w:rPr>
        <w:t>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proceeds received from the Company’s issuance of the 2030 Notes were used to pay down borrowings on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and December 31, 2024, the Company was in compliance with the terms of the Revolving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the Company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2024 Notes matured on November 1, 2024 and were fully repaid. The corresponding swap transaction associated with the issuance of the 2024 Notes also matured on November 1, 2024.</w:t>
      </w:r>
    </w:p>
    <w:p>
      <w:pPr>
        <w:pStyle w:val="TextBody"/>
        <w:bidi w:val="0"/>
        <w:spacing w:before="360" w:after="120"/>
        <w:jc w:val="left"/>
        <w:rPr>
          <w:rFonts w:ascii="Times New Roman" w:hAnsi="Times New Roman"/>
          <w:sz w:val="20"/>
        </w:rPr>
      </w:pPr>
      <w:r>
        <w:rPr>
          <w:rFonts w:ascii="Times New Roman" w:hAnsi="Times New Roman"/>
          <w:i/>
          <w:color w:val="000000"/>
          <w:sz w:val="20"/>
        </w:rPr>
        <w:t>2026 Notes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February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March 31, 2025 and December 31, 2024, the effective hedge interest rate swaps had a fair value of $(14.2) million and $(17.6) million, respectively, which is offset within interest expense by an equal, but opposite, fair value change for the hedged risk on the 2026 Notes.</w:t>
      </w:r>
    </w:p>
    <w:p>
      <w:pPr>
        <w:pStyle w:val="TextBody"/>
        <w:bidi w:val="0"/>
        <w:spacing w:before="360" w:after="283"/>
        <w:jc w:val="left"/>
        <w:rPr>
          <w:rFonts w:ascii="Times New Roman" w:hAnsi="Times New Roman"/>
          <w:sz w:val="20"/>
        </w:rPr>
      </w:pPr>
      <w:r>
        <w:rPr>
          <w:rFonts w:ascii="Times New Roman" w:hAnsi="Times New Roman"/>
          <w:i/>
          <w:color w:val="000000"/>
          <w:sz w:val="20"/>
        </w:rPr>
        <w:t>2028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March 31, 2025 and December 31, 2024, the effective hedge interest rate swaps had a fair value of $2.2 million and $(1.4)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March 31, 2025 and December 31, 2024, the effective hedge interest rate swaps had a fair value of $(0.2) million and $(5.2) million, respectively, which is offset within interest expense by an equal, but opposite, fair value change for the hedged risk on the 2029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the Company issued $300.0 million aggregate principal amount of unsecured notes that mature on August 15, 2030 (the “2030 Notes”). The principal amount of the 2030 Notes is payable at maturity. The 2030 Notes bear interest at a rate of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The Company used the net proceeds of the 2030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2030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2030, matching the maturity date of the 2030 Notes. As a result of the swap, the Company's effective interest rate on the 2030 Notes is SOFR plus 1.53%. The interest expense related to the 2030 Notes is offset by proceeds received from the interest rate swaps designated as a hedge. The swap adjusted interest expense is included as a component of interest expense on the Company's Consolidated Statements of Operations. As of March 31, 2025, the effective hedge interest rate swaps had a fair value of $5.6 million which is offset within interest expense by an equal, but opposite, fair value change for the hedged risk on the 2030 Notes.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the three months ended March 31, 2025 and 2024, the components of interest expense related to the 2024 Notes, 2026 Notes, 2028 Notes, 2029 Notes, and 2030 Notes were as follows:</w:t>
      </w:r>
    </w:p>
    <w:tbl>
      <w:tblPr>
        <w:tblW w:w="6740" w:type="dxa"/>
        <w:jc w:val="left"/>
        <w:tblInd w:w="0" w:type="dxa"/>
        <w:tblLayout w:type="fixed"/>
        <w:tblCellMar>
          <w:top w:w="28" w:type="dxa"/>
          <w:left w:w="28" w:type="dxa"/>
          <w:bottom w:w="28" w:type="dxa"/>
          <w:right w:w="28" w:type="dxa"/>
        </w:tblCellMar>
      </w:tblPr>
      <w:tblGrid>
        <w:gridCol w:w="3391"/>
        <w:gridCol w:w="146"/>
        <w:gridCol w:w="299"/>
        <w:gridCol w:w="961"/>
        <w:gridCol w:w="146"/>
        <w:gridCol w:w="146"/>
        <w:gridCol w:w="299"/>
        <w:gridCol w:w="96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in the table above does not include the effect of the interest rate swaps related to the 2024 Notes, 2026 Notes, 2028 Notes, 2029 Notes and 2030 Notes. During the three months ended March 31, 2025 and 2024, the Company received $13.8 million and $14.6 million, respectively, and paid $17.5 million and $24.0 million respectively, related to the settlements of its interest rate swaps related to the 2024 Notes, 2026 Notes, 2028 Notes, 2029 Notes and 2030 Notes. These net amounts are included in interest expense in the Company’s Consolidated Statements of Operations. Please see Note 5 for further information about the Company’s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components of the carrying value of the 2026 Notes, 2028 Notes, 2029 Notes and 2030 Notes and the stated interest rates were as follows:</w:t>
      </w:r>
    </w:p>
    <w:tbl>
      <w:tblPr>
        <w:tblW w:w="9027"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284,276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298,027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components of the carrying value of the 2026 Notes, 2028 Notes and 2029 Notes and the stated interest rates were as follows:</w:t>
      </w:r>
    </w:p>
    <w:tbl>
      <w:tblPr>
        <w:tblW w:w="7618"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337,845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stated interest rate in the table above does not include the effect of the interest rate swaps. As of March 31, 2025, the Company's swap-adjusted interest rate on the 2026 Notes, 2028 Notes, 2029 Notes and 2030 notes was SOFR plus 2.17%, 2.99%, 2.44% and 1.53%, respectively. As of December 31, 2024, the Company's swap-adjusted interest rate on the 2026 Notes, 2028 Notes and 2029 Notes was SOFR plus 2.17%, 2.99% and 2.44%, respectively.</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Company was in compliance with the terms of the indentures governing the 2026 Notes, 2028 Notes, 2029 Notes and 2030 Notes. As of December 31, 2024, the Company was in compliance with the terms of the indentures governing the 2026 Notes, 2028 Notes and 2029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1940 Act, with certain limitations, the Company is allowed to borrow amounts such that its asset coverage, as defined in the 1940 Act, is at least 150% after such borrowing. As of March 31, 2025 and December 31, 2024, the Company’s asset coverage was 185.1% and 182.5%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March 31, 2025 and December 31, 2024: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1,844,837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$17.9</w:t>
      </w:r>
      <w:r>
        <w:rPr>
          <w:rFonts w:ascii="Times New Roman" w:hAnsi="Times New Roman"/>
          <w:color w:val="000000"/>
          <w:sz w:val="24"/>
        </w:rPr>
        <w:t xml:space="preserve"> </w:t>
      </w:r>
      <w:r>
        <w:rPr>
          <w:rFonts w:ascii="Times New Roman" w:hAnsi="Times New Roman"/>
          <w:color w:val="000000"/>
          <w:sz w:val="20"/>
        </w:rPr>
        <w:t>million, $1.6</w:t>
      </w:r>
      <w:r>
        <w:rPr>
          <w:rFonts w:ascii="Times New Roman" w:hAnsi="Times New Roman"/>
          <w:color w:val="000000"/>
          <w:sz w:val="24"/>
        </w:rPr>
        <w:t xml:space="preserve"> </w:t>
      </w:r>
      <w:r>
        <w:rPr>
          <w:rFonts w:ascii="Times New Roman" w:hAnsi="Times New Roman"/>
          <w:color w:val="000000"/>
          <w:sz w:val="20"/>
        </w:rPr>
        <w:t>million, $4.2</w:t>
      </w:r>
      <w:r>
        <w:rPr>
          <w:rFonts w:ascii="Times New Roman" w:hAnsi="Times New Roman"/>
          <w:color w:val="000000"/>
          <w:sz w:val="24"/>
        </w:rPr>
        <w:t xml:space="preserve"> </w:t>
      </w:r>
      <w:r>
        <w:rPr>
          <w:rFonts w:ascii="Times New Roman" w:hAnsi="Times New Roman"/>
          <w:color w:val="000000"/>
          <w:sz w:val="20"/>
        </w:rPr>
        <w:t>million $6.5</w:t>
      </w:r>
      <w:r>
        <w:rPr>
          <w:rFonts w:ascii="Times New Roman" w:hAnsi="Times New Roman"/>
          <w:color w:val="000000"/>
          <w:sz w:val="24"/>
        </w:rPr>
        <w:t xml:space="preserve"> </w:t>
      </w:r>
      <w:r>
        <w:rPr>
          <w:rFonts w:ascii="Times New Roman" w:hAnsi="Times New Roman"/>
          <w:color w:val="000000"/>
          <w:sz w:val="20"/>
        </w:rPr>
        <w:t>million and $7.5</w:t>
      </w:r>
      <w:r>
        <w:rPr>
          <w:rFonts w:ascii="Times New Roman" w:hAnsi="Times New Roman"/>
          <w:color w:val="000000"/>
          <w:sz w:val="24"/>
        </w:rPr>
        <w:t xml:space="preserve"> </w:t>
      </w:r>
      <w:r>
        <w:rPr>
          <w:rFonts w:ascii="Times New Roman" w:hAnsi="Times New Roman"/>
          <w:color w:val="000000"/>
          <w:sz w:val="20"/>
        </w:rPr>
        <w:t>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sz w:val="24"/>
        </w:rPr>
      </w:pPr>
      <w:r>
        <w:rPr>
          <w:rFonts w:ascii="Times New Roman" w:hAnsi="Times New Roman"/>
          <w:color w:val="000000"/>
          <w:sz w:val="20"/>
        </w:rPr>
        <w:t>The carrying values of the 2026 Notes, 2028 Notes, 2029 Notes and 2030 Notes are presented inclusive of an incremental $(14.2)</w:t>
      </w:r>
      <w:r>
        <w:rPr>
          <w:rFonts w:ascii="Times New Roman" w:hAnsi="Times New Roman"/>
          <w:color w:val="000000"/>
          <w:sz w:val="24"/>
        </w:rPr>
        <w:t xml:space="preserve"> </w:t>
      </w:r>
      <w:r>
        <w:rPr>
          <w:rFonts w:ascii="Times New Roman" w:hAnsi="Times New Roman"/>
          <w:color w:val="000000"/>
          <w:sz w:val="20"/>
        </w:rPr>
        <w:t>million, $2.2</w:t>
      </w:r>
      <w:r>
        <w:rPr>
          <w:rFonts w:ascii="Times New Roman" w:hAnsi="Times New Roman"/>
          <w:color w:val="000000"/>
          <w:sz w:val="24"/>
        </w:rPr>
        <w:t xml:space="preserve"> </w:t>
      </w:r>
      <w:r>
        <w:rPr>
          <w:rFonts w:ascii="Times New Roman" w:hAnsi="Times New Roman"/>
          <w:color w:val="000000"/>
          <w:sz w:val="20"/>
        </w:rPr>
        <w:t>million, $(0.2)</w:t>
      </w:r>
      <w:r>
        <w:rPr>
          <w:rFonts w:ascii="Times New Roman" w:hAnsi="Times New Roman"/>
          <w:color w:val="000000"/>
          <w:sz w:val="24"/>
        </w:rPr>
        <w:t xml:space="preserve"> </w:t>
      </w:r>
      <w:r>
        <w:rPr>
          <w:rFonts w:ascii="Times New Roman" w:hAnsi="Times New Roman"/>
          <w:color w:val="000000"/>
          <w:sz w:val="20"/>
        </w:rPr>
        <w:t>million and $5.6</w:t>
      </w:r>
      <w:r>
        <w:rPr>
          <w:rFonts w:ascii="Times New Roman" w:hAnsi="Times New Roman"/>
          <w:color w:val="000000"/>
          <w:sz w:val="24"/>
        </w:rPr>
        <w:t xml:space="preserve"> </w:t>
      </w:r>
      <w:r>
        <w:rPr>
          <w:rFonts w:ascii="Times New Roman" w:hAnsi="Times New Roman"/>
          <w:color w:val="000000"/>
          <w:sz w:val="20"/>
        </w:rPr>
        <w:t>million, respectively, which represents an adjustment in the carrying values of the 2026 Notes, 2028 Notes, 2029 Notes and 2030 Notes, each resulting from a hedge accounting relationship.</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1,901,142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4"/>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r>
        <w:rPr>
          <w:rFonts w:ascii="Times New Roman" w:hAnsi="Times New Roman"/>
          <w:color w:val="000000"/>
          <w:sz w:val="24"/>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The carrying values of the Revolving Credit Facility, 2026 Notes, 2028 Notes and 2029 Notes are presented net of the combination of deferred financing costs and original issue discounts totaling $15.4</w:t>
      </w:r>
      <w:r>
        <w:rPr>
          <w:rFonts w:ascii="Times New Roman" w:hAnsi="Times New Roman"/>
          <w:color w:val="000000"/>
          <w:sz w:val="24"/>
        </w:rPr>
        <w:t xml:space="preserve"> </w:t>
      </w:r>
      <w:r>
        <w:rPr>
          <w:rFonts w:ascii="Times New Roman" w:hAnsi="Times New Roman"/>
          <w:color w:val="000000"/>
          <w:sz w:val="20"/>
        </w:rPr>
        <w:t>million, $1.8</w:t>
      </w:r>
      <w:r>
        <w:rPr>
          <w:rFonts w:ascii="Times New Roman" w:hAnsi="Times New Roman"/>
          <w:color w:val="000000"/>
          <w:sz w:val="24"/>
        </w:rPr>
        <w:t xml:space="preserve"> </w:t>
      </w:r>
      <w:r>
        <w:rPr>
          <w:rFonts w:ascii="Times New Roman" w:hAnsi="Times New Roman"/>
          <w:color w:val="000000"/>
          <w:sz w:val="20"/>
        </w:rPr>
        <w:t>million, $4.5</w:t>
      </w:r>
      <w:r>
        <w:rPr>
          <w:rFonts w:ascii="Times New Roman" w:hAnsi="Times New Roman"/>
          <w:color w:val="000000"/>
          <w:sz w:val="24"/>
        </w:rPr>
        <w:t xml:space="preserve"> </w:t>
      </w:r>
      <w:r>
        <w:rPr>
          <w:rFonts w:ascii="Times New Roman" w:hAnsi="Times New Roman"/>
          <w:color w:val="000000"/>
          <w:sz w:val="20"/>
        </w:rPr>
        <w:t>million and $6.9</w:t>
      </w:r>
      <w:r>
        <w:rPr>
          <w:rFonts w:ascii="Times New Roman" w:hAnsi="Times New Roman"/>
          <w:color w:val="000000"/>
          <w:sz w:val="24"/>
        </w:rPr>
        <w:t xml:space="preserve"> </w:t>
      </w:r>
      <w:r>
        <w:rPr>
          <w:rFonts w:ascii="Times New Roman" w:hAnsi="Times New Roman"/>
          <w:color w:val="000000"/>
          <w:sz w:val="20"/>
        </w:rPr>
        <w:t>million, respectively.</w:t>
      </w:r>
      <w:r>
        <w:rPr>
          <w:rFonts w:ascii="Times New Roman" w:hAnsi="Times New Roman"/>
          <w:color w:val="000000"/>
          <w:sz w:val="24"/>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and 2029 Notes are presented inclusive of an incremental $(17.6) million, $(1.4) million and $(5.2) million, respectively, which represents an adjustment in the carrying values of the 2026 Notes, 2028 Notes and 2029 Notes, each resulting from a hedge accounting relationship.</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2025 and 2024, the components of interest expense were as follows: </w:t>
      </w:r>
    </w:p>
    <w:tbl>
      <w:tblPr>
        <w:tblW w:w="6865" w:type="dxa"/>
        <w:jc w:val="left"/>
        <w:tblInd w:w="0" w:type="dxa"/>
        <w:tblLayout w:type="fixed"/>
        <w:tblCellMar>
          <w:top w:w="28" w:type="dxa"/>
          <w:left w:w="28" w:type="dxa"/>
          <w:bottom w:w="28" w:type="dxa"/>
          <w:right w:w="28" w:type="dxa"/>
        </w:tblCellMar>
      </w:tblPr>
      <w:tblGrid>
        <w:gridCol w:w="3391"/>
        <w:gridCol w:w="146"/>
        <w:gridCol w:w="285"/>
        <w:gridCol w:w="975"/>
        <w:gridCol w:w="271"/>
        <w:gridCol w:w="146"/>
        <w:gridCol w:w="285"/>
        <w:gridCol w:w="975"/>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and December 31, 2024, the Company had the following commitments to fund investments in current portfolio companies: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10" w:type="dxa"/>
        <w:jc w:val="left"/>
        <w:tblInd w:w="0" w:type="dxa"/>
        <w:tblLayout w:type="fixed"/>
        <w:tblCellMar>
          <w:top w:w="28" w:type="dxa"/>
          <w:left w:w="28" w:type="dxa"/>
          <w:bottom w:w="28" w:type="dxa"/>
          <w:right w:w="28" w:type="dxa"/>
        </w:tblCellMar>
      </w:tblPr>
      <w:tblGrid>
        <w:gridCol w:w="5921"/>
        <w:gridCol w:w="246"/>
        <w:gridCol w:w="299"/>
        <w:gridCol w:w="961"/>
        <w:gridCol w:w="246"/>
        <w:gridCol w:w="246"/>
        <w:gridCol w:w="357"/>
        <w:gridCol w:w="1143"/>
        <w:gridCol w:w="191"/>
      </w:tblGrid>
      <w:tr>
        <w:trPr/>
        <w:tc>
          <w:tcPr>
            <w:tcW w:w="5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Alpha Midco,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Aptean,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 Buyer,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Avalara,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Axonify,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Babylon Finco Limited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Banyan Software Holdings,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BCTO Bluebill Buyer,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Nevis Midco Limited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BlueSnap,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Boréal Bidco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BTRS Holdings,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 Parent,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 Bidco B.V.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Elysian Finco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Elysium BidCo Limited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Employment Hero Holdings Pty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ExtraHop Networks,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ForeScout Technologies,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Fullsteam Operations,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Environmental Services,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HireVue,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Marcura Equities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Merit Software Finance Holdings,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PrimePay Intermediate,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PrimeRevenue,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QSR Acquisition Co.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74" w:type="dxa"/>
        <w:jc w:val="left"/>
        <w:tblInd w:w="0" w:type="dxa"/>
        <w:tblLayout w:type="fixed"/>
        <w:tblCellMar>
          <w:top w:w="28" w:type="dxa"/>
          <w:left w:w="28" w:type="dxa"/>
          <w:bottom w:w="28" w:type="dxa"/>
          <w:right w:w="28" w:type="dxa"/>
        </w:tblCellMar>
      </w:tblPr>
      <w:tblGrid>
        <w:gridCol w:w="5461"/>
        <w:gridCol w:w="246"/>
        <w:gridCol w:w="211"/>
        <w:gridCol w:w="781"/>
        <w:gridCol w:w="246"/>
        <w:gridCol w:w="246"/>
        <w:gridCol w:w="211"/>
        <w:gridCol w:w="781"/>
        <w:gridCol w:w="291"/>
      </w:tblGrid>
      <w:tr>
        <w:trPr/>
        <w:tc>
          <w:tcPr>
            <w:tcW w:w="54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Raptor US Buyer II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 Bidco S.p.A.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SkyLark UK DebtCo Limited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 Buyer Corp.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TradingScreen,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TRP Assets,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322,604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356,309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 of the fair value of the current investments in these portfolio companies includes an analysis of the fair value of any unfunded commitments.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and December 31, 2024, the Company did not have any unfunded commitments to fund investments to new borrowers that were not current portfolio companies as of such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become a party to certain legal proceedings incidental to the normal course of its business. As of March 31, 2025 and December 31, 2024, management is not aware of any material pending or threatened litigation that would require accounting recognition or financial statement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9. Net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Company’s dividend reinvestment plan, the following tables summarize the shares issued to stockholders who have not opted out of the Company’s dividend reinvestment plan during the three months ended March 31, 2025 and 2024. All shares issued to stockholders in the tables below are newly issued shares. </w:t>
      </w:r>
    </w:p>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971"/>
        <w:gridCol w:w="346"/>
        <w:gridCol w:w="1231"/>
        <w:gridCol w:w="146"/>
        <w:gridCol w:w="1591"/>
        <w:gridCol w:w="146"/>
        <w:gridCol w:w="139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302,922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971"/>
        <w:gridCol w:w="346"/>
        <w:gridCol w:w="1231"/>
        <w:gridCol w:w="146"/>
        <w:gridCol w:w="1591"/>
        <w:gridCol w:w="146"/>
        <w:gridCol w:w="139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292,057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11 for further information on base, supplemental and special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5, 2024 (effective November 15, 2024). The amount and timing of stock repurchases under the program may vary depending on market conditions, and no assurance can be given that any particular amount of common stock will be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repurchased during the three months ended March 31, 2025 and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 the Market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party to equity distribution agreements with several banks (the “Equity Distribution Agreements”). The Equity Distribution Agreements provide that the Company may from time to time issue and sell, by means of “at the market” offerings, up to $100 million of the Company's common stock. Subject to the terms and conditions of the Equity Distribution Agreements, sales of common stock, if any, may be made in transactions that are deemed to be “at the market” offerings as defined in Rule 415(a)(4) under the Securities Act of 1933, as amended. Under the currently effective Equity Distribution Agreements, common stock with an aggregate offering amount of $100 million remained available for issuance as of March 31, 2025.</w:t>
      </w:r>
    </w:p>
    <w:p>
      <w:pPr>
        <w:pStyle w:val="TextBody"/>
        <w:bidi w:val="0"/>
        <w:spacing w:before="360" w:after="283"/>
        <w:jc w:val="left"/>
        <w:rPr>
          <w:rFonts w:ascii="Times New Roman" w:hAnsi="Times New Roman"/>
          <w:sz w:val="20"/>
        </w:rPr>
      </w:pPr>
      <w:r>
        <w:rPr>
          <w:rFonts w:ascii="Times New Roman" w:hAnsi="Times New Roman"/>
          <w:b/>
          <w:color w:val="000000"/>
          <w:sz w:val="20"/>
        </w:rPr>
        <w:t>10.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earnings per common share: </w:t>
      </w:r>
    </w:p>
    <w:tbl>
      <w:tblPr>
        <w:tblW w:w="9330" w:type="dxa"/>
        <w:jc w:val="left"/>
        <w:tblInd w:w="0" w:type="dxa"/>
        <w:tblLayout w:type="fixed"/>
        <w:tblCellMar>
          <w:top w:w="28" w:type="dxa"/>
          <w:left w:w="28" w:type="dxa"/>
          <w:bottom w:w="28" w:type="dxa"/>
          <w:right w:w="28" w:type="dxa"/>
        </w:tblCellMar>
      </w:tblPr>
      <w:tblGrid>
        <w:gridCol w:w="6181"/>
        <w:gridCol w:w="146"/>
        <w:gridCol w:w="213"/>
        <w:gridCol w:w="1047"/>
        <w:gridCol w:w="146"/>
        <w:gridCol w:w="146"/>
        <w:gridCol w:w="213"/>
        <w:gridCol w:w="1047"/>
        <w:gridCol w:w="191"/>
      </w:tblGrid>
      <w:tr>
        <w:trPr/>
        <w:tc>
          <w:tcPr>
            <w:tcW w:w="6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93,669,671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89,032,381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summarize dividends declared during the three months ended March 31, 2025 and 2024: </w:t>
      </w:r>
    </w:p>
    <w:tbl>
      <w:tblPr>
        <w:tblW w:w="9174" w:type="dxa"/>
        <w:jc w:val="left"/>
        <w:tblInd w:w="0" w:type="dxa"/>
        <w:tblLayout w:type="fixed"/>
        <w:tblCellMar>
          <w:top w:w="28" w:type="dxa"/>
          <w:left w:w="28" w:type="dxa"/>
          <w:bottom w:w="28" w:type="dxa"/>
          <w:right w:w="28" w:type="dxa"/>
        </w:tblCellMar>
      </w:tblPr>
      <w:tblGrid>
        <w:gridCol w:w="2481"/>
        <w:gridCol w:w="146"/>
        <w:gridCol w:w="1231"/>
        <w:gridCol w:w="146"/>
        <w:gridCol w:w="1591"/>
        <w:gridCol w:w="146"/>
        <w:gridCol w:w="139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74" w:type="dxa"/>
        <w:jc w:val="left"/>
        <w:tblInd w:w="0" w:type="dxa"/>
        <w:tblLayout w:type="fixed"/>
        <w:tblCellMar>
          <w:top w:w="28" w:type="dxa"/>
          <w:left w:w="28" w:type="dxa"/>
          <w:bottom w:w="28" w:type="dxa"/>
          <w:right w:w="28" w:type="dxa"/>
        </w:tblCellMar>
      </w:tblPr>
      <w:tblGrid>
        <w:gridCol w:w="2481"/>
        <w:gridCol w:w="146"/>
        <w:gridCol w:w="1231"/>
        <w:gridCol w:w="146"/>
        <w:gridCol w:w="1591"/>
        <w:gridCol w:w="146"/>
        <w:gridCol w:w="139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dividends declared during the three months ended March 31, 2025 and 2024 were derived from net investment income and long-term capital gains, determined on a tax basis.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Financial Highlights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 share data and ratios have been derived from information provided in the consolidated financial statements. The following are the financial highlights for one share of common stock outstanding during the three months ended March 31, 2025 and 2024:</w:t>
      </w:r>
    </w:p>
    <w:tbl>
      <w:tblPr>
        <w:tblW w:w="9805" w:type="dxa"/>
        <w:jc w:val="left"/>
        <w:tblInd w:w="0" w:type="dxa"/>
        <w:tblLayout w:type="fixed"/>
        <w:tblCellMar>
          <w:top w:w="28" w:type="dxa"/>
          <w:left w:w="28" w:type="dxa"/>
          <w:bottom w:w="28" w:type="dxa"/>
          <w:right w:w="28" w:type="dxa"/>
        </w:tblCellMar>
      </w:tblPr>
      <w:tblGrid>
        <w:gridCol w:w="5716"/>
        <w:gridCol w:w="146"/>
        <w:gridCol w:w="271"/>
        <w:gridCol w:w="1334"/>
        <w:gridCol w:w="271"/>
        <w:gridCol w:w="146"/>
        <w:gridCol w:w="271"/>
        <w:gridCol w:w="1334"/>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realized and unrealized gains</w:t>
              <w:br/>
              <w:t xml:space="preserve"> (losses)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Issuance of common stock, net of offering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Dividends declared from net investment income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increase/(decrease) in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market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with reinvestment of dividends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return based on net asset value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93,964,358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92,121,556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Ratios / Supplemental Data</w:t>
            </w:r>
            <w:r>
              <w:rPr>
                <w:rFonts w:ascii="Times New Roman" w:hAnsi="Times New Roman"/>
                <w:color w:val="000000"/>
                <w:sz w:val="20"/>
              </w:rPr>
              <w:t> </w:t>
            </w:r>
            <w:r>
              <w:rPr>
                <w:rFonts w:ascii="Times New Roman" w:hAnsi="Times New Roman"/>
                <w:b/>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Ratio of net expenses to average net assets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1,582,006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per share data was derived by using the weighted average shares outstanding during the period.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per share data was derived by using the actual shares outstanding at the date of the relevant transactions.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with dividends reinvested is calculated as the change in market value per share during the period plus declared dividends per share, assuming reinvestment of dividends,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is calculated as the change in market value per share during the period plus declared dividends per share,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Total return based on net asset value is calculated as the change in net asset value per share during the period plus declared dividends per share, divided by the beginning net asset value per share.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ratios reflect an annualized amount.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sz w:val="22"/>
        </w:rPr>
      </w:pPr>
      <w:r>
        <w:rPr>
          <w:rFonts w:ascii="Times New Roman" w:hAnsi="Times New Roman"/>
          <w:color w:val="000000"/>
          <w:sz w:val="20"/>
        </w:rPr>
        <w:t>The ratio of net expenses to average net assets in the table above reflects the Adviser’s waivers of its right to receive a portion of the Management Fee pursuant to the Leverage Waiver for the three months ended March 31, 2025 and 2024. Excluding the effects of the waivers, the ratio of net expenses to average net assets would have been 14.65%</w:t>
      </w:r>
      <w:r>
        <w:rPr>
          <w:rFonts w:ascii="Times New Roman" w:hAnsi="Times New Roman"/>
          <w:color w:val="000000"/>
          <w:sz w:val="22"/>
        </w:rPr>
        <w:t xml:space="preserve"> </w:t>
      </w:r>
      <w:r>
        <w:rPr>
          <w:rFonts w:ascii="Times New Roman" w:hAnsi="Times New Roman"/>
          <w:color w:val="000000"/>
          <w:sz w:val="20"/>
        </w:rPr>
        <w:t>and 17.10%, respectively, for the three months ended March 31, 2025 and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months ended March 31, 2025.</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elected to be regulated as a BDC under the 1940 Act and as a RIC under the Code. We made our BDC election on April 15, 2011. As a result, we are required to comply with various statutory and regulatory requirements,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invest at least 70% of our assets in “qualifying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of income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 diversification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shares are listed on the NYSE under the symbol “TSLX.” </w:t>
      </w:r>
    </w:p>
    <w:p>
      <w:pPr>
        <w:pStyle w:val="TextBody"/>
        <w:bidi w:val="0"/>
        <w:spacing w:before="360" w:after="283"/>
        <w:jc w:val="left"/>
        <w:rPr>
          <w:rFonts w:ascii="Times New Roman" w:hAnsi="Times New Roman"/>
          <w:sz w:val="20"/>
        </w:rPr>
      </w:pPr>
      <w:r>
        <w:rPr>
          <w:rFonts w:ascii="Times New Roman" w:hAnsi="Times New Roman"/>
          <w:b/>
          <w:color w:val="000000"/>
          <w:sz w:val="20"/>
        </w:rPr>
        <w:t>Our Investment Framework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specialty finance company focused on lending to middle-market companies. Since we began our investment activities in July 2011, through March 31, 2025, we have originated approximately $47.5 billion aggregate principal amount of investments and retained more than $11.0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“middle-market companies,” we mean companies that have annual EBITDA, which we believe is a useful proxy for cash flow, of $10 million to $250 million, although we may invest in larger or smaller companies on occasion. As of March 31, 2025, our core portfolio companies, which exclude certain investments that fall outside of our typical borrower profile and represent 94.8% of our total investments based on fair value, had weighted average annual revenue of $383.0 million and weighted average annual EBITDA of $111.8 million. As of March 31, 2025, our core portfolio companies had a median annual revenue of $138.6 million and a median annual EBITDA of $51.8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companies in which we invest use our capital to support organic growth, acquisitions, market or product expansion and recapitalizations (including restructurings). As of March 31, 2025, the largest single investment based on fair value represented 2.3% of our total investment portfolio.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average investment size in each of our portfolio companies was approximately $29.7 million based on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our Adviser, we consider potential investments utilizing a four-tiered investment framework and against our existing portfolio as a whole: </w:t>
      </w:r>
    </w:p>
    <w:p>
      <w:pPr>
        <w:pStyle w:val="TextBody"/>
        <w:bidi w:val="0"/>
        <w:spacing w:before="240" w:after="283"/>
        <w:jc w:val="left"/>
        <w:rPr>
          <w:rFonts w:ascii="Times New Roman" w:hAnsi="Times New Roman"/>
          <w:sz w:val="20"/>
        </w:rPr>
      </w:pPr>
      <w:r>
        <w:rPr>
          <w:rFonts w:ascii="Times New Roman" w:hAnsi="Times New Roman"/>
          <w:i/>
          <w:color w:val="000000"/>
          <w:sz w:val="20"/>
        </w:rPr>
        <w:t>Business and sector selection.</w:t>
      </w:r>
      <w:r>
        <w:rPr>
          <w:rFonts w:ascii="Times New Roman" w:hAnsi="Times New Roman"/>
          <w:color w:val="000000"/>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the largest industry represented 15.6% of our total investment portfolio based on fair value. </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Structuring.</w:t>
      </w:r>
      <w:r>
        <w:rPr>
          <w:rFonts w:ascii="Times New Roman" w:hAnsi="Times New Roman"/>
          <w:color w:val="000000"/>
          <w:sz w:val="20"/>
        </w:rPr>
        <w:t xml:space="preserve"> We focus on investing at the top of the capital structure and protecting that position. As of March 31, 2025, approximately 93.8% of our portfolio was invested in secured debt, including 92.9%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March 31, 2025, the weighted average term on new investment commitments in new portfolio companies was 5.2 years. </w:t>
      </w:r>
    </w:p>
    <w:p>
      <w:pPr>
        <w:pStyle w:val="TextBody"/>
        <w:bidi w:val="0"/>
        <w:spacing w:before="240" w:after="283"/>
        <w:jc w:val="left"/>
        <w:rPr>
          <w:rFonts w:ascii="Times New Roman" w:hAnsi="Times New Roman"/>
          <w:sz w:val="20"/>
        </w:rPr>
      </w:pPr>
      <w:r>
        <w:rPr>
          <w:rFonts w:ascii="Times New Roman" w:hAnsi="Times New Roman"/>
          <w:i/>
          <w:color w:val="000000"/>
          <w:sz w:val="20"/>
        </w:rPr>
        <w:t>Deal Dynamics.</w:t>
      </w:r>
      <w:r>
        <w:rPr>
          <w:rFonts w:ascii="Times New Roman" w:hAnsi="Times New Roman"/>
          <w:color w:val="000000"/>
          <w:sz w:val="20"/>
        </w:rPr>
        <w:t xml:space="preserve"> We focus on, among other deal dynamics, direct origination of investments, where we identify and lead the investment transaction. A substantial majority of our portfolio investments are sourced through our direct or proprietary relationships.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 Mitigation. </w:t>
      </w:r>
      <w:r>
        <w:rPr>
          <w:rFonts w:ascii="Times New Roman" w:hAnsi="Times New Roman"/>
          <w:color w:val="000000"/>
          <w:sz w:val="20"/>
        </w:rPr>
        <w:t>We seek to mitigate non-credit-related risk on our returns in several ways, including call protection provisions to protect future interest income. As of March 31, 2025, we had call protection on 79.7% of our debt investments based on fair value, with weighted average call prices of 108.2% for the first year, 104.4% for the second year and 101.6% for the third year, in each case from the date of the initial investment. As of March 31, 2025, 97.0% of our debt investments based on fair value bore interest at floating rates, with 100.0% of these subject to interest rate floors, which we believe helps act as a portfolio-wide hedge against inflation.</w:t>
      </w:r>
    </w:p>
    <w:p>
      <w:pPr>
        <w:pStyle w:val="TextBody"/>
        <w:bidi w:val="0"/>
        <w:spacing w:before="360" w:after="283"/>
        <w:jc w:val="left"/>
        <w:rPr>
          <w:rFonts w:ascii="Times New Roman" w:hAnsi="Times New Roman"/>
          <w:sz w:val="20"/>
        </w:rPr>
      </w:pPr>
      <w:r>
        <w:rPr>
          <w:rFonts w:ascii="Times New Roman" w:hAnsi="Times New Roman"/>
          <w:b/>
          <w:i/>
          <w:color w:val="000000"/>
          <w:sz w:val="20"/>
        </w:rPr>
        <w:t>Relationship with our Adviser and Sixth Street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Street is a global investment business with over $100 billion of assets under management as of March 31, 2025.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March 31, 2025, seventy-three (73) of these personnel are dedicated to direct lending, including fifty-eight (58) investment professionals.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General Economic Conditions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To date, 2025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Ukraine and the Middle East.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contributing to economic uncertainty, the current U.S. presidential administration has signaled its intention to implement significant changes to U.S. trade policy, the size of the federal government and the enforcement of various regulations. These policy shifts could introduce additional market instability and reduce investor confidence. For example, the U.S. government recently announced tariffs on goods imported from various countries to the United States. Countries subject to such tariffs have imposed, or may in the future, impose reciprocal or retaliatory tariffs and other trade measures. We are actively monitoring the tariff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focus primarily on the direct origination of loans to middle-market companies domiciled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part of our risk strategy on investments, we may reduce certain levels of investments through partial sales or syndication to additional investors.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March 31, 2025, 97.0%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months ended March 31, 2025 and 2024, 4.6% and 6.9%, respectively, of our total investment income was comprised of PIK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2026 Notes, 2028 Notes, 2029 Notes, and 2030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 income on common equity investments is recorded on the record date for private portfolio companies or on the ex-dividend date for publicly traded portfolio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calculating individual asset values and our net asset value (including the cost and expenses of any independent valuation firms);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public offerings of our common stock and other securities, including registration and listing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Management Fee and any Incentive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costs and expenses relating to distributions paid on our shares;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fees payable under our Administration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and other costs of borrowings or other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allocable share of costs incurred in providing significant managerial assistance to those portfolio companies that request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payable to third parties relating to, or associated with, making or holding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agent and custodial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hedging;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and other compensation payable to brokers or dealers;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Director fees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reports, proxy statements or other notices to our stockholders (including printing and mailing costs), the costs of any stockholders’ meetings and the compensation of investor relations personnel responsible for the preparation of the foregoing and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fidelity bond;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directors and officers/errors and omissions liability insurance, and any other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indemnification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costs and expenses of administration, including audit, accounting, consulting and legal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other expenses reasonably incurred by us in connection with making investments and administering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during periods of asset growth, our general and administrative expenses will be relatively stable or will decline as a percentage of total assets, and will increase as a percentage of total assets during periods of asset declines. </w:t>
      </w:r>
    </w:p>
    <w:p>
      <w:pPr>
        <w:pStyle w:val="TextBody"/>
        <w:bidi w:val="0"/>
        <w:spacing w:before="360" w:after="283"/>
        <w:jc w:val="left"/>
        <w:rPr>
          <w:rFonts w:ascii="Times New Roman" w:hAnsi="Times New Roman"/>
          <w:sz w:val="20"/>
        </w:rPr>
      </w:pPr>
      <w:r>
        <w:rPr>
          <w:rFonts w:ascii="Times New Roman" w:hAnsi="Times New Roman"/>
          <w:b/>
          <w:i/>
          <w:color w:val="000000"/>
          <w:sz w:val="20"/>
        </w:rPr>
        <w:t>Leverage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market dynamic is further exacerbated by the specialized due diligence and underwriting capabilities, as well as extensive ongoing monitoring, required for middle-market lending. We believe middle-market lending is generally more labor-intensive than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lending to larger companies due to smaller investment sizes and the lack of publicly available information on these companies. As a result, the opportunities for dedicated private lenders such as us has continued to expand.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360" w:after="283"/>
        <w:jc w:val="left"/>
        <w:rPr>
          <w:rFonts w:ascii="Times New Roman" w:hAnsi="Times New Roman"/>
          <w:sz w:val="20"/>
        </w:rPr>
      </w:pPr>
      <w:r>
        <w:rPr>
          <w:rFonts w:ascii="Times New Roman" w:hAnsi="Times New Roman"/>
          <w:b/>
          <w:color w:val="000000"/>
          <w:sz w:val="20"/>
        </w:rPr>
        <w:t>Portfolio and Investment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our portfolio based on fair value consisted of 92.9% first-lien debt investments, 1.0% second-lien debt investments, 1.5% mezzanine debt investments and 4.6% equity investments. As of December 31, 2024, our portfolio based on fair value consisted of 93.9% first-lien debt investments, 0.6% second-lien debt investments, 1.1% mezzanine debt investments, 4.4% equity and other investments and less than 0.1% structured credit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and December 31, 2024, our weighted average total yield of debt and income producing securities at fair value (which includes interest income and amortization of fees and discounts) was 12.1% and 12.3%, respectively, and our weighted average total yield of debt and income-producing securities at amortized cost (which includes interest income and amortization of fees and discounts) was 12.3% and 12.5%,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we had investments in 115 portfolio companies with an aggregate fair value of $3,412.0 million. As of December 31, 2024, we had 116 portfolio companies (including one structured credit investment, which include each series of collateralized loan obligation as a separate portfolio company investment) with an aggregate fair value of $3,518.4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2025, the principal amount of new investments funded was $136.8 million in six new portfolio companies and four existing portfolio companies. For this period, we had $269.6 million aggregate principal amount in exits and repayments.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the principal amount of new investments funded was $162.8 million in nine new portfolio companies and five existing portfolio companies. For this period, we had $108.6 million aggregate principal amount in exits and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investment activity for the three months ended March 31, 2025 and 2024 is presented below (information presented herein is at par value unless otherwise indicated).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250" w:type="dxa"/>
        <w:jc w:val="left"/>
        <w:tblInd w:w="0" w:type="dxa"/>
        <w:tblLayout w:type="fixed"/>
        <w:tblCellMar>
          <w:top w:w="28" w:type="dxa"/>
          <w:left w:w="28" w:type="dxa"/>
          <w:bottom w:w="28" w:type="dxa"/>
          <w:right w:w="28" w:type="dxa"/>
        </w:tblCellMar>
      </w:tblPr>
      <w:tblGrid>
        <w:gridCol w:w="4576"/>
        <w:gridCol w:w="146"/>
        <w:gridCol w:w="285"/>
        <w:gridCol w:w="975"/>
        <w:gridCol w:w="271"/>
        <w:gridCol w:w="146"/>
        <w:gridCol w:w="285"/>
        <w:gridCol w:w="975"/>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affiliates of Sixth Street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and December 31, 2024, our investments consisted of the following: </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82"/>
        <w:gridCol w:w="963"/>
        <w:gridCol w:w="246"/>
        <w:gridCol w:w="246"/>
        <w:gridCol w:w="211"/>
        <w:gridCol w:w="721"/>
        <w:gridCol w:w="246"/>
        <w:gridCol w:w="246"/>
        <w:gridCol w:w="282"/>
        <w:gridCol w:w="963"/>
        <w:gridCol w:w="246"/>
        <w:gridCol w:w="246"/>
        <w:gridCol w:w="211"/>
        <w:gridCol w:w="7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show the fair value and amortized cost of our performing and non-accrual investments as of March 31, 2025 and December 31, 2024: </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1321"/>
        <w:gridCol w:w="146"/>
        <w:gridCol w:w="211"/>
        <w:gridCol w:w="721"/>
        <w:gridCol w:w="246"/>
        <w:gridCol w:w="246"/>
        <w:gridCol w:w="186"/>
        <w:gridCol w:w="730"/>
        <w:gridCol w:w="371"/>
        <w:gridCol w:w="246"/>
        <w:gridCol w:w="211"/>
        <w:gridCol w:w="721"/>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tbl>
      <w:tblPr>
        <w:tblW w:w="7781" w:type="dxa"/>
        <w:jc w:val="left"/>
        <w:tblInd w:w="0" w:type="dxa"/>
        <w:tblLayout w:type="fixed"/>
        <w:tblCellMar>
          <w:top w:w="28" w:type="dxa"/>
          <w:left w:w="28" w:type="dxa"/>
          <w:bottom w:w="28" w:type="dxa"/>
          <w:right w:w="28" w:type="dxa"/>
        </w:tblCellMar>
      </w:tblPr>
      <w:tblGrid>
        <w:gridCol w:w="1321"/>
        <w:gridCol w:w="146"/>
        <w:gridCol w:w="282"/>
        <w:gridCol w:w="963"/>
        <w:gridCol w:w="246"/>
        <w:gridCol w:w="246"/>
        <w:gridCol w:w="186"/>
        <w:gridCol w:w="730"/>
        <w:gridCol w:w="371"/>
        <w:gridCol w:w="246"/>
        <w:gridCol w:w="282"/>
        <w:gridCol w:w="963"/>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color w:val="000000"/>
        </w:rPr>
        <w:t>“–</w:t>
      </w:r>
      <w:r>
        <w:rPr>
          <w:rFonts w:ascii="Times New Roman" w:hAnsi="Times New Roman"/>
          <w:i/>
          <w:color w:val="000000"/>
          <w:sz w:val="20"/>
        </w:rPr>
        <w:t>Critical Accounting Estimates – Interest and Dividend Income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yields and interest rates of our performing debt investments at fair value as of March 31, 2025 and December 31, 2024 were as follows: </w:t>
      </w:r>
    </w:p>
    <w:tbl>
      <w:tblPr>
        <w:tblW w:w="8685" w:type="dxa"/>
        <w:jc w:val="left"/>
        <w:tblInd w:w="0" w:type="dxa"/>
        <w:tblLayout w:type="fixed"/>
        <w:tblCellMar>
          <w:top w:w="28" w:type="dxa"/>
          <w:left w:w="28" w:type="dxa"/>
          <w:bottom w:w="28" w:type="dxa"/>
          <w:right w:w="28" w:type="dxa"/>
        </w:tblCellMar>
      </w:tblPr>
      <w:tblGrid>
        <w:gridCol w:w="4846"/>
        <w:gridCol w:w="146"/>
        <w:gridCol w:w="300"/>
        <w:gridCol w:w="960"/>
        <w:gridCol w:w="371"/>
        <w:gridCol w:w="246"/>
        <w:gridCol w:w="357"/>
        <w:gridCol w:w="1143"/>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total yield of debt and income</w:t>
              <w:br/>
              <w:t xml:space="preserve">   producing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of debt and income</w:t>
              <w:br/>
              <w:t>   producing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over reference rate of all floating</w:t>
              <w:br/>
              <w:t>   rate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Weighted average total portfolio yield at fair value was 11.4% at March 31, 2025 and 11.6% at December 31, 2024.</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assessment of success of the portfolio company in adhering to its business plan and compliance with covenants;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comparisons to other companies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attendance at, and participation in, board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monthly and quarterly financial statements and financial projections for portfolio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the distribution of our investments on the 1 to 5 investment performance rating scale at fair value as of March 31, 2025 and December 31, 2024. Investment performance ratings are accurate only as of those dates and may change due to subsequent developments relating to a portfolio company’s business or financial condition, market conditions or developments, and other factors. </w:t>
      </w:r>
    </w:p>
    <w:p>
      <w:pPr>
        <w:pStyle w:val="TextBody"/>
        <w:bidi w:val="0"/>
        <w:spacing w:before="240" w:after="283"/>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261"/>
        <w:gridCol w:w="89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results for the three months ended March 31, 2025 and 2024 were as follows: </w:t>
      </w:r>
    </w:p>
    <w:p>
      <w:pPr>
        <w:pStyle w:val="TextBody"/>
        <w:bidi w:val="0"/>
        <w:jc w:val="left"/>
        <w:rPr/>
      </w:pPr>
      <w:r>
        <w:rPr/>
        <w:t> </w:t>
      </w:r>
    </w:p>
    <w:tbl>
      <w:tblPr>
        <w:tblW w:w="9465" w:type="dxa"/>
        <w:jc w:val="left"/>
        <w:tblInd w:w="0" w:type="dxa"/>
        <w:tblLayout w:type="fixed"/>
        <w:tblCellMar>
          <w:top w:w="28" w:type="dxa"/>
          <w:left w:w="28" w:type="dxa"/>
          <w:bottom w:w="28" w:type="dxa"/>
          <w:right w:w="28" w:type="dxa"/>
        </w:tblCellMar>
      </w:tblPr>
      <w:tblGrid>
        <w:gridCol w:w="5496"/>
        <w:gridCol w:w="346"/>
        <w:gridCol w:w="340"/>
        <w:gridCol w:w="920"/>
        <w:gridCol w:w="346"/>
        <w:gridCol w:w="346"/>
        <w:gridCol w:w="340"/>
        <w:gridCol w:w="920"/>
        <w:gridCol w:w="411"/>
      </w:tblGrid>
      <w:tr>
        <w:trPr/>
        <w:tc>
          <w:tcPr>
            <w:tcW w:w="5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taxes, including excise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change in unrealized gains (losses) </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Includes foreign exchange hedging activity.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Income</w:t>
      </w:r>
      <w:r>
        <w:rPr>
          <w:rFonts w:ascii="Times New Roman" w:hAnsi="Times New Roman"/>
          <w:color w:val="000000"/>
          <w:sz w:val="20"/>
        </w:rPr>
        <w:t xml:space="preserve"> </w:t>
      </w:r>
    </w:p>
    <w:tbl>
      <w:tblPr>
        <w:tblW w:w="6380" w:type="dxa"/>
        <w:jc w:val="left"/>
        <w:tblInd w:w="0" w:type="dxa"/>
        <w:tblLayout w:type="fixed"/>
        <w:tblCellMar>
          <w:top w:w="28" w:type="dxa"/>
          <w:left w:w="28" w:type="dxa"/>
          <w:bottom w:w="28" w:type="dxa"/>
          <w:right w:w="28" w:type="dxa"/>
        </w:tblCellMar>
      </w:tblPr>
      <w:tblGrid>
        <w:gridCol w:w="2431"/>
        <w:gridCol w:w="346"/>
        <w:gridCol w:w="340"/>
        <w:gridCol w:w="920"/>
        <w:gridCol w:w="346"/>
        <w:gridCol w:w="346"/>
        <w:gridCol w:w="340"/>
        <w:gridCol w:w="920"/>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from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increased from $104.6 million for the three months ended March 31, 2024 to $106.6 million for the three months ended March 31, 2025. The increase in interest from investments was primarily the result of a larger average investment size of $29.7 million for the three months ended March 31, 2025 compared to the same period in 2024 of $27.3 million. Paid-in-kind interest income decreased from $8.1 million for the three months ended March 31, 2024 to $5.4 million for the three months ended March 31, 2025 due to decreased PIK election. Dividend income increased from $0.8 million for the three months ended March 31, 2024 to $0.9 million for the three months ended March 31, 2025 due to increased investments in dividend yielding securities in 2025. Other income decreased from $4.3 million for the three months ended March 31, 2024 to $3.4 million for the three months ended March 31, 2025, primarily due to decreased arranger and amendments fees earned during 2025.</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for the three months ended March 31, 2025 and 2024 were as follows: </w:t>
      </w:r>
    </w:p>
    <w:p>
      <w:pPr>
        <w:pStyle w:val="TextBody"/>
        <w:bidi w:val="0"/>
        <w:jc w:val="left"/>
        <w:rPr/>
      </w:pPr>
      <w:r>
        <w:rPr/>
        <w:t> </w:t>
      </w:r>
    </w:p>
    <w:tbl>
      <w:tblPr>
        <w:tblW w:w="6780" w:type="dxa"/>
        <w:jc w:val="left"/>
        <w:tblInd w:w="0" w:type="dxa"/>
        <w:tblLayout w:type="fixed"/>
        <w:tblCellMar>
          <w:top w:w="28" w:type="dxa"/>
          <w:left w:w="28" w:type="dxa"/>
          <w:bottom w:w="28" w:type="dxa"/>
          <w:right w:w="28" w:type="dxa"/>
        </w:tblCellMar>
      </w:tblPr>
      <w:tblGrid>
        <w:gridCol w:w="3391"/>
        <w:gridCol w:w="346"/>
        <w:gridCol w:w="393"/>
        <w:gridCol w:w="867"/>
        <w:gridCol w:w="166"/>
        <w:gridCol w:w="146"/>
        <w:gridCol w:w="393"/>
        <w:gridCol w:w="867"/>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(net of waivers)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capital gains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including other debt financing expenses, decreased from $39.0 million for the three months ended March 31, 2024 to $33.0 million for the three months ended March 31, 2025. This decrease was primarily due to a decrease in the average interest rate on our debt outstanding, which decreased from 7.6% for the three months ended March 31, 2024 to 6.4% for the three months ended March 31, 2025 due to a change in the mix of our debt financing sources and a change in SOFR rates.</w:t>
      </w:r>
    </w:p>
    <w:p>
      <w:pPr>
        <w:pStyle w:val="TextBody"/>
        <w:bidi w:val="0"/>
        <w:spacing w:before="240" w:after="283"/>
        <w:jc w:val="left"/>
        <w:rPr>
          <w:rFonts w:ascii="Times New Roman" w:hAnsi="Times New Roman"/>
          <w:sz w:val="20"/>
        </w:rPr>
      </w:pPr>
      <w:r>
        <w:rPr>
          <w:rFonts w:ascii="Times New Roman" w:hAnsi="Times New Roman"/>
          <w:i/>
          <w:color w:val="000000"/>
          <w:sz w:val="20"/>
        </w:rPr>
        <w:t>Management Fees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Fees (gross of waivers) increased from $12.6 million for the three months ended March 31, 2024 to $13.1 million for the three months ended March 31, 2025 due to an increase in average assets. Management Fees (net of waivers) increased from $12.2 million for the three months ended March 31, 2024 to $12.7 million for the three months ended March 31, 2025. Management Fees waived were $0.4 million for the three months ended March 31, 2025 and $0.4 million for the three months ended March 31, 2024, pursuant to the Leverage. Any waived management fees are not subject to recoupment by the Adviser.</w:t>
      </w:r>
    </w:p>
    <w:p>
      <w:pPr>
        <w:pStyle w:val="TextBody"/>
        <w:bidi w:val="0"/>
        <w:spacing w:before="240" w:after="283"/>
        <w:jc w:val="left"/>
        <w:rPr>
          <w:rFonts w:ascii="Times New Roman" w:hAnsi="Times New Roman"/>
          <w:sz w:val="20"/>
        </w:rPr>
      </w:pPr>
      <w:r>
        <w:rPr>
          <w:rFonts w:ascii="Times New Roman" w:hAnsi="Times New Roman"/>
          <w:i/>
          <w:color w:val="000000"/>
          <w:sz w:val="20"/>
        </w:rPr>
        <w:t>Incentive Fees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Incentive Fees were $7.8 million and $10.1 million, respectively, of which $11.5 million and $10.9 million, respectively, were realized and payable to the Adviser. The increase in Incentive Fees on net investment income from 2024 to 2025 was primarily due to a larger average portfolio size for the three months ended March 31, 2025 compared to the same period in 2024. For the three months ended March 31, 2025 and 2024, $(3.7) million and $(0.8) million, respectively, of Incentive Fees were accrued related to Capital Gains Fees. As of March 31, 2025, these accrued Incentive Fees are not contractually payable to the Adviser.</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Professional Fees and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increased from $1.8 million for the three months ended March 31, 2024 to $2.0 million for the three months ended March 31, 2025 due to higher legal fees, audit related fees and higher sub-agent administration costs. Other general and administrative fees were $1.3 million for the three months ended March 31, 2024 and $1.3 million for the three months ended March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and 2024, we recorded a net expense of $1.4 million and $0.8 million, respectively, for U.S. federal excise tax and other taxes.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net realized and unrealized gains (losses) for the three months ended March 31, 2025 and 2024: </w:t>
      </w:r>
    </w:p>
    <w:tbl>
      <w:tblPr>
        <w:tblW w:w="8275" w:type="dxa"/>
        <w:jc w:val="left"/>
        <w:tblInd w:w="0" w:type="dxa"/>
        <w:tblLayout w:type="fixed"/>
        <w:tblCellMar>
          <w:top w:w="28" w:type="dxa"/>
          <w:left w:w="28" w:type="dxa"/>
          <w:bottom w:w="28" w:type="dxa"/>
          <w:right w:w="28" w:type="dxa"/>
        </w:tblCellMar>
      </w:tblPr>
      <w:tblGrid>
        <w:gridCol w:w="5086"/>
        <w:gridCol w:w="146"/>
        <w:gridCol w:w="361"/>
        <w:gridCol w:w="899"/>
        <w:gridCol w:w="166"/>
        <w:gridCol w:w="146"/>
        <w:gridCol w:w="361"/>
        <w:gridCol w:w="899"/>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investments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foreign currency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foreign currency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Unrealized gains (losses) on foreign currency transactions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 million</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2025 and 2024, we had net realized gains on investments of $1.1 million and $2.2 million, respectively. For the three months ended March 31, 2025 and 2024, we had net realized losses of $0.2 million and $0.6 million, respectively, on foreign currency transactions, primarily as a result of translating foreign currency related to our non-USD denominated investments. For the three months ended March 31, 2025, we had net realized gains on foreign currency investments of less than $0.1 million and for the three months ended March 31, 2024, we had net realized losses on foreign currency investments of $0.6 million. For the three months ended March 31, 2025, we had net realized losses on foreign currency borrowings of $0.1 million and for the three months ended March 31, 2024, we had net realized gains on foreign currency borrowings of $1.1 million. The net realized losses on foreign currency borrowings were a result of payments on our revolving credit facility.</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we had $23.7 million in unrealized gains on 53 portfolio company investments, which was offset by $34.5 million in unrealized losses on 68 portfolio company investments. Unrealized gains for the three months ended March 31, 2025 resulted from positive portfolio company specific developments. Unrealized losses for the three months ended March 31, 2025 resulted from widening credit spreads, negative credit-related adjustments and the reversal of prior period unrealized gains due to realizations.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we had $15.4 million in unrealized gains on 75 portfolio company investments, which was offset by $27.1 million in unrealized losses on 69 portfolio company investments. Unrealized gains for the three months ended March 31, 2024 resulted from an increase in fair value, primarily due to positive valuation adjustments, unwind of prior period unrealized losses, and changes in credit spreads. Unrealized losses for the three months ended March 31, 2024 resulted from the reversal of prior period unrealized gains due to realizations, negative credit-related adjustments and changes in credit spreads.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we had unrealized losses on foreign currency borrowings of $11.0 million and for the three months ended March 31, 2024 we had unrealized gains on foreign currency borrowings of $4.7 million, primarily as a result of fluctuations in the AUD, CAD, SEK, GBP and EUR exchange rates. For the three months ended March 31, 2025, we had unrealized losses of less than $0.1 million and for the three months ended March 31, 2024, we had unrealized gains of less than $0.1 million on foreign currency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Realized Gross Internal Rate of Return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we began investing in 2011 through March 31, 2025, weighted by capital invested, our exited investments have generated an average realized gross internal rate of return to us of 17.0% (based on total capital invested of $8.2 billion and total proceeds from these exited investments of $10.5 billion). Ninety-two percent of these exited investments resulted in a realized gross internal rate of return to us of 10% or greater.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and Foreign Currency Hedging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approach to hedging the foreign currency exposure in our non-U.S. dollar denominated investments is primarily to borrow the par amount in local currency under our Revolving Credit Facility to fund these investments. For the three months ended March 31, 2025 and 2024, we had $11.0 million of unrealized losses and $4.7 million of unrealized gains, respectively, on the translation of our non-U.S. dollar denominated debt into U.S. dollars; such amounts approximate the corresponding unrealized gains and losses on the translation of our non-U.S. dollar denominated investments into U.S. dollars for the three months ended March 31, 2025 and 2024. See Note 2 for additional disclosure regarding our accounting for foreign currency. See Note 7 for additional disclosure regarding the amounts of outstanding debt denominated in each foreign currency at March 31, 2025. See our Consolidated Schedule of 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and capital resources are derived primarily from proceeds from equity issuances, advances from our credit facilities, and cash flows from operations. The primary uses of our cash and cash equivalents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portfolio companies and other investments and to comply with certain portfolio diversification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operations (including paying our Adviser);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repayment, and other financing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dividends to the holders of our shares. </w:t>
      </w:r>
    </w:p>
    <w:p>
      <w:pPr>
        <w:pStyle w:val="TextBody"/>
        <w:bidi w:val="0"/>
        <w:spacing w:before="240" w:after="283"/>
        <w:jc w:val="left"/>
        <w:rPr>
          <w:rFonts w:ascii="Times New Roman" w:hAnsi="Times New Roman"/>
          <w:sz w:val="20"/>
        </w:rPr>
      </w:pPr>
      <w:r>
        <w:rPr>
          <w:rFonts w:ascii="Times New Roman" w:hAnsi="Times New Roman"/>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hAnsi="Times New Roman"/>
          <w:i/>
          <w:color w:val="000000"/>
          <w:sz w:val="20"/>
        </w:rPr>
        <w:t>Key Components of Our Results of Operations — Leverage</w:t>
      </w:r>
      <w:r>
        <w:rPr>
          <w:rFonts w:ascii="Times New Roman" w:hAnsi="Times New Roman"/>
          <w:color w:val="000000"/>
          <w:sz w:val="20"/>
        </w:rPr>
        <w:t>” above. As of March 31, 2025 and December 31, 2024, our asset coverage ratio was 185.1% and 182.5%,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as of March 31, 2025, taken together with cash available under our credit facilities, is expected to be sufficient for our investing activities and to conduct our operations in the near term. As of March 31, 2025, we had approximately $1.0 billion of availability on our Revolving Credit Facility, subject to asset coverage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we had $47.3 million in cash and cash equivalents, including $42.7 million of restricted cash. During the three months ended March 31, 2025, cash provided by operating activities was $149.9 million, primarily attributable repayments and proceeds from investments of $291.9 million, an increase in net assets resulting from operations of $37.0 million and other operating activity of $4.7 million, which was partially offset by funding portfolio investments of $183.7 million. Cash used in financing activities was $130.0 million during the period due to paydowns on our Revolving Credit Facility of $609.5 million, dividends paid of $43.2 million and deferred financing costs of $7.3 million, which was partially offset by borrowings of $530.0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we had $35.9 million in cash and cash equivalents, including $29.1 million of restricted cash. During the three months ended March 31, 2024, cash used in operating activities was $65.5 million, primarily attributable to funding portfolio investments of $211.3 million and other operating activities of $17.1 million, which was offset by repayments and proceeds from investments of $115.4 million and an increase in net assets resulting from operations of $47.5 million. Cash provided by financing activities was $76.2 million during the period due to borrowings of $621.9 million and proceeds from the issuance of common stock $81.5 million, which was offset by paydowns on our debt of $578.9 million, dividends paid to stockholders of $43.3 million and deferred financing costs of $5.0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5, 2024, we issued a total of 4,000,000 shares of common stock at $20.52 per share. Net of underwriting fees and offering costs, we received total cash proceeds of $81.5 million. Subsequent to the offering, we issued an additional 600,000 shares on April 1, 2024 pursuant to the overallotment option granted to underwriters and received, net of offering and underwriting fees, additional total cash proceeds of $11.9 million.</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party to equity distribution agreements with several banks (the “Equity Distribution Agreements”). The Equity Distribution Agreements provide that we may from time to time issue and sell, by means of “at the market” offerings, up to $100 million of the Company's common stock. Under the currently effective Equity Distribution Agreements, common stock with an aggregate offering amount of $100 million remained available for issuance as of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2025 and 2024, we issued 302,922 and 292,057 shares of our common stock, respectively, to investors who have not opted out of our dividend reinvestment plan for proceeds of $6.4 million and $5.9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5, 2024 (effective November 15, 2024). The amount and timing of stock repurchases under the program may vary depending on market conditions, and no assurance can be given that any particular amount of common stock will be repurchased.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repurchased for the three months ended March 31, 2025 and 2024.</w:t>
      </w:r>
    </w:p>
    <w:p>
      <w:pPr>
        <w:pStyle w:val="TextBody"/>
        <w:bidi w:val="0"/>
        <w:spacing w:before="36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aggregate commitments under the Revolving Credit Facility were $1.675 billion. The Revolving Credit Facility includes an uncommitted accordion feature that allows us, under certain circumstances, to increase the size of the Revolving Credit Facility to up to $2.5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March 31, 2025, we had outstanding debt denominated in Australian dollars (AUD) of 63.0 million, British pounds (GBP) of 69.4 million, Canadian dollars (CAD) of 35.0 million, Swedish Krona (SEK) of 80.9 million and Euro (EUR) of 180.4 million on our Revolving Credit Facility, included in the Outstanding Principal amount in the table below. As of December 31, 2024, we had outstanding debt denominated in Australian dollars (AUD) of 63.0 million, British pounds (GBP) of 62.4 million, Canadian dollars (CAD) of 5.0 million, Swedish Krona (SEK) of 80.2 million, and Euro (EUR) of 167.2 million on our Revolving Credit Facility, included in the Outstanding Principal amount in the table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also provides for the issuance of letters of credit up to an aggregate amount of $75 million. As of March 31, 2025 and December 31, 2024, we had $23.0 million and $21.8 million respectively in outstanding letters of credit issued through the Revolving Credit Facility. The amount available for borrowing under the Revolving Credit Facility is reduced by any letters of credit issued through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0.325%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asset coverage ratio of no less than 2 to 1 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of at least $650 million plus 25% of the net proceeds of the sale of equity interests after April 24, 2024;</w:t>
        <w:br/>
        <w:t>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minimum asset coverage ratio of no less than 1.5 to 1 with respect to (i) the consolidated assets of our and our subsidiary's guarantors (including certain limitations on the contribution of equity in financing subsidiaries) to (ii) the secured debt of our and our subsidiary's guarantors plus unsecured senior securities of our and our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proceeds received from the issuance of the 2030 Notes were used to pay down borrowings on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and December 31, 2024, we were in compliance with the terms of the Revolving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Notes matured on November 1, 2024 and were fully repaid. The corresponding swap transaction associated with the issuance of the 2024 Notes also matured on November 1, 2024.</w:t>
      </w:r>
    </w:p>
    <w:p>
      <w:pPr>
        <w:pStyle w:val="TextBody"/>
        <w:bidi w:val="0"/>
        <w:spacing w:before="360" w:after="283"/>
        <w:jc w:val="left"/>
        <w:rPr>
          <w:rFonts w:ascii="Times New Roman" w:hAnsi="Times New Roman"/>
          <w:sz w:val="20"/>
        </w:rPr>
      </w:pPr>
      <w:r>
        <w:rPr>
          <w:rFonts w:ascii="Times New Roman" w:hAnsi="Times New Roman"/>
          <w:i/>
          <w:color w:val="000000"/>
          <w:sz w:val="20"/>
        </w:rPr>
        <w:t>2026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original issue discount, were $293.7 million. We used the net proceeds of the 2026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SOFR plus 2.17%. The interest expense related to the 2026 Notes is offset by proceeds received from the interest rate swaps designated as a hedge. The swap adjusted interest expense is included as a component of interest expense on our Consolidated Statements of Operations. As of March 31, 2025 and December 31, 2024, the effective hedge interest rate swaps had a fair value of $(14.2) million and $(17.6) million, respectively, which is offset within interest expense by an equal, but opposite, fair value change for the hedged risk on the 2026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2028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our Consolidated Statements of Operations. As of March 31, 2025 and December 31, 2024, the effective hedge interest rate swaps had a fair value of $2.2 million and $(1.4)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$341.6 million. We used the net proceeds of the 2029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2029 Notes, we entered into an interest rate swap to align the interest rates of its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 The interest expense related to the 2029 Notes is offset by proceeds received from the interest rate swaps designated as a hedge. The swap adjusted interest expense is included as a component of interest expense on our Consolidated Statements of Operations. As of March 31, 2025 and December 31, 2024, the effective hedge interest rate swaps had a fair value of $(0.2) million and $(5.2) million, respectively, which is offset within interest expense by an equal, but opposite, fair value change for the hedged risk on the 2029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We used the net proceeds of the 2030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issuance of the 2030 Notes, we entered into an interest rate swap to align the interest rates of its liabilities with our investment portfolio, which consists of predominately floating rate loans. The notional amount of the interest rate swap is $300.0 million, which matures on August 15, 2030, matching the maturity date of the 2030 Notes. As a result of the swap, our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interest rate on the 2030 Notes is SOFR plus 1.53%. The interest expense related to the 2030 Notes is offset by proceeds received from the interest rate swaps designated as a hedge. The swap adjusted interest expense is included as a component of interest expense on our Consolidated Statements of Operations. As of March 31, 2025, the effective hedge interest rate swaps had a fair value of $5.6 million which is offset within interest expense by an equal, but opposite, fair value change for the hedged risk on the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March 31, 2025 and December 31, 2024: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$17.9 million, $1.6 million, $4.2 million $6.5 million and $7.5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2029 Notes and 2030 Notes are presented inclusive of an incremental $(14.2) million and $2.2 million, $(0.2) million and $5.6 million, which represents an adjustment in the carrying values of the 2026 Notes, 2028 Notes, 2029 Notes and 2030 Notes, each resulting from a hedge accounting relationship.</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2026 Notes, 2028 Notes and 2029 Notes are presented net of the combination of deferred financing costs and original issue discounts totaling $15.4 million, $1.8 million, $4.5 million and $6.9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and 2029 Notes are presented inclusive of an incremental $(17.6) million, $(1.4) million and $(5.2) million, respectively, which represents an adjustment in the carrying values of the 2026 Notes, 2028 Notes and 2029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and December 31, 2024, we were in compliance with the terms of our debt arrangements. We intend to continue to utilize our credit facilities to fund investments and for other general corporate purposes.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March 31, 2025 and December 31, 2024, we had the following commitments to fund investments in current portfolio companies: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40" w:type="dxa"/>
        <w:jc w:val="left"/>
        <w:tblInd w:w="0" w:type="dxa"/>
        <w:tblLayout w:type="fixed"/>
        <w:tblCellMar>
          <w:top w:w="28" w:type="dxa"/>
          <w:left w:w="28" w:type="dxa"/>
          <w:bottom w:w="28" w:type="dxa"/>
          <w:right w:w="28" w:type="dxa"/>
        </w:tblCellMar>
      </w:tblPr>
      <w:tblGrid>
        <w:gridCol w:w="5551"/>
        <w:gridCol w:w="246"/>
        <w:gridCol w:w="393"/>
        <w:gridCol w:w="867"/>
        <w:gridCol w:w="246"/>
        <w:gridCol w:w="246"/>
        <w:gridCol w:w="467"/>
        <w:gridCol w:w="1033"/>
        <w:gridCol w:w="191"/>
      </w:tblGrid>
      <w:tr>
        <w:trPr/>
        <w:tc>
          <w:tcPr>
            <w:tcW w:w="55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Alpha Midco,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Aptean,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 Buyer,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Avalara,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Axonify,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Babylon Finco Limited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Banyan Software Holdings,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Bluebill Buyer,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Nevis Midco Limited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BlueSnap,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Boréal Bidco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BTRS Holdings,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 Parent,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 Bidco B.V.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Elysian Finco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Elysium BidCo Limited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Employment Hero Holdings Pty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ExtraHop Networks,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ForeScout Technologies,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Fullsteam Operations,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Environmental Services,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Marcura Equities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Merit Software Finance Holdings,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PrimePay Intermediate,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PrimeRevenue,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14" w:type="dxa"/>
        <w:jc w:val="left"/>
        <w:tblInd w:w="0" w:type="dxa"/>
        <w:tblLayout w:type="fixed"/>
        <w:tblCellMar>
          <w:top w:w="28" w:type="dxa"/>
          <w:left w:w="28" w:type="dxa"/>
          <w:bottom w:w="28" w:type="dxa"/>
          <w:right w:w="28" w:type="dxa"/>
        </w:tblCellMar>
      </w:tblPr>
      <w:tblGrid>
        <w:gridCol w:w="5821"/>
        <w:gridCol w:w="146"/>
        <w:gridCol w:w="211"/>
        <w:gridCol w:w="571"/>
        <w:gridCol w:w="246"/>
        <w:gridCol w:w="246"/>
        <w:gridCol w:w="211"/>
        <w:gridCol w:w="571"/>
        <w:gridCol w:w="2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QSR Acquisition Co.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 Bidco S.p.A.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SkyLark UK DebtCo Limited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 Buyer Corp.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TradingScreen,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TRP Assets,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estimate of the fair value of the current investments in these portfolio companies includes an analysis of the fair value of any unfunded commitments.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we did not have any unfunded commitments to fund investments to new borrowers that were not current portfolio companies as of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a party to certain legal proceedings incidental to the normal course of our business. As of March 31, 2025,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our contractual payment obligations as of March 31, 2025 is as follows: </w:t>
      </w:r>
    </w:p>
    <w:tbl>
      <w:tblPr>
        <w:tblW w:w="9082"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95"/>
        <w:gridCol w:w="485"/>
        <w:gridCol w:w="146"/>
        <w:gridCol w:w="146"/>
        <w:gridCol w:w="211"/>
        <w:gridCol w:w="571"/>
        <w:gridCol w:w="146"/>
        <w:gridCol w:w="146"/>
        <w:gridCol w:w="211"/>
        <w:gridCol w:w="721"/>
        <w:gridCol w:w="146"/>
        <w:gridCol w:w="146"/>
        <w:gridCol w:w="287"/>
        <w:gridCol w:w="778"/>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addition to the contractual payment obligations in the tables above, we also have commitments to fund investments and to pledge assets as collateral under the terms of our derivatives agreements. </w:t>
      </w:r>
    </w:p>
    <w:p>
      <w:pPr>
        <w:pStyle w:val="TextBody"/>
        <w:bidi w:val="0"/>
        <w:spacing w:before="360" w:after="283"/>
        <w:jc w:val="left"/>
        <w:rPr>
          <w:rFonts w:ascii="Times New Roman" w:hAnsi="Times New Roman"/>
          <w:sz w:val="20"/>
        </w:rPr>
      </w:pPr>
      <w:r>
        <w:rPr>
          <w:rFonts w:ascii="Times New Roman" w:hAnsi="Times New Roman"/>
          <w:i/>
          <w:color w:val="000000"/>
          <w:sz w:val="20"/>
        </w:rPr>
        <w:t>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company taxable income (which is generally our ordinary income plus the excess of realized net short-term capital gains over realized net long-term capital losses), determined without regard to the deduction for dividends paid, for such taxable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tax-exempt interest income (which is the excess of our gross tax exempt interest income over certain disallowed deductions) for such taxable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RIC, we (but not our stockholders) generally will not be subject to U.S. federal income tax on investment company taxable income and net capital gains that we distribute to our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 of our net ordinary income excluding certain ordinary gains or losses for that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98.2% of our capital gain net income, adjusted for certain ordinary gains and losses, recognized for the twelve-month period ending on October 31 of that calendar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100% of any income or gains recognized, but not distributed, in preceding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number of business relationships with affiliated or related parties,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Investment Advisory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Administration Agreement;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ongoing agreement with an affiliate of TPG Global, LLC governing, inter alia, the parties’ respective ownership of and rights to use the “Sixth Street” and “TPG” trademarks and certain variations thereof.</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including those relating to the valuation of our investment portfolio, are described in our Annual Report on Form 10-K for the fiscal year ended December 31, 2024, filed with the SEC on February 13, 2025, and elsewhere in our filings with the SEC. The critical accounting policies and estimates should be read in connection with our risk factors discussed in Part I, “Item 1A. Risk Factors” in our Annual Report on Form 10-K for the fiscal year ended December 31, 2024.</w:t>
      </w:r>
    </w:p>
    <w:p>
      <w:pPr>
        <w:pStyle w:val="TextBody"/>
        <w:bidi w:val="0"/>
        <w:spacing w:before="360" w:after="283"/>
        <w:jc w:val="left"/>
        <w:rPr/>
      </w:pPr>
      <w:r>
        <w:rPr/>
        <w:t> </w:t>
      </w:r>
    </w:p>
    <w:p>
      <w:pPr>
        <w:pStyle w:val="TextBody"/>
        <w:bidi w:val="0"/>
        <w:spacing w:before="180" w:after="283"/>
        <w:jc w:val="left"/>
        <w:rPr>
          <w:rFonts w:ascii="Times New Roman" w:hAnsi="Times New Roman"/>
          <w:sz w:val="20"/>
        </w:rPr>
      </w:pPr>
      <w:bookmarkStart w:id="10" w:name="item_3_quantitative_disclosur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financial market risks, including valuation risk, interest rate risk and currency risk. </w:t>
      </w:r>
    </w:p>
    <w:p>
      <w:pPr>
        <w:pStyle w:val="TextBody"/>
        <w:bidi w:val="0"/>
        <w:spacing w:before="360" w:after="283"/>
        <w:jc w:val="left"/>
        <w:rPr>
          <w:rFonts w:ascii="Times New Roman" w:hAnsi="Times New Roman"/>
          <w:sz w:val="20"/>
        </w:rPr>
      </w:pPr>
      <w:r>
        <w:rPr>
          <w:rFonts w:ascii="Times New Roman" w:hAnsi="Times New Roman"/>
          <w:b/>
          <w:i/>
          <w:color w:val="000000"/>
          <w:sz w:val="20"/>
        </w:rPr>
        <w:t>Valuation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97.0% of our debt investments based on fair value in our portfolio bore interest at floating rates, with 100.0% of these subject to interest rate floors. Our credit facilities also bear interest at floating rates, and in connection with our 2026 Notes, 2028 Notes, 2029 Notes and 2030 Notes, which bear interest at fixed rates, we entered into fixed-to-floating interest rate swaps in order to align the interest rates of our liabilities with our investment portfolio.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Consolidated Balance Sheet as of March 31, 2025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1861"/>
        <w:gridCol w:w="146"/>
        <w:gridCol w:w="352"/>
        <w:gridCol w:w="878"/>
        <w:gridCol w:w="166"/>
        <w:gridCol w:w="146"/>
        <w:gridCol w:w="401"/>
        <w:gridCol w:w="889"/>
        <w:gridCol w:w="166"/>
        <w:gridCol w:w="146"/>
        <w:gridCol w:w="477"/>
        <w:gridCol w:w="1053"/>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300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25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50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w:t>
      </w:r>
      <w:bookmarkStart w:id="12" w:name="item_9a_controls_and_procedures"/>
      <w:bookmarkEnd w:id="12"/>
      <w:r>
        <w:rPr>
          <w:rFonts w:ascii="Times New Roman" w:hAnsi="Times New Roman"/>
          <w:b/>
          <w:color w:val="000000"/>
          <w:sz w:val="20"/>
        </w:rPr>
        <w:t>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There have been no changes in our internal control over financial reporting that occurred during our most recently completed fiscal quarter that have materially affected, or are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3" w:name="part_ii_othe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4" w:name="item_1_legal_proceedings"/>
      <w:bookmarkEnd w:id="14"/>
      <w:r>
        <w:rPr>
          <w:rFonts w:ascii="Times New Roman" w:hAnsi="Times New Roman"/>
          <w:b/>
          <w:color w:val="000000"/>
          <w:sz w:val="20"/>
        </w:rPr>
        <w:t>I</w:t>
      </w:r>
      <w:bookmarkStart w:id="15" w:name="item_10_directors"/>
      <w:bookmarkEnd w:id="15"/>
      <w:r>
        <w:rPr>
          <w:rFonts w:ascii="Times New Roman" w:hAnsi="Times New Roman"/>
          <w:b/>
          <w:color w:val="000000"/>
          <w:sz w:val="20"/>
        </w:rPr>
        <w:t>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pStyle w:val="TextBody"/>
        <w:bidi w:val="0"/>
        <w:spacing w:before="160" w:after="283"/>
        <w:jc w:val="left"/>
        <w:rPr>
          <w:rFonts w:ascii="Times New Roman" w:hAnsi="Times New Roman"/>
          <w:sz w:val="20"/>
        </w:rPr>
      </w:pPr>
      <w:bookmarkStart w:id="16" w:name="items_1a_risk_factors"/>
      <w:bookmarkStart w:id="17" w:name="item_11_executive_compensat"/>
      <w:bookmarkEnd w:id="16"/>
      <w:bookmarkEnd w:id="17"/>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Risk Factors” in our Annual Report on Form 10-K for the fiscal year ended December 31, 2024,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jc w:val="left"/>
        <w:rPr/>
      </w:pPr>
      <w:r>
        <w:rPr/>
        <w:t> </w:t>
      </w:r>
    </w:p>
    <w:p>
      <w:pPr>
        <w:pStyle w:val="TextBody"/>
        <w:bidi w:val="0"/>
        <w:jc w:val="left"/>
        <w:rPr>
          <w:rFonts w:ascii="Times New Roman" w:hAnsi="Times New Roman"/>
          <w:b/>
          <w:color w:val="000000"/>
          <w:sz w:val="20"/>
        </w:rPr>
      </w:pPr>
      <w:bookmarkStart w:id="18" w:name="item_2_unregistered_sales"/>
      <w:bookmarkStart w:id="19" w:name="item_12"/>
      <w:bookmarkEnd w:id="18"/>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20" w:name="item_3_defaults"/>
      <w:bookmarkStart w:id="21" w:name="item_13"/>
      <w:bookmarkEnd w:id="20"/>
      <w:bookmarkEnd w:id="21"/>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2" w:name="item_4_mine_safety"/>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23" w:name="item_5_other_information"/>
      <w:bookmarkStart w:id="24" w:name="item_14"/>
      <w:bookmarkEnd w:id="23"/>
      <w:bookmarkEnd w:id="24"/>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Rule 10b5-1 Trading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none of our directors or officers (as defined in Rule 16a-1(f) under the Exchange Act) adopted, modified or terminated any Rule 10b5-1 trading arrangement or non-Rule 10b5-1 trading arrangement (as such terms are defined in Item 408 of Regulation S-K).</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5" w:name="item_6_exhibits"/>
      <w:bookmarkEnd w:id="25"/>
      <w:r>
        <w:rPr>
          <w:rFonts w:ascii="Times New Roman" w:hAnsi="Times New Roman"/>
          <w:b/>
          <w:color w:val="000000"/>
          <w:sz w:val="20"/>
        </w:rPr>
        <w:t>I</w:t>
      </w:r>
      <w:bookmarkStart w:id="26" w:name="item_15"/>
      <w:bookmarkEnd w:id="26"/>
      <w:r>
        <w:rPr>
          <w:rFonts w:ascii="Times New Roman" w:hAnsi="Times New Roman"/>
          <w:b/>
          <w:color w:val="000000"/>
          <w:sz w:val="20"/>
        </w:rPr>
        <w:t>TEM 6.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53"/>
        <w:gridCol w:w="290"/>
        <w:gridCol w:w="9162"/>
      </w:tblGrid>
      <w:tr>
        <w:trPr/>
        <w:tc>
          <w:tcPr>
            <w:tcW w:w="753"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9162" w:type="dxa"/>
            <w:tcBorders/>
            <w:shd w:fill="FFFFFF" w:val="clear"/>
            <w:vAlign w:val="center"/>
          </w:tcPr>
          <w:p>
            <w:pPr>
              <w:pStyle w:val="TableContents"/>
              <w:bidi w:val="0"/>
              <w:spacing w:before="0" w:after="283"/>
              <w:jc w:val="left"/>
              <w:rPr>
                <w:sz w:val="4"/>
                <w:szCs w:val="4"/>
              </w:rPr>
            </w:pPr>
            <w:r>
              <w:rPr>
                <w:sz w:val="4"/>
                <w:szCs w:val="4"/>
              </w:rPr>
            </w:r>
          </w:p>
        </w:tc>
      </w:tr>
      <w:tr>
        <w:trPr/>
        <w:tc>
          <w:tcPr>
            <w:tcW w:w="75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Exhibit No </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Description of Exhibits </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(incorporated by reference to Exhibit 3.2 to Amendment No. 1 to the Company’s Current Report on Form 8-K filed on June 19, 2020).</w:t>
              </w:r>
            </w:hyperlink>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Bylaws dated July 10, 2023 (incorporated by reference to Exhibit 3.1 to the Company’s</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Current Report on Form 8-K/A filed on July 17, 2023)</w:t>
              </w:r>
            </w:hyperlink>
            <w:r>
              <w:rPr>
                <w:rFonts w:ascii="Times New Roman" w:hAnsi="Times New Roman"/>
                <w:color w:val="000000"/>
                <w:sz w:val="20"/>
              </w:rPr>
              <w:t>.</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4.1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Supplemental Indenture, dated as of February 25, 2025, between Sixth Street Specialty Lending, Inc. and U.S. Bank Trust Company, National Association, as Trustee (incorporated by reference to Exhibit 4.2 to the Company's Current Report on Form 8-K filed on February 25, 2025).</w:t>
              </w:r>
            </w:hyperlink>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4.2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5.625% Note Due 2030 (included in Exhibit 4.2 to the Company’s Current Report on Form 8-K, filed on February 25, 2025 and incorporated by reference).</w:t>
              </w:r>
            </w:hyperlink>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Equity Distribution Agreement, dated as of February 28, 2025, by and among Sixth Street Specialty Lending, Inc., Sixth Street Specialty Lending Advisers, LLC and the sales agent party thereto (incorporated by reference to Exhibit 10.1 to the Company's Current Report on Form 8-K filed on February 28, 2025).</w:t>
              </w:r>
            </w:hyperlink>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w:anchor="tslx-ex10_2.htm">
              <w:r>
                <w:rPr>
                  <w:rStyle w:val="InternetLink"/>
                  <w:rFonts w:ascii="Times New Roman" w:hAnsi="Times New Roman"/>
                  <w:color w:val="0000FF"/>
                  <w:sz w:val="20"/>
                  <w:u w:val="single"/>
                </w:rPr>
                <w:t>Sixteenth Amendment to Second Amended and Restated Senior Secured Revolving Credit Agreement, dated as of March 4, 2025, among Sixth Street Specialty Lending, Inc., as Borrower, the Lenders party thereto and Truist Bank (as successor by merger to SunTrust Bank), as Administrative Agent.</w:t>
              </w:r>
            </w:hyperlink>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w:anchor="tslx-ex31_1.htm">
              <w:r>
                <w:rPr>
                  <w:rStyle w:val="InternetLink"/>
                  <w:rFonts w:ascii="Times New Roman" w:hAnsi="Times New Roman"/>
                  <w:color w:val="0000FF"/>
                  <w:sz w:val="20"/>
                  <w:u w:val="single"/>
                </w:rPr>
                <w:t>Certification of Chief Executive Officer Pursuant to 18 U.S.C. Section 1350, as Adopted Pursuant to Section 302 of the Sarbanes-Oxley Act of 2002.</w:t>
              </w:r>
            </w:hyperlink>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w:anchor="tslx-ex31_2.htm">
              <w:r>
                <w:rPr>
                  <w:rStyle w:val="InternetLink"/>
                  <w:rFonts w:ascii="Times New Roman" w:hAnsi="Times New Roman"/>
                  <w:color w:val="0000FF"/>
                  <w:sz w:val="20"/>
                  <w:u w:val="single"/>
                </w:rPr>
                <w:t>Certification of Chief Financial Officer Pursuant to 18 U.S.C. Section 1350, as Adopted Pursuant to Section 302 of the Sarbanes-Oxley Act of 2002.</w:t>
              </w:r>
            </w:hyperlink>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hyperlink w:anchor="tslx-ex32.htm">
              <w:r>
                <w:rPr>
                  <w:rStyle w:val="InternetLink"/>
                  <w:rFonts w:ascii="Times New Roman" w:hAnsi="Times New Roman"/>
                  <w:color w:val="0000FF"/>
                  <w:sz w:val="20"/>
                  <w:u w:val="single"/>
                </w:rPr>
                <w:t>Certification of CEO and CFO Pursuant to 18 U.S.C. Section 1350, as Adopted Pursuant to Section 906 of the Sarbanes-Oxley Act of 2002.</w:t>
              </w:r>
            </w:hyperlink>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16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signature_page"/>
      <w:bookmarkEnd w:id="27"/>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6088" w:type="dxa"/>
        <w:jc w:val="left"/>
        <w:tblInd w:w="0" w:type="dxa"/>
        <w:tblLayout w:type="fixed"/>
        <w:tblCellMar>
          <w:top w:w="28" w:type="dxa"/>
          <w:left w:w="28" w:type="dxa"/>
          <w:bottom w:w="28" w:type="dxa"/>
          <w:right w:w="28" w:type="dxa"/>
        </w:tblCellMar>
      </w:tblPr>
      <w:tblGrid>
        <w:gridCol w:w="1786"/>
        <w:gridCol w:w="146"/>
        <w:gridCol w:w="415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SIXTH STREET SPECIALTY LENDING,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/s/ Joshua Easterly</w:t>
            </w:r>
            <w:r>
              <w:rPr>
                <w:rFonts w:ascii="Times New Roman" w:hAnsi="Times New Roman"/>
                <w:color w:val="000000"/>
                <w:sz w:val="24"/>
              </w:rPr>
              <w:t xml:space="preserve">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Easterly</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8" w:name="tslx-ex10_2.htm"/>
      <w:bookmarkStart w:id="29" w:name="kstslxex10_2"/>
      <w:bookmarkEnd w:id="28"/>
      <w:bookmarkEnd w:id="29"/>
      <w:r>
        <w:rPr>
          <w:rFonts w:ascii="Times New Roman" w:hAnsi="Times New Roman"/>
          <w:b/>
          <w:color w:val="000000"/>
          <w:sz w:val="24"/>
        </w:rPr>
        <w:t>Exhibit 10.2</w:t>
      </w:r>
      <w:r>
        <w:br w:type="page"/>
      </w:r>
    </w:p>
    <w:p>
      <w:pPr>
        <w:pStyle w:val="TextBody"/>
        <w:bidi w:val="0"/>
        <w:jc w:val="right"/>
        <w:rPr>
          <w:rFonts w:ascii="Times New Roman" w:hAnsi="Times New Roman"/>
          <w:color w:val="000000"/>
          <w:sz w:val="24"/>
        </w:rPr>
      </w:pPr>
      <w:r>
        <w:rPr>
          <w:rFonts w:ascii="Times New Roman" w:hAnsi="Times New Roman"/>
          <w:color w:val="000000"/>
          <w:sz w:val="24"/>
        </w:rPr>
        <w:t>EXECUTION COPY</w:t>
      </w:r>
    </w:p>
    <w:p>
      <w:pPr>
        <w:pStyle w:val="TextBody"/>
        <w:bidi w:val="0"/>
        <w:jc w:val="center"/>
        <w:rPr>
          <w:rFonts w:ascii="Times New Roman" w:hAnsi="Times New Roman"/>
          <w:color w:val="000000"/>
          <w:sz w:val="24"/>
        </w:rPr>
      </w:pPr>
      <w:r>
        <w:rPr>
          <w:rFonts w:ascii="Times New Roman" w:hAnsi="Times New Roman"/>
          <w:color w:val="000000"/>
          <w:sz w:val="24"/>
        </w:rPr>
        <w:t>SIXTEENTH AMENDMENT TO SECOND AMENDED AND RESTATED SENIOR SECURED REVOLVING CREDIT AGREEMENT AND SECOND AMENDMENT TO AMENDED AND RESTATED GUARANTEE AND SECURITY 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SIXTEENTH AMENDMENT TO SECOND AMENDED AND RESTATED SENIOR SECURED REVOLVING CREDIT AGREEMENT AND SECOND AMENDMENT TO AMENDED AND RESTATED GUARANTEE AND SECURITY AGREEMENT, dated as of March 4, 2025 (this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to the Existing Credit Agreement (capitalized terms used herein and not otherwise defined shall have the meanings given to such terms in </w:t>
      </w:r>
      <w:r>
        <w:rPr>
          <w:rFonts w:ascii="Times New Roman" w:hAnsi="Times New Roman"/>
          <w:color w:val="000000"/>
          <w:sz w:val="24"/>
          <w:u w:val="single"/>
        </w:rPr>
        <w:t>Article I</w:t>
      </w:r>
      <w:r>
        <w:rPr>
          <w:rFonts w:ascii="Times New Roman" w:hAnsi="Times New Roman"/>
          <w:color w:val="000000"/>
          <w:sz w:val="24"/>
        </w:rPr>
        <w:t>) and the Existing Guarantee and Security Agreement is among SIXTH STREET SPECIALTY LENDING, INC.,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and ISSUING BANKS party hereto, solely with respect to Sections 3.2 and 5.8 herein, SIXTH STREET SL HOLDING, LLC, TC LENDING, LLC and SIXTH STREET SL SPV, LLC (the “</w:t>
      </w:r>
      <w:r>
        <w:rPr>
          <w:rFonts w:ascii="Times New Roman" w:hAnsi="Times New Roman"/>
          <w:color w:val="000000"/>
          <w:sz w:val="24"/>
          <w:u w:val="single"/>
        </w:rPr>
        <w:t>Subsidiary Guarantors</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caps/>
          <w:color w:val="000000"/>
          <w:sz w:val="24"/>
        </w:rPr>
        <w:t>TRUIST BANK</w:t>
      </w:r>
      <w:r>
        <w:rPr>
          <w:rFonts w:ascii="Times New Roman" w:hAnsi="Times New Roman"/>
          <w:color w:val="000000"/>
          <w:sz w:val="24"/>
        </w:rPr>
        <w:t>, as Administrative Agent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solely with respect to Section 5.10 herein, as Collateral Agent (in such capacity, the “</w:t>
      </w:r>
      <w:r>
        <w:rPr>
          <w:rFonts w:ascii="Times New Roman" w:hAnsi="Times New Roman"/>
          <w:color w:val="000000"/>
          <w:sz w:val="24"/>
          <w:u w:val="single"/>
        </w:rPr>
        <w:t>Collateral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sz w:val="20"/>
        </w:rPr>
      </w:pPr>
      <w:r>
        <w:rPr>
          <w:rFonts w:ascii="Times New Roman" w:hAnsi="Times New Roman"/>
          <w:color w:val="000000"/>
          <w:sz w:val="24"/>
          <w:u w:val="single"/>
        </w:rPr>
        <w:t>W I T N E S S E T 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the Fourteenth Amendment to Second Amended and Restated Senior Secured Revolving Credit Agreement, dated as of June 12, 2023, and the Fifteenth Amendment to Second Amended and Restated Senior Secured Revolving Credit Agreement, dated as of April 24, 2024 (the “</w:t>
      </w:r>
      <w:r>
        <w:rPr>
          <w:rFonts w:ascii="Times New Roman" w:hAnsi="Times New Roman"/>
          <w:color w:val="000000"/>
          <w:sz w:val="24"/>
          <w:u w:val="single"/>
        </w:rPr>
        <w:t>Existing Credit Agreement</w:t>
      </w:r>
      <w:r>
        <w:rPr>
          <w:rFonts w:ascii="Times New Roman" w:hAnsi="Times New Roman"/>
          <w:color w:val="000000"/>
          <w:sz w:val="20"/>
        </w:rPr>
        <w:t>”</w:t>
      </w:r>
      <w:r>
        <w:rPr>
          <w:rFonts w:ascii="Times New Roman" w:hAnsi="Times New Roman"/>
          <w:color w:val="000000"/>
          <w:sz w:val="24"/>
        </w:rPr>
        <w:t>), and by this Amendment and as the same may be further amended, supplemented, amended and restated or otherwise modified from time to time,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the Subsidiary Guarantors party thereto, the Administrative Agent and the Collateral Agent are parties to the Amended and Restated Guarantee and Security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Agreement, dated as of July 2, 2013 (as amended by the First Amendment to Amended and Restated Guarantee and Security Agreement, dated as of June 11, 2014, the “</w:t>
      </w:r>
      <w:r>
        <w:rPr>
          <w:rFonts w:ascii="Times New Roman" w:hAnsi="Times New Roman"/>
          <w:color w:val="000000"/>
          <w:sz w:val="24"/>
          <w:u w:val="single"/>
        </w:rPr>
        <w:t>Existing Guarantee and Security Agreement</w:t>
      </w:r>
      <w:r>
        <w:rPr>
          <w:rFonts w:ascii="Times New Roman" w:hAnsi="Times New Roman"/>
          <w:color w:val="000000"/>
          <w:sz w:val="20"/>
        </w:rPr>
        <w:t>”</w:t>
      </w:r>
      <w:r>
        <w:rPr>
          <w:rFonts w:ascii="Times New Roman" w:hAnsi="Times New Roman"/>
          <w:color w:val="000000"/>
          <w:sz w:val="24"/>
        </w:rPr>
        <w:t>, and as amended by this Amendment and as the same may be further amended, supplemented, amended and restated or otherwise modified from time to time, the “</w:t>
      </w:r>
      <w:r>
        <w:rPr>
          <w:rFonts w:ascii="Times New Roman" w:hAnsi="Times New Roman"/>
          <w:color w:val="000000"/>
          <w:sz w:val="24"/>
          <w:u w:val="single"/>
        </w:rPr>
        <w:t>Guarantee and Security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Collateral Agent amend the Existing Guarantee and Security Agreement and the Collateral Agent is willing, with the consent of the Secured Parties representing the Required Secured Parties (as such terms are defined in the Existing Guarantee and Security Agreement), on the terms and subject to the conditions hereinafter set forth, to agree to the amendment set forth below and the other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the parties hereto hereby covenant and agree as follows:</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w:t>
        <w:br/>
        <w:br/>
        <w:t>DEFINITIONS</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1.1. </w:t>
      </w:r>
      <w:r>
        <w:rPr>
          <w:rFonts w:ascii="Times New Roman" w:hAnsi="Times New Roman"/>
          <w:color w:val="000000"/>
          <w:sz w:val="24"/>
          <w:u w:val="single"/>
        </w:rPr>
        <w:t>Certain Definitions</w:t>
      </w:r>
      <w:r>
        <w:rPr>
          <w:rFonts w:ascii="Times New Roman" w:hAnsi="Times New Roman"/>
          <w:color w:val="000000"/>
          <w:sz w:val="24"/>
        </w:rPr>
        <w:t>. The following terms when used in this Amendment shall have the following meanings (such meanings to be equally applicable to the singular and plural forms thereof):</w:t>
      </w:r>
    </w:p>
    <w:p>
      <w:pPr>
        <w:pStyle w:val="TextBody"/>
        <w:bidi w:val="0"/>
        <w:spacing w:before="0" w:after="240"/>
        <w:jc w:val="both"/>
        <w:rPr/>
      </w:pPr>
      <w:r>
        <w:rPr>
          <w:color w:val="000000"/>
        </w:rPr>
        <w:t>“</w:t>
      </w:r>
      <w:r>
        <w:rPr>
          <w:rFonts w:ascii="Times New Roman" w:hAnsi="Times New Roman"/>
          <w:color w:val="000000"/>
          <w:sz w:val="24"/>
          <w:u w:val="single"/>
        </w:rPr>
        <w:t>Amendment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Collateral Agent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Credit Agreement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first recital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Existing Credit Agreement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first recital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Sixteenth Amendment Effective Date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Article IV</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1.2. </w:t>
      </w:r>
      <w:r>
        <w:rPr>
          <w:rFonts w:ascii="Times New Roman" w:hAnsi="Times New Roman"/>
          <w:color w:val="000000"/>
          <w:sz w:val="24"/>
          <w:u w:val="single"/>
        </w:rPr>
        <w:t>Other Definitions</w:t>
      </w:r>
      <w:r>
        <w:rPr>
          <w:rFonts w:ascii="Times New Roman" w:hAnsi="Times New Roman"/>
          <w:color w:val="000000"/>
          <w:sz w:val="24"/>
        </w:rPr>
        <w:t>. Capitalized terms for which meanings are provided in the Existing Credit Agreement are, unless otherwise defined herein or the context otherwise requires, used in this Amendment with such meanings.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center"/>
        <w:rPr>
          <w:rFonts w:ascii="Times New Roman" w:hAnsi="Times New Roman"/>
          <w:caps/>
          <w:color w:val="000000"/>
          <w:sz w:val="24"/>
        </w:rPr>
      </w:pPr>
      <w:r>
        <w:rPr>
          <w:rFonts w:ascii="Times New Roman" w:hAnsi="Times New Roman"/>
          <w:caps/>
          <w:color w:val="000000"/>
          <w:sz w:val="24"/>
        </w:rPr>
        <w:t>ARTICLE II</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JOINDER OF NEW LENDERS; REDUCTION OF CERTAIN COMMITMENTS</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2.1. </w:t>
      </w:r>
      <w:r>
        <w:rPr>
          <w:rFonts w:ascii="Times New Roman" w:hAnsi="Times New Roman"/>
          <w:color w:val="000000"/>
          <w:sz w:val="24"/>
          <w:u w:val="single"/>
        </w:rPr>
        <w:t>New Lenders</w:t>
      </w:r>
      <w:r>
        <w:rPr>
          <w:rFonts w:ascii="Times New Roman" w:hAnsi="Times New Roman"/>
          <w:color w:val="000000"/>
          <w:sz w:val="24"/>
        </w:rPr>
        <w:t>. Subject to the occurrence of the Sixteenth Amendment Effective Date (as hereinafter defined), each of the parties hereto hereby agrees that each of the Lenders (including certain existing Lenders becoming a Lender with a new Class of Commitment) listed on Schedule I hereto (each, a “</w:t>
      </w:r>
      <w:r>
        <w:rPr>
          <w:rFonts w:ascii="Times New Roman" w:hAnsi="Times New Roman"/>
          <w:color w:val="000000"/>
          <w:sz w:val="24"/>
          <w:u w:val="single"/>
        </w:rPr>
        <w:t>New Lender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New Lenders</w:t>
      </w:r>
      <w:r>
        <w:rPr>
          <w:rFonts w:ascii="Times New Roman" w:hAnsi="Times New Roman"/>
          <w:color w:val="000000"/>
          <w:sz w:val="20"/>
        </w:rPr>
        <w:t>”</w:t>
      </w:r>
      <w:r>
        <w:rPr>
          <w:rFonts w:ascii="Times New Roman" w:hAnsi="Times New Roman"/>
          <w:color w:val="000000"/>
          <w:sz w:val="24"/>
        </w:rPr>
        <w:t>) will (and does hereby) become a “Lender” under and for all purposes of the Credit Agreement with a Commitment in the Class and amount as set forth on Schedule I hereto and each New Lender hereby agrees to be bound by and comply with all of the terms and provisions of the Credit Agreement applicable to it as a “Lender” thereunder and to perform all of the obligations which by the terms of the Credit Agreement are required to be performed by it as a Lender. Each New Lender represents and warrants that it has full power and authority, and has taken all action necessary, to execute this Amendment and to consummate the transactions contemplated hereby and to become a Lender under the Credit Agreement. Each New Lender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2.2. </w:t>
      </w:r>
      <w:r>
        <w:rPr>
          <w:rFonts w:ascii="Times New Roman" w:hAnsi="Times New Roman"/>
          <w:color w:val="000000"/>
          <w:sz w:val="24"/>
          <w:u w:val="single"/>
        </w:rPr>
        <w:t>Reduction of Certain Commitments</w:t>
      </w:r>
      <w:r>
        <w:rPr>
          <w:rFonts w:ascii="Times New Roman" w:hAnsi="Times New Roman"/>
          <w:color w:val="000000"/>
          <w:sz w:val="24"/>
        </w:rPr>
        <w:t>. Subject to the occurrence of the Sixteenth Amendment Effective Date, each of the parties hereto hereby agrees that, notwithstanding any provisions of the Credit Agreement to the contrary, including without limitation, Section 2.08(b) of the Credit Agreement, the Commitment of each Lender listed on Schedule II hereto (each, a “</w:t>
      </w:r>
      <w:r>
        <w:rPr>
          <w:rFonts w:ascii="Times New Roman" w:hAnsi="Times New Roman"/>
          <w:color w:val="000000"/>
          <w:sz w:val="24"/>
          <w:u w:val="single"/>
        </w:rPr>
        <w:t>Reducing Lender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Reducing Lenders</w:t>
      </w:r>
      <w:r>
        <w:rPr>
          <w:rFonts w:ascii="Times New Roman" w:hAnsi="Times New Roman"/>
          <w:color w:val="000000"/>
          <w:sz w:val="20"/>
        </w:rPr>
        <w:t>”</w:t>
      </w:r>
      <w:r>
        <w:rPr>
          <w:rFonts w:ascii="Times New Roman" w:hAnsi="Times New Roman"/>
          <w:color w:val="000000"/>
          <w:sz w:val="24"/>
        </w:rPr>
        <w:t>) shall be reduced by the amount set forth on Schedule II hereto without reducing the Commitments of any other Lender.</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III</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AMENDMENTS TO EXISTING CREDIT AGREEMENT; amendments to existing guarantee and security agreement</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3.1. </w:t>
      </w:r>
      <w:r>
        <w:rPr>
          <w:rFonts w:ascii="Times New Roman" w:hAnsi="Times New Roman"/>
          <w:color w:val="000000"/>
          <w:sz w:val="24"/>
          <w:u w:val="single"/>
        </w:rPr>
        <w:t>Amendments to Credit Agreement</w:t>
      </w:r>
      <w:r>
        <w:rPr>
          <w:rFonts w:ascii="Times New Roman" w:hAnsi="Times New Roman"/>
          <w:color w:val="000000"/>
          <w:sz w:val="24"/>
        </w:rPr>
        <w:t>. Subject to the occurrence of the Sixteenth Amendment Effective Date (as hereinafter defined), the parties hereby agree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Existing Credit Agreement (excluding the Exhibits and Schedules thereto) is amended to delete the stricken text (indicated textually in the same manner as the following example: </w:t>
      </w:r>
      <w:r>
        <w:rPr>
          <w:rFonts w:ascii="Times New Roman" w:hAnsi="Times New Roman"/>
          <w:strike/>
          <w:color w:val="FF0000"/>
          <w:sz w:val="24"/>
        </w:rPr>
        <w:t>stricken text</w:t>
      </w:r>
      <w:r>
        <w:rPr>
          <w:rFonts w:ascii="Times New Roman" w:hAnsi="Times New Roman"/>
          <w:color w:val="000000"/>
          <w:sz w:val="24"/>
        </w:rPr>
        <w:t>) and to add the double-underlined text (indicated textually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same manner as the following example: </w:t>
      </w:r>
      <w:r>
        <w:rPr>
          <w:rFonts w:ascii="Times New Roman" w:hAnsi="Times New Roman"/>
          <w:color w:val="0000FF"/>
          <w:sz w:val="22"/>
          <w:u w:val="single"/>
        </w:rPr>
        <w:t>double-underlined text</w:t>
      </w:r>
      <w:r>
        <w:rPr>
          <w:rFonts w:ascii="Times New Roman" w:hAnsi="Times New Roman"/>
          <w:color w:val="000000"/>
          <w:sz w:val="24"/>
        </w:rPr>
        <w:t xml:space="preserve">) as set forth in the pages attached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Schedule 1.01(b) to the Existing Credit Agreement is amended and restated in its entirety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3.2. </w:t>
      </w:r>
      <w:r>
        <w:rPr>
          <w:rFonts w:ascii="Times New Roman" w:hAnsi="Times New Roman"/>
          <w:color w:val="000000"/>
          <w:sz w:val="24"/>
          <w:u w:val="single"/>
        </w:rPr>
        <w:t>Amendments to Guarantee and Security Agreement</w:t>
      </w:r>
      <w:r>
        <w:rPr>
          <w:rFonts w:ascii="Times New Roman" w:hAnsi="Times New Roman"/>
          <w:color w:val="000000"/>
          <w:sz w:val="24"/>
        </w:rPr>
        <w:t>. The parties hereto hereby agree that Section 4 of the Existing Guarantee and Security Agreement is amended by amending and restating in its entirety the proviso immediately following clause (e) therein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PROVIDED, HOWEVER, that (A) in no event shall the security interest granted under this </w:t>
      </w:r>
      <w:r>
        <w:rPr>
          <w:rFonts w:ascii="Times New Roman" w:hAnsi="Times New Roman"/>
          <w:color w:val="000000"/>
          <w:sz w:val="24"/>
          <w:u w:val="single"/>
        </w:rPr>
        <w:t>Section 4</w:t>
      </w:r>
      <w:r>
        <w:rPr>
          <w:rFonts w:ascii="Times New Roman" w:hAnsi="Times New Roman"/>
          <w:color w:val="000000"/>
          <w:sz w:val="20"/>
        </w:rPr>
        <w:t xml:space="preserve"> </w:t>
      </w:r>
      <w:r>
        <w:rPr>
          <w:rFonts w:ascii="Times New Roman" w:hAnsi="Times New Roman"/>
          <w:color w:val="000000"/>
          <w:sz w:val="24"/>
        </w:rPr>
        <w:t xml:space="preserve">attach to (i) any contract, property rights, Equity Interests, obligation, instrument or agreement to which an Obligor is a party (or to any of its rights or interests thereunder) if the grant of such security interest would constitute or result in either (x) the abandonment, invalidation or unenforceability of any right, title or interest of such Obligor therein or (y) in a breach or termination pursuant to the terms of, or a default under, any such contract, property rights, Equity Interests, obligation, instrument or agreement (other than to the extent that any such term would be rendered ineffective by Section 9-406, 9-407, 9-408 or 9-409 of the Uniform Commercial Code as in effect in the relevant jurisdiction), (ii) any Equity Interests in directly-held Foreign Subsidiaries in excess of 65% of any class of Equity Interests of each such Foreign Subsidiary, (iii) any assets that are directly-held or indirectly-held by a Foreign Subsidiary, (iv) any property that, were it “Collateral” hereunder, would be subject to release pursuant to </w:t>
      </w:r>
      <w:r>
        <w:rPr>
          <w:rFonts w:ascii="Times New Roman" w:hAnsi="Times New Roman"/>
          <w:color w:val="000000"/>
          <w:sz w:val="24"/>
          <w:u w:val="single"/>
        </w:rPr>
        <w:t>Section 10.03(g)</w:t>
      </w:r>
      <w:r>
        <w:rPr>
          <w:rFonts w:ascii="Times New Roman" w:hAnsi="Times New Roman"/>
          <w:color w:val="000000"/>
          <w:sz w:val="20"/>
        </w:rPr>
        <w:t xml:space="preserve"> </w:t>
      </w:r>
      <w:r>
        <w:rPr>
          <w:rFonts w:ascii="Times New Roman" w:hAnsi="Times New Roman"/>
          <w:color w:val="000000"/>
          <w:sz w:val="24"/>
        </w:rPr>
        <w:t xml:space="preserve">or (v) any Portfolio Investment to the extent that the foreclosure by the Collateral Agent in respect of the Collateral Agent’s Lien on such Portfolio Investment would constitute a “covered transaction” (as such terms are defined in the Outbound Investment Rules); and (B) the Obligors, may by notice to the Collateral Agent, exclude from the grant of a security interest provided above in this </w:t>
      </w:r>
      <w:r>
        <w:rPr>
          <w:rFonts w:ascii="Times New Roman" w:hAnsi="Times New Roman"/>
          <w:color w:val="000000"/>
          <w:sz w:val="24"/>
          <w:u w:val="single"/>
        </w:rPr>
        <w:t>Section 4</w:t>
      </w:r>
      <w:r>
        <w:rPr>
          <w:rFonts w:ascii="Times New Roman" w:hAnsi="Times New Roman"/>
          <w:color w:val="000000"/>
          <w:sz w:val="24"/>
        </w:rPr>
        <w:t>, any Special Equity Interests designated by the Borrower in reasonable detail to the Collateral Agent in such notice (it being understood that the Borrower may at any later time rescind any such designation by similar notice to the Collateral Agent).</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IV</w:t>
        <w:br/>
        <w:br/>
        <w:t>CONDITIONS TO EFFECTIVENESS</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4.1. </w:t>
      </w:r>
      <w:r>
        <w:rPr>
          <w:rFonts w:ascii="Times New Roman" w:hAnsi="Times New Roman"/>
          <w:color w:val="000000"/>
          <w:sz w:val="24"/>
          <w:u w:val="single"/>
        </w:rPr>
        <w:t>Effective Date</w:t>
      </w:r>
      <w:r>
        <w:rPr>
          <w:rFonts w:ascii="Times New Roman" w:hAnsi="Times New Roman"/>
          <w:color w:val="000000"/>
          <w:sz w:val="24"/>
        </w:rPr>
        <w:t>. This Amendment shall become effective on the date (the “</w:t>
      </w:r>
      <w:r>
        <w:rPr>
          <w:rFonts w:ascii="Times New Roman" w:hAnsi="Times New Roman"/>
          <w:color w:val="000000"/>
          <w:sz w:val="24"/>
          <w:u w:val="single"/>
        </w:rPr>
        <w:t>Sixteenth Amendment Effective Date</w:t>
      </w:r>
      <w:r>
        <w:rPr>
          <w:rFonts w:ascii="Times New Roman" w:hAnsi="Times New Roman"/>
          <w:color w:val="000000"/>
          <w:sz w:val="20"/>
        </w:rPr>
        <w:t>”</w:t>
      </w:r>
      <w:r>
        <w:rPr>
          <w:rFonts w:ascii="Times New Roman" w:hAnsi="Times New Roman"/>
          <w:color w:val="000000"/>
          <w:sz w:val="24"/>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Obligors, and (ii) Young Conaway Stargatt &amp; Taylor, LLP, Delaware counsel for the Obligors,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r>
        <w:rPr>
          <w:rFonts w:ascii="Times New Roman" w:hAnsi="Times New Roman"/>
          <w:color w:val="000000"/>
          <w:sz w:val="20"/>
        </w:rPr>
        <w:t xml:space="preserve">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w:t>
        <w:br/>
        <w:br/>
        <w:t>MISCELLANEOUS</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5.1. </w:t>
      </w:r>
      <w:r>
        <w:rPr>
          <w:rFonts w:ascii="Times New Roman" w:hAnsi="Times New Roman"/>
          <w:color w:val="000000"/>
          <w:sz w:val="24"/>
          <w:u w:val="single"/>
        </w:rPr>
        <w:t>Representations</w:t>
      </w:r>
      <w:r>
        <w:rPr>
          <w:rFonts w:ascii="Times New Roman" w:hAnsi="Times New Roman"/>
          <w:color w:val="000000"/>
          <w:sz w:val="24"/>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5.2. </w:t>
      </w:r>
      <w:r>
        <w:rPr>
          <w:rFonts w:ascii="Times New Roman" w:hAnsi="Times New Roman"/>
          <w:color w:val="000000"/>
          <w:sz w:val="24"/>
          <w:u w:val="single"/>
        </w:rPr>
        <w:t>Cross-References</w:t>
      </w:r>
      <w:r>
        <w:rPr>
          <w:rFonts w:ascii="Times New Roman" w:hAnsi="Times New Roman"/>
          <w:color w:val="000000"/>
          <w:sz w:val="24"/>
        </w:rPr>
        <w:t>. References in this Amendment to any Article or Section are, unless otherwise specified, to such Article or Section of this Amendment.</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5.3. </w:t>
      </w:r>
      <w:r>
        <w:rPr>
          <w:rFonts w:ascii="Times New Roman" w:hAnsi="Times New Roman"/>
          <w:color w:val="000000"/>
          <w:sz w:val="24"/>
          <w:u w:val="single"/>
        </w:rPr>
        <w:t>Loan Document Pursuant to Existing Credit Agreement</w:t>
      </w:r>
      <w:r>
        <w:rPr>
          <w:rFonts w:ascii="Times New Roman" w:hAnsi="Times New Roman"/>
          <w:color w:val="000000"/>
          <w:sz w:val="24"/>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5.4. </w:t>
      </w:r>
      <w:r>
        <w:rPr>
          <w:rFonts w:ascii="Times New Roman" w:hAnsi="Times New Roman"/>
          <w:color w:val="000000"/>
          <w:sz w:val="24"/>
          <w:u w:val="single"/>
        </w:rPr>
        <w:t>Successors and Assigns</w:t>
      </w:r>
      <w:r>
        <w:rPr>
          <w:rFonts w:ascii="Times New Roman" w:hAnsi="Times New Roman"/>
          <w:color w:val="000000"/>
          <w:sz w:val="24"/>
        </w:rPr>
        <w:t>. The provisions of this Amendment shall be binding upon and inure to the benefit of the parties hereto and their respective successors and assigns.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5.5. </w:t>
      </w:r>
      <w:r>
        <w:rPr>
          <w:rFonts w:ascii="Times New Roman" w:hAnsi="Times New Roman"/>
          <w:color w:val="000000"/>
          <w:sz w:val="24"/>
          <w:u w:val="single"/>
        </w:rPr>
        <w:t>Counterparts</w:t>
      </w:r>
      <w:r>
        <w:rPr>
          <w:rFonts w:ascii="Times New Roman" w:hAnsi="Times New Roman"/>
          <w:color w:val="000000"/>
          <w:sz w:val="24"/>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5.6. </w:t>
      </w:r>
      <w:r>
        <w:rPr>
          <w:rFonts w:ascii="Times New Roman" w:hAnsi="Times New Roman"/>
          <w:color w:val="000000"/>
          <w:sz w:val="24"/>
          <w:u w:val="single"/>
        </w:rPr>
        <w:t>Governing Law</w:t>
      </w:r>
      <w:r>
        <w:rPr>
          <w:rFonts w:ascii="Times New Roman" w:hAnsi="Times New Roman"/>
          <w:color w:val="000000"/>
          <w:sz w:val="24"/>
        </w:rPr>
        <w:t>. This Amendment shall be governed by and construed in accordance with the laws of the State of New York.</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5.7. </w:t>
      </w:r>
      <w:r>
        <w:rPr>
          <w:rFonts w:ascii="Times New Roman" w:hAnsi="Times New Roman"/>
          <w:color w:val="000000"/>
          <w:sz w:val="24"/>
          <w:u w:val="single"/>
        </w:rPr>
        <w:t>Full Force and Effect; Limited Amendment</w:t>
      </w:r>
      <w:r>
        <w:rPr>
          <w:rFonts w:ascii="Times New Roman" w:hAnsi="Times New Roman"/>
          <w:color w:val="000000"/>
          <w:sz w:val="24"/>
        </w:rPr>
        <w:t>. Except as expressly amended hereby, all of the representations, warranties, terms, covenants, conditions and other provisions of the Existing Credit Agreement, the Existing Guarantee and Security Agreement and the other Loan Documents shall remain unchanged and shall continue to be, and shall remain, in full force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the Existing Guarantee and Security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 Upon and after the execution of this Amendment by each of the parties hereto, each reference in the Guarantee and Security Agreement to “this Agreement”, “hereunder”, “hereof” or words of like import referring to the Guarantee and Security Agreement and each reference in the other Loan Documents to “the Guarantee and Security Agreement”, “thereunder”, “thereof” or words of like import referring to the Guarantee and Security Agreement, shall mean and be a reference to the Existing Guarantee and Security Agreement as modified hereby.</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5.8. </w:t>
      </w:r>
      <w:r>
        <w:rPr>
          <w:rFonts w:ascii="Times New Roman" w:hAnsi="Times New Roman"/>
          <w:color w:val="000000"/>
          <w:sz w:val="24"/>
          <w:u w:val="single"/>
        </w:rPr>
        <w:t>Reaffirmation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of Sixth Street SL Holding, LLC, TC Lending, LLC and Sixth Street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of the Borrower, Sixth Street SL Holding, LLC, TC Lending, LLC and Sixth Street SL SPV, LLC hereby reaffirms, ratifies and confirms that, after giving effect to this Amendment and the transactions contemplated hereby, the Liens and other security interests granted by it pursuant to, and the terms and conditions of, the Guarantee and Security Agreement remain unaltered and in full force and effect and secure the Secured Obligations as amended hereby.</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5.9. </w:t>
      </w:r>
      <w:r>
        <w:rPr>
          <w:rFonts w:ascii="Times New Roman" w:hAnsi="Times New Roman"/>
          <w:color w:val="000000"/>
          <w:sz w:val="24"/>
          <w:u w:val="single"/>
        </w:rPr>
        <w:t>Assignment and Reallocation of Existing Commitments and Existing Loans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In connection with (x) the increase of Commitments of certain existing Lenders on the Sixteenth Amendment Effective Date and (y) the reduction of the Commitments of the Reducing Lenders pursuant to Section 2.2 on the Sixteenth Amendment Effective Date, the Borrower shall (A) prepay the outstanding Loans and (B) simultaneously borrow new Loans in an amount equal to such prepayment; provided that with respect to subclauses (A) and (B), (x) the prepayment to, and borrowing from, any Lender shall be effected by book entry to the extent that any portion of the amount prepaid to such Lender will be subsequently borrowed from such Lender, (y) the Lenders shall make and receive payments among themselves, in a manner acceptable to the Administrative Agent, so that, after giving effect thereto, the Loans of such Class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are held ratably by the Lenders of such Class in accordance with the respective Commitments of such Class of such Lenders (after giving effect to this Amendment), which, for the purposes of the Credit Agreement and each other Loan Document, will be as set forth opposite such Person’s name on Schedule 1.01(b) to the Credit Agreement (as amended and restated by this Amendment) and (z) each Lender party hereto hereby agrees that no amounts shall be required to be paid to such Lender under Section 2.15 of the Credit Agreement in connection with the reallocation described in this Section 5.9(a).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of the Lenders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pStyle w:val="TextBody"/>
        <w:bidi w:val="0"/>
        <w:spacing w:before="0" w:after="240"/>
        <w:jc w:val="both"/>
        <w:rPr>
          <w:rFonts w:ascii="Times New Roman" w:hAnsi="Times New Roman"/>
          <w:sz w:val="20"/>
        </w:rPr>
      </w:pPr>
      <w:r>
        <w:rPr>
          <w:rFonts w:ascii="Times New Roman" w:hAnsi="Times New Roman"/>
          <w:caps/>
          <w:color w:val="000000"/>
          <w:sz w:val="24"/>
        </w:rPr>
        <w:t xml:space="preserve">SECTION 5.10. </w:t>
      </w:r>
      <w:r>
        <w:rPr>
          <w:rFonts w:ascii="Times New Roman" w:hAnsi="Times New Roman"/>
          <w:color w:val="000000"/>
          <w:sz w:val="24"/>
          <w:u w:val="single"/>
        </w:rPr>
        <w:t>Collateral Agent</w:t>
      </w:r>
      <w:r>
        <w:rPr>
          <w:rFonts w:ascii="Times New Roman" w:hAnsi="Times New Roman"/>
          <w:color w:val="000000"/>
          <w:sz w:val="24"/>
        </w:rPr>
        <w:t>. The Collateral Agent, executing this Amendment solely with respect to this Section 5.10, hereby consents, pursuant to Section 9.02(c) of the Existing Credit Agreement, to the spreading of the Liens granted under the Security Documents to secure such additional obligations resulting from the increase in the aggregate Commitments as a result of this Amendment and as set forth in Schedule 1.01(b) of the Credit Agreement as amended and restated hereby.</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executed and delivered this Amendment as of the date first above written.</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BORROWER</w:t>
      </w:r>
      <w:r>
        <w:rPr>
          <w:rFonts w:ascii="Times New Roman" w:hAnsi="Times New Roman"/>
          <w:color w:val="000000"/>
          <w:sz w:val="24"/>
        </w:rPr>
        <w:t xml:space="preserve">: </w:t>
      </w:r>
      <w:r>
        <w:rPr>
          <w:rFonts w:ascii="Times New Roman" w:hAnsi="Times New Roman"/>
          <w:b/>
          <w:color w:val="000000"/>
          <w:sz w:val="24"/>
        </w:rPr>
        <w:t xml:space="preserve">SIXTH STREET SPECIALTY LENDING, INC.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/s/Ian Simmonds</w:t>
        <w:br/>
      </w:r>
      <w:r>
        <w:rPr>
          <w:rFonts w:ascii="Times New Roman" w:hAnsi="Times New Roman"/>
          <w:color w:val="000000"/>
          <w:sz w:val="24"/>
        </w:rPr>
        <w:t>Name: Ian Simmonds</w:t>
      </w:r>
      <w:r>
        <w:rPr>
          <w:rFonts w:ascii="Times New Roman" w:hAnsi="Times New Roman"/>
          <w:color w:val="000000"/>
          <w:sz w:val="24"/>
          <w:u w:val="single"/>
        </w:rPr>
        <w:br/>
      </w:r>
      <w:r>
        <w:rPr>
          <w:rFonts w:ascii="Times New Roman" w:hAnsi="Times New Roman"/>
          <w:color w:val="000000"/>
          <w:sz w:val="24"/>
        </w:rPr>
        <w:t>Title: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ADMINISTRATIVE AGENT</w:t>
      </w:r>
      <w:r>
        <w:rPr>
          <w:rFonts w:ascii="Times New Roman" w:hAnsi="Times New Roman"/>
          <w:color w:val="000000"/>
          <w:sz w:val="24"/>
        </w:rPr>
        <w:t xml:space="preserve">: </w:t>
      </w:r>
      <w:r>
        <w:rPr>
          <w:rFonts w:ascii="Times New Roman" w:hAnsi="Times New Roman"/>
          <w:b/>
          <w:caps/>
          <w:color w:val="000000"/>
          <w:sz w:val="24"/>
        </w:rPr>
        <w:t>TRUIST BANK</w:t>
      </w:r>
      <w:r>
        <w:rPr>
          <w:rFonts w:ascii="Times New Roman" w:hAnsi="Times New Roman"/>
          <w:color w:val="000000"/>
          <w:sz w:val="24"/>
        </w:rPr>
        <w:t>,</w:t>
      </w:r>
      <w:r>
        <w:rPr>
          <w:rFonts w:ascii="Times New Roman" w:hAnsi="Times New Roman"/>
          <w:b/>
          <w:color w:val="000000"/>
          <w:sz w:val="24"/>
        </w:rPr>
        <w:br/>
      </w:r>
      <w:r>
        <w:rPr>
          <w:rFonts w:ascii="Times New Roman" w:hAnsi="Times New Roman"/>
          <w:color w:val="000000"/>
          <w:sz w:val="24"/>
        </w:rPr>
        <w:t xml:space="preserve">as Administrative Agent, Swingline Lender, Issuing Bank and 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 :</w:t>
      </w:r>
      <w:r>
        <w:rPr>
          <w:rFonts w:ascii="Times New Roman" w:hAnsi="Times New Roman"/>
          <w:color w:val="000000"/>
          <w:sz w:val="24"/>
          <w:u w:val="single"/>
        </w:rPr>
        <w:t xml:space="preserve">/s/Michael J. Landry </w:t>
        <w:br/>
      </w:r>
      <w:r>
        <w:rPr>
          <w:rFonts w:ascii="Times New Roman" w:hAnsi="Times New Roman"/>
          <w:color w:val="000000"/>
          <w:sz w:val="24"/>
        </w:rPr>
        <w:t>Name: Michael J. Landry</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u w:val="single"/>
        </w:rPr>
        <w:t>COLLATERAL AGENT</w:t>
      </w:r>
      <w:r>
        <w:rPr>
          <w:rFonts w:ascii="Times New Roman" w:hAnsi="Times New Roman"/>
          <w:b/>
          <w:color w:val="000000"/>
          <w:sz w:val="24"/>
        </w:rPr>
        <w:t>: TRUIST BANK,</w:t>
      </w:r>
    </w:p>
    <w:p>
      <w:pPr>
        <w:pStyle w:val="TextBody"/>
        <w:bidi w:val="0"/>
        <w:jc w:val="left"/>
        <w:rPr>
          <w:rFonts w:ascii="Times New Roman" w:hAnsi="Times New Roman"/>
          <w:sz w:val="20"/>
        </w:rPr>
      </w:pPr>
      <w:r>
        <w:rPr>
          <w:rFonts w:ascii="Times New Roman" w:hAnsi="Times New Roman"/>
          <w:color w:val="000000"/>
          <w:sz w:val="24"/>
        </w:rPr>
        <w:t xml:space="preserve">Solely with respect to </w:t>
      </w:r>
      <w:r>
        <w:rPr>
          <w:rFonts w:ascii="Times New Roman" w:hAnsi="Times New Roman"/>
          <w:color w:val="000000"/>
          <w:sz w:val="24"/>
          <w:u w:val="single"/>
        </w:rPr>
        <w:t>Section 5.10</w:t>
      </w:r>
      <w:r>
        <w:rPr>
          <w:rFonts w:ascii="Times New Roman" w:hAnsi="Times New Roman"/>
          <w:color w:val="000000"/>
          <w:sz w:val="24"/>
        </w:rPr>
        <w:t>, as Collateral Agent</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/s/Michael J. Landry</w:t>
      </w:r>
    </w:p>
    <w:p>
      <w:pPr>
        <w:pStyle w:val="TextBody"/>
        <w:bidi w:val="0"/>
        <w:jc w:val="left"/>
        <w:rPr>
          <w:rFonts w:ascii="Times New Roman" w:hAnsi="Times New Roman"/>
          <w:color w:val="000000"/>
          <w:sz w:val="24"/>
        </w:rPr>
      </w:pPr>
      <w:r>
        <w:rPr>
          <w:rFonts w:ascii="Times New Roman" w:hAnsi="Times New Roman"/>
          <w:color w:val="000000"/>
          <w:sz w:val="24"/>
        </w:rPr>
        <w:t>Name: Michael J. Landry</w:t>
      </w:r>
    </w:p>
    <w:p>
      <w:pPr>
        <w:pStyle w:val="TextBody"/>
        <w:bidi w:val="0"/>
        <w:jc w:val="left"/>
        <w:rPr>
          <w:rFonts w:ascii="Times New Roman" w:hAnsi="Times New Roman"/>
          <w:color w:val="000000"/>
          <w:sz w:val="24"/>
        </w:rPr>
      </w:pPr>
      <w:r>
        <w:rPr>
          <w:rFonts w:ascii="Times New Roman" w:hAnsi="Times New Roman"/>
          <w:color w:val="000000"/>
          <w:sz w:val="24"/>
        </w:rPr>
        <w:t>Title: Director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LENDERS</w:t>
      </w:r>
      <w:r>
        <w:rPr>
          <w:rFonts w:ascii="Times New Roman" w:hAnsi="Times New Roman"/>
          <w:color w:val="000000"/>
          <w:sz w:val="24"/>
        </w:rPr>
        <w:t xml:space="preserve">: </w:t>
      </w:r>
      <w:r>
        <w:rPr>
          <w:rFonts w:ascii="Times New Roman" w:hAnsi="Times New Roman"/>
          <w:b/>
          <w:color w:val="000000"/>
          <w:sz w:val="24"/>
        </w:rPr>
        <w:t>JPMORGAN CHASE BANK, N.A.,</w:t>
      </w:r>
      <w:r>
        <w:rPr>
          <w:rFonts w:ascii="Times New Roman" w:hAnsi="Times New Roman"/>
          <w:color w:val="000000"/>
          <w:sz w:val="20"/>
        </w:rPr>
        <w:t xml:space="preserve"> </w:t>
      </w:r>
      <w:r>
        <w:rPr>
          <w:rFonts w:ascii="Times New Roman" w:hAnsi="Times New Roman"/>
          <w:color w:val="000000"/>
          <w:sz w:val="24"/>
        </w:rPr>
        <w:br/>
        <w:t xml:space="preserve">as Swingline Lender, Issuing Bank and 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/s/Alevtina Dudyreva</w:t>
        <w:br/>
      </w:r>
      <w:r>
        <w:rPr>
          <w:rFonts w:ascii="Times New Roman" w:hAnsi="Times New Roman"/>
          <w:color w:val="000000"/>
          <w:sz w:val="24"/>
        </w:rPr>
        <w:t>Name: Alevtina Dudyreva</w:t>
      </w:r>
      <w:r>
        <w:rPr>
          <w:rFonts w:ascii="Times New Roman" w:hAnsi="Times New Roman"/>
          <w:color w:val="000000"/>
          <w:sz w:val="24"/>
          <w:u w:val="single"/>
        </w:rPr>
        <w:br/>
      </w:r>
      <w:r>
        <w:rPr>
          <w:rFonts w:ascii="Times New Roman" w:hAnsi="Times New Roman"/>
          <w:color w:val="000000"/>
          <w:sz w:val="24"/>
        </w:rPr>
        <w:t>Title: Vice President</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MUFG BANK, LTD.,</w:t>
      </w:r>
      <w:r>
        <w:rPr>
          <w:rFonts w:ascii="Times New Roman" w:hAnsi="Times New Roman"/>
          <w:color w:val="000000"/>
          <w:sz w:val="20"/>
        </w:rPr>
        <w:t xml:space="preserve"> </w:t>
      </w:r>
      <w:r>
        <w:rPr>
          <w:rFonts w:ascii="Times New Roman" w:hAnsi="Times New Roman"/>
          <w:color w:val="000000"/>
          <w:sz w:val="24"/>
        </w:rPr>
        <w:br/>
        <w:t xml:space="preserve">as Swingline Lender and 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/s/Jorge Campos</w:t>
        <w:br/>
      </w:r>
      <w:r>
        <w:rPr>
          <w:rFonts w:ascii="Times New Roman" w:hAnsi="Times New Roman"/>
          <w:color w:val="000000"/>
          <w:sz w:val="24"/>
        </w:rPr>
        <w:t>Name: Jorge Campos</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STATE STREET BANK AND TRUST COMPANY,</w:t>
      </w:r>
      <w:r>
        <w:rPr>
          <w:rFonts w:ascii="Times New Roman" w:hAnsi="Times New Roman"/>
          <w:color w:val="000000"/>
          <w:sz w:val="20"/>
        </w:rPr>
        <w:t xml:space="preserve"> </w:t>
      </w:r>
      <w:r>
        <w:rPr>
          <w:rFonts w:ascii="Times New Roman" w:hAnsi="Times New Roman"/>
          <w:color w:val="000000"/>
          <w:sz w:val="24"/>
        </w:rPr>
        <w:br/>
        <w:t xml:space="preserve">as Swingline Lender and 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/s/Stephen Lynch</w:t>
        <w:br/>
      </w:r>
      <w:r>
        <w:rPr>
          <w:rFonts w:ascii="Times New Roman" w:hAnsi="Times New Roman"/>
          <w:color w:val="000000"/>
          <w:sz w:val="24"/>
        </w:rPr>
        <w:t>Name: Stephen Lynch</w:t>
      </w:r>
      <w:r>
        <w:rPr>
          <w:rFonts w:ascii="Times New Roman" w:hAnsi="Times New Roman"/>
          <w:color w:val="000000"/>
          <w:sz w:val="24"/>
          <w:u w:val="single"/>
        </w:rPr>
        <w:br/>
      </w:r>
      <w:r>
        <w:rPr>
          <w:rFonts w:ascii="Times New Roman" w:hAnsi="Times New Roman"/>
          <w:color w:val="000000"/>
          <w:sz w:val="24"/>
        </w:rPr>
        <w:t>Title: Vice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SUMITOMO MITSUI BANKING CORPORATION,</w:t>
      </w:r>
      <w:r>
        <w:rPr>
          <w:rFonts w:ascii="Times New Roman" w:hAnsi="Times New Roman"/>
          <w:color w:val="000000"/>
          <w:sz w:val="20"/>
        </w:rPr>
        <w:t xml:space="preserve"> </w:t>
      </w:r>
      <w:r>
        <w:rPr>
          <w:rFonts w:ascii="Times New Roman" w:hAnsi="Times New Roman"/>
          <w:color w:val="000000"/>
          <w:sz w:val="24"/>
        </w:rPr>
        <w:br/>
        <w:t xml:space="preserve">as Swingline Lender and 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/s/Brett Austin</w:t>
        <w:br/>
      </w:r>
      <w:r>
        <w:rPr>
          <w:rFonts w:ascii="Times New Roman" w:hAnsi="Times New Roman"/>
          <w:color w:val="000000"/>
          <w:sz w:val="24"/>
        </w:rPr>
        <w:t>Name: Brett Austin</w:t>
      </w:r>
      <w:r>
        <w:rPr>
          <w:rFonts w:ascii="Times New Roman" w:hAnsi="Times New Roman"/>
          <w:color w:val="000000"/>
          <w:sz w:val="24"/>
          <w:u w:val="single"/>
        </w:rPr>
        <w:br/>
      </w:r>
      <w:r>
        <w:rPr>
          <w:rFonts w:ascii="Times New Roman" w:hAnsi="Times New Roman"/>
          <w:color w:val="000000"/>
          <w:sz w:val="24"/>
        </w:rPr>
        <w:t>Title: Managing Director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BANK OF AMERICA, N.A.,</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/s/Sidhima Daruka</w:t>
        <w:br/>
      </w:r>
      <w:r>
        <w:rPr>
          <w:rFonts w:ascii="Times New Roman" w:hAnsi="Times New Roman"/>
          <w:color w:val="000000"/>
          <w:sz w:val="24"/>
        </w:rPr>
        <w:t>Name: Sidhima Daruka</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INDUSTRIAL AND COMMERCIAL BANK OF CHINA LIMITED, NEW YORK BRANCH,</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/s/Yang Wang</w:t>
        <w:br/>
      </w:r>
      <w:r>
        <w:rPr>
          <w:rFonts w:ascii="Times New Roman" w:hAnsi="Times New Roman"/>
          <w:color w:val="000000"/>
          <w:sz w:val="24"/>
        </w:rPr>
        <w:t>Name: Yang Wang</w:t>
      </w:r>
      <w:r>
        <w:rPr>
          <w:rFonts w:ascii="Times New Roman" w:hAnsi="Times New Roman"/>
          <w:color w:val="000000"/>
          <w:sz w:val="24"/>
          <w:u w:val="single"/>
        </w:rPr>
        <w:br/>
      </w:r>
      <w:r>
        <w:rPr>
          <w:rFonts w:ascii="Times New Roman" w:hAnsi="Times New Roman"/>
          <w:color w:val="000000"/>
          <w:sz w:val="24"/>
        </w:rPr>
        <w:t>Title: Associate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/s/Charles Inkeles</w:t>
        <w:br/>
      </w:r>
      <w:r>
        <w:rPr>
          <w:rFonts w:ascii="Times New Roman" w:hAnsi="Times New Roman"/>
          <w:color w:val="000000"/>
          <w:sz w:val="24"/>
        </w:rPr>
        <w:t>Name: Charles Inkeles</w:t>
      </w:r>
      <w:r>
        <w:rPr>
          <w:rFonts w:ascii="Times New Roman" w:hAnsi="Times New Roman"/>
          <w:color w:val="000000"/>
          <w:sz w:val="24"/>
          <w:u w:val="single"/>
        </w:rPr>
        <w:br/>
      </w:r>
      <w:r>
        <w:rPr>
          <w:rFonts w:ascii="Times New Roman" w:hAnsi="Times New Roman"/>
          <w:color w:val="000000"/>
          <w:sz w:val="24"/>
        </w:rPr>
        <w:t>Title: Executive Director</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MIZUHO BANK, LTD.,</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Donna DeMagistris</w:t>
        <w:br/>
      </w:r>
      <w:r>
        <w:rPr>
          <w:rFonts w:ascii="Times New Roman" w:hAnsi="Times New Roman"/>
          <w:color w:val="000000"/>
          <w:sz w:val="24"/>
        </w:rPr>
        <w:t>Name: Donna Demagistris</w:t>
      </w:r>
      <w:r>
        <w:rPr>
          <w:rFonts w:ascii="Times New Roman" w:hAnsi="Times New Roman"/>
          <w:color w:val="000000"/>
          <w:sz w:val="24"/>
          <w:u w:val="single"/>
        </w:rPr>
        <w:br/>
      </w:r>
      <w:r>
        <w:rPr>
          <w:rFonts w:ascii="Times New Roman" w:hAnsi="Times New Roman"/>
          <w:color w:val="000000"/>
          <w:sz w:val="24"/>
        </w:rPr>
        <w:t>Title: Managing Director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WELLS FARGO BANK, NATIONAL ASSOCIATION</w:t>
      </w:r>
      <w:r>
        <w:rPr>
          <w:rFonts w:ascii="Times New Roman" w:hAnsi="Times New Roman"/>
          <w:caps/>
          <w:color w:val="000000"/>
          <w:sz w:val="24"/>
        </w:rPr>
        <w:t>,</w:t>
      </w:r>
      <w:r>
        <w:rPr>
          <w:rFonts w:ascii="Times New Roman" w:hAnsi="Times New Roman"/>
          <w:caps/>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as a Lender</w:t>
      </w:r>
    </w:p>
    <w:p>
      <w:pPr>
        <w:pStyle w:val="TextBody"/>
        <w:bidi w:val="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/s/Michael Kusner</w:t>
        <w:br/>
      </w:r>
      <w:r>
        <w:rPr>
          <w:rFonts w:ascii="Times New Roman" w:hAnsi="Times New Roman"/>
          <w:color w:val="000000"/>
          <w:sz w:val="24"/>
        </w:rPr>
        <w:t>Name: Michael Kusner</w:t>
      </w:r>
      <w:r>
        <w:rPr>
          <w:rFonts w:ascii="Times New Roman" w:hAnsi="Times New Roman"/>
          <w:color w:val="000000"/>
          <w:sz w:val="24"/>
          <w:u w:val="single"/>
        </w:rPr>
        <w:br/>
      </w:r>
      <w:r>
        <w:rPr>
          <w:rFonts w:ascii="Times New Roman" w:hAnsi="Times New Roman"/>
          <w:color w:val="000000"/>
          <w:sz w:val="24"/>
        </w:rPr>
        <w:t>Title: Managing Director</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HSBC BANK USA, N.A.,</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/s/Johann Matthai</w:t>
        <w:br/>
      </w:r>
      <w:r>
        <w:rPr>
          <w:rFonts w:ascii="Times New Roman" w:hAnsi="Times New Roman"/>
          <w:color w:val="000000"/>
          <w:sz w:val="24"/>
        </w:rPr>
        <w:t>Name: Johann Matthai</w:t>
      </w:r>
      <w:r>
        <w:rPr>
          <w:rFonts w:ascii="Times New Roman" w:hAnsi="Times New Roman"/>
          <w:color w:val="000000"/>
          <w:sz w:val="24"/>
          <w:u w:val="single"/>
        </w:rPr>
        <w:br/>
      </w:r>
      <w:r>
        <w:rPr>
          <w:rFonts w:ascii="Times New Roman" w:hAnsi="Times New Roman"/>
          <w:color w:val="000000"/>
          <w:sz w:val="24"/>
        </w:rPr>
        <w:t>Title: Managing Director</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APPLE BANK,</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/s/Joseph K. Kotusky</w:t>
        <w:br/>
      </w:r>
      <w:r>
        <w:rPr>
          <w:rFonts w:ascii="Times New Roman" w:hAnsi="Times New Roman"/>
          <w:color w:val="000000"/>
          <w:sz w:val="24"/>
        </w:rPr>
        <w:t>Name: Joseph K. Kotusky</w:t>
      </w:r>
      <w:r>
        <w:rPr>
          <w:rFonts w:ascii="Times New Roman" w:hAnsi="Times New Roman"/>
          <w:color w:val="000000"/>
          <w:sz w:val="24"/>
          <w:u w:val="single"/>
        </w:rPr>
        <w:br/>
      </w:r>
      <w:r>
        <w:rPr>
          <w:rFonts w:ascii="Times New Roman" w:hAnsi="Times New Roman"/>
          <w:color w:val="000000"/>
          <w:sz w:val="24"/>
        </w:rPr>
        <w:t>Title: First Vice President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CITIBANK, N.A.,</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/s/Patrick Marsh</w:t>
        <w:br/>
      </w:r>
      <w:r>
        <w:rPr>
          <w:rFonts w:ascii="Times New Roman" w:hAnsi="Times New Roman"/>
          <w:color w:val="000000"/>
          <w:sz w:val="24"/>
        </w:rPr>
        <w:t>Name: Patrick Marsh</w:t>
      </w:r>
      <w:r>
        <w:rPr>
          <w:rFonts w:ascii="Times New Roman" w:hAnsi="Times New Roman"/>
          <w:color w:val="000000"/>
          <w:sz w:val="24"/>
          <w:u w:val="single"/>
        </w:rPr>
        <w:br/>
      </w:r>
      <w:r>
        <w:rPr>
          <w:rFonts w:ascii="Times New Roman" w:hAnsi="Times New Roman"/>
          <w:color w:val="000000"/>
          <w:sz w:val="24"/>
        </w:rPr>
        <w:t>Title: Vice President</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FIRST-CITIZENS BANK &amp; TRUST COMPANY,</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/s/Robert L. Klein</w:t>
        <w:br/>
      </w:r>
      <w:r>
        <w:rPr>
          <w:rFonts w:ascii="Times New Roman" w:hAnsi="Times New Roman"/>
          <w:color w:val="000000"/>
          <w:sz w:val="24"/>
        </w:rPr>
        <w:t>Name: Robert L. Klein</w:t>
      </w:r>
      <w:r>
        <w:rPr>
          <w:rFonts w:ascii="Times New Roman" w:hAnsi="Times New Roman"/>
          <w:color w:val="000000"/>
          <w:sz w:val="24"/>
          <w:u w:val="single"/>
        </w:rPr>
        <w:br/>
      </w:r>
      <w:r>
        <w:rPr>
          <w:rFonts w:ascii="Times New Roman" w:hAnsi="Times New Roman"/>
          <w:color w:val="000000"/>
          <w:sz w:val="24"/>
        </w:rPr>
        <w:t>Title: Managing Director</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GOLDMAN SACHS BANK USA,</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/s/Amanda DeRoche</w:t>
        <w:br/>
      </w:r>
      <w:r>
        <w:rPr>
          <w:rFonts w:ascii="Times New Roman" w:hAnsi="Times New Roman"/>
          <w:color w:val="000000"/>
          <w:sz w:val="24"/>
        </w:rPr>
        <w:t>Name: Amanda DeRoche</w:t>
      </w:r>
      <w:r>
        <w:rPr>
          <w:rFonts w:ascii="Times New Roman" w:hAnsi="Times New Roman"/>
          <w:color w:val="000000"/>
          <w:sz w:val="24"/>
          <w:u w:val="single"/>
        </w:rPr>
        <w:br/>
      </w:r>
      <w:r>
        <w:rPr>
          <w:rFonts w:ascii="Times New Roman" w:hAnsi="Times New Roman"/>
          <w:color w:val="000000"/>
          <w:sz w:val="24"/>
        </w:rPr>
        <w:t>Title: Authorized Signatory</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MORGAN STANLEY BANK, N.A.,</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/s/Michael King</w:t>
        <w:br/>
      </w:r>
      <w:r>
        <w:rPr>
          <w:rFonts w:ascii="Times New Roman" w:hAnsi="Times New Roman"/>
          <w:color w:val="000000"/>
          <w:sz w:val="24"/>
        </w:rPr>
        <w:t>Name: Michael King</w:t>
      </w:r>
      <w:r>
        <w:rPr>
          <w:rFonts w:ascii="Times New Roman" w:hAnsi="Times New Roman"/>
          <w:color w:val="000000"/>
          <w:sz w:val="24"/>
          <w:u w:val="single"/>
        </w:rPr>
        <w:br/>
      </w:r>
      <w:r>
        <w:rPr>
          <w:rFonts w:ascii="Times New Roman" w:hAnsi="Times New Roman"/>
          <w:color w:val="000000"/>
          <w:sz w:val="24"/>
        </w:rPr>
        <w:t>Title: Authorized Signatory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ROYAL BANK OF CANADA,</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/s/Joseph Simoneau</w:t>
        <w:br/>
      </w:r>
      <w:r>
        <w:rPr>
          <w:rFonts w:ascii="Times New Roman" w:hAnsi="Times New Roman"/>
          <w:color w:val="000000"/>
          <w:sz w:val="24"/>
        </w:rPr>
        <w:t>Name: Joseph Simoneau</w:t>
      </w:r>
      <w:r>
        <w:rPr>
          <w:rFonts w:ascii="Times New Roman" w:hAnsi="Times New Roman"/>
          <w:color w:val="000000"/>
          <w:sz w:val="24"/>
          <w:u w:val="single"/>
        </w:rPr>
        <w:br/>
      </w:r>
      <w:r>
        <w:rPr>
          <w:rFonts w:ascii="Times New Roman" w:hAnsi="Times New Roman"/>
          <w:color w:val="000000"/>
          <w:sz w:val="24"/>
        </w:rPr>
        <w:t>Title: Authorized Signatory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CITIZENS BANK, N.A.,</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/s/Chris O’Brien</w:t>
        <w:br/>
      </w:r>
      <w:r>
        <w:rPr>
          <w:rFonts w:ascii="Times New Roman" w:hAnsi="Times New Roman"/>
          <w:color w:val="000000"/>
          <w:sz w:val="24"/>
        </w:rPr>
        <w:t>Name: Chris O’Brien</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STIFEL BANK &amp; TRUST,</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/s/Matthew L. Diehl</w:t>
        <w:br/>
      </w:r>
      <w:r>
        <w:rPr>
          <w:rFonts w:ascii="Times New Roman" w:hAnsi="Times New Roman"/>
          <w:color w:val="000000"/>
          <w:sz w:val="24"/>
        </w:rPr>
        <w:t>Name: Matthew L. Diehl</w:t>
      </w:r>
      <w:r>
        <w:rPr>
          <w:rFonts w:ascii="Times New Roman" w:hAnsi="Times New Roman"/>
          <w:color w:val="000000"/>
          <w:sz w:val="24"/>
          <w:u w:val="single"/>
        </w:rPr>
        <w:br/>
      </w:r>
      <w:r>
        <w:rPr>
          <w:rFonts w:ascii="Times New Roman" w:hAnsi="Times New Roman"/>
          <w:color w:val="000000"/>
          <w:sz w:val="24"/>
        </w:rPr>
        <w:t>Title: Senior Vice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SANTANDER BANK, N.A.,</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/s/Joseph Min</w:t>
        <w:br/>
      </w:r>
      <w:r>
        <w:rPr>
          <w:rFonts w:ascii="Times New Roman" w:hAnsi="Times New Roman"/>
          <w:color w:val="000000"/>
          <w:sz w:val="24"/>
        </w:rPr>
        <w:t>Name: Joseph Min</w:t>
      </w:r>
      <w:r>
        <w:rPr>
          <w:rFonts w:ascii="Times New Roman" w:hAnsi="Times New Roman"/>
          <w:color w:val="000000"/>
          <w:sz w:val="24"/>
          <w:u w:val="single"/>
        </w:rPr>
        <w:br/>
      </w:r>
      <w:r>
        <w:rPr>
          <w:rFonts w:ascii="Times New Roman" w:hAnsi="Times New Roman"/>
          <w:color w:val="000000"/>
          <w:sz w:val="24"/>
        </w:rPr>
        <w:t>Title: Senior Vice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COMERICA BANK,</w:t>
      </w:r>
      <w:r>
        <w:rPr>
          <w:rFonts w:ascii="Times New Roman" w:hAnsi="Times New Roman"/>
          <w:color w:val="000000"/>
          <w:sz w:val="20"/>
        </w:rPr>
        <w:t xml:space="preserve"> </w:t>
      </w:r>
      <w:r>
        <w:rPr>
          <w:rFonts w:ascii="Times New Roman" w:hAnsi="Times New Roman"/>
          <w:color w:val="000000"/>
          <w:sz w:val="24"/>
        </w:rPr>
        <w:br/>
        <w:t xml:space="preserve">as a Lender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/s/Robert Wilson</w:t>
        <w:br/>
      </w:r>
      <w:r>
        <w:rPr>
          <w:rFonts w:ascii="Times New Roman" w:hAnsi="Times New Roman"/>
          <w:color w:val="000000"/>
          <w:sz w:val="24"/>
        </w:rPr>
        <w:t>Name: Robert Wilson</w:t>
      </w:r>
      <w:r>
        <w:rPr>
          <w:rFonts w:ascii="Times New Roman" w:hAnsi="Times New Roman"/>
          <w:color w:val="000000"/>
          <w:sz w:val="24"/>
          <w:u w:val="single"/>
        </w:rPr>
        <w:br/>
      </w:r>
      <w:r>
        <w:rPr>
          <w:rFonts w:ascii="Times New Roman" w:hAnsi="Times New Roman"/>
          <w:color w:val="000000"/>
          <w:sz w:val="24"/>
        </w:rPr>
        <w:t>Title: Senior Vice President</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Agreed and acknowledged solely with respect to </w:t>
      </w:r>
      <w:r>
        <w:rPr>
          <w:rFonts w:ascii="Times New Roman" w:hAnsi="Times New Roman"/>
          <w:color w:val="000000"/>
          <w:sz w:val="24"/>
          <w:u w:val="single"/>
        </w:rPr>
        <w:t>Sections 3.2 and 5.8</w:t>
      </w:r>
      <w:r>
        <w:rPr>
          <w:rFonts w:ascii="Times New Roman" w:hAnsi="Times New Roman"/>
          <w:color w:val="000000"/>
          <w:sz w:val="20"/>
        </w:rPr>
        <w:t xml:space="preserve"> </w:t>
      </w:r>
      <w:r>
        <w:rPr>
          <w:rFonts w:ascii="Times New Roman" w:hAnsi="Times New Roman"/>
          <w:color w:val="000000"/>
          <w:sz w:val="24"/>
        </w:rPr>
        <w:t>herein.</w:t>
      </w:r>
    </w:p>
    <w:p>
      <w:pPr>
        <w:pStyle w:val="TextBody"/>
        <w:bidi w:val="0"/>
        <w:spacing w:before="0" w:after="240"/>
        <w:jc w:val="left"/>
        <w:rPr>
          <w:rFonts w:ascii="Times New Roman" w:hAnsi="Times New Roman"/>
          <w:sz w:val="20"/>
        </w:rPr>
      </w:pPr>
      <w:r>
        <w:rPr>
          <w:rFonts w:ascii="Times New Roman" w:hAnsi="Times New Roman"/>
          <w:b/>
          <w:color w:val="000000"/>
          <w:sz w:val="24"/>
        </w:rPr>
        <w:t>TC LENDING, LLC</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/s/Ian Simmonds</w:t>
        <w:br/>
      </w:r>
      <w:r>
        <w:rPr>
          <w:rFonts w:ascii="Times New Roman" w:hAnsi="Times New Roman"/>
          <w:color w:val="000000"/>
          <w:sz w:val="24"/>
        </w:rPr>
        <w:t>Name: Ian Simmonds</w:t>
      </w:r>
      <w:r>
        <w:rPr>
          <w:rFonts w:ascii="Times New Roman" w:hAnsi="Times New Roman"/>
          <w:color w:val="000000"/>
          <w:sz w:val="24"/>
          <w:u w:val="single"/>
        </w:rPr>
        <w:br/>
      </w:r>
      <w:r>
        <w:rPr>
          <w:rFonts w:ascii="Times New Roman" w:hAnsi="Times New Roman"/>
          <w:color w:val="000000"/>
          <w:sz w:val="24"/>
        </w:rPr>
        <w:t>Title: Chief Financial Officer</w:t>
      </w:r>
      <w:r>
        <w:rPr>
          <w:rFonts w:ascii="Times New Roman" w:hAnsi="Times New Roman"/>
          <w:color w:val="000000"/>
          <w:sz w:val="24"/>
          <w:u w:val="single"/>
        </w:rPr>
        <w:br/>
        <w:br/>
      </w:r>
      <w:r>
        <w:rPr>
          <w:rFonts w:ascii="Times New Roman" w:hAnsi="Times New Roman"/>
          <w:color w:val="000000"/>
          <w:sz w:val="20"/>
          <w:u w:val="single"/>
        </w:rPr>
        <w:t> </w:t>
      </w:r>
    </w:p>
    <w:p>
      <w:pPr>
        <w:pStyle w:val="TextBody"/>
        <w:bidi w:val="0"/>
        <w:spacing w:before="0" w:after="240"/>
        <w:jc w:val="left"/>
        <w:rPr>
          <w:rFonts w:ascii="Times New Roman" w:hAnsi="Times New Roman"/>
          <w:sz w:val="20"/>
        </w:rPr>
      </w:pPr>
      <w:r>
        <w:rPr>
          <w:rFonts w:ascii="Times New Roman" w:hAnsi="Times New Roman"/>
          <w:b/>
          <w:color w:val="000000"/>
          <w:sz w:val="24"/>
        </w:rPr>
        <w:t>SIXTH STREET SL HOLDING, LLC</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/s/Ian Simmonds</w:t>
        <w:br/>
      </w:r>
      <w:r>
        <w:rPr>
          <w:rFonts w:ascii="Times New Roman" w:hAnsi="Times New Roman"/>
          <w:color w:val="000000"/>
          <w:sz w:val="24"/>
        </w:rPr>
        <w:t>Name: Ian Simmonds</w:t>
      </w:r>
      <w:r>
        <w:rPr>
          <w:rFonts w:ascii="Times New Roman" w:hAnsi="Times New Roman"/>
          <w:color w:val="000000"/>
          <w:sz w:val="24"/>
          <w:u w:val="single"/>
        </w:rPr>
        <w:br/>
      </w:r>
      <w:r>
        <w:rPr>
          <w:rFonts w:ascii="Times New Roman" w:hAnsi="Times New Roman"/>
          <w:color w:val="000000"/>
          <w:sz w:val="24"/>
        </w:rPr>
        <w:t>Title: Chief Financial Officer</w:t>
      </w:r>
    </w:p>
    <w:p>
      <w:pPr>
        <w:pStyle w:val="TextBody"/>
        <w:bidi w:val="0"/>
        <w:spacing w:before="0" w:after="240"/>
        <w:jc w:val="left"/>
        <w:rPr>
          <w:rFonts w:ascii="Times New Roman" w:hAnsi="Times New Roman"/>
          <w:sz w:val="20"/>
        </w:rPr>
      </w:pPr>
      <w:r>
        <w:rPr>
          <w:rFonts w:ascii="Times New Roman" w:hAnsi="Times New Roman"/>
          <w:b/>
          <w:color w:val="000000"/>
          <w:sz w:val="24"/>
        </w:rPr>
        <w:t>SIXTH STREET SL SPV, LLC</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/s/Ian Simmonds</w:t>
        <w:br/>
      </w:r>
      <w:r>
        <w:rPr>
          <w:rFonts w:ascii="Times New Roman" w:hAnsi="Times New Roman"/>
          <w:color w:val="000000"/>
          <w:sz w:val="24"/>
        </w:rPr>
        <w:t>Name: Ian Simmonds</w:t>
      </w:r>
      <w:r>
        <w:rPr>
          <w:rFonts w:ascii="Times New Roman" w:hAnsi="Times New Roman"/>
          <w:color w:val="000000"/>
          <w:sz w:val="24"/>
          <w:u w:val="single"/>
        </w:rPr>
        <w:br/>
      </w:r>
      <w:r>
        <w:rPr>
          <w:rFonts w:ascii="Times New Roman" w:hAnsi="Times New Roman"/>
          <w:color w:val="000000"/>
          <w:sz w:val="24"/>
        </w:rPr>
        <w:t>Title: Chief Financial Officer</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A to Sixteenth Amendment, dated as of March 4, 2025</w:t>
      </w:r>
    </w:p>
    <w:p>
      <w:pPr>
        <w:pStyle w:val="TextBody"/>
        <w:bidi w:val="0"/>
        <w:jc w:val="righ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CONFORMED CREDIT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[Attached.]</w:t>
      </w:r>
    </w:p>
    <w:p>
      <w:pPr>
        <w:pStyle w:val="TextBody"/>
        <w:bidi w:val="0"/>
        <w:spacing w:before="0" w:after="24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6" w:space="1" w:color="000000"/>
        </w:pBdr>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SECOND AMENDED AND RESTATED</w:t>
        <w:br/>
        <w:t>SENIOR SECURED</w:t>
        <w:br/>
        <w:t>REVOLVING CREDIT AGREEMENT</w:t>
      </w:r>
    </w:p>
    <w:p>
      <w:pPr>
        <w:pStyle w:val="TextBody"/>
        <w:bidi w:val="0"/>
        <w:jc w:val="center"/>
        <w:rPr>
          <w:rFonts w:ascii="Times New Roman" w:hAnsi="Times New Roman"/>
          <w:sz w:val="20"/>
        </w:rPr>
      </w:pPr>
      <w:r>
        <w:rPr>
          <w:rFonts w:ascii="Times New Roman" w:hAnsi="Times New Roman"/>
          <w:color w:val="000000"/>
          <w:sz w:val="24"/>
        </w:rPr>
        <w:t>dated as of</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February 27, 2014</w:t>
      </w:r>
    </w:p>
    <w:p>
      <w:pPr>
        <w:pStyle w:val="TextBody"/>
        <w:bidi w:val="0"/>
        <w:spacing w:before="0" w:after="240"/>
        <w:jc w:val="center"/>
        <w:rPr>
          <w:rFonts w:ascii="Times New Roman" w:hAnsi="Times New Roman"/>
          <w:sz w:val="20"/>
        </w:rPr>
      </w:pPr>
      <w:r>
        <w:rPr>
          <w:rFonts w:ascii="Times New Roman" w:hAnsi="Times New Roman"/>
          <w:color w:val="000000"/>
          <w:sz w:val="24"/>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the Fourteenth Amendment to Second Amended and Restated Senior Secured Revolving Credit Agreement dated as of June 12, 2023, the Fifteenth Amendment to Second Amended and Restated Senior Secured Revolving Credit Agreement dated as of April 24, 2024, and the Sixteenth Amendment to Second Amended and Restated Senior Secured Revolving Credit Agreement and Second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Amendment to Amended and Restated Guarantee and Security Agreement dated as of March 4, 2025</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among</w:t>
      </w:r>
    </w:p>
    <w:p>
      <w:pPr>
        <w:pStyle w:val="TextBody"/>
        <w:bidi w:val="0"/>
        <w:jc w:val="center"/>
        <w:rPr>
          <w:rFonts w:ascii="Times New Roman" w:hAnsi="Times New Roman"/>
          <w:sz w:val="20"/>
        </w:rPr>
      </w:pPr>
      <w:r>
        <w:rPr>
          <w:rFonts w:ascii="Times New Roman" w:hAnsi="Times New Roman"/>
          <w:color w:val="000000"/>
          <w:sz w:val="24"/>
        </w:rPr>
        <w:t>SIXTH STREET SPECIALTY LENDING, INC.</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Borrower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The LENDERS and ISSUING BANKS Party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TRUIST BANK</w:t>
        <w:br/>
        <w:t>as Administrative Agent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JPMORGAN CHASE BANK, N.A.</w:t>
        <w:br/>
        <w:t>as Syndication Agent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xml:space="preserve">$1,675,000,000 </w:t>
        <w:br/>
        <w:t>__________________</w:t>
      </w:r>
    </w:p>
    <w:p>
      <w:pPr>
        <w:pStyle w:val="TextBody"/>
        <w:bidi w:val="0"/>
        <w:jc w:val="center"/>
        <w:rPr>
          <w:rFonts w:ascii="Times New Roman" w:hAnsi="Times New Roman"/>
          <w:color w:val="000000"/>
          <w:sz w:val="24"/>
        </w:rPr>
      </w:pPr>
      <w:r>
        <w:rPr>
          <w:rFonts w:ascii="Times New Roman" w:hAnsi="Times New Roman"/>
          <w:color w:val="000000"/>
          <w:sz w:val="24"/>
        </w:rPr>
        <w:t>TRUIST SECURITIES, INC.</w:t>
      </w:r>
    </w:p>
    <w:p>
      <w:pPr>
        <w:pStyle w:val="TextBody"/>
        <w:bidi w:val="0"/>
        <w:jc w:val="center"/>
        <w:rPr>
          <w:rFonts w:ascii="Times New Roman" w:hAnsi="Times New Roman"/>
          <w:sz w:val="20"/>
        </w:rPr>
      </w:pPr>
      <w:r>
        <w:rPr>
          <w:rFonts w:ascii="Times New Roman" w:hAnsi="Times New Roman"/>
          <w:caps/>
          <w:color w:val="000000"/>
          <w:sz w:val="24"/>
        </w:rPr>
        <w:t>JPMorgan Chase Bank, N.A.</w:t>
        <w:br/>
      </w:r>
      <w:r>
        <w:rPr>
          <w:rFonts w:ascii="Times New Roman" w:hAnsi="Times New Roman"/>
          <w:color w:val="000000"/>
          <w:sz w:val="24"/>
        </w:rPr>
        <w:t>as Joint Lead Arrangers and Joint Book Runners</w:t>
      </w:r>
    </w:p>
    <w:p>
      <w:pPr>
        <w:pStyle w:val="TextBody"/>
        <w:bidi w:val="0"/>
        <w:jc w:val="center"/>
        <w:rPr>
          <w:rFonts w:ascii="Times New Roman" w:hAnsi="Times New Roman"/>
          <w:color w:val="000000"/>
          <w:sz w:val="24"/>
        </w:rPr>
      </w:pPr>
      <w:r>
        <w:rPr>
          <w:rFonts w:ascii="Times New Roman" w:hAnsi="Times New Roman"/>
          <w:color w:val="000000"/>
          <w:sz w:val="24"/>
        </w:rPr>
        <w:br/>
        <w:t>MUFG BANK, LTD.</w:t>
      </w:r>
    </w:p>
    <w:p>
      <w:pPr>
        <w:pStyle w:val="TextBody"/>
        <w:bidi w:val="0"/>
        <w:jc w:val="center"/>
        <w:rPr>
          <w:rFonts w:ascii="Times New Roman" w:hAnsi="Times New Roman"/>
          <w:color w:val="000000"/>
          <w:sz w:val="24"/>
        </w:rPr>
      </w:pPr>
      <w:r>
        <w:rPr>
          <w:rFonts w:ascii="Times New Roman" w:hAnsi="Times New Roman"/>
          <w:color w:val="000000"/>
          <w:sz w:val="24"/>
        </w:rPr>
        <w:t>SUMITOMO MITSUI BANKING CORPORATION</w:t>
      </w:r>
    </w:p>
    <w:p>
      <w:pPr>
        <w:pStyle w:val="TextBody"/>
        <w:bidi w:val="0"/>
        <w:jc w:val="center"/>
        <w:rPr>
          <w:rFonts w:ascii="Times New Roman" w:hAnsi="Times New Roman"/>
          <w:color w:val="000000"/>
          <w:sz w:val="24"/>
        </w:rPr>
      </w:pPr>
      <w:r>
        <w:rPr>
          <w:rFonts w:ascii="Times New Roman" w:hAnsi="Times New Roman"/>
          <w:color w:val="000000"/>
          <w:sz w:val="24"/>
        </w:rPr>
        <w:t>STATE STREET BANK AND TRUST COMPANY</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Joint Lead Arrangers</w:t>
      </w:r>
    </w:p>
    <w:p>
      <w:pPr>
        <w:pStyle w:val="TextBody"/>
        <w:pBdr>
          <w:bottom w:val="double" w:sz="6" w:space="1" w:color="000000"/>
        </w:pBdr>
        <w:bidi w:val="0"/>
        <w:spacing w:before="0" w:after="24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pPr>
      <w:r>
        <w:rPr/>
        <w:t> </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bookmarkStart w:id="30" w:name="mptableofcontents"/>
            <w:bookmarkEnd w:id="30"/>
            <w:r>
              <w:rPr>
                <w:rFonts w:ascii="Times New Roman" w:hAnsi="Times New Roman"/>
                <w:caps/>
                <w:color w:val="0000FF"/>
                <w:sz w:val="24"/>
              </w:rPr>
              <w:t>ARTICLE I DEFINITIONS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1.01.</w:t>
            </w:r>
            <w:r>
              <w:rPr>
                <w:rFonts w:ascii="Times New Roman" w:hAnsi="Times New Roman"/>
                <w:color w:val="0000FF"/>
                <w:sz w:val="24"/>
              </w:rPr>
              <w:t> Defined Terms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1.02.</w:t>
            </w:r>
            <w:r>
              <w:rPr>
                <w:rFonts w:ascii="Times New Roman" w:hAnsi="Times New Roman"/>
                <w:color w:val="0000FF"/>
                <w:sz w:val="24"/>
              </w:rPr>
              <w:t> Classification of Loans and Borrowings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1.03.</w:t>
            </w:r>
            <w:r>
              <w:rPr>
                <w:rFonts w:ascii="Times New Roman" w:hAnsi="Times New Roman"/>
                <w:color w:val="0000FF"/>
                <w:sz w:val="24"/>
              </w:rPr>
              <w:t> Terms Generally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1.04.</w:t>
            </w:r>
            <w:r>
              <w:rPr>
                <w:rFonts w:ascii="Times New Roman" w:hAnsi="Times New Roman"/>
                <w:color w:val="0000FF"/>
                <w:sz w:val="24"/>
              </w:rPr>
              <w:t> Accounting Terms; GAAP</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1.05.</w:t>
            </w:r>
            <w:r>
              <w:rPr>
                <w:rFonts w:ascii="Times New Roman" w:hAnsi="Times New Roman"/>
                <w:color w:val="0000FF"/>
                <w:sz w:val="24"/>
              </w:rPr>
              <w:t> Currencies; Currency Equivalents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1.06.</w:t>
            </w:r>
            <w:r>
              <w:rPr>
                <w:rFonts w:ascii="Times New Roman" w:hAnsi="Times New Roman"/>
                <w:color w:val="0000FF"/>
                <w:sz w:val="24"/>
              </w:rPr>
              <w:t> Letter of Credit Amounts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1.07.</w:t>
            </w:r>
            <w:r>
              <w:rPr>
                <w:rFonts w:ascii="Times New Roman" w:hAnsi="Times New Roman"/>
                <w:color w:val="0000FF"/>
                <w:sz w:val="24"/>
              </w:rPr>
              <w:t> Rates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II THE CREDITS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52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2.01.</w:t>
            </w:r>
            <w:r>
              <w:rPr>
                <w:rFonts w:ascii="Times New Roman" w:hAnsi="Times New Roman"/>
                <w:color w:val="0000FF"/>
                <w:sz w:val="24"/>
              </w:rPr>
              <w:t> The Commitments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2.02.</w:t>
            </w:r>
            <w:r>
              <w:rPr>
                <w:rFonts w:ascii="Times New Roman" w:hAnsi="Times New Roman"/>
                <w:color w:val="0000FF"/>
                <w:sz w:val="24"/>
              </w:rPr>
              <w:t> Loans and Borrowings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2.03.</w:t>
            </w:r>
            <w:r>
              <w:rPr>
                <w:rFonts w:ascii="Times New Roman" w:hAnsi="Times New Roman"/>
                <w:color w:val="0000FF"/>
                <w:sz w:val="24"/>
              </w:rPr>
              <w:t> Requests for Syndicated Borrowings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2.04.</w:t>
            </w:r>
            <w:r>
              <w:rPr>
                <w:rFonts w:ascii="Times New Roman" w:hAnsi="Times New Roman"/>
                <w:color w:val="0000FF"/>
                <w:sz w:val="24"/>
              </w:rPr>
              <w:t> Swingline Loans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2.05.</w:t>
            </w:r>
            <w:r>
              <w:rPr>
                <w:rFonts w:ascii="Times New Roman" w:hAnsi="Times New Roman"/>
                <w:color w:val="0000FF"/>
                <w:sz w:val="24"/>
              </w:rPr>
              <w:t> Letters of Credit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2.06.</w:t>
            </w:r>
            <w:r>
              <w:rPr>
                <w:rFonts w:ascii="Times New Roman" w:hAnsi="Times New Roman"/>
                <w:color w:val="0000FF"/>
                <w:sz w:val="24"/>
              </w:rPr>
              <w:t> Funding of Borrowings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2.07.</w:t>
            </w:r>
            <w:r>
              <w:rPr>
                <w:rFonts w:ascii="Times New Roman" w:hAnsi="Times New Roman"/>
                <w:color w:val="0000FF"/>
                <w:sz w:val="24"/>
              </w:rPr>
              <w:t> Interest Elections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2.08.</w:t>
            </w:r>
            <w:r>
              <w:rPr>
                <w:rFonts w:ascii="Times New Roman" w:hAnsi="Times New Roman"/>
                <w:color w:val="0000FF"/>
                <w:sz w:val="24"/>
              </w:rPr>
              <w:t> Termination, Reduction or Increase of the Commitments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2.09.</w:t>
            </w:r>
            <w:r>
              <w:rPr>
                <w:rFonts w:ascii="Times New Roman" w:hAnsi="Times New Roman"/>
                <w:color w:val="0000FF"/>
                <w:sz w:val="24"/>
              </w:rPr>
              <w:t> Repayment of Loans; Evidence of Debt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2.10.</w:t>
            </w:r>
            <w:r>
              <w:rPr>
                <w:rFonts w:ascii="Times New Roman" w:hAnsi="Times New Roman"/>
                <w:color w:val="0000FF"/>
                <w:sz w:val="24"/>
              </w:rPr>
              <w:t> Prepayment of Loans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2.11.</w:t>
            </w:r>
            <w:r>
              <w:rPr>
                <w:rFonts w:ascii="Times New Roman" w:hAnsi="Times New Roman"/>
                <w:color w:val="0000FF"/>
                <w:sz w:val="24"/>
              </w:rPr>
              <w:t> Fees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2.12.</w:t>
            </w:r>
            <w:r>
              <w:rPr>
                <w:rFonts w:ascii="Times New Roman" w:hAnsi="Times New Roman"/>
                <w:color w:val="0000FF"/>
                <w:sz w:val="24"/>
              </w:rPr>
              <w:t> Interest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2.13.</w:t>
            </w:r>
            <w:r>
              <w:rPr>
                <w:rFonts w:ascii="Times New Roman" w:hAnsi="Times New Roman"/>
                <w:color w:val="0000FF"/>
                <w:sz w:val="24"/>
              </w:rPr>
              <w:t> Inability to Determine Interest Rates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2.14.</w:t>
            </w:r>
            <w:r>
              <w:rPr>
                <w:rFonts w:ascii="Times New Roman" w:hAnsi="Times New Roman"/>
                <w:color w:val="0000FF"/>
                <w:sz w:val="24"/>
              </w:rPr>
              <w:t> Increased Costs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2.15.</w:t>
            </w:r>
            <w:r>
              <w:rPr>
                <w:rFonts w:ascii="Times New Roman" w:hAnsi="Times New Roman"/>
                <w:color w:val="0000FF"/>
                <w:sz w:val="24"/>
              </w:rPr>
              <w:t> Break Funding Payments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2.16.</w:t>
            </w:r>
            <w:r>
              <w:rPr>
                <w:rFonts w:ascii="Times New Roman" w:hAnsi="Times New Roman"/>
                <w:color w:val="0000FF"/>
                <w:sz w:val="24"/>
              </w:rPr>
              <w:t> Taxes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2.17.</w:t>
            </w:r>
            <w:r>
              <w:rPr>
                <w:rFonts w:ascii="Times New Roman" w:hAnsi="Times New Roman"/>
                <w:color w:val="0000FF"/>
                <w:sz w:val="24"/>
              </w:rPr>
              <w:t> Payments Generally; Pro Rata Treatment: Sharing of Set-offs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2.18.</w:t>
            </w:r>
            <w:r>
              <w:rPr>
                <w:rFonts w:ascii="Times New Roman" w:hAnsi="Times New Roman"/>
                <w:color w:val="0000FF"/>
                <w:sz w:val="24"/>
              </w:rPr>
              <w:t> Mitigation Obligations; Replacement of Lenders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2.19.</w:t>
            </w:r>
            <w:r>
              <w:rPr>
                <w:rFonts w:ascii="Times New Roman" w:hAnsi="Times New Roman"/>
                <w:color w:val="0000FF"/>
                <w:sz w:val="24"/>
              </w:rPr>
              <w:t> Defaulting Lenders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86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2.20.</w:t>
            </w:r>
            <w:r>
              <w:rPr>
                <w:rFonts w:ascii="Times New Roman" w:hAnsi="Times New Roman"/>
                <w:color w:val="0000FF"/>
                <w:sz w:val="24"/>
              </w:rPr>
              <w:t> Reallocation Following a Non-Extended Commitment Termination Date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2.21.</w:t>
            </w:r>
            <w:r>
              <w:rPr>
                <w:rFonts w:ascii="Times New Roman" w:hAnsi="Times New Roman"/>
                <w:color w:val="0000FF"/>
                <w:sz w:val="24"/>
              </w:rPr>
              <w:t> Illegality</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92</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7894"/>
        <w:gridCol w:w="2311"/>
      </w:tblGrid>
      <w:tr>
        <w:trPr/>
        <w:tc>
          <w:tcPr>
            <w:tcW w:w="789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2.22.</w:t>
            </w:r>
            <w:r>
              <w:rPr>
                <w:rFonts w:ascii="Times New Roman" w:hAnsi="Times New Roman"/>
                <w:color w:val="0000FF"/>
                <w:sz w:val="24"/>
              </w:rPr>
              <w:t> Effect of Benchmark Transition Event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93</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III REPRESENTATIONS AND WARRANTIES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96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3.01.</w:t>
            </w:r>
            <w:r>
              <w:rPr>
                <w:rFonts w:ascii="Times New Roman" w:hAnsi="Times New Roman"/>
                <w:color w:val="0000FF"/>
                <w:sz w:val="24"/>
              </w:rPr>
              <w:t> Organization; Powers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3.02.</w:t>
            </w:r>
            <w:r>
              <w:rPr>
                <w:rFonts w:ascii="Times New Roman" w:hAnsi="Times New Roman"/>
                <w:color w:val="0000FF"/>
                <w:sz w:val="24"/>
              </w:rPr>
              <w:t> Authorization; Enforceability</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3.03.</w:t>
            </w:r>
            <w:r>
              <w:rPr>
                <w:rFonts w:ascii="Times New Roman" w:hAnsi="Times New Roman"/>
                <w:color w:val="0000FF"/>
                <w:sz w:val="24"/>
              </w:rPr>
              <w:t> Governmental Approvals; No Conflicts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97</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3.04.</w:t>
            </w:r>
            <w:r>
              <w:rPr>
                <w:rFonts w:ascii="Times New Roman" w:hAnsi="Times New Roman"/>
                <w:color w:val="0000FF"/>
                <w:sz w:val="24"/>
              </w:rPr>
              <w:t> Financial Condition; No Material Adverse Change</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97</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3.05.</w:t>
            </w:r>
            <w:r>
              <w:rPr>
                <w:rFonts w:ascii="Times New Roman" w:hAnsi="Times New Roman"/>
                <w:color w:val="0000FF"/>
                <w:sz w:val="24"/>
              </w:rPr>
              <w:t> Litigation</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97</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3.06.</w:t>
            </w:r>
            <w:r>
              <w:rPr>
                <w:rFonts w:ascii="Times New Roman" w:hAnsi="Times New Roman"/>
                <w:color w:val="0000FF"/>
                <w:sz w:val="24"/>
              </w:rPr>
              <w:t> Compliance with Laws and Agreements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97</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3.07.</w:t>
            </w:r>
            <w:r>
              <w:rPr>
                <w:rFonts w:ascii="Times New Roman" w:hAnsi="Times New Roman"/>
                <w:color w:val="0000FF"/>
                <w:sz w:val="24"/>
              </w:rPr>
              <w:t> Taxes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3.08.</w:t>
            </w:r>
            <w:r>
              <w:rPr>
                <w:rFonts w:ascii="Times New Roman" w:hAnsi="Times New Roman"/>
                <w:color w:val="0000FF"/>
                <w:sz w:val="24"/>
              </w:rPr>
              <w:t> ERISA</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3.09.</w:t>
            </w:r>
            <w:r>
              <w:rPr>
                <w:rFonts w:ascii="Times New Roman" w:hAnsi="Times New Roman"/>
                <w:color w:val="0000FF"/>
                <w:sz w:val="24"/>
              </w:rPr>
              <w:t> Disclosure</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3.10.</w:t>
            </w:r>
            <w:r>
              <w:rPr>
                <w:rFonts w:ascii="Times New Roman" w:hAnsi="Times New Roman"/>
                <w:color w:val="0000FF"/>
                <w:sz w:val="24"/>
              </w:rPr>
              <w:t> Investment Company Act; Margin Regulations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3.11.</w:t>
            </w:r>
            <w:r>
              <w:rPr>
                <w:rFonts w:ascii="Times New Roman" w:hAnsi="Times New Roman"/>
                <w:color w:val="0000FF"/>
                <w:sz w:val="24"/>
              </w:rPr>
              <w:t> Material Agreements and Liens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99</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3.12.</w:t>
            </w:r>
            <w:r>
              <w:rPr>
                <w:rFonts w:ascii="Times New Roman" w:hAnsi="Times New Roman"/>
                <w:color w:val="0000FF"/>
                <w:sz w:val="24"/>
              </w:rPr>
              <w:t> Subsidiaries and Investments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99</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3.13.</w:t>
            </w:r>
            <w:r>
              <w:rPr>
                <w:rFonts w:ascii="Times New Roman" w:hAnsi="Times New Roman"/>
                <w:color w:val="0000FF"/>
                <w:sz w:val="24"/>
              </w:rPr>
              <w:t> Properties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99</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3.14.</w:t>
            </w:r>
            <w:r>
              <w:rPr>
                <w:rFonts w:ascii="Times New Roman" w:hAnsi="Times New Roman"/>
                <w:color w:val="0000FF"/>
                <w:sz w:val="24"/>
              </w:rPr>
              <w:t> Affiliate Agreements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100</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3.15.</w:t>
            </w:r>
            <w:r>
              <w:rPr>
                <w:rFonts w:ascii="Times New Roman" w:hAnsi="Times New Roman"/>
                <w:color w:val="0000FF"/>
                <w:sz w:val="24"/>
              </w:rPr>
              <w:t> Sanctions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100</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3.16.</w:t>
            </w:r>
            <w:r>
              <w:rPr>
                <w:rFonts w:ascii="Times New Roman" w:hAnsi="Times New Roman"/>
                <w:color w:val="0000FF"/>
                <w:sz w:val="24"/>
              </w:rPr>
              <w:t> Patriot Act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100</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3.17.</w:t>
            </w:r>
            <w:r>
              <w:rPr>
                <w:rFonts w:ascii="Times New Roman" w:hAnsi="Times New Roman"/>
                <w:color w:val="0000FF"/>
                <w:sz w:val="24"/>
              </w:rPr>
              <w:t> Collateral Documents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3.18.</w:t>
            </w:r>
            <w:r>
              <w:rPr>
                <w:rFonts w:ascii="Times New Roman" w:hAnsi="Times New Roman"/>
                <w:color w:val="0000FF"/>
                <w:sz w:val="24"/>
              </w:rPr>
              <w:t> EEA Financial Institutions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101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IV CONDITIONS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101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4.01.</w:t>
            </w:r>
            <w:r>
              <w:rPr>
                <w:rFonts w:ascii="Times New Roman" w:hAnsi="Times New Roman"/>
                <w:color w:val="0000FF"/>
                <w:sz w:val="24"/>
              </w:rPr>
              <w:t> Effective Date</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4.02.</w:t>
            </w:r>
            <w:r>
              <w:rPr>
                <w:rFonts w:ascii="Times New Roman" w:hAnsi="Times New Roman"/>
                <w:color w:val="0000FF"/>
                <w:sz w:val="24"/>
              </w:rPr>
              <w:t> Each Credit Event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102</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V AFFIRMATIVE COVENANTS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102</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5.01.</w:t>
            </w:r>
            <w:r>
              <w:rPr>
                <w:rFonts w:ascii="Times New Roman" w:hAnsi="Times New Roman"/>
                <w:color w:val="0000FF"/>
                <w:sz w:val="24"/>
              </w:rPr>
              <w:t> Financial Statements and Other Information</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5.02.</w:t>
            </w:r>
            <w:r>
              <w:rPr>
                <w:rFonts w:ascii="Times New Roman" w:hAnsi="Times New Roman"/>
                <w:color w:val="0000FF"/>
                <w:sz w:val="24"/>
              </w:rPr>
              <w:t> Notices of Material Events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5.03.</w:t>
            </w:r>
            <w:r>
              <w:rPr>
                <w:rFonts w:ascii="Times New Roman" w:hAnsi="Times New Roman"/>
                <w:color w:val="0000FF"/>
                <w:sz w:val="24"/>
              </w:rPr>
              <w:t> Existence: Conduct of Business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5.04.</w:t>
            </w:r>
            <w:r>
              <w:rPr>
                <w:rFonts w:ascii="Times New Roman" w:hAnsi="Times New Roman"/>
                <w:color w:val="0000FF"/>
                <w:sz w:val="24"/>
              </w:rPr>
              <w:t> Payment of Obligations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5.05.</w:t>
            </w:r>
            <w:r>
              <w:rPr>
                <w:rFonts w:ascii="Times New Roman" w:hAnsi="Times New Roman"/>
                <w:color w:val="0000FF"/>
                <w:sz w:val="24"/>
              </w:rPr>
              <w:t> Maintenance of Properties; Insurance</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5.06.</w:t>
            </w:r>
            <w:r>
              <w:rPr>
                <w:rFonts w:ascii="Times New Roman" w:hAnsi="Times New Roman"/>
                <w:color w:val="0000FF"/>
                <w:sz w:val="24"/>
              </w:rPr>
              <w:t> Books and Records; Inspection and Audit Rights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5.07.</w:t>
            </w:r>
            <w:r>
              <w:rPr>
                <w:rFonts w:ascii="Times New Roman" w:hAnsi="Times New Roman"/>
                <w:color w:val="0000FF"/>
                <w:sz w:val="24"/>
              </w:rPr>
              <w:t> Compliance with Laws</w:t>
            </w:r>
          </w:p>
        </w:tc>
        <w:tc>
          <w:tcPr>
            <w:tcW w:w="231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106</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7894"/>
        <w:gridCol w:w="2311"/>
      </w:tblGrid>
      <w:tr>
        <w:trPr/>
        <w:tc>
          <w:tcPr>
            <w:tcW w:w="789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5.08.</w:t>
            </w:r>
            <w:r>
              <w:rPr>
                <w:rFonts w:ascii="Times New Roman" w:hAnsi="Times New Roman"/>
                <w:color w:val="0000FF"/>
                <w:sz w:val="24"/>
              </w:rPr>
              <w:t> Certain Obligations Respecting Subsidiaries; Further Assurances.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5.09.</w:t>
            </w:r>
            <w:r>
              <w:rPr>
                <w:rFonts w:ascii="Times New Roman" w:hAnsi="Times New Roman"/>
                <w:color w:val="0000FF"/>
                <w:sz w:val="24"/>
              </w:rPr>
              <w:t> Use of Proceeds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5.10.</w:t>
            </w:r>
            <w:r>
              <w:rPr>
                <w:rFonts w:ascii="Times New Roman" w:hAnsi="Times New Roman"/>
                <w:color w:val="0000FF"/>
                <w:sz w:val="24"/>
              </w:rPr>
              <w:t> Status of RIC and BDC</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5.11.</w:t>
            </w:r>
            <w:r>
              <w:rPr>
                <w:rFonts w:ascii="Times New Roman" w:hAnsi="Times New Roman"/>
                <w:color w:val="0000FF"/>
                <w:sz w:val="24"/>
              </w:rPr>
              <w:t> Investment Policies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5.12.</w:t>
            </w:r>
            <w:r>
              <w:rPr>
                <w:rFonts w:ascii="Times New Roman" w:hAnsi="Times New Roman"/>
                <w:color w:val="0000FF"/>
                <w:sz w:val="24"/>
              </w:rPr>
              <w:t> Portfolio Valuation and Diversification Etc.</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5.13.</w:t>
            </w:r>
            <w:r>
              <w:rPr>
                <w:rFonts w:ascii="Times New Roman" w:hAnsi="Times New Roman"/>
                <w:color w:val="0000FF"/>
                <w:sz w:val="24"/>
              </w:rPr>
              <w:t> Calculation of Borrowing Base</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112</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VI NEGATIVE COVENANTS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117</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6.01.</w:t>
            </w:r>
            <w:r>
              <w:rPr>
                <w:rFonts w:ascii="Times New Roman" w:hAnsi="Times New Roman"/>
                <w:color w:val="0000FF"/>
                <w:sz w:val="24"/>
              </w:rPr>
              <w:t> Indebtedness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117</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6.02.</w:t>
            </w:r>
            <w:r>
              <w:rPr>
                <w:rFonts w:ascii="Times New Roman" w:hAnsi="Times New Roman"/>
                <w:color w:val="0000FF"/>
                <w:sz w:val="24"/>
              </w:rPr>
              <w:t> Liens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119</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6.03.</w:t>
            </w:r>
            <w:r>
              <w:rPr>
                <w:rFonts w:ascii="Times New Roman" w:hAnsi="Times New Roman"/>
                <w:color w:val="0000FF"/>
                <w:sz w:val="24"/>
              </w:rPr>
              <w:t> Fundamental Changes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120</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6.04.</w:t>
            </w:r>
            <w:r>
              <w:rPr>
                <w:rFonts w:ascii="Times New Roman" w:hAnsi="Times New Roman"/>
                <w:color w:val="0000FF"/>
                <w:sz w:val="24"/>
              </w:rPr>
              <w:t> Investments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6.05.</w:t>
            </w:r>
            <w:r>
              <w:rPr>
                <w:rFonts w:ascii="Times New Roman" w:hAnsi="Times New Roman"/>
                <w:color w:val="0000FF"/>
                <w:sz w:val="24"/>
              </w:rPr>
              <w:t> Restricted Payments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122</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6.06.</w:t>
            </w:r>
            <w:r>
              <w:rPr>
                <w:rFonts w:ascii="Times New Roman" w:hAnsi="Times New Roman"/>
                <w:color w:val="0000FF"/>
                <w:sz w:val="24"/>
              </w:rPr>
              <w:t> Certain Restrictions on Subsidiaries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123</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6.07.</w:t>
            </w:r>
            <w:r>
              <w:rPr>
                <w:rFonts w:ascii="Times New Roman" w:hAnsi="Times New Roman"/>
                <w:color w:val="0000FF"/>
                <w:sz w:val="24"/>
              </w:rPr>
              <w:t> Certain Financial Covenants.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123</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6.08.</w:t>
            </w:r>
            <w:r>
              <w:rPr>
                <w:rFonts w:ascii="Times New Roman" w:hAnsi="Times New Roman"/>
                <w:color w:val="0000FF"/>
                <w:sz w:val="24"/>
              </w:rPr>
              <w:t> Transactions with Affiliates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124</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6.09.</w:t>
            </w:r>
            <w:r>
              <w:rPr>
                <w:rFonts w:ascii="Times New Roman" w:hAnsi="Times New Roman"/>
                <w:color w:val="0000FF"/>
                <w:sz w:val="24"/>
              </w:rPr>
              <w:t> Lines of Business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124</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6.10.</w:t>
            </w:r>
            <w:r>
              <w:rPr>
                <w:rFonts w:ascii="Times New Roman" w:hAnsi="Times New Roman"/>
                <w:color w:val="0000FF"/>
                <w:sz w:val="24"/>
              </w:rPr>
              <w:t> No Further Negative Pledge</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124</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6.11.</w:t>
            </w:r>
            <w:r>
              <w:rPr>
                <w:rFonts w:ascii="Times New Roman" w:hAnsi="Times New Roman"/>
                <w:color w:val="0000FF"/>
                <w:sz w:val="24"/>
              </w:rPr>
              <w:t> Modifications of Longer-Term Indebtedness Documents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125</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6.12.</w:t>
            </w:r>
            <w:r>
              <w:rPr>
                <w:rFonts w:ascii="Times New Roman" w:hAnsi="Times New Roman"/>
                <w:color w:val="0000FF"/>
                <w:sz w:val="24"/>
              </w:rPr>
              <w:t> Payments of Longer-Term Indebtedness, the 2024 Notes, the 2026 Notes, the 2028 Notes and the 2029 Notes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125</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6.13.</w:t>
            </w:r>
            <w:r>
              <w:rPr>
                <w:rFonts w:ascii="Times New Roman" w:hAnsi="Times New Roman"/>
                <w:color w:val="0000FF"/>
                <w:sz w:val="24"/>
              </w:rPr>
              <w:t> Accounting Changes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6.14.</w:t>
            </w:r>
            <w:r>
              <w:rPr>
                <w:rFonts w:ascii="Times New Roman" w:hAnsi="Times New Roman"/>
                <w:color w:val="0000FF"/>
                <w:sz w:val="24"/>
              </w:rPr>
              <w:t> SBIC Guarantee</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126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VII EVENTS OF DEFAULT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127</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VIII THE ADMINISTRATIVE AGENT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130</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8.01.</w:t>
            </w:r>
            <w:r>
              <w:rPr>
                <w:rFonts w:ascii="Times New Roman" w:hAnsi="Times New Roman"/>
                <w:color w:val="0000FF"/>
                <w:sz w:val="24"/>
              </w:rPr>
              <w:t> Appointment of the Administrative Agent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130</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8.02.</w:t>
            </w:r>
            <w:r>
              <w:rPr>
                <w:rFonts w:ascii="Times New Roman" w:hAnsi="Times New Roman"/>
                <w:color w:val="0000FF"/>
                <w:sz w:val="24"/>
              </w:rPr>
              <w:t> Capacity as Lender</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8.03.</w:t>
            </w:r>
            <w:r>
              <w:rPr>
                <w:rFonts w:ascii="Times New Roman" w:hAnsi="Times New Roman"/>
                <w:color w:val="0000FF"/>
                <w:sz w:val="24"/>
              </w:rPr>
              <w:t> Limitation of Duties; Exculpation</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8.04.</w:t>
            </w:r>
            <w:r>
              <w:rPr>
                <w:rFonts w:ascii="Times New Roman" w:hAnsi="Times New Roman"/>
                <w:color w:val="0000FF"/>
                <w:sz w:val="24"/>
              </w:rPr>
              <w:t> Reliance</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8.05.</w:t>
            </w:r>
            <w:r>
              <w:rPr>
                <w:rFonts w:ascii="Times New Roman" w:hAnsi="Times New Roman"/>
                <w:color w:val="0000FF"/>
                <w:sz w:val="24"/>
              </w:rPr>
              <w:t> Sub-Agents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132</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8.06.</w:t>
            </w:r>
            <w:r>
              <w:rPr>
                <w:rFonts w:ascii="Times New Roman" w:hAnsi="Times New Roman"/>
                <w:color w:val="0000FF"/>
                <w:sz w:val="24"/>
              </w:rPr>
              <w:t> Resignation; Successor Administrative Agent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132</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8.07.</w:t>
            </w:r>
            <w:r>
              <w:rPr>
                <w:rFonts w:ascii="Times New Roman" w:hAnsi="Times New Roman"/>
                <w:color w:val="0000FF"/>
                <w:sz w:val="24"/>
              </w:rPr>
              <w:t> Reliance by Lenders</w:t>
            </w:r>
          </w:p>
        </w:tc>
        <w:tc>
          <w:tcPr>
            <w:tcW w:w="231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133</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7894"/>
        <w:gridCol w:w="2311"/>
      </w:tblGrid>
      <w:tr>
        <w:trPr/>
        <w:tc>
          <w:tcPr>
            <w:tcW w:w="789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8.08.</w:t>
            </w:r>
            <w:r>
              <w:rPr>
                <w:rFonts w:ascii="Times New Roman" w:hAnsi="Times New Roman"/>
                <w:color w:val="0000FF"/>
                <w:sz w:val="24"/>
              </w:rPr>
              <w:t> Modifications to Loan Documents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133</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8.09.</w:t>
            </w:r>
            <w:r>
              <w:rPr>
                <w:rFonts w:ascii="Times New Roman" w:hAnsi="Times New Roman"/>
                <w:color w:val="0000FF"/>
                <w:sz w:val="24"/>
              </w:rPr>
              <w:t> Erroneous Payments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134</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IX MISCELLANEOUS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136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9.01.</w:t>
            </w:r>
            <w:r>
              <w:rPr>
                <w:rFonts w:ascii="Times New Roman" w:hAnsi="Times New Roman"/>
                <w:color w:val="0000FF"/>
                <w:sz w:val="24"/>
              </w:rPr>
              <w:t> Notices; Electronic Communications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136</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9.02.</w:t>
            </w:r>
            <w:r>
              <w:rPr>
                <w:rFonts w:ascii="Times New Roman" w:hAnsi="Times New Roman"/>
                <w:color w:val="0000FF"/>
                <w:sz w:val="24"/>
              </w:rPr>
              <w:t> Waivers; Amendments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139</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9.03.</w:t>
            </w:r>
            <w:r>
              <w:rPr>
                <w:rFonts w:ascii="Times New Roman" w:hAnsi="Times New Roman"/>
                <w:color w:val="0000FF"/>
                <w:sz w:val="24"/>
              </w:rPr>
              <w:t> Expenses; Indemnity; Damage Waiver</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9.04.</w:t>
            </w:r>
            <w:r>
              <w:rPr>
                <w:rFonts w:ascii="Times New Roman" w:hAnsi="Times New Roman"/>
                <w:color w:val="0000FF"/>
                <w:sz w:val="24"/>
              </w:rPr>
              <w:t> Successors and Assigns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143</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9.05.</w:t>
            </w:r>
            <w:r>
              <w:rPr>
                <w:rFonts w:ascii="Times New Roman" w:hAnsi="Times New Roman"/>
                <w:color w:val="0000FF"/>
                <w:sz w:val="24"/>
              </w:rPr>
              <w:t> Survival</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148</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9.06.</w:t>
            </w:r>
            <w:r>
              <w:rPr>
                <w:rFonts w:ascii="Times New Roman" w:hAnsi="Times New Roman"/>
                <w:color w:val="0000FF"/>
                <w:sz w:val="24"/>
              </w:rPr>
              <w:t> Counterparts; Integration; Effectiveness; Electronic Execution</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149</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9.07.</w:t>
            </w:r>
            <w:r>
              <w:rPr>
                <w:rFonts w:ascii="Times New Roman" w:hAnsi="Times New Roman"/>
                <w:color w:val="0000FF"/>
                <w:sz w:val="24"/>
              </w:rPr>
              <w:t> Severability</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149</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9.08.</w:t>
            </w:r>
            <w:r>
              <w:rPr>
                <w:rFonts w:ascii="Times New Roman" w:hAnsi="Times New Roman"/>
                <w:color w:val="0000FF"/>
                <w:sz w:val="24"/>
              </w:rPr>
              <w:t> Right of Setoff</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149</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9.09.</w:t>
            </w:r>
            <w:r>
              <w:rPr>
                <w:rFonts w:ascii="Times New Roman" w:hAnsi="Times New Roman"/>
                <w:color w:val="0000FF"/>
                <w:sz w:val="24"/>
              </w:rPr>
              <w:t> Governing Law; Jurisdiction; Etc.</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150</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9.10.</w:t>
            </w:r>
            <w:r>
              <w:rPr>
                <w:rFonts w:ascii="Times New Roman" w:hAnsi="Times New Roman"/>
                <w:color w:val="0000FF"/>
                <w:sz w:val="24"/>
              </w:rPr>
              <w:t> WAIVER OF JURY TRIAL</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9.11.</w:t>
            </w:r>
            <w:r>
              <w:rPr>
                <w:rFonts w:ascii="Times New Roman" w:hAnsi="Times New Roman"/>
                <w:color w:val="0000FF"/>
                <w:sz w:val="24"/>
              </w:rPr>
              <w:t> Judgment Currency</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9.12.</w:t>
            </w:r>
            <w:r>
              <w:rPr>
                <w:rFonts w:ascii="Times New Roman" w:hAnsi="Times New Roman"/>
                <w:color w:val="0000FF"/>
                <w:sz w:val="24"/>
              </w:rPr>
              <w:t> Headings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151</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9.13.</w:t>
            </w:r>
            <w:r>
              <w:rPr>
                <w:rFonts w:ascii="Times New Roman" w:hAnsi="Times New Roman"/>
                <w:color w:val="0000FF"/>
                <w:sz w:val="24"/>
              </w:rPr>
              <w:t> Treatment of Certain Information; No Fiduciary Duty; Confidentiality</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152</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9.14.</w:t>
            </w:r>
            <w:r>
              <w:rPr>
                <w:rFonts w:ascii="Times New Roman" w:hAnsi="Times New Roman"/>
                <w:color w:val="0000FF"/>
                <w:sz w:val="24"/>
              </w:rPr>
              <w:t> USA PATRIOT Act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153</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9.15.</w:t>
            </w:r>
            <w:r>
              <w:rPr>
                <w:rFonts w:ascii="Times New Roman" w:hAnsi="Times New Roman"/>
                <w:color w:val="0000FF"/>
                <w:sz w:val="24"/>
              </w:rPr>
              <w:t> Effect of Amendment and Restatement of the Existing Credit Agreement</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153</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9.16.</w:t>
            </w:r>
            <w:r>
              <w:rPr>
                <w:rFonts w:ascii="Times New Roman" w:hAnsi="Times New Roman"/>
                <w:color w:val="0000FF"/>
                <w:sz w:val="24"/>
              </w:rPr>
              <w:t> [Reserved]</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154</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9.17.</w:t>
            </w:r>
            <w:r>
              <w:rPr>
                <w:rFonts w:ascii="Times New Roman" w:hAnsi="Times New Roman"/>
                <w:color w:val="0000FF"/>
                <w:sz w:val="24"/>
              </w:rPr>
              <w:t> Acknowledgement and Consent to Bail-In of Affected Financial Institutions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154</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9.18.</w:t>
            </w:r>
            <w:r>
              <w:rPr>
                <w:rFonts w:ascii="Times New Roman" w:hAnsi="Times New Roman"/>
                <w:color w:val="0000FF"/>
                <w:sz w:val="24"/>
              </w:rPr>
              <w:t> Certain ERISA Matters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154</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9.19.</w:t>
            </w:r>
            <w:r>
              <w:rPr>
                <w:rFonts w:ascii="Times New Roman" w:hAnsi="Times New Roman"/>
                <w:color w:val="0000FF"/>
                <w:sz w:val="24"/>
              </w:rPr>
              <w:t> Acknowledgement Regarding Any Supported QFCs</w:t>
            </w:r>
          </w:p>
        </w:tc>
        <w:tc>
          <w:tcPr>
            <w:tcW w:w="23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155</w:t>
            </w:r>
          </w:p>
        </w:tc>
      </w:tr>
      <w:tr>
        <w:trPr/>
        <w:tc>
          <w:tcPr>
            <w:tcW w:w="789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sz w:val="24"/>
              </w:rPr>
            </w:pPr>
            <w:r>
              <w:rPr>
                <w:rFonts w:ascii="Times New Roman" w:hAnsi="Times New Roman"/>
                <w:caps/>
                <w:color w:val="0000FF"/>
                <w:sz w:val="24"/>
              </w:rPr>
              <w:t>SECTION 9.20.</w:t>
            </w:r>
            <w:r>
              <w:rPr>
                <w:rFonts w:ascii="Times New Roman" w:hAnsi="Times New Roman"/>
                <w:color w:val="0000FF"/>
                <w:sz w:val="24"/>
              </w:rPr>
              <w:t xml:space="preserve"> </w:t>
            </w:r>
            <w:r>
              <w:rPr>
                <w:rFonts w:ascii="Times New Roman" w:hAnsi="Times New Roman"/>
                <w:color w:val="000000"/>
                <w:sz w:val="24"/>
              </w:rPr>
              <w:t>Interest Rate Limitation</w:t>
            </w:r>
          </w:p>
        </w:tc>
        <w:tc>
          <w:tcPr>
            <w:tcW w:w="231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155</w:t>
            </w:r>
          </w:p>
        </w:tc>
      </w:tr>
    </w:tbl>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SCHEDULE 1.01(a) - Approved Dealers and Approved Pricing Services</w:t>
      </w:r>
    </w:p>
    <w:p>
      <w:pPr>
        <w:pStyle w:val="TextBody"/>
        <w:bidi w:val="0"/>
        <w:jc w:val="left"/>
        <w:rPr>
          <w:rFonts w:ascii="Times New Roman" w:hAnsi="Times New Roman"/>
          <w:color w:val="000000"/>
          <w:sz w:val="24"/>
        </w:rPr>
      </w:pPr>
      <w:r>
        <w:rPr>
          <w:rFonts w:ascii="Times New Roman" w:hAnsi="Times New Roman"/>
          <w:color w:val="000000"/>
          <w:sz w:val="24"/>
        </w:rPr>
        <w:t>SCHEDULE 1.01(b) - Commitments</w:t>
      </w:r>
    </w:p>
    <w:p>
      <w:pPr>
        <w:pStyle w:val="TextBody"/>
        <w:bidi w:val="0"/>
        <w:jc w:val="left"/>
        <w:rPr>
          <w:rFonts w:ascii="Times New Roman" w:hAnsi="Times New Roman"/>
          <w:color w:val="000000"/>
          <w:sz w:val="24"/>
        </w:rPr>
      </w:pPr>
      <w:r>
        <w:rPr>
          <w:rFonts w:ascii="Times New Roman" w:hAnsi="Times New Roman"/>
          <w:color w:val="000000"/>
          <w:sz w:val="24"/>
        </w:rPr>
        <w:t>SCHEDULE 1.01(c) - Industry Classification Group List</w:t>
      </w:r>
    </w:p>
    <w:p>
      <w:pPr>
        <w:pStyle w:val="TextBody"/>
        <w:bidi w:val="0"/>
        <w:jc w:val="left"/>
        <w:rPr>
          <w:rFonts w:ascii="Times New Roman" w:hAnsi="Times New Roman"/>
          <w:color w:val="000000"/>
          <w:sz w:val="24"/>
        </w:rPr>
      </w:pPr>
      <w:r>
        <w:rPr>
          <w:rFonts w:ascii="Times New Roman" w:hAnsi="Times New Roman"/>
          <w:color w:val="000000"/>
          <w:sz w:val="24"/>
        </w:rPr>
        <w:t>SCHEDULE 2.04 - Swingline Lender Swingline Sublimit</w:t>
      </w:r>
    </w:p>
    <w:p>
      <w:pPr>
        <w:pStyle w:val="TextBody"/>
        <w:bidi w:val="0"/>
        <w:jc w:val="left"/>
        <w:rPr>
          <w:rFonts w:ascii="Times New Roman" w:hAnsi="Times New Roman"/>
          <w:color w:val="000000"/>
          <w:sz w:val="24"/>
        </w:rPr>
      </w:pPr>
      <w:r>
        <w:rPr>
          <w:rFonts w:ascii="Times New Roman" w:hAnsi="Times New Roman"/>
          <w:color w:val="000000"/>
          <w:sz w:val="24"/>
        </w:rPr>
        <w:t>SCHEDULE 2.05 - Issuing Bank LC Exposure</w:t>
      </w:r>
    </w:p>
    <w:p>
      <w:pPr>
        <w:pStyle w:val="TextBody"/>
        <w:bidi w:val="0"/>
        <w:jc w:val="left"/>
        <w:rPr>
          <w:rFonts w:ascii="Times New Roman" w:hAnsi="Times New Roman"/>
          <w:color w:val="000000"/>
          <w:sz w:val="24"/>
        </w:rPr>
      </w:pPr>
      <w:r>
        <w:rPr>
          <w:rFonts w:ascii="Times New Roman" w:hAnsi="Times New Roman"/>
          <w:color w:val="000000"/>
          <w:sz w:val="24"/>
        </w:rPr>
        <w:t>SCHEDULE 3.11 - Material Agreements and Liens</w:t>
      </w:r>
    </w:p>
    <w:p>
      <w:pPr>
        <w:pStyle w:val="TextBody"/>
        <w:bidi w:val="0"/>
        <w:jc w:val="left"/>
        <w:rPr>
          <w:rFonts w:ascii="Times New Roman" w:hAnsi="Times New Roman"/>
          <w:color w:val="000000"/>
          <w:sz w:val="24"/>
        </w:rPr>
      </w:pPr>
      <w:r>
        <w:rPr>
          <w:rFonts w:ascii="Times New Roman" w:hAnsi="Times New Roman"/>
          <w:color w:val="000000"/>
          <w:sz w:val="24"/>
        </w:rPr>
        <w:t>SCHEDULE 3.12(a) - Subsidiaries</w:t>
      </w:r>
    </w:p>
    <w:p>
      <w:pPr>
        <w:pStyle w:val="TextBody"/>
        <w:bidi w:val="0"/>
        <w:jc w:val="left"/>
        <w:rPr>
          <w:rFonts w:ascii="Times New Roman" w:hAnsi="Times New Roman"/>
          <w:color w:val="000000"/>
          <w:sz w:val="24"/>
        </w:rPr>
      </w:pPr>
      <w:r>
        <w:rPr>
          <w:rFonts w:ascii="Times New Roman" w:hAnsi="Times New Roman"/>
          <w:color w:val="000000"/>
          <w:sz w:val="24"/>
        </w:rPr>
        <w:t>SCHEDULE 3.12(b) - Investments</w:t>
      </w:r>
    </w:p>
    <w:p>
      <w:pPr>
        <w:pStyle w:val="TextBody"/>
        <w:bidi w:val="0"/>
        <w:jc w:val="left"/>
        <w:rPr>
          <w:rFonts w:ascii="Times New Roman" w:hAnsi="Times New Roman"/>
          <w:color w:val="000000"/>
          <w:sz w:val="24"/>
        </w:rPr>
      </w:pPr>
      <w:r>
        <w:rPr>
          <w:rFonts w:ascii="Times New Roman" w:hAnsi="Times New Roman"/>
          <w:color w:val="000000"/>
          <w:sz w:val="24"/>
        </w:rPr>
        <w:t>SCHEDULE 6.08 - Transactions with Affiliates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 A - Form of Assignment and Assumption</w:t>
      </w:r>
    </w:p>
    <w:p>
      <w:pPr>
        <w:pStyle w:val="TextBody"/>
        <w:bidi w:val="0"/>
        <w:jc w:val="left"/>
        <w:rPr>
          <w:rFonts w:ascii="Times New Roman" w:hAnsi="Times New Roman"/>
          <w:color w:val="000000"/>
          <w:sz w:val="24"/>
        </w:rPr>
      </w:pPr>
      <w:r>
        <w:rPr>
          <w:rFonts w:ascii="Times New Roman" w:hAnsi="Times New Roman"/>
          <w:color w:val="000000"/>
          <w:sz w:val="24"/>
        </w:rPr>
        <w:t>EXHIBIT B - Form of Borrowing Base Certificate</w:t>
      </w:r>
    </w:p>
    <w:p>
      <w:pPr>
        <w:pStyle w:val="TextBody"/>
        <w:bidi w:val="0"/>
        <w:jc w:val="left"/>
        <w:rPr>
          <w:rFonts w:ascii="Times New Roman" w:hAnsi="Times New Roman"/>
          <w:color w:val="000000"/>
          <w:sz w:val="24"/>
        </w:rPr>
      </w:pPr>
      <w:r>
        <w:rPr>
          <w:rFonts w:ascii="Times New Roman" w:hAnsi="Times New Roman"/>
          <w:color w:val="000000"/>
          <w:sz w:val="24"/>
        </w:rPr>
        <w:t>EXHIBIT C - Form of Borrowing Request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SECOND AMENDED AND RESTATED SENIOR SECURED REVOLVING CREDIT AGREEMENT dated as of February 27, 2014, as amended as of June 3, 2014, as of June 27, 2014, as of October 17, 2014, as of October 2, 2015, as of December 22, 2016, as of February 20, 2018, as of November 5, 2018, as of February 14, 2019, as of January 31, 2020, February 5, 2021, December 14, 2021, April 25, 2022, May 19, 2022, June 12, 2023, April 24, 2024, and March 4, 2025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among SIXTH STREET SPECIALTY LENDING, INC. (F/K/A TPG Specialty Lending, Inc.),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party hereto, and TRUIST BANK, as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Times New Roman" w:hAnsi="Times New Roman"/>
          <w:color w:val="000000"/>
          <w:sz w:val="24"/>
          <w:u w:val="single"/>
        </w:rPr>
        <w:t>Existing Credit Agreement</w:t>
      </w:r>
      <w:r>
        <w:rPr>
          <w:rFonts w:ascii="Times New Roman" w:hAnsi="Times New Roman"/>
          <w:color w:val="000000"/>
          <w:sz w:val="20"/>
        </w:rPr>
        <w:t>”</w:t>
      </w:r>
      <w:r>
        <w:rPr>
          <w:rFonts w:ascii="Times New Roman" w:hAnsi="Times New Roman"/>
          <w:color w:val="000000"/>
          <w:sz w:val="24"/>
        </w:rPr>
        <w:t>), among the Borrower, the lenders party thereto (collectively, the “</w:t>
      </w:r>
      <w:r>
        <w:rPr>
          <w:rFonts w:ascii="Times New Roman" w:hAnsi="Times New Roman"/>
          <w:color w:val="000000"/>
          <w:sz w:val="24"/>
          <w:u w:val="single"/>
        </w:rPr>
        <w:t>Existing Lenders</w:t>
      </w:r>
      <w:r>
        <w:rPr>
          <w:rFonts w:ascii="Times New Roman" w:hAnsi="Times New Roman"/>
          <w:color w:val="000000"/>
          <w:sz w:val="20"/>
        </w:rPr>
        <w:t>”</w:t>
      </w:r>
      <w:r>
        <w:rPr>
          <w:rFonts w:ascii="Times New Roman" w:hAnsi="Times New Roman"/>
          <w:color w:val="000000"/>
          <w:sz w:val="24"/>
        </w:rPr>
        <w:t>) and the Administrative Agent, the Existing Lenders agreed to make extensions of credit to the Borrower on the terms and conditions set forth therein, including making loans (the “</w:t>
      </w:r>
      <w:r>
        <w:rPr>
          <w:rFonts w:ascii="Times New Roman" w:hAnsi="Times New Roman"/>
          <w:color w:val="000000"/>
          <w:sz w:val="24"/>
          <w:u w:val="single"/>
        </w:rPr>
        <w:t>Existing Loans</w:t>
      </w:r>
      <w:r>
        <w:rPr>
          <w:rFonts w:ascii="Times New Roman" w:hAnsi="Times New Roman"/>
          <w:color w:val="000000"/>
          <w:sz w:val="20"/>
        </w:rPr>
        <w:t>”</w:t>
      </w:r>
      <w:r>
        <w:rPr>
          <w:rFonts w:ascii="Times New Roman" w:hAnsi="Times New Roman"/>
          <w:color w:val="000000"/>
          <w:sz w:val="24"/>
        </w:rPr>
        <w:t>)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hereby agree to amend and restate the Existing Credit Agreement, and the Existing Credit Agreement is hereby amended and restated in its entirety as follows:</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I</w:t>
        <w:br/>
        <w:br/>
      </w:r>
      <w:r>
        <w:rPr>
          <w:rFonts w:ascii="Times New Roman" w:hAnsi="Times New Roman"/>
          <w:caps/>
          <w:color w:val="000000"/>
          <w:sz w:val="24"/>
          <w:u w:val="single"/>
        </w:rPr>
        <w:t>DEFINITIONS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1.01.</w:t>
      </w:r>
      <w:r>
        <w:rPr>
          <w:rFonts w:ascii="Times New Roman" w:hAnsi="Times New Roman"/>
          <w:color w:val="000000"/>
          <w:sz w:val="20"/>
        </w:rPr>
        <w:t xml:space="preserve"> </w:t>
      </w:r>
      <w:r>
        <w:rPr>
          <w:rFonts w:ascii="Times New Roman" w:hAnsi="Times New Roman"/>
          <w:color w:val="000000"/>
          <w:sz w:val="24"/>
          <w:u w:val="single"/>
        </w:rPr>
        <w:t>Defined Terms</w:t>
      </w:r>
      <w:r>
        <w:rPr>
          <w:rFonts w:ascii="Times New Roman" w:hAnsi="Times New Roman"/>
          <w:color w:val="000000"/>
          <w:sz w:val="24"/>
        </w:rPr>
        <w:t>. As used in this Agreement, the following terms have the meanings specified below:</w:t>
      </w:r>
    </w:p>
    <w:p>
      <w:pPr>
        <w:pStyle w:val="TextBody"/>
        <w:bidi w:val="0"/>
        <w:spacing w:before="0" w:after="240"/>
        <w:jc w:val="both"/>
        <w:rPr/>
      </w:pPr>
      <w:r>
        <w:rPr>
          <w:color w:val="000000"/>
        </w:rPr>
        <w:t>“</w:t>
      </w:r>
      <w:r>
        <w:rPr>
          <w:rFonts w:ascii="Times New Roman" w:hAnsi="Times New Roman"/>
          <w:color w:val="000000"/>
          <w:sz w:val="24"/>
          <w:u w:val="single"/>
        </w:rPr>
        <w:t>2024 Notes</w:t>
      </w:r>
      <w:r>
        <w:rPr>
          <w:rFonts w:ascii="Times New Roman" w:hAnsi="Times New Roman"/>
          <w:color w:val="000000"/>
          <w:sz w:val="20"/>
        </w:rPr>
        <w:t xml:space="preserve">” </w:t>
      </w:r>
      <w:r>
        <w:rPr>
          <w:rFonts w:ascii="Times New Roman" w:hAnsi="Times New Roman"/>
          <w:color w:val="000000"/>
          <w:sz w:val="24"/>
        </w:rPr>
        <w:t>means the Borrower’s $350,000,000 aggregate principal amount notes due November 2024.</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2026 Notes</w:t>
      </w:r>
      <w:r>
        <w:rPr>
          <w:rFonts w:ascii="Times New Roman" w:hAnsi="Times New Roman"/>
          <w:color w:val="000000"/>
          <w:sz w:val="20"/>
        </w:rPr>
        <w:t xml:space="preserve">” </w:t>
      </w:r>
      <w:r>
        <w:rPr>
          <w:rFonts w:ascii="Times New Roman" w:hAnsi="Times New Roman"/>
          <w:color w:val="000000"/>
          <w:sz w:val="24"/>
        </w:rPr>
        <w:t>means the Borrower’s $300,000,000 aggregate principal amount notes due August 2026.</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2028 Notes</w:t>
      </w:r>
      <w:r>
        <w:rPr>
          <w:rFonts w:ascii="Times New Roman" w:hAnsi="Times New Roman"/>
          <w:color w:val="000000"/>
          <w:sz w:val="20"/>
        </w:rPr>
        <w:t xml:space="preserve">” </w:t>
      </w:r>
      <w:r>
        <w:rPr>
          <w:rFonts w:ascii="Times New Roman" w:hAnsi="Times New Roman"/>
          <w:color w:val="000000"/>
          <w:sz w:val="24"/>
        </w:rPr>
        <w:t>means the Borrower’s $300,000,000 aggregate principal amount notes due August 2028.</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2029 Notes</w:t>
      </w:r>
      <w:r>
        <w:rPr>
          <w:rFonts w:ascii="Times New Roman" w:hAnsi="Times New Roman"/>
          <w:color w:val="000000"/>
          <w:sz w:val="20"/>
        </w:rPr>
        <w:t xml:space="preserve">” </w:t>
      </w:r>
      <w:r>
        <w:rPr>
          <w:rFonts w:ascii="Times New Roman" w:hAnsi="Times New Roman"/>
          <w:color w:val="000000"/>
          <w:sz w:val="24"/>
        </w:rPr>
        <w:t>means the Borrower’s $350,000,000 aggregate principal amount notes due March 2029.</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ABR</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denominated in Dollars and bearing interest at a rate determined by reference to the Alternate Base Rate.</w:t>
      </w:r>
    </w:p>
    <w:p>
      <w:pPr>
        <w:pStyle w:val="TextBody"/>
        <w:bidi w:val="0"/>
        <w:spacing w:before="0" w:after="240"/>
        <w:jc w:val="both"/>
        <w:rPr/>
      </w:pPr>
      <w:r>
        <w:rPr>
          <w:color w:val="000000"/>
        </w:rPr>
        <w:t>“</w:t>
      </w:r>
      <w:r>
        <w:rPr>
          <w:rFonts w:ascii="Times New Roman" w:hAnsi="Times New Roman"/>
          <w:color w:val="000000"/>
          <w:sz w:val="24"/>
          <w:u w:val="single"/>
        </w:rPr>
        <w:t>Adjusted Covered Debt Balance</w:t>
      </w:r>
      <w:r>
        <w:rPr>
          <w:rFonts w:ascii="Times New Roman" w:hAnsi="Times New Roman"/>
          <w:color w:val="000000"/>
          <w:sz w:val="20"/>
        </w:rPr>
        <w:t xml:space="preserve">” </w:t>
      </w:r>
      <w:r>
        <w:rPr>
          <w:rFonts w:ascii="Times New Roman" w:hAnsi="Times New Roman"/>
          <w:color w:val="000000"/>
          <w:sz w:val="24"/>
        </w:rPr>
        <w:t xml:space="preserve">means, on any date, the aggregate Covered Debt Amount on such date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the aggregate amount of Cash and Cash Equivalents included in the Portfolio Investments held by the Obligors (provided that Cash Collateral for outstanding Letters of Credit shall not be treated as a portion of the Portfolio Investments).</w:t>
      </w:r>
    </w:p>
    <w:p>
      <w:pPr>
        <w:pStyle w:val="TextBody"/>
        <w:bidi w:val="0"/>
        <w:spacing w:before="0" w:after="240"/>
        <w:jc w:val="both"/>
        <w:rPr/>
      </w:pPr>
      <w:r>
        <w:rPr>
          <w:color w:val="000000"/>
        </w:rPr>
        <w:t>“</w:t>
      </w:r>
      <w:r>
        <w:rPr>
          <w:rFonts w:ascii="Times New Roman" w:hAnsi="Times New Roman"/>
          <w:color w:val="000000"/>
          <w:sz w:val="24"/>
          <w:u w:val="single"/>
        </w:rPr>
        <w:t>Adjusted Term Benchmark Rate</w:t>
      </w:r>
      <w:r>
        <w:rPr>
          <w:rFonts w:ascii="Times New Roman" w:hAnsi="Times New Roman"/>
          <w:color w:val="000000"/>
          <w:sz w:val="20"/>
        </w:rPr>
        <w:t xml:space="preserve">” </w:t>
      </w:r>
      <w:r>
        <w:rPr>
          <w:rFonts w:ascii="Times New Roman" w:hAnsi="Times New Roman"/>
          <w:color w:val="000000"/>
          <w:sz w:val="24"/>
        </w:rPr>
        <w:t>means an interest rate per annum (rounded upwards, if necessary, to the next 1/100 of 1%) equal to the Term Benchmark Rate for such Interest Period for such Currency.</w:t>
      </w:r>
    </w:p>
    <w:p>
      <w:pPr>
        <w:pStyle w:val="TextBody"/>
        <w:bidi w:val="0"/>
        <w:spacing w:before="0" w:after="24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means Truist, in its capacity as administrative agent for the Lenders hereunder.</w:t>
      </w:r>
    </w:p>
    <w:p>
      <w:pPr>
        <w:pStyle w:val="TextBody"/>
        <w:bidi w:val="0"/>
        <w:spacing w:before="0" w:after="240"/>
        <w:jc w:val="both"/>
        <w:rPr/>
      </w:pPr>
      <w:r>
        <w:rPr>
          <w:color w:val="000000"/>
        </w:rPr>
        <w:t>“</w:t>
      </w:r>
      <w:r>
        <w:rPr>
          <w:rFonts w:ascii="Times New Roman" w:hAnsi="Times New Roman"/>
          <w:color w:val="000000"/>
          <w:sz w:val="24"/>
          <w:u w:val="single"/>
        </w:rPr>
        <w:t>Administrative Agent Appraisal Testing Period</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5.12(b)(ii)(E)(y)</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Administrative Agent’s Account</w:t>
      </w:r>
      <w:r>
        <w:rPr>
          <w:rFonts w:ascii="Times New Roman" w:hAnsi="Times New Roman"/>
          <w:color w:val="000000"/>
          <w:sz w:val="20"/>
        </w:rPr>
        <w:t xml:space="preserve">” </w:t>
      </w:r>
      <w:r>
        <w:rPr>
          <w:rFonts w:ascii="Times New Roman" w:hAnsi="Times New Roman"/>
          <w:color w:val="000000"/>
          <w:sz w:val="24"/>
        </w:rPr>
        <w:t>means, for each Currency, an account in respect of such Currency designated by the Administrative Agent in a notice to the Borrower and the Lenders.</w:t>
      </w:r>
    </w:p>
    <w:p>
      <w:pPr>
        <w:pStyle w:val="TextBody"/>
        <w:bidi w:val="0"/>
        <w:spacing w:before="0" w:after="240"/>
        <w:jc w:val="both"/>
        <w:rPr/>
      </w:pPr>
      <w:r>
        <w:rPr>
          <w:color w:val="000000"/>
        </w:rPr>
        <w:t>“</w:t>
      </w:r>
      <w:r>
        <w:rPr>
          <w:rFonts w:ascii="Times New Roman" w:hAnsi="Times New Roman"/>
          <w:color w:val="000000"/>
          <w:sz w:val="24"/>
          <w:u w:val="single"/>
        </w:rPr>
        <w:t>Administrative Questionnaire</w:t>
      </w:r>
      <w:r>
        <w:rPr>
          <w:rFonts w:ascii="Times New Roman" w:hAnsi="Times New Roman"/>
          <w:color w:val="000000"/>
          <w:sz w:val="20"/>
        </w:rPr>
        <w:t xml:space="preserve">” </w:t>
      </w:r>
      <w:r>
        <w:rPr>
          <w:rFonts w:ascii="Times New Roman" w:hAnsi="Times New Roman"/>
          <w:color w:val="000000"/>
          <w:sz w:val="24"/>
        </w:rPr>
        <w:t>means an administrative questionnaire in a form supplied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Affected Currency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Affiliate Agreements</w:t>
      </w:r>
      <w:r>
        <w:rPr>
          <w:rFonts w:ascii="Times New Roman" w:hAnsi="Times New Roman"/>
          <w:color w:val="000000"/>
          <w:sz w:val="20"/>
        </w:rPr>
        <w:t xml:space="preserve">” </w:t>
      </w:r>
      <w:r>
        <w:rPr>
          <w:rFonts w:ascii="Times New Roman" w:hAnsi="Times New Roman"/>
          <w:color w:val="000000"/>
          <w:sz w:val="24"/>
        </w:rPr>
        <w:t>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pStyle w:val="TextBody"/>
        <w:bidi w:val="0"/>
        <w:spacing w:before="0" w:after="240"/>
        <w:jc w:val="both"/>
        <w:rPr/>
      </w:pPr>
      <w:r>
        <w:rPr>
          <w:color w:val="000000"/>
        </w:rPr>
        <w:t>“</w:t>
      </w:r>
      <w:r>
        <w:rPr>
          <w:rFonts w:ascii="Times New Roman" w:hAnsi="Times New Roman"/>
          <w:color w:val="000000"/>
          <w:sz w:val="24"/>
          <w:u w:val="single"/>
        </w:rPr>
        <w:t>Agreed Foreign Currency</w:t>
      </w:r>
      <w:r>
        <w:rPr>
          <w:rFonts w:ascii="Times New Roman" w:hAnsi="Times New Roman"/>
          <w:color w:val="000000"/>
          <w:sz w:val="20"/>
        </w:rPr>
        <w:t xml:space="preserve">” </w:t>
      </w:r>
      <w:r>
        <w:rPr>
          <w:rFonts w:ascii="Times New Roman" w:hAnsi="Times New Roman"/>
          <w:color w:val="000000"/>
          <w:sz w:val="24"/>
        </w:rPr>
        <w:t>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preamble</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spacing w:before="0" w:after="240"/>
        <w:jc w:val="both"/>
        <w:rPr/>
      </w:pPr>
      <w:r>
        <w:rPr>
          <w:color w:val="000000"/>
        </w:rPr>
        <w:t>“</w:t>
      </w:r>
      <w:r>
        <w:rPr>
          <w:rFonts w:ascii="Times New Roman" w:hAnsi="Times New Roman"/>
          <w:color w:val="000000"/>
          <w:sz w:val="24"/>
          <w:u w:val="single"/>
        </w:rPr>
        <w:t>Alternate Base Rate</w:t>
      </w:r>
      <w:r>
        <w:rPr>
          <w:rFonts w:ascii="Times New Roman" w:hAnsi="Times New Roman"/>
          <w:color w:val="000000"/>
          <w:sz w:val="20"/>
        </w:rPr>
        <w:t xml:space="preserve">” </w:t>
      </w:r>
      <w:r>
        <w:rPr>
          <w:rFonts w:ascii="Times New Roman" w:hAnsi="Times New Roman"/>
          <w:color w:val="000000"/>
          <w:sz w:val="24"/>
        </w:rPr>
        <w:t xml:space="preserve">means, for any day, a rate per annum equal to the greater of (a) zero and (b) the highest of (i) the Prime Rate in effect on such day, (ii) the Federal Funds Effective Rate for such day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1/2 of 1% and (iii) the rate per annum equal to 1%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Term SOFR on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a quotation in accordance with the terms thereof, the Alternate Base Rate shall be determined without regard to clause (b)(ii) of the first sentence of this definition until the circumstances giving rise to such inability no longer exist.</w:t>
      </w:r>
    </w:p>
    <w:p>
      <w:pPr>
        <w:pStyle w:val="TextBody"/>
        <w:bidi w:val="0"/>
        <w:spacing w:before="0" w:after="240"/>
        <w:jc w:val="both"/>
        <w:rPr/>
      </w:pPr>
      <w:r>
        <w:rPr>
          <w:color w:val="000000"/>
        </w:rPr>
        <w:t>“</w:t>
      </w:r>
      <w:r>
        <w:rPr>
          <w:rFonts w:ascii="Times New Roman" w:hAnsi="Times New Roman"/>
          <w:color w:val="000000"/>
          <w:sz w:val="24"/>
          <w:u w:val="single"/>
        </w:rPr>
        <w:t>Applicable Dollar Percentage</w:t>
      </w:r>
      <w:r>
        <w:rPr>
          <w:rFonts w:ascii="Times New Roman" w:hAnsi="Times New Roman"/>
          <w:color w:val="000000"/>
          <w:sz w:val="20"/>
        </w:rPr>
        <w:t xml:space="preserve">” </w:t>
      </w:r>
      <w:r>
        <w:rPr>
          <w:rFonts w:ascii="Times New Roman" w:hAnsi="Times New Roman"/>
          <w:color w:val="000000"/>
          <w:sz w:val="24"/>
        </w:rPr>
        <w:t xml:space="preserve">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the avoidance of doubt, on and after the Non-Extended Commitment Termination Date for any Non-Extending Lender, the Applicable Dollar Percentage of such Non-Extending Lender that is a Dollar Lender shall be 0%.</w:t>
      </w:r>
    </w:p>
    <w:p>
      <w:pPr>
        <w:pStyle w:val="TextBody"/>
        <w:bidi w:val="0"/>
        <w:spacing w:before="0" w:after="240"/>
        <w:jc w:val="both"/>
        <w:rPr/>
      </w:pPr>
      <w:r>
        <w:rPr>
          <w:color w:val="000000"/>
        </w:rPr>
        <w:t>“</w:t>
      </w:r>
      <w:r>
        <w:rPr>
          <w:rFonts w:ascii="Times New Roman" w:hAnsi="Times New Roman"/>
          <w:color w:val="000000"/>
          <w:sz w:val="24"/>
          <w:u w:val="single"/>
        </w:rPr>
        <w:t>Applicable Financial Statements</w:t>
      </w:r>
      <w:r>
        <w:rPr>
          <w:rFonts w:ascii="Times New Roman" w:hAnsi="Times New Roman"/>
          <w:color w:val="000000"/>
          <w:sz w:val="20"/>
        </w:rPr>
        <w:t xml:space="preserve">” </w:t>
      </w:r>
      <w:r>
        <w:rPr>
          <w:rFonts w:ascii="Times New Roman" w:hAnsi="Times New Roman"/>
          <w:color w:val="000000"/>
          <w:sz w:val="24"/>
        </w:rPr>
        <w:t xml:space="preserve">means, as at any date, the most-recent audited financial statements of the Borrower delivered to the Lenders;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immediately prior to the delivery to the Lenders of new audited financial statements of the Borrower a Material Adverse Change (the “</w:t>
      </w:r>
      <w:r>
        <w:rPr>
          <w:rFonts w:ascii="Times New Roman" w:hAnsi="Times New Roman"/>
          <w:color w:val="000000"/>
          <w:sz w:val="24"/>
          <w:u w:val="single"/>
        </w:rPr>
        <w:t>Pre-existing MAC</w:t>
      </w:r>
      <w:r>
        <w:rPr>
          <w:rFonts w:ascii="Times New Roman" w:hAnsi="Times New Roman"/>
          <w:color w:val="000000"/>
          <w:sz w:val="20"/>
        </w:rPr>
        <w:t>”</w:t>
      </w:r>
      <w:r>
        <w:rPr>
          <w:rFonts w:ascii="Times New Roman" w:hAnsi="Times New Roman"/>
          <w:color w:val="000000"/>
          <w:sz w:val="24"/>
        </w:rPr>
        <w:t>) shall exist (regardless of when it occurred), then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Applicable Financial Statements” as at said date means the Applicable Financial Statements in effect immediately prior to such delivery until such time as the Pre-existing MAC shall no longer exist.</w:t>
      </w:r>
    </w:p>
    <w:p>
      <w:pPr>
        <w:pStyle w:val="TextBody"/>
        <w:bidi w:val="0"/>
        <w:spacing w:before="0" w:after="240"/>
        <w:jc w:val="both"/>
        <w:rPr/>
      </w:pPr>
      <w:r>
        <w:rPr>
          <w:color w:val="000000"/>
        </w:rPr>
        <w:t>“</w:t>
      </w:r>
      <w:r>
        <w:rPr>
          <w:rFonts w:ascii="Times New Roman" w:hAnsi="Times New Roman"/>
          <w:color w:val="000000"/>
          <w:sz w:val="24"/>
          <w:u w:val="single"/>
        </w:rPr>
        <w:t>Applicable Multicurrency Percentage</w:t>
      </w:r>
      <w:r>
        <w:rPr>
          <w:rFonts w:ascii="Times New Roman" w:hAnsi="Times New Roman"/>
          <w:color w:val="000000"/>
          <w:sz w:val="20"/>
        </w:rPr>
        <w:t xml:space="preserve">” </w:t>
      </w:r>
      <w:r>
        <w:rPr>
          <w:rFonts w:ascii="Times New Roman" w:hAnsi="Times New Roman"/>
          <w:color w:val="000000"/>
          <w:sz w:val="24"/>
        </w:rPr>
        <w:t xml:space="preserve">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the avoidance of doubt, on and after the Non-Extended Commitment Termination Date for any Non-Extending Lender, the Applicable Multicurrency Percentage of such Non-Extending Lender that is a Multicurrency Lender shall be 0%.</w:t>
      </w:r>
    </w:p>
    <w:p>
      <w:pPr>
        <w:pStyle w:val="TextBody"/>
        <w:bidi w:val="0"/>
        <w:spacing w:before="0" w:after="240"/>
        <w:jc w:val="both"/>
        <w:rPr/>
      </w:pPr>
      <w:r>
        <w:rPr>
          <w:color w:val="000000"/>
        </w:rPr>
        <w:t>“</w:t>
      </w:r>
      <w:r>
        <w:rPr>
          <w:rFonts w:ascii="Times New Roman" w:hAnsi="Times New Roman"/>
          <w:color w:val="000000"/>
          <w:sz w:val="24"/>
          <w:u w:val="single"/>
        </w:rPr>
        <w:t>Applicable Percentage</w:t>
      </w:r>
      <w:r>
        <w:rPr>
          <w:rFonts w:ascii="Times New Roman" w:hAnsi="Times New Roman"/>
          <w:color w:val="000000"/>
          <w:sz w:val="20"/>
        </w:rPr>
        <w:t xml:space="preserve">” </w:t>
      </w:r>
      <w:r>
        <w:rPr>
          <w:rFonts w:ascii="Times New Roman" w:hAnsi="Times New Roman"/>
          <w:color w:val="000000"/>
          <w:sz w:val="24"/>
        </w:rPr>
        <w:t xml:space="preserve">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the avoidance of doubt, on and after the Non-Extended Commitment Termination Date for any Non-Extending Lender, the Applicable Percentage of such Non-Extending Lender shall be 0%.</w:t>
      </w:r>
    </w:p>
    <w:p>
      <w:pPr>
        <w:pStyle w:val="TextBody"/>
        <w:bidi w:val="0"/>
        <w:spacing w:before="0" w:after="240"/>
        <w:jc w:val="both"/>
        <w:rPr/>
      </w:pPr>
      <w:r>
        <w:rPr>
          <w:color w:val="000000"/>
        </w:rPr>
        <w:t>“</w:t>
      </w:r>
      <w:r>
        <w:rPr>
          <w:rFonts w:ascii="Times New Roman" w:hAnsi="Times New Roman"/>
          <w:color w:val="000000"/>
          <w:sz w:val="24"/>
          <w:u w:val="single"/>
        </w:rPr>
        <w:t>Approved Dealer</w:t>
      </w:r>
      <w:r>
        <w:rPr>
          <w:rFonts w:ascii="Times New Roman" w:hAnsi="Times New Roman"/>
          <w:color w:val="000000"/>
          <w:sz w:val="20"/>
        </w:rPr>
        <w:t xml:space="preserve">” </w:t>
      </w:r>
      <w:r>
        <w:rPr>
          <w:rFonts w:ascii="Times New Roman" w:hAnsi="Times New Roman"/>
          <w:color w:val="000000"/>
          <w:sz w:val="24"/>
        </w:rPr>
        <w:t xml:space="preserve">means (a) in the case of any Portfolio Investment that is not a U.S. Government Security, a bank or a broker-dealer registered under the Securities Exchange Act of 1934, as amended, of nationally recognized standing or an Affiliate thereof, (b) in the case of a U.S. Government Security, any primary dealer in U.S. Government Securities, and (c) in the case of any foreign Portfolio Investment, any foreign bank or broker-dealer of internationally recognized standing or an Affiliate thereof, in the case of each of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above, as set forth on </w:t>
      </w:r>
      <w:r>
        <w:rPr>
          <w:rFonts w:ascii="Times New Roman" w:hAnsi="Times New Roman"/>
          <w:color w:val="000000"/>
          <w:sz w:val="24"/>
          <w:u w:val="single"/>
        </w:rPr>
        <w:t>Schedule 1.01(a)</w:t>
      </w:r>
      <w:r>
        <w:rPr>
          <w:rFonts w:ascii="Times New Roman" w:hAnsi="Times New Roman"/>
          <w:color w:val="000000"/>
          <w:sz w:val="20"/>
        </w:rPr>
        <w:t xml:space="preserve"> </w:t>
      </w:r>
      <w:r>
        <w:rPr>
          <w:rFonts w:ascii="Times New Roman" w:hAnsi="Times New Roman"/>
          <w:color w:val="000000"/>
          <w:sz w:val="24"/>
        </w:rPr>
        <w:t>or any other bank or broker-dealer or Affiliate thereof acceptable to the Administrative Agent in its reasonable determination.</w:t>
      </w:r>
    </w:p>
    <w:p>
      <w:pPr>
        <w:pStyle w:val="TextBody"/>
        <w:bidi w:val="0"/>
        <w:spacing w:before="0" w:after="240"/>
        <w:jc w:val="both"/>
        <w:rPr/>
      </w:pPr>
      <w:r>
        <w:rPr>
          <w:color w:val="000000"/>
        </w:rPr>
        <w:t>“</w:t>
      </w:r>
      <w:r>
        <w:rPr>
          <w:rFonts w:ascii="Times New Roman" w:hAnsi="Times New Roman"/>
          <w:color w:val="000000"/>
          <w:sz w:val="24"/>
          <w:u w:val="single"/>
        </w:rPr>
        <w:t>Approved Pricing Service</w:t>
      </w:r>
      <w:r>
        <w:rPr>
          <w:rFonts w:ascii="Times New Roman" w:hAnsi="Times New Roman"/>
          <w:color w:val="000000"/>
          <w:sz w:val="20"/>
        </w:rPr>
        <w:t xml:space="preserve">” </w:t>
      </w:r>
      <w:r>
        <w:rPr>
          <w:rFonts w:ascii="Times New Roman" w:hAnsi="Times New Roman"/>
          <w:color w:val="000000"/>
          <w:sz w:val="24"/>
        </w:rPr>
        <w:t xml:space="preserve">means a pricing or quotation service as set forth in </w:t>
      </w:r>
      <w:r>
        <w:rPr>
          <w:rFonts w:ascii="Times New Roman" w:hAnsi="Times New Roman"/>
          <w:color w:val="000000"/>
          <w:sz w:val="24"/>
          <w:u w:val="single"/>
        </w:rPr>
        <w:t>Schedule 1.01(a)</w:t>
      </w:r>
      <w:r>
        <w:rPr>
          <w:rFonts w:ascii="Times New Roman" w:hAnsi="Times New Roman"/>
          <w:color w:val="000000"/>
          <w:sz w:val="20"/>
        </w:rPr>
        <w:t xml:space="preserve"> </w:t>
      </w:r>
      <w:r>
        <w:rPr>
          <w:rFonts w:ascii="Times New Roman" w:hAnsi="Times New Roman"/>
          <w:color w:val="000000"/>
          <w:sz w:val="24"/>
        </w:rPr>
        <w:t>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pStyle w:val="TextBody"/>
        <w:bidi w:val="0"/>
        <w:spacing w:before="0" w:after="240"/>
        <w:jc w:val="both"/>
        <w:rPr/>
      </w:pPr>
      <w:r>
        <w:rPr>
          <w:color w:val="000000"/>
        </w:rPr>
        <w:t>“</w:t>
      </w:r>
      <w:r>
        <w:rPr>
          <w:rFonts w:ascii="Times New Roman" w:hAnsi="Times New Roman"/>
          <w:color w:val="000000"/>
          <w:sz w:val="24"/>
          <w:u w:val="single"/>
        </w:rPr>
        <w:t>Approved Third-Party Appraiser</w:t>
      </w:r>
      <w:r>
        <w:rPr>
          <w:rFonts w:ascii="Times New Roman" w:hAnsi="Times New Roman"/>
          <w:color w:val="000000"/>
          <w:sz w:val="20"/>
        </w:rPr>
        <w:t xml:space="preserve">” </w:t>
      </w:r>
      <w:r>
        <w:rPr>
          <w:rFonts w:ascii="Times New Roman" w:hAnsi="Times New Roman"/>
          <w:color w:val="000000"/>
          <w:sz w:val="24"/>
        </w:rPr>
        <w:t xml:space="preserve">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Inc., Duff &amp; Phelps Corporation, Kroll, LLC, Murray, Devine and Company, Citrin Cooperman, Lincoln International LLC (formerly known as Lincoln Partners LLC) and Valuation Research Corporation are acceptable to the Administrative Agent. As used in </w:t>
      </w:r>
      <w:r>
        <w:rPr>
          <w:rFonts w:ascii="Times New Roman" w:hAnsi="Times New Roman"/>
          <w:color w:val="000000"/>
          <w:sz w:val="24"/>
          <w:u w:val="single"/>
        </w:rPr>
        <w:t>Section 5.12</w:t>
      </w:r>
      <w:r>
        <w:rPr>
          <w:rFonts w:ascii="Times New Roman" w:hAnsi="Times New Roman"/>
          <w:color w:val="000000"/>
          <w:sz w:val="20"/>
        </w:rPr>
        <w:t xml:space="preserve"> </w:t>
      </w:r>
      <w:r>
        <w:rPr>
          <w:rFonts w:ascii="Times New Roman" w:hAnsi="Times New Roman"/>
          <w:color w:val="000000"/>
          <w:sz w:val="24"/>
        </w:rPr>
        <w:t>hereof, an “Approved Third-Party Appraiser selected by the Administrative Agent” shall mean any of the firms identified in the preceding sentence and any other Independent nationally recognized third-party appraisal firm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identified by the Administrative Agent and consented to by the Borrower (such consent not to be unreasonably withheld).</w:t>
      </w:r>
    </w:p>
    <w:p>
      <w:pPr>
        <w:pStyle w:val="TextBody"/>
        <w:bidi w:val="0"/>
        <w:spacing w:before="0" w:after="240"/>
        <w:jc w:val="both"/>
        <w:rPr/>
      </w:pPr>
      <w:r>
        <w:rPr>
          <w:color w:val="000000"/>
        </w:rPr>
        <w:t>“</w:t>
      </w:r>
      <w:r>
        <w:rPr>
          <w:rFonts w:ascii="Times New Roman" w:hAnsi="Times New Roman"/>
          <w:color w:val="000000"/>
          <w:sz w:val="24"/>
          <w:u w:val="single"/>
        </w:rPr>
        <w:t>Assignment and Assumption</w:t>
      </w:r>
      <w:r>
        <w:rPr>
          <w:rFonts w:ascii="Times New Roman" w:hAnsi="Times New Roman"/>
          <w:color w:val="000000"/>
          <w:sz w:val="20"/>
        </w:rPr>
        <w:t xml:space="preserve">” </w:t>
      </w:r>
      <w:r>
        <w:rPr>
          <w:rFonts w:ascii="Times New Roman" w:hAnsi="Times New Roman"/>
          <w:color w:val="000000"/>
          <w:sz w:val="24"/>
        </w:rPr>
        <w:t xml:space="preserve">means an Assignment and Assumption entered into by a Lender and an assignee (with the consent of any party whose consent is required by </w:t>
      </w:r>
      <w:r>
        <w:rPr>
          <w:rFonts w:ascii="Times New Roman" w:hAnsi="Times New Roman"/>
          <w:color w:val="000000"/>
          <w:sz w:val="24"/>
          <w:u w:val="single"/>
        </w:rPr>
        <w:t>Section 9.04</w:t>
      </w:r>
      <w:r>
        <w:rPr>
          <w:rFonts w:ascii="Times New Roman" w:hAnsi="Times New Roman"/>
          <w:color w:val="000000"/>
          <w:sz w:val="24"/>
        </w:rPr>
        <w:t xml:space="preserve">), and accepted by the Administrative Agent,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(with adjustments thereto to reflect the Classes of Commitments and/or Loans being assigned or outstanding at the time of the respective assignment) or any other form approved by the Administrative Agent and, so long as no Event of Default has occurred and is continuing, the Borrower.</w:t>
      </w:r>
    </w:p>
    <w:p>
      <w:pPr>
        <w:pStyle w:val="TextBody"/>
        <w:bidi w:val="0"/>
        <w:spacing w:before="0" w:after="240"/>
        <w:jc w:val="both"/>
        <w:rPr/>
      </w:pPr>
      <w:r>
        <w:rPr>
          <w:color w:val="000000"/>
        </w:rPr>
        <w:t>“</w:t>
      </w:r>
      <w:r>
        <w:rPr>
          <w:rFonts w:ascii="Times New Roman" w:hAnsi="Times New Roman"/>
          <w:color w:val="000000"/>
          <w:sz w:val="24"/>
          <w:u w:val="single"/>
        </w:rPr>
        <w:t>Assuming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ASU</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1.04.</w:t>
      </w:r>
    </w:p>
    <w:p>
      <w:pPr>
        <w:pStyle w:val="TextBody"/>
        <w:bidi w:val="0"/>
        <w:spacing w:before="0" w:after="240"/>
        <w:jc w:val="both"/>
        <w:rPr/>
      </w:pPr>
      <w:r>
        <w:rPr>
          <w:color w:val="000000"/>
        </w:rPr>
        <w:t>“</w:t>
      </w:r>
      <w:r>
        <w:rPr>
          <w:rFonts w:ascii="Times New Roman" w:hAnsi="Times New Roman"/>
          <w:color w:val="000000"/>
          <w:sz w:val="24"/>
          <w:u w:val="single"/>
        </w:rPr>
        <w:t>Australian Dollars</w:t>
      </w:r>
      <w:r>
        <w:rPr>
          <w:rFonts w:ascii="Times New Roman" w:hAnsi="Times New Roman"/>
          <w:color w:val="000000"/>
          <w:sz w:val="20"/>
        </w:rPr>
        <w:t xml:space="preserve">” </w:t>
      </w:r>
      <w:r>
        <w:rPr>
          <w:rFonts w:ascii="Times New Roman" w:hAnsi="Times New Roman"/>
          <w:color w:val="000000"/>
          <w:sz w:val="24"/>
        </w:rPr>
        <w:t>means the lawful currency of The Commonwealth of Australia.</w:t>
      </w:r>
    </w:p>
    <w:p>
      <w:pPr>
        <w:pStyle w:val="TextBody"/>
        <w:bidi w:val="0"/>
        <w:spacing w:before="0" w:after="240"/>
        <w:jc w:val="both"/>
        <w:rPr/>
      </w:pPr>
      <w:r>
        <w:rPr>
          <w:color w:val="000000"/>
        </w:rPr>
        <w:t>“</w:t>
      </w:r>
      <w:r>
        <w:rPr>
          <w:rFonts w:ascii="Times New Roman" w:hAnsi="Times New Roman"/>
          <w:color w:val="000000"/>
          <w:sz w:val="24"/>
          <w:u w:val="single"/>
        </w:rPr>
        <w:t>Availability Period</w:t>
      </w:r>
      <w:r>
        <w:rPr>
          <w:rFonts w:ascii="Times New Roman" w:hAnsi="Times New Roman"/>
          <w:color w:val="000000"/>
          <w:sz w:val="20"/>
        </w:rPr>
        <w:t xml:space="preserve">” </w:t>
      </w:r>
      <w:r>
        <w:rPr>
          <w:rFonts w:ascii="Times New Roman" w:hAnsi="Times New Roman"/>
          <w:color w:val="000000"/>
          <w:sz w:val="24"/>
        </w:rPr>
        <w:t>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pStyle w:val="TextBody"/>
        <w:bidi w:val="0"/>
        <w:spacing w:before="0" w:after="240"/>
        <w:jc w:val="both"/>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 xml:space="preserve">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color w:val="000000"/>
          <w:sz w:val="24"/>
          <w:u w:val="single"/>
        </w:rPr>
        <w:t>Section 2.22(d)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Bail-In Action</w:t>
      </w:r>
      <w:r>
        <w:rPr>
          <w:rFonts w:ascii="Times New Roman" w:hAnsi="Times New Roman"/>
          <w:color w:val="000000"/>
          <w:sz w:val="20"/>
        </w:rPr>
        <w:t xml:space="preserve">” </w:t>
      </w:r>
      <w:r>
        <w:rPr>
          <w:rFonts w:ascii="Times New Roman" w:hAnsi="Times New Roman"/>
          <w:color w:val="000000"/>
          <w:sz w:val="24"/>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color w:val="000000"/>
          <w:sz w:val="24"/>
          <w:u w:val="single"/>
        </w:rPr>
        <w:t>Bail-In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4"/>
          <w:u w:val="single"/>
        </w:rPr>
        <w:t>Base Rate Term SOFR Determination Day</w:t>
      </w:r>
      <w:r>
        <w:rPr>
          <w:rFonts w:ascii="Times New Roman" w:hAnsi="Times New Roman"/>
          <w:color w:val="000000"/>
          <w:sz w:val="20"/>
        </w:rPr>
        <w:t xml:space="preserve">” </w:t>
      </w:r>
      <w:r>
        <w:rPr>
          <w:rFonts w:ascii="Times New Roman" w:hAnsi="Times New Roman"/>
          <w:color w:val="000000"/>
          <w:sz w:val="24"/>
        </w:rPr>
        <w:t>has the meaning set forth in the definition of “Term SOFR”.</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 xml:space="preserve">means, initially, with respect to any Loans denominated in (a) Dollars, the Term SOFR Reference Rate, (b) Canadian Dollars, the Term CORRA Reference Rate, (c) Sterling or Swiss Francs, the Daily Simple RFR for such Currency, and (d) any other Agreed Foreign Currency, the Adjusted Term Benchmark Rate for such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a Benchmark Transition Event or an Other Benchmark Rate Election and its related Benchmark Replacement Date have occurred with respect to the Term SOFR Reference Rate, the Term CORRA Reference Rate, the Daily Simple RFR or the Adjusted Term Benchmark Rate for such Currency or the then current Benchmark, as applicable, then “Benchmark” shall mean the applicable Benchmark Replacement for such Currency, to the extent that such Benchmark Replacement has replaced such prior benchmark rate pursuant to clause (a) of </w:t>
      </w:r>
      <w:r>
        <w:rPr>
          <w:rFonts w:ascii="Times New Roman" w:hAnsi="Times New Roman"/>
          <w:color w:val="000000"/>
          <w:sz w:val="24"/>
          <w:u w:val="single"/>
        </w:rPr>
        <w:t>Section 2.22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 SOFR Reference Rate, but including in connection with any Other Benchmark Rate Election, such alternative shall be the alternative set forth in clause (2) below:</w:t>
      </w:r>
    </w:p>
    <w:p>
      <w:pPr>
        <w:pStyle w:val="TextBody"/>
        <w:bidi w:val="0"/>
        <w:spacing w:before="0" w:after="240"/>
        <w:jc w:val="both"/>
        <w:rPr>
          <w:rFonts w:ascii="Times New Roman" w:hAnsi="Times New Roman"/>
          <w:sz w:val="20"/>
        </w:rPr>
      </w:pPr>
      <w:r>
        <w:rPr>
          <w:rFonts w:ascii="Times New Roman" w:hAnsi="Times New Roman"/>
          <w:color w:val="000000"/>
          <w:sz w:val="24"/>
        </w:rPr>
        <w:t>(1) the sum of (i) Daily Simple SOFR and (ii) 0.10%;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(2) 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in the United States for determining a benchmark rate as a replacement for the then-current Benchmark for syndicated credit facilities denominated in the applicable Currency at such time and (b) the related Benchmark Replacement Adjustment.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Benchmark Replacement as determined pursuant to clause (1) or (2) of this definition would be less than the Floor, the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for a Currency with an Unadjusted Benchmark Replacement for any applicable Interest Period and Available Tenor for any such setting of such Unadjusted 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a date and time determined by the Administrative Agent, which date shall be no later than the earliest to occur of the following events with respect to the then-current Benchmark: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in the case of clause (1) or (2) of the definition of “Benchmark Transition Event,” the later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date of the public statement or publication of information referenced therein; and</w:t>
      </w:r>
    </w:p>
    <w:p>
      <w:pPr>
        <w:pStyle w:val="TextBody"/>
        <w:bidi w:val="0"/>
        <w:spacing w:before="0" w:after="240"/>
        <w:jc w:val="both"/>
        <w:rPr>
          <w:rFonts w:ascii="Times New Roman" w:hAnsi="Times New Roman"/>
          <w:sz w:val="20"/>
        </w:rPr>
      </w:pPr>
      <w:r>
        <w:rPr>
          <w:rFonts w:ascii="Times New Roman" w:hAnsi="Times New Roman"/>
          <w:color w:val="000000"/>
          <w:sz w:val="24"/>
        </w:rPr>
        <w:t>(b) the date on which the administrator of such Benchmark (or the published component used in the calculation thereof) permanently or indefinitely ceases to provide all Available Tenors of such Benchmark (or such component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non-representativeness will be determined by reference to the most recent statement or publication referenced in such clause (3) and even if any Available Tenor of such Benchmark (or such component thereof) continues to be provided on such date;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the “Benchmark Replacement Date” will be deemed to have occurred in the case of clause (1) or (2) of this definition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with respect to any then-current Benchmark, the occurrence of one or more of the following events with respect to such Benchmark: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sz w:val="20"/>
        </w:rPr>
      </w:pPr>
      <w:r>
        <w:rPr>
          <w:rFonts w:ascii="Times New Roman" w:hAnsi="Times New Roman"/>
          <w:color w:val="000000"/>
          <w:sz w:val="24"/>
        </w:rPr>
        <w:t>(2) a public statement or publication of information by the regulatory supervisor for the administrator of such Benchmark (or the published component used in the calculation thereof), the Board, the Federal Reserve Bank of New York or the Bank of Canada,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 xml:space="preserve">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other Loan Document in accordance with </w:t>
      </w:r>
      <w:r>
        <w:rPr>
          <w:rFonts w:ascii="Times New Roman" w:hAnsi="Times New Roman"/>
          <w:color w:val="000000"/>
          <w:sz w:val="24"/>
          <w:u w:val="single"/>
        </w:rPr>
        <w:t>Section 2.22</w:t>
      </w:r>
      <w:r>
        <w:rPr>
          <w:rFonts w:ascii="Times New Roman" w:hAnsi="Times New Roman"/>
          <w:color w:val="000000"/>
          <w:sz w:val="20"/>
        </w:rPr>
        <w:t xml:space="preserve"> </w:t>
      </w:r>
      <w:r>
        <w:rPr>
          <w:rFonts w:ascii="Times New Roman" w:hAnsi="Times New Roman"/>
          <w:color w:val="000000"/>
          <w:sz w:val="24"/>
        </w:rPr>
        <w:t xml:space="preserve">and (y) ending at the time that a Benchmark Replacement has replaced such then-current Benchmark for all purposes hereunder and under any other Loan Document in accordance with </w:t>
      </w:r>
      <w:r>
        <w:rPr>
          <w:rFonts w:ascii="Times New Roman" w:hAnsi="Times New Roman"/>
          <w:color w:val="000000"/>
          <w:sz w:val="24"/>
          <w:u w:val="single"/>
        </w:rPr>
        <w:t>Section 2.22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 States of America (or any successor thereof).</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has the meaning assigned to such term in the preamble to this Agreement.</w:t>
      </w:r>
    </w:p>
    <w:p>
      <w:pPr>
        <w:pStyle w:val="TextBody"/>
        <w:bidi w:val="0"/>
        <w:spacing w:before="0" w:after="240"/>
        <w:jc w:val="both"/>
        <w:rPr/>
      </w:pPr>
      <w:r>
        <w:rPr>
          <w:color w:val="000000"/>
        </w:rPr>
        <w:t>“</w:t>
      </w:r>
      <w:r>
        <w:rPr>
          <w:rFonts w:ascii="Times New Roman" w:hAnsi="Times New Roman"/>
          <w:color w:val="000000"/>
          <w:sz w:val="24"/>
          <w:u w:val="single"/>
        </w:rPr>
        <w:t>Borrower Asset Coverage Ratio</w:t>
      </w:r>
      <w:r>
        <w:rPr>
          <w:rFonts w:ascii="Times New Roman" w:hAnsi="Times New Roman"/>
          <w:color w:val="000000"/>
          <w:sz w:val="20"/>
        </w:rPr>
        <w:t xml:space="preserve">” </w:t>
      </w:r>
      <w:r>
        <w:rPr>
          <w:rFonts w:ascii="Times New Roman" w:hAnsi="Times New Roman"/>
          <w:color w:val="000000"/>
          <w:sz w:val="24"/>
        </w:rPr>
        <w:t>means the ratio, determined for the Obligors, without duplication, of (a) (i) Total Assets minus (ii) Total Assets Concentration Limitation to (b) Total Secured Debt.</w:t>
      </w:r>
    </w:p>
    <w:p>
      <w:pPr>
        <w:pStyle w:val="TextBody"/>
        <w:bidi w:val="0"/>
        <w:spacing w:before="0" w:after="240"/>
        <w:jc w:val="both"/>
        <w:rPr/>
      </w:pPr>
      <w:r>
        <w:rPr>
          <w:color w:val="000000"/>
        </w:rPr>
        <w:t>“</w:t>
      </w:r>
      <w:r>
        <w:rPr>
          <w:rFonts w:ascii="Times New Roman" w:hAnsi="Times New Roman"/>
          <w:color w:val="000000"/>
          <w:sz w:val="24"/>
          <w:u w:val="single"/>
        </w:rPr>
        <w:t>Borrowing</w:t>
      </w:r>
      <w:r>
        <w:rPr>
          <w:rFonts w:ascii="Times New Roman" w:hAnsi="Times New Roman"/>
          <w:color w:val="000000"/>
          <w:sz w:val="20"/>
        </w:rPr>
        <w:t xml:space="preserve">” </w:t>
      </w:r>
      <w:r>
        <w:rPr>
          <w:rFonts w:ascii="Times New Roman" w:hAnsi="Times New Roman"/>
          <w:color w:val="000000"/>
          <w:sz w:val="24"/>
        </w:rPr>
        <w:t>means (a) all Syndicated ABR Loans of the same Class made, converted or continued on the same date, (b) all Term Benchmark Loans of the same Class denominated in the same Currency that have the same Interest Period, (c) all RFR Loans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same Class and Type denominated in the same Currency that have the same Interest Period or (d) a Swingline Loan.</w:t>
      </w:r>
    </w:p>
    <w:p>
      <w:pPr>
        <w:pStyle w:val="TextBody"/>
        <w:bidi w:val="0"/>
        <w:spacing w:before="0" w:after="240"/>
        <w:jc w:val="both"/>
        <w:rPr/>
      </w:pPr>
      <w:r>
        <w:rPr>
          <w:color w:val="000000"/>
        </w:rPr>
        <w:t>“</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Borrowing Base Certificate</w:t>
      </w:r>
      <w:r>
        <w:rPr>
          <w:rFonts w:ascii="Times New Roman" w:hAnsi="Times New Roman"/>
          <w:color w:val="000000"/>
          <w:sz w:val="20"/>
        </w:rPr>
        <w:t xml:space="preserve">” </w:t>
      </w:r>
      <w:r>
        <w:rPr>
          <w:rFonts w:ascii="Times New Roman" w:hAnsi="Times New Roman"/>
          <w:color w:val="000000"/>
          <w:sz w:val="24"/>
        </w:rPr>
        <w:t xml:space="preserve">means a certificate of a Financial Officer of the Borrower, substantially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(or such other form as shall be reasonably satisfactory to the Administrative Agent) and appropriately completed.</w:t>
      </w:r>
    </w:p>
    <w:p>
      <w:pPr>
        <w:pStyle w:val="TextBody"/>
        <w:bidi w:val="0"/>
        <w:spacing w:before="0" w:after="240"/>
        <w:jc w:val="both"/>
        <w:rPr/>
      </w:pPr>
      <w:r>
        <w:rPr>
          <w:color w:val="000000"/>
        </w:rPr>
        <w:t>“</w:t>
      </w:r>
      <w:r>
        <w:rPr>
          <w:rFonts w:ascii="Times New Roman" w:hAnsi="Times New Roman"/>
          <w:color w:val="000000"/>
          <w:sz w:val="24"/>
          <w:u w:val="single"/>
        </w:rPr>
        <w:t>Borrowing Base Deficiency</w:t>
      </w:r>
      <w:r>
        <w:rPr>
          <w:rFonts w:ascii="Times New Roman" w:hAnsi="Times New Roman"/>
          <w:color w:val="000000"/>
          <w:sz w:val="20"/>
        </w:rPr>
        <w:t xml:space="preserve">” </w:t>
      </w:r>
      <w:r>
        <w:rPr>
          <w:rFonts w:ascii="Times New Roman" w:hAnsi="Times New Roman"/>
          <w:color w:val="000000"/>
          <w:sz w:val="24"/>
        </w:rPr>
        <w:t>means, at any date on which the same is determined, the amount, if any, that (a) the aggregate Covered Debt Amount as of such date exceeds (b) the Borrowing Base as of such date.</w:t>
      </w:r>
    </w:p>
    <w:p>
      <w:pPr>
        <w:pStyle w:val="TextBody"/>
        <w:bidi w:val="0"/>
        <w:spacing w:before="0" w:after="240"/>
        <w:jc w:val="both"/>
        <w:rPr/>
      </w:pPr>
      <w:r>
        <w:rPr>
          <w:color w:val="000000"/>
        </w:rPr>
        <w:t>“</w:t>
      </w:r>
      <w:r>
        <w:rPr>
          <w:rFonts w:ascii="Times New Roman" w:hAnsi="Times New Roman"/>
          <w:color w:val="000000"/>
          <w:sz w:val="24"/>
          <w:u w:val="single"/>
        </w:rPr>
        <w:t>Borrowing Request</w:t>
      </w:r>
      <w:r>
        <w:rPr>
          <w:rFonts w:ascii="Times New Roman" w:hAnsi="Times New Roman"/>
          <w:color w:val="000000"/>
          <w:sz w:val="20"/>
        </w:rPr>
        <w:t xml:space="preserve">” </w:t>
      </w:r>
      <w:r>
        <w:rPr>
          <w:rFonts w:ascii="Times New Roman" w:hAnsi="Times New Roman"/>
          <w:color w:val="000000"/>
          <w:sz w:val="24"/>
        </w:rPr>
        <w:t xml:space="preserve">means a request by the Borrower for a Syndicated Borrowing in accordance with </w:t>
      </w:r>
      <w:r>
        <w:rPr>
          <w:rFonts w:ascii="Times New Roman" w:hAnsi="Times New Roman"/>
          <w:color w:val="000000"/>
          <w:sz w:val="24"/>
          <w:u w:val="single"/>
        </w:rPr>
        <w:t>Section 2.03</w:t>
      </w:r>
      <w:r>
        <w:rPr>
          <w:rFonts w:ascii="Times New Roman" w:hAnsi="Times New Roman"/>
          <w:color w:val="000000"/>
          <w:sz w:val="24"/>
        </w:rPr>
        <w:t xml:space="preserve">, which, if in writing, shall be substantially in the form of </w:t>
      </w:r>
      <w:r>
        <w:rPr>
          <w:rFonts w:ascii="Times New Roman" w:hAnsi="Times New Roman"/>
          <w:color w:val="000000"/>
          <w:sz w:val="24"/>
          <w:u w:val="single"/>
        </w:rPr>
        <w:t>Exhibit 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pStyle w:val="TextBody"/>
        <w:bidi w:val="0"/>
        <w:spacing w:before="0" w:after="240"/>
        <w:jc w:val="both"/>
        <w:rPr/>
      </w:pPr>
      <w:r>
        <w:rPr>
          <w:color w:val="000000"/>
        </w:rPr>
        <w:t>“</w:t>
      </w:r>
      <w:r>
        <w:rPr>
          <w:rFonts w:ascii="Times New Roman" w:hAnsi="Times New Roman"/>
          <w:color w:val="000000"/>
          <w:sz w:val="24"/>
          <w:u w:val="single"/>
        </w:rPr>
        <w:t>Calculation Amount</w:t>
      </w:r>
      <w:r>
        <w:rPr>
          <w:rFonts w:ascii="Times New Roman" w:hAnsi="Times New Roman"/>
          <w:color w:val="000000"/>
          <w:sz w:val="20"/>
        </w:rPr>
        <w:t xml:space="preserve">” </w:t>
      </w:r>
      <w:r>
        <w:rPr>
          <w:rFonts w:ascii="Times New Roman" w:hAnsi="Times New Roman"/>
          <w:color w:val="000000"/>
          <w:sz w:val="24"/>
        </w:rPr>
        <w:t xml:space="preserve">shall mean, as of the end of any Testing Period, an amount equal to the greater of: (a) (i) 125% of the Adjusted Covered Debt Balance (as of the end of such Testing Period)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no event shall more than 25% (or, if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applies, 10%, or as near thereto as reasonably practicable) of the aggregate Value of the Unquoted Investments in the Borrowing Base be tested in respect of any applicable Testing Period.</w:t>
      </w:r>
    </w:p>
    <w:p>
      <w:pPr>
        <w:pStyle w:val="TextBody"/>
        <w:bidi w:val="0"/>
        <w:spacing w:before="0" w:after="240"/>
        <w:jc w:val="both"/>
        <w:rPr/>
      </w:pPr>
      <w:r>
        <w:rPr>
          <w:color w:val="000000"/>
        </w:rPr>
        <w:t>“</w:t>
      </w:r>
      <w:r>
        <w:rPr>
          <w:rFonts w:ascii="Times New Roman" w:hAnsi="Times New Roman"/>
          <w:color w:val="000000"/>
          <w:sz w:val="24"/>
          <w:u w:val="single"/>
        </w:rPr>
        <w:t>Canadian Dollars</w:t>
      </w:r>
      <w:r>
        <w:rPr>
          <w:rFonts w:ascii="Times New Roman" w:hAnsi="Times New Roman"/>
          <w:color w:val="000000"/>
          <w:sz w:val="20"/>
        </w:rPr>
        <w:t xml:space="preserve">” </w:t>
      </w:r>
      <w:r>
        <w:rPr>
          <w:rFonts w:ascii="Times New Roman" w:hAnsi="Times New Roman"/>
          <w:color w:val="000000"/>
          <w:sz w:val="24"/>
        </w:rPr>
        <w:t>means the lawful currency of Canada.</w:t>
      </w:r>
    </w:p>
    <w:p>
      <w:pPr>
        <w:pStyle w:val="TextBody"/>
        <w:bidi w:val="0"/>
        <w:spacing w:before="0" w:after="240"/>
        <w:jc w:val="both"/>
        <w:rPr/>
      </w:pPr>
      <w:r>
        <w:rPr>
          <w:color w:val="000000"/>
        </w:rPr>
        <w:t>“</w:t>
      </w:r>
      <w:r>
        <w:rPr>
          <w:rFonts w:ascii="Times New Roman" w:hAnsi="Times New Roman"/>
          <w:color w:val="000000"/>
          <w:sz w:val="24"/>
          <w:u w:val="single"/>
        </w:rPr>
        <w:t>Canadian Prime Rate</w:t>
      </w:r>
      <w:r>
        <w:rPr>
          <w:rFonts w:ascii="Times New Roman" w:hAnsi="Times New Roman"/>
          <w:color w:val="000000"/>
          <w:sz w:val="20"/>
        </w:rPr>
        <w:t xml:space="preserve">” </w:t>
      </w:r>
      <w:r>
        <w:rPr>
          <w:rFonts w:ascii="Times New Roman" w:hAnsi="Times New Roman"/>
          <w:color w:val="000000"/>
          <w:sz w:val="24"/>
        </w:rPr>
        <w:t xml:space="preserve">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rate per annum equal to Term CORRA plus 1%; </w:t>
      </w:r>
      <w:r>
        <w:rPr>
          <w:rFonts w:ascii="Times New Roman" w:hAnsi="Times New Roman"/>
          <w:color w:val="000000"/>
          <w:sz w:val="24"/>
          <w:u w:val="single"/>
        </w:rPr>
        <w:t>provided</w:t>
      </w:r>
      <w:r>
        <w:rPr>
          <w:rFonts w:ascii="Times New Roman" w:hAnsi="Times New Roman"/>
          <w:color w:val="000000"/>
          <w:sz w:val="24"/>
        </w:rPr>
        <w:t>, that if any of the above rates shall be less than 0%, such rate shall be deemed to be 0% for purposes of this Agreement. Any change in the Canadian Prime Rate due to a change in the PRIMCAN Index or Term CORRA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effective from and including the effective date of such change in the PRIMCAN Index or Term CORRA, respectively.</w:t>
      </w:r>
    </w:p>
    <w:p>
      <w:pPr>
        <w:pStyle w:val="TextBody"/>
        <w:bidi w:val="0"/>
        <w:spacing w:before="0" w:after="240"/>
        <w:jc w:val="both"/>
        <w:rPr/>
      </w:pPr>
      <w:r>
        <w:rPr>
          <w:color w:val="000000"/>
        </w:rPr>
        <w:t>“</w:t>
      </w:r>
      <w:r>
        <w:rPr>
          <w:rFonts w:ascii="Times New Roman" w:hAnsi="Times New Roman"/>
          <w:color w:val="000000"/>
          <w:sz w:val="24"/>
          <w:u w:val="single"/>
        </w:rPr>
        <w:t>Capital Lease Obligations</w:t>
      </w:r>
      <w:r>
        <w:rPr>
          <w:rFonts w:ascii="Times New Roman" w:hAnsi="Times New Roman"/>
          <w:color w:val="000000"/>
          <w:sz w:val="20"/>
        </w:rPr>
        <w:t xml:space="preserve">” </w:t>
      </w:r>
      <w:r>
        <w:rPr>
          <w:rFonts w:ascii="Times New Roman" w:hAnsi="Times New Roman"/>
          <w:color w:val="000000"/>
          <w:sz w:val="24"/>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pStyle w:val="TextBody"/>
        <w:bidi w:val="0"/>
        <w:spacing w:before="0" w:after="240"/>
        <w:jc w:val="both"/>
        <w:rPr/>
      </w:pPr>
      <w:r>
        <w:rPr>
          <w:color w:val="000000"/>
        </w:rPr>
        <w:t>“</w:t>
      </w:r>
      <w:r>
        <w:rPr>
          <w:rFonts w:ascii="Times New Roman" w:hAnsi="Times New Roman"/>
          <w:color w:val="000000"/>
          <w:sz w:val="24"/>
          <w:u w:val="single"/>
        </w:rPr>
        <w:t>Cash</w:t>
      </w:r>
      <w:r>
        <w:rPr>
          <w:rFonts w:ascii="Times New Roman" w:hAnsi="Times New Roman"/>
          <w:color w:val="000000"/>
          <w:sz w:val="20"/>
        </w:rPr>
        <w:t xml:space="preserve">” </w:t>
      </w:r>
      <w:r>
        <w:rPr>
          <w:rFonts w:ascii="Times New Roman" w:hAnsi="Times New Roman"/>
          <w:color w:val="000000"/>
          <w:sz w:val="24"/>
        </w:rPr>
        <w:t>means any immediately available funds in Dollars or in any currency other than Dollars (measured in terms of the Dollar Equivalent thereof) which is a freely convertible currency.</w:t>
      </w:r>
    </w:p>
    <w:p>
      <w:pPr>
        <w:pStyle w:val="TextBody"/>
        <w:bidi w:val="0"/>
        <w:spacing w:before="0" w:after="240"/>
        <w:jc w:val="both"/>
        <w:rPr/>
      </w:pPr>
      <w:r>
        <w:rPr>
          <w:color w:val="000000"/>
        </w:rPr>
        <w:t>“</w:t>
      </w:r>
      <w:r>
        <w:rPr>
          <w:rFonts w:ascii="Times New Roman" w:hAnsi="Times New Roman"/>
          <w:color w:val="000000"/>
          <w:sz w:val="24"/>
          <w:u w:val="single"/>
        </w:rPr>
        <w:t>Cash Collateralize</w:t>
      </w:r>
      <w:r>
        <w:rPr>
          <w:rFonts w:ascii="Times New Roman" w:hAnsi="Times New Roman"/>
          <w:color w:val="000000"/>
          <w:sz w:val="20"/>
        </w:rPr>
        <w:t xml:space="preserve">” </w:t>
      </w:r>
      <w:r>
        <w:rPr>
          <w:rFonts w:ascii="Times New Roman" w:hAnsi="Times New Roman"/>
          <w:color w:val="000000"/>
          <w:sz w:val="24"/>
        </w:rPr>
        <w:t xml:space="preserve">means, in respect of a Letter of Credit or any obligation hereunder, to provide and pledge cash collateral pursuant to </w:t>
      </w:r>
      <w:r>
        <w:rPr>
          <w:rFonts w:ascii="Times New Roman" w:hAnsi="Times New Roman"/>
          <w:color w:val="000000"/>
          <w:sz w:val="24"/>
          <w:u w:val="single"/>
        </w:rPr>
        <w:t>Section 2.05(k)</w:t>
      </w:r>
      <w:r>
        <w:rPr>
          <w:rFonts w:ascii="Times New Roman" w:hAnsi="Times New Roman"/>
          <w:color w:val="000000"/>
          <w:sz w:val="24"/>
        </w:rPr>
        <w:t>, at a location and pursuant to documentation in form and substance reasonably satisfactory to Administrative Agent and each Issuing Bank. “</w:t>
      </w:r>
      <w:r>
        <w:rPr>
          <w:rFonts w:ascii="Times New Roman" w:hAnsi="Times New Roman"/>
          <w:color w:val="000000"/>
          <w:sz w:val="24"/>
          <w:u w:val="single"/>
        </w:rPr>
        <w:t>Cash Collateral</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Cash Collateralized</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Cash Collateralization</w:t>
      </w:r>
      <w:r>
        <w:rPr>
          <w:rFonts w:ascii="Times New Roman" w:hAnsi="Times New Roman"/>
          <w:color w:val="000000"/>
          <w:sz w:val="20"/>
        </w:rPr>
        <w:t xml:space="preserve">” </w:t>
      </w:r>
      <w:r>
        <w:rPr>
          <w:rFonts w:ascii="Times New Roman" w:hAnsi="Times New Roman"/>
          <w:color w:val="000000"/>
          <w:sz w:val="24"/>
        </w:rPr>
        <w:t>shall have meanings correlative to the foregoing and shall include the proceeds of such cash collateral and other credit support.</w:t>
      </w:r>
    </w:p>
    <w:p>
      <w:pPr>
        <w:pStyle w:val="TextBody"/>
        <w:bidi w:val="0"/>
        <w:spacing w:before="0" w:after="240"/>
        <w:jc w:val="both"/>
        <w:rPr/>
      </w:pPr>
      <w:r>
        <w:rPr>
          <w:color w:val="000000"/>
        </w:rPr>
        <w:t>“</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means investments (other than Cash) that are one or more of the following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U.S. Government Securities, in each case maturing within one year from the date of acquisition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investments in commercial paper or other short-term corporate obligations maturing within 270 days from the date of acquisition thereof and having, at such date of acquisition, a credit rating of at least A</w:t>
        <w:noBreakHyphen/>
        <w:t>1 from S&amp;P and at least P</w:t>
        <w:noBreakHyphen/>
        <w:t>1 from Moody’s (or if only one of S&amp;P or Moody’s provides such rating, such investment shall also have an equivalent credit rating from any other rating agency);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noBreakHyphen/>
        <w:t>1 from S&amp;P and at least P</w:t>
        <w:noBreakHyphen/>
        <w:t>1 from Moody’s (or if only one of S&amp;P or Moody’s provides such rating, such investment shall also have an equivalent credit rating from any other rating agency);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fully collateralized repurchase agreements with a term of not more than 30 days from the date of acquisition thereof for U.S. Government Securities and entered into with (i) a financial institution satisfying the criteria described in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of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definition or (ii) an Approved Dealer having (or being a member of a consolidated group having) at such date of acquisition, a credit rating of at least A</w:t>
        <w:noBreakHyphen/>
        <w:t>1 from S&amp;P and at least P</w:t>
        <w:noBreakHyphen/>
        <w:t>1 from Moody’s (or if only one of S&amp;P or Moody’s provides such rating, such Approved Dealer shall also have an equivalent credit rating from any other rating agency);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investments in money market funds that invest solely, and which are restricted by their respective charters to invest solely, in investments of the type described in the immediately preceding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above (including as to credit quality and maturity);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money market funds that have, at all times, credit ratings of “Aaa” and “MR1+” by Moody’s and “AAAm” or “Aam-G” by S&amp;P, respectively;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any of the following offered by State Street Bank and Trust Company (or any successor custodian or other entity acting in a similar capacity with respect to the Borrower) (I) money market deposit accounts, (II) eurodollar time deposits, (III) commercial eurodollar sweep services or (IV) open commercial paper services, in each case having, at such date of acquisition, a credit rating at least A-1 from S&amp;P and at least P-1 from Moody’s and maturing not later than 270 days from the date of acquisition thereof;</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pStyle w:val="TextBody"/>
        <w:bidi w:val="0"/>
        <w:spacing w:before="0" w:after="240"/>
        <w:jc w:val="both"/>
        <w:rPr/>
      </w:pPr>
      <w:r>
        <w:rPr>
          <w:color w:val="000000"/>
        </w:rPr>
        <w:t>“</w:t>
      </w:r>
      <w:r>
        <w:rPr>
          <w:rFonts w:ascii="Times New Roman" w:hAnsi="Times New Roman"/>
          <w:color w:val="000000"/>
          <w:sz w:val="24"/>
          <w:u w:val="single"/>
        </w:rPr>
        <w:t>Central Bank Rate</w:t>
      </w:r>
      <w:r>
        <w:rPr>
          <w:rFonts w:ascii="Times New Roman" w:hAnsi="Times New Roman"/>
          <w:color w:val="000000"/>
          <w:sz w:val="20"/>
        </w:rPr>
        <w:t xml:space="preserve">” </w:t>
      </w:r>
      <w:r>
        <w:rPr>
          <w:rFonts w:ascii="Times New Roman" w:hAnsi="Times New Roman"/>
          <w:color w:val="000000"/>
          <w:sz w:val="24"/>
        </w:rPr>
        <w:t>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Central Bank Rate Adjustment</w:t>
      </w:r>
      <w:r>
        <w:rPr>
          <w:rFonts w:ascii="Times New Roman" w:hAnsi="Times New Roman"/>
          <w:color w:val="000000"/>
          <w:sz w:val="20"/>
        </w:rPr>
        <w:t xml:space="preserve">” </w:t>
      </w:r>
      <w:r>
        <w:rPr>
          <w:rFonts w:ascii="Times New Roman" w:hAnsi="Times New Roman"/>
          <w:color w:val="000000"/>
          <w:sz w:val="24"/>
        </w:rPr>
        <w:t>means,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Banking Days for Euro preceding such day for which the EURIBOR Screen Rate was available (excluding, from such averaging, the highest and the lowest EURIBOR Screen Rate applicable during such period of five Term Benchmark Banking Days for Euro) minus (ii) the Central Bank Rate in respect of Euro in effect on the last Term Benchmark Banking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pStyle w:val="TextBody"/>
        <w:bidi w:val="0"/>
        <w:spacing w:before="0" w:after="240"/>
        <w:jc w:val="both"/>
        <w:rPr/>
      </w:pPr>
      <w:r>
        <w:rPr>
          <w:color w:val="000000"/>
        </w:rPr>
        <w:t>“</w:t>
      </w:r>
      <w:r>
        <w:rPr>
          <w:rFonts w:ascii="Times New Roman" w:hAnsi="Times New Roman"/>
          <w:color w:val="000000"/>
          <w:sz w:val="24"/>
          <w:u w:val="single"/>
        </w:rPr>
        <w:t>Change in Law</w:t>
      </w:r>
      <w:r>
        <w:rPr>
          <w:rFonts w:ascii="Times New Roman" w:hAnsi="Times New Roman"/>
          <w:color w:val="000000"/>
          <w:sz w:val="20"/>
        </w:rPr>
        <w:t xml:space="preserve">” </w:t>
      </w:r>
      <w:r>
        <w:rPr>
          <w:rFonts w:ascii="Times New Roman" w:hAnsi="Times New Roman"/>
          <w:color w:val="000000"/>
          <w:sz w:val="24"/>
        </w:rPr>
        <w:t>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pStyle w:val="TextBody"/>
        <w:bidi w:val="0"/>
        <w:spacing w:before="0" w:after="240"/>
        <w:jc w:val="both"/>
        <w:rPr/>
      </w:pPr>
      <w:r>
        <w:rPr>
          <w:color w:val="000000"/>
        </w:rPr>
        <w:t>“</w:t>
      </w:r>
      <w:r>
        <w:rPr>
          <w:rFonts w:ascii="Times New Roman" w:hAnsi="Times New Roman"/>
          <w:color w:val="000000"/>
          <w:sz w:val="24"/>
          <w:u w:val="single"/>
        </w:rPr>
        <w:t>Class</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Times New Roman" w:hAnsi="Times New Roman"/>
          <w:color w:val="000000"/>
          <w:sz w:val="24"/>
          <w:u w:val="single"/>
        </w:rPr>
        <w:t>Class</w:t>
      </w:r>
      <w:r>
        <w:rPr>
          <w:rFonts w:ascii="Times New Roman" w:hAnsi="Times New Roman"/>
          <w:color w:val="000000"/>
          <w:sz w:val="20"/>
        </w:rPr>
        <w:t xml:space="preserve">” </w:t>
      </w:r>
      <w:r>
        <w:rPr>
          <w:rFonts w:ascii="Times New Roman" w:hAnsi="Times New Roman"/>
          <w:color w:val="000000"/>
          <w:sz w:val="24"/>
        </w:rPr>
        <w:t>of a Letter of Credit refers to whether such Letter of Credit is a Dollar Letter of Credit or a Multicurrency Letter of Credit.</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from time to time.</w:t>
      </w:r>
    </w:p>
    <w:p>
      <w:pPr>
        <w:pStyle w:val="TextBody"/>
        <w:bidi w:val="0"/>
        <w:spacing w:before="0" w:after="240"/>
        <w:jc w:val="both"/>
        <w:rPr/>
      </w:pPr>
      <w:r>
        <w:rPr>
          <w:color w:val="000000"/>
        </w:rPr>
        <w:t>“</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has the meaning assigned to such term in the Guarantee and Security Agreement.</w:t>
      </w:r>
    </w:p>
    <w:p>
      <w:pPr>
        <w:pStyle w:val="TextBody"/>
        <w:bidi w:val="0"/>
        <w:spacing w:before="0" w:after="240"/>
        <w:jc w:val="both"/>
        <w:rPr/>
      </w:pPr>
      <w:r>
        <w:rPr>
          <w:color w:val="000000"/>
        </w:rPr>
        <w:t>“</w:t>
      </w:r>
      <w:r>
        <w:rPr>
          <w:rFonts w:ascii="Times New Roman" w:hAnsi="Times New Roman"/>
          <w:color w:val="000000"/>
          <w:sz w:val="24"/>
          <w:u w:val="single"/>
        </w:rPr>
        <w:t>Collateral Agent</w:t>
      </w:r>
      <w:r>
        <w:rPr>
          <w:rFonts w:ascii="Times New Roman" w:hAnsi="Times New Roman"/>
          <w:color w:val="000000"/>
          <w:sz w:val="20"/>
        </w:rPr>
        <w:t xml:space="preserve">” </w:t>
      </w:r>
      <w:r>
        <w:rPr>
          <w:rFonts w:ascii="Times New Roman" w:hAnsi="Times New Roman"/>
          <w:color w:val="000000"/>
          <w:sz w:val="24"/>
        </w:rPr>
        <w:t>means Truist in its capacity as Collateral Agent under the Guarantee and Security Agreement and the other Security Documents, and includes any successor Collateral Agent thereunder.</w:t>
      </w:r>
    </w:p>
    <w:p>
      <w:pPr>
        <w:pStyle w:val="TextBody"/>
        <w:bidi w:val="0"/>
        <w:spacing w:before="0" w:after="240"/>
        <w:jc w:val="both"/>
        <w:rPr/>
      </w:pPr>
      <w:r>
        <w:rPr>
          <w:color w:val="000000"/>
        </w:rPr>
        <w:t>“</w:t>
      </w:r>
      <w:r>
        <w:rPr>
          <w:rFonts w:ascii="Times New Roman" w:hAnsi="Times New Roman"/>
          <w:color w:val="000000"/>
          <w:sz w:val="24"/>
          <w:u w:val="single"/>
        </w:rPr>
        <w:t>Collateral Pool</w:t>
      </w:r>
      <w:r>
        <w:rPr>
          <w:rFonts w:ascii="Times New Roman" w:hAnsi="Times New Roman"/>
          <w:color w:val="000000"/>
          <w:sz w:val="20"/>
        </w:rPr>
        <w:t xml:space="preserve">” </w:t>
      </w:r>
      <w:r>
        <w:rPr>
          <w:rFonts w:ascii="Times New Roman" w:hAnsi="Times New Roman"/>
          <w:color w:val="000000"/>
          <w:sz w:val="24"/>
        </w:rPr>
        <w:t xml:space="preserve">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hereof with respect to such Portfolio Investment);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seven (7) days of such inclusion.</w:t>
      </w:r>
    </w:p>
    <w:p>
      <w:pPr>
        <w:pStyle w:val="TextBody"/>
        <w:bidi w:val="0"/>
        <w:spacing w:before="0" w:after="240"/>
        <w:jc w:val="both"/>
        <w:rPr/>
      </w:pPr>
      <w:r>
        <w:rPr>
          <w:color w:val="000000"/>
        </w:rPr>
        <w:t>“</w:t>
      </w:r>
      <w:r>
        <w:rPr>
          <w:rFonts w:ascii="Times New Roman" w:hAnsi="Times New Roman"/>
          <w:color w:val="000000"/>
          <w:sz w:val="24"/>
          <w:u w:val="single"/>
        </w:rPr>
        <w:t>Combined Debt Amount</w:t>
      </w:r>
      <w:r>
        <w:rPr>
          <w:rFonts w:ascii="Times New Roman" w:hAnsi="Times New Roman"/>
          <w:color w:val="000000"/>
          <w:sz w:val="20"/>
        </w:rPr>
        <w:t xml:space="preserve">” </w:t>
      </w:r>
      <w:r>
        <w:rPr>
          <w:rFonts w:ascii="Times New Roman" w:hAnsi="Times New Roman"/>
          <w:color w:val="000000"/>
          <w:sz w:val="24"/>
        </w:rPr>
        <w:t>means, as of any date, (i) the aggregate amount of Commitments as of such date (or, if greater, the Revolving Credit Exposures of all Lenders as of such date) plus (ii) the aggregate amount of outstanding Designated Indebtedness (as such term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defined in the Guarantee and Security Agreement) and, without duplication, the aggregate amount of unused commitments under any Designated Indebtedness (as such term is defined in the Guarantee and Security Agreement).</w:t>
      </w:r>
    </w:p>
    <w:p>
      <w:pPr>
        <w:pStyle w:val="TextBody"/>
        <w:bidi w:val="0"/>
        <w:spacing w:before="0" w:after="240"/>
        <w:jc w:val="both"/>
        <w:rPr/>
      </w:pPr>
      <w:r>
        <w:rPr>
          <w:color w:val="000000"/>
        </w:rPr>
        <w:t>“</w:t>
      </w:r>
      <w:r>
        <w:rPr>
          <w:rFonts w:ascii="Times New Roman" w:hAnsi="Times New Roman"/>
          <w:color w:val="000000"/>
          <w:sz w:val="24"/>
          <w:u w:val="single"/>
        </w:rPr>
        <w:t>Commitment Increase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Commitment Increase Date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Commitment Increase Supplement</w:t>
      </w:r>
      <w:r>
        <w:rPr>
          <w:rFonts w:ascii="Times New Roman" w:hAnsi="Times New Roman"/>
          <w:color w:val="000000"/>
          <w:sz w:val="20"/>
        </w:rPr>
        <w:t xml:space="preserve">” </w:t>
      </w:r>
      <w:r>
        <w:rPr>
          <w:rFonts w:ascii="Times New Roman" w:hAnsi="Times New Roman"/>
          <w:color w:val="000000"/>
          <w:sz w:val="24"/>
        </w:rPr>
        <w:t xml:space="preserve">has the meaning assigned in </w:t>
      </w:r>
      <w:r>
        <w:rPr>
          <w:rFonts w:ascii="Times New Roman" w:hAnsi="Times New Roman"/>
          <w:color w:val="000000"/>
          <w:sz w:val="24"/>
          <w:u w:val="single"/>
        </w:rPr>
        <w:t>Section 2.08(e)(ii)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Commitment Termination Date</w:t>
      </w:r>
      <w:r>
        <w:rPr>
          <w:rFonts w:ascii="Times New Roman" w:hAnsi="Times New Roman"/>
          <w:color w:val="000000"/>
          <w:sz w:val="20"/>
        </w:rPr>
        <w:t xml:space="preserve">” </w:t>
      </w:r>
      <w:r>
        <w:rPr>
          <w:rFonts w:ascii="Times New Roman" w:hAnsi="Times New Roman"/>
          <w:color w:val="000000"/>
          <w:sz w:val="24"/>
        </w:rPr>
        <w:t>means the Extended Commitment Termination Date or the relevant Non-Extended Commitment Termination Date, as applicable.</w:t>
      </w:r>
    </w:p>
    <w:p>
      <w:pPr>
        <w:pStyle w:val="TextBody"/>
        <w:bidi w:val="0"/>
        <w:spacing w:before="0" w:after="240"/>
        <w:jc w:val="both"/>
        <w:rPr/>
      </w:pPr>
      <w:r>
        <w:rPr>
          <w:color w:val="000000"/>
        </w:rPr>
        <w:t>“</w:t>
      </w:r>
      <w:r>
        <w:rPr>
          <w:rFonts w:ascii="Times New Roman" w:hAnsi="Times New Roman"/>
          <w:color w:val="000000"/>
          <w:sz w:val="24"/>
          <w:u w:val="single"/>
        </w:rPr>
        <w:t>Commitments</w:t>
      </w:r>
      <w:r>
        <w:rPr>
          <w:rFonts w:ascii="Times New Roman" w:hAnsi="Times New Roman"/>
          <w:color w:val="000000"/>
          <w:sz w:val="20"/>
        </w:rPr>
        <w:t xml:space="preserve">” </w:t>
      </w:r>
      <w:r>
        <w:rPr>
          <w:rFonts w:ascii="Times New Roman" w:hAnsi="Times New Roman"/>
          <w:color w:val="000000"/>
          <w:sz w:val="24"/>
        </w:rPr>
        <w:t>means, collectively, the Dollar Commitments and the Multicurrency Commitments.</w:t>
      </w:r>
    </w:p>
    <w:p>
      <w:pPr>
        <w:pStyle w:val="TextBody"/>
        <w:bidi w:val="0"/>
        <w:spacing w:before="0" w:after="240"/>
        <w:jc w:val="both"/>
        <w:rPr/>
      </w:pPr>
      <w:r>
        <w:rPr>
          <w:color w:val="000000"/>
        </w:rPr>
        <w:t>“</w:t>
      </w:r>
      <w:r>
        <w:rPr>
          <w:rFonts w:ascii="Times New Roman" w:hAnsi="Times New Roman"/>
          <w:color w:val="000000"/>
          <w:sz w:val="24"/>
          <w:u w:val="single"/>
        </w:rPr>
        <w:t>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“Canadian Prime Rate”, the definition of “Business Day”, the definition of “Term Benchmark Banking Day”, the definition of “U.S. Government Securities Business Day”, the definition of “Daily Simple RFR”, the definition of “RFR”, the definition of “RFR Business Day”, the definition of “RFR Interest Day”, the definition of “RFR Reference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color w:val="000000"/>
          <w:sz w:val="24"/>
          <w:u w:val="single"/>
        </w:rPr>
        <w:t>Consolidated Asset Coverage Ratio</w:t>
      </w:r>
      <w:r>
        <w:rPr>
          <w:rFonts w:ascii="Times New Roman" w:hAnsi="Times New Roman"/>
          <w:color w:val="000000"/>
          <w:sz w:val="20"/>
        </w:rPr>
        <w:t xml:space="preserve">” </w:t>
      </w:r>
      <w:r>
        <w:rPr>
          <w:rFonts w:ascii="Times New Roman" w:hAnsi="Times New Roman"/>
          <w:color w:val="000000"/>
          <w:sz w:val="24"/>
        </w:rPr>
        <w:t>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or with respect to Borrower thereunder, including any exemptive relief granted by the Securities and Exchange Commission with respect to the indebtedness of any SBIC Subsidiary.</w:t>
      </w:r>
    </w:p>
    <w:p>
      <w:pPr>
        <w:pStyle w:val="TextBody"/>
        <w:bidi w:val="0"/>
        <w:spacing w:before="0" w:after="240"/>
        <w:jc w:val="both"/>
        <w:rPr/>
      </w:pPr>
      <w:r>
        <w:rPr>
          <w:color w:val="000000"/>
        </w:rPr>
        <w:t>“</w:t>
      </w:r>
      <w:r>
        <w:rPr>
          <w:rFonts w:ascii="Times New Roman" w:hAnsi="Times New Roman"/>
          <w:color w:val="000000"/>
          <w:sz w:val="24"/>
          <w:u w:val="single"/>
        </w:rPr>
        <w:t>Consolidated Group</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 w:hAnsi="Times New Roman"/>
          <w:color w:val="000000"/>
          <w:sz w:val="24"/>
          <w:u w:val="single"/>
        </w:rPr>
        <w:t>Controlling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Controlled</w:t>
      </w:r>
      <w:r>
        <w:rPr>
          <w:rFonts w:ascii="Times New Roman" w:hAnsi="Times New Roman"/>
          <w:color w:val="000000"/>
          <w:sz w:val="20"/>
        </w:rPr>
        <w:t xml:space="preserve">” </w:t>
      </w:r>
      <w:r>
        <w:rPr>
          <w:rFonts w:ascii="Times New Roman" w:hAnsi="Times New Roman"/>
          <w:color w:val="000000"/>
          <w:sz w:val="24"/>
        </w:rPr>
        <w:t>have meanings correlative thereto. For the avoidance of doubt, “Control” shall not include “negative” control or “blocking” rights that constitute “protective rights” whereby action cannot be taken without the vote or consent of any Person.</w:t>
      </w:r>
    </w:p>
    <w:p>
      <w:pPr>
        <w:pStyle w:val="TextBody"/>
        <w:bidi w:val="0"/>
        <w:spacing w:before="0" w:after="240"/>
        <w:jc w:val="both"/>
        <w:rPr/>
      </w:pPr>
      <w:r>
        <w:rPr>
          <w:color w:val="000000"/>
        </w:rPr>
        <w:t>“</w:t>
      </w:r>
      <w:r>
        <w:rPr>
          <w:rFonts w:ascii="Times New Roman" w:hAnsi="Times New Roman"/>
          <w:color w:val="000000"/>
          <w:sz w:val="24"/>
          <w:u w:val="single"/>
        </w:rPr>
        <w:t>CORRA</w:t>
      </w:r>
      <w:r>
        <w:rPr>
          <w:rFonts w:ascii="Times New Roman" w:hAnsi="Times New Roman"/>
          <w:color w:val="000000"/>
          <w:sz w:val="20"/>
        </w:rPr>
        <w:t xml:space="preserve">” </w:t>
      </w:r>
      <w:r>
        <w:rPr>
          <w:rFonts w:ascii="Times New Roman" w:hAnsi="Times New Roman"/>
          <w:color w:val="000000"/>
          <w:sz w:val="24"/>
        </w:rPr>
        <w:t>means the Canadian Overnight Repo Rate Average administered and published by the Bank of Canada (or any successor administrator of the Canadian Overnight Repo Rate Average).</w:t>
      </w:r>
    </w:p>
    <w:p>
      <w:pPr>
        <w:pStyle w:val="TextBody"/>
        <w:bidi w:val="0"/>
        <w:spacing w:before="0" w:after="240"/>
        <w:jc w:val="both"/>
        <w:rPr/>
      </w:pPr>
      <w:r>
        <w:rPr>
          <w:color w:val="000000"/>
        </w:rPr>
        <w:t>“</w:t>
      </w:r>
      <w:r>
        <w:rPr>
          <w:rFonts w:ascii="Times New Roman" w:hAnsi="Times New Roman"/>
          <w:color w:val="000000"/>
          <w:sz w:val="24"/>
          <w:u w:val="single"/>
        </w:rPr>
        <w:t>Covered Debt Amount</w:t>
      </w:r>
      <w:r>
        <w:rPr>
          <w:rFonts w:ascii="Times New Roman" w:hAnsi="Times New Roman"/>
          <w:color w:val="000000"/>
          <w:sz w:val="20"/>
        </w:rPr>
        <w:t xml:space="preserve">” </w:t>
      </w:r>
      <w:r>
        <w:rPr>
          <w:rFonts w:ascii="Times New Roman" w:hAnsi="Times New Roman"/>
          <w:color w:val="000000"/>
          <w:sz w:val="24"/>
        </w:rPr>
        <w:t xml:space="preserve">means, on any date, the sum of (x) all of the Revolving Credit Exposures of all Lenders on such date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(y) the aggregate amount of Other Covered Indebtedness, the 2024 Notes, the 2026 Notes, the 2028 Notes, the 2029 Notes, Special Unsecured Indebtedness and Unsecured Longer-Term Indebtedness on such date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(z) the LC Exposures fully Cash Collateralized on such date pursuant to </w:t>
      </w:r>
      <w:r>
        <w:rPr>
          <w:rFonts w:ascii="Times New Roman" w:hAnsi="Times New Roman"/>
          <w:color w:val="000000"/>
          <w:sz w:val="24"/>
          <w:u w:val="single"/>
        </w:rPr>
        <w:t>Section 2.05(k)</w:t>
      </w:r>
      <w:r>
        <w:rPr>
          <w:rFonts w:ascii="Times New Roman" w:hAnsi="Times New Roman"/>
          <w:color w:val="000000"/>
          <w:sz w:val="20"/>
        </w:rPr>
        <w:t xml:space="preserve"> </w:t>
      </w:r>
      <w:r>
        <w:rPr>
          <w:rFonts w:ascii="Times New Roman" w:hAnsi="Times New Roman"/>
          <w:color w:val="000000"/>
          <w:sz w:val="24"/>
        </w:rPr>
        <w:t xml:space="preserve">and the last paragraph of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2024 Notes, the 2026 Notes, the 2028 Notes, the 2029 Notes, Special Unsecured Indebtedness and Unsecured Longer-Term Indebtedness shall be excluded from the calculation of the Covered Debt Amount, in each case, until the date that is nine (9) months prior to the scheduled maturity date of the 2024 Notes, the 2026 Notes, the 2028 Notes, the 2029 Notes, Special Unsecured Indebtedness or such Unsecured Longer-Term Indebtedness, as applicable (provided that, to the extent, but only to the extent, any portion of the 2024 Notes, the 2026 Notes, the 2028 Notes, the 2029 Notes, Special Unsecured Indebtedness or Unsecured Longer-Term Indebtedness is subject to a contractually scheduled amortization payment or other principal payment or mandatory redemption earlier than six (6) months after the Final Maturity Date (in the case of the 2024 Notes, the 2026 Notes, the 2028 Notes, the 2029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Currency</w:t>
      </w:r>
      <w:r>
        <w:rPr>
          <w:rFonts w:ascii="Times New Roman" w:hAnsi="Times New Roman"/>
          <w:color w:val="000000"/>
          <w:sz w:val="20"/>
        </w:rPr>
        <w:t xml:space="preserve">” </w:t>
      </w:r>
      <w:r>
        <w:rPr>
          <w:rFonts w:ascii="Times New Roman" w:hAnsi="Times New Roman"/>
          <w:color w:val="000000"/>
          <w:sz w:val="24"/>
        </w:rPr>
        <w:t>means Dollars or any Foreign Currency.</w:t>
      </w:r>
    </w:p>
    <w:p>
      <w:pPr>
        <w:pStyle w:val="TextBody"/>
        <w:bidi w:val="0"/>
        <w:spacing w:before="0" w:after="240"/>
        <w:jc w:val="both"/>
        <w:rPr/>
      </w:pPr>
      <w:r>
        <w:rPr>
          <w:color w:val="000000"/>
        </w:rPr>
        <w:t>“</w:t>
      </w:r>
      <w:r>
        <w:rPr>
          <w:rFonts w:ascii="Times New Roman" w:hAnsi="Times New Roman"/>
          <w:color w:val="000000"/>
          <w:sz w:val="24"/>
          <w:u w:val="single"/>
        </w:rPr>
        <w:t>Custodian</w:t>
      </w:r>
      <w:r>
        <w:rPr>
          <w:rFonts w:ascii="Times New Roman" w:hAnsi="Times New Roman"/>
          <w:color w:val="000000"/>
          <w:sz w:val="20"/>
        </w:rPr>
        <w:t xml:space="preserve">” </w:t>
      </w:r>
      <w:r>
        <w:rPr>
          <w:rFonts w:ascii="Times New Roman" w:hAnsi="Times New Roman"/>
          <w:color w:val="000000"/>
          <w:sz w:val="24"/>
        </w:rPr>
        <w:t>has the meaning assigned to such term in the Guarantee and Security Agreement.</w:t>
      </w:r>
    </w:p>
    <w:p>
      <w:pPr>
        <w:pStyle w:val="TextBody"/>
        <w:bidi w:val="0"/>
        <w:spacing w:before="0" w:after="240"/>
        <w:jc w:val="both"/>
        <w:rPr/>
      </w:pPr>
      <w:r>
        <w:rPr>
          <w:color w:val="000000"/>
        </w:rPr>
        <w:t>“</w:t>
      </w:r>
      <w:r>
        <w:rPr>
          <w:rFonts w:ascii="Times New Roman" w:hAnsi="Times New Roman"/>
          <w:color w:val="000000"/>
          <w:sz w:val="24"/>
          <w:u w:val="single"/>
        </w:rPr>
        <w:t>Daily Simple RFR</w:t>
      </w:r>
      <w:r>
        <w:rPr>
          <w:rFonts w:ascii="Times New Roman" w:hAnsi="Times New Roman"/>
          <w:color w:val="000000"/>
          <w:sz w:val="20"/>
        </w:rPr>
        <w:t xml:space="preserve">” </w:t>
      </w:r>
      <w:r>
        <w:rPr>
          <w:rFonts w:ascii="Times New Roman" w:hAnsi="Times New Roman"/>
          <w:color w:val="000000"/>
          <w:sz w:val="24"/>
        </w:rPr>
        <w:t>means, for any day (an “</w:t>
      </w:r>
      <w:r>
        <w:rPr>
          <w:rFonts w:ascii="Times New Roman" w:hAnsi="Times New Roman"/>
          <w:color w:val="000000"/>
          <w:sz w:val="24"/>
          <w:u w:val="single"/>
        </w:rPr>
        <w:t>RFR Interest Day</w:t>
      </w:r>
      <w:r>
        <w:rPr>
          <w:rFonts w:ascii="Times New Roman" w:hAnsi="Times New Roman"/>
          <w:color w:val="000000"/>
          <w:sz w:val="20"/>
        </w:rPr>
        <w:t>”</w:t>
      </w:r>
      <w:r>
        <w:rPr>
          <w:rFonts w:ascii="Times New Roman" w:hAnsi="Times New Roman"/>
          <w:color w:val="000000"/>
          <w:sz w:val="24"/>
        </w:rPr>
        <w:t>), an interest rate per annum equal to (a) for any RFR Loan denominated in Sterling, the greater of (i) SONIA for the day (the “</w:t>
      </w:r>
      <w:r>
        <w:rPr>
          <w:rFonts w:ascii="Times New Roman" w:hAnsi="Times New Roman"/>
          <w:color w:val="000000"/>
          <w:sz w:val="24"/>
          <w:u w:val="single"/>
        </w:rPr>
        <w:t>RFR Reference Day</w:t>
      </w:r>
      <w:r>
        <w:rPr>
          <w:rFonts w:ascii="Times New Roman" w:hAnsi="Times New Roman"/>
          <w:color w:val="000000"/>
          <w:sz w:val="20"/>
        </w:rPr>
        <w:t>”</w:t>
      </w:r>
      <w:r>
        <w:rPr>
          <w:rFonts w:ascii="Times New Roman" w:hAnsi="Times New Roman"/>
          <w:color w:val="000000"/>
          <w:sz w:val="24"/>
        </w:rPr>
        <w:t>) that is five (5) RFR Business Days prior to (A) if such RFR Interest Day is an RFR Business Day, such RFR Interest Day or (B) if such RFR Interest Day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(5)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RFR Rate as determined pursuant to this sentence shall be utilized for purposes of calculating the Daily Simple RFR for no more than three (3) consecutive RFR Interest Days. Any change in Daily Simple RFR due to a change in the applicable RFR Rate shall be effective from and including the effective date of such change in such RFR Rate without notice to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Daily Simple SOFR</w:t>
      </w:r>
      <w:r>
        <w:rPr>
          <w:rFonts w:ascii="Times New Roman" w:hAnsi="Times New Roman"/>
          <w:color w:val="000000"/>
          <w:sz w:val="20"/>
        </w:rPr>
        <w:t xml:space="preserve">” </w:t>
      </w:r>
      <w:r>
        <w:rPr>
          <w:rFonts w:ascii="Times New Roman" w:hAnsi="Times New Roman"/>
          <w:color w:val="000000"/>
          <w:sz w:val="24"/>
        </w:rPr>
        <w:t>means, for any day (a “</w:t>
      </w:r>
      <w:r>
        <w:rPr>
          <w:rFonts w:ascii="Times New Roman" w:hAnsi="Times New Roman"/>
          <w:color w:val="000000"/>
          <w:sz w:val="24"/>
          <w:u w:val="single"/>
        </w:rPr>
        <w:t>Daily Simple SOFR Interest Day</w:t>
      </w:r>
      <w:r>
        <w:rPr>
          <w:rFonts w:ascii="Times New Roman" w:hAnsi="Times New Roman"/>
          <w:color w:val="000000"/>
          <w:sz w:val="20"/>
        </w:rPr>
        <w:t>”</w:t>
      </w:r>
      <w:r>
        <w:rPr>
          <w:rFonts w:ascii="Times New Roman" w:hAnsi="Times New Roman"/>
          <w:color w:val="000000"/>
          <w:sz w:val="24"/>
        </w:rPr>
        <w:t>) the greater of (i) SOFR for the day that is five (5) 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pStyle w:val="TextBody"/>
        <w:bidi w:val="0"/>
        <w:spacing w:before="0" w:after="240"/>
        <w:jc w:val="both"/>
        <w:rPr/>
      </w:pPr>
      <w:r>
        <w:rPr>
          <w:color w:val="000000"/>
        </w:rPr>
        <w:t>“</w:t>
      </w:r>
      <w:r>
        <w:rPr>
          <w:rFonts w:ascii="Times New Roman" w:hAnsi="Times New Roman"/>
          <w:color w:val="000000"/>
          <w:sz w:val="24"/>
          <w:u w:val="single"/>
        </w:rPr>
        <w:t>Default</w:t>
      </w:r>
      <w:r>
        <w:rPr>
          <w:rFonts w:ascii="Times New Roman" w:hAnsi="Times New Roman"/>
          <w:color w:val="000000"/>
          <w:sz w:val="20"/>
        </w:rPr>
        <w:t xml:space="preserve">” </w:t>
      </w:r>
      <w:r>
        <w:rPr>
          <w:rFonts w:ascii="Times New Roman" w:hAnsi="Times New Roman"/>
          <w:color w:val="000000"/>
          <w:sz w:val="24"/>
        </w:rPr>
        <w:t>means any event or condition which constitutes an Event of Default or which upon notice, lapse of time or both would, unless cured or waived, become an Event of Default.</w:t>
      </w:r>
    </w:p>
    <w:p>
      <w:pPr>
        <w:pStyle w:val="TextBody"/>
        <w:bidi w:val="0"/>
        <w:spacing w:before="0" w:after="240"/>
        <w:jc w:val="both"/>
        <w:rPr/>
      </w:pPr>
      <w:r>
        <w:rPr>
          <w:color w:val="000000"/>
        </w:rPr>
        <w:t>“</w:t>
      </w:r>
      <w:r>
        <w:rPr>
          <w:rFonts w:ascii="Times New Roman" w:hAnsi="Times New Roman"/>
          <w:color w:val="000000"/>
          <w:sz w:val="24"/>
          <w:u w:val="single"/>
        </w:rPr>
        <w:t>Defaulting Lender</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 2.19(b)</w:t>
      </w:r>
      <w:r>
        <w:rPr>
          <w:rFonts w:ascii="Times New Roman" w:hAnsi="Times New Roman"/>
          <w:color w:val="000000"/>
          <w:sz w:val="24"/>
        </w:rPr>
        <w:t>, any Lender that, as determined by the Administrative Agent, (a) has failed to (i) fund all or any portion of its Loans or participations in Letters of Credit or Swingline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has not otherwise been 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(2)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above shall be conclusive and binding absent manifest error, and such Lender shall be deemed to be a Defaulting Lender (subject to </w:t>
      </w:r>
      <w:r>
        <w:rPr>
          <w:rFonts w:ascii="Times New Roman" w:hAnsi="Times New Roman"/>
          <w:color w:val="000000"/>
          <w:sz w:val="24"/>
          <w:u w:val="single"/>
        </w:rPr>
        <w:t>Section 2.19(b)</w:t>
      </w:r>
      <w:r>
        <w:rPr>
          <w:rFonts w:ascii="Times New Roman" w:hAnsi="Times New Roman"/>
          <w:color w:val="000000"/>
          <w:sz w:val="24"/>
        </w:rPr>
        <w:t>) upon such determination (and the Administrative Agent shall deliver written notice of such determination to the Borrower, each Issuing Bank and each Lender and each Swingline Lender).</w:t>
      </w:r>
    </w:p>
    <w:p>
      <w:pPr>
        <w:pStyle w:val="TextBody"/>
        <w:bidi w:val="0"/>
        <w:spacing w:before="0" w:after="240"/>
        <w:jc w:val="both"/>
        <w:rPr/>
      </w:pPr>
      <w:r>
        <w:rPr>
          <w:color w:val="000000"/>
        </w:rPr>
        <w:t>“</w:t>
      </w:r>
      <w:r>
        <w:rPr>
          <w:rFonts w:ascii="Times New Roman" w:hAnsi="Times New Roman"/>
          <w:color w:val="000000"/>
          <w:sz w:val="24"/>
          <w:u w:val="single"/>
        </w:rPr>
        <w:t>Disposition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Dispose</w:t>
      </w:r>
      <w:r>
        <w:rPr>
          <w:rFonts w:ascii="Times New Roman" w:hAnsi="Times New Roman"/>
          <w:color w:val="000000"/>
          <w:sz w:val="20"/>
        </w:rPr>
        <w:t xml:space="preserve">” </w:t>
      </w:r>
      <w:r>
        <w:rPr>
          <w:rFonts w:ascii="Times New Roman" w:hAnsi="Times New Roman"/>
          <w:color w:val="000000"/>
          <w:sz w:val="24"/>
        </w:rPr>
        <w:t xml:space="preserve">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term “Disposition” or “Dispose” shall not include the disposition of Investments originated by the Borrower and immediately transferred to a Financing Subsidiary pursuant to a transaction not prohibited hereunder.</w:t>
      </w:r>
    </w:p>
    <w:p>
      <w:pPr>
        <w:pStyle w:val="TextBody"/>
        <w:bidi w:val="0"/>
        <w:spacing w:before="0" w:after="240"/>
        <w:jc w:val="both"/>
        <w:rPr/>
      </w:pPr>
      <w:r>
        <w:rPr>
          <w:color w:val="000000"/>
        </w:rPr>
        <w:t>“</w:t>
      </w:r>
      <w:r>
        <w:rPr>
          <w:rFonts w:ascii="Times New Roman" w:hAnsi="Times New Roman"/>
          <w:color w:val="000000"/>
          <w:sz w:val="24"/>
          <w:u w:val="single"/>
        </w:rPr>
        <w:t>Disqualified Equity Interest</w:t>
      </w:r>
      <w:r>
        <w:rPr>
          <w:rFonts w:ascii="Times New Roman" w:hAnsi="Times New Roman"/>
          <w:color w:val="000000"/>
          <w:sz w:val="20"/>
        </w:rPr>
        <w:t xml:space="preserve">” </w:t>
      </w:r>
      <w:r>
        <w:rPr>
          <w:rFonts w:ascii="Times New Roman" w:hAnsi="Times New Roman"/>
          <w:color w:val="000000"/>
          <w:sz w:val="24"/>
        </w:rPr>
        <w:t>means any Equity Interest of the Borrower that is not a Permitted Equity Interest.</w:t>
      </w:r>
    </w:p>
    <w:p>
      <w:pPr>
        <w:pStyle w:val="TextBody"/>
        <w:bidi w:val="0"/>
        <w:spacing w:before="0" w:after="240"/>
        <w:jc w:val="both"/>
        <w:rPr/>
      </w:pPr>
      <w:r>
        <w:rPr>
          <w:color w:val="000000"/>
        </w:rPr>
        <w:t>“</w:t>
      </w:r>
      <w:r>
        <w:rPr>
          <w:rFonts w:ascii="Times New Roman" w:hAnsi="Times New Roman"/>
          <w:color w:val="000000"/>
          <w:sz w:val="24"/>
          <w:u w:val="single"/>
        </w:rPr>
        <w:t>Dollar Commitment</w:t>
      </w:r>
      <w:r>
        <w:rPr>
          <w:rFonts w:ascii="Times New Roman" w:hAnsi="Times New Roman"/>
          <w:color w:val="000000"/>
          <w:sz w:val="20"/>
        </w:rPr>
        <w:t xml:space="preserve">” </w:t>
      </w:r>
      <w:r>
        <w:rPr>
          <w:rFonts w:ascii="Times New Roman" w:hAnsi="Times New Roman"/>
          <w:color w:val="000000"/>
          <w:sz w:val="24"/>
        </w:rPr>
        <w:t xml:space="preserve">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and (b) reduced or increased from time to time pursuant to assignments by or to such Lender pursuant to </w:t>
      </w:r>
      <w:r>
        <w:rPr>
          <w:rFonts w:ascii="Times New Roman" w:hAnsi="Times New Roman"/>
          <w:color w:val="000000"/>
          <w:sz w:val="24"/>
          <w:u w:val="single"/>
        </w:rPr>
        <w:t>Section 9.04</w:t>
      </w:r>
      <w:r>
        <w:rPr>
          <w:rFonts w:ascii="Times New Roman" w:hAnsi="Times New Roman"/>
          <w:color w:val="000000"/>
          <w:sz w:val="24"/>
        </w:rPr>
        <w:t xml:space="preserve">. The initial amount of each Lender’s Dollar Commitment as of the Sixteenth Amendment Effective Date is set forth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or in a Commitment Increase Supplement or Assignment and Assumption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which such Lender shall have assumed its Dollar Commitment, as applicable. The aggregate amount of the Lenders’ Dollar Commitments as of the Sixteenth Amendment Effective Date is $480,000,000.</w:t>
      </w:r>
    </w:p>
    <w:p>
      <w:pPr>
        <w:pStyle w:val="TextBody"/>
        <w:bidi w:val="0"/>
        <w:spacing w:before="0" w:after="240"/>
        <w:jc w:val="both"/>
        <w:rPr/>
      </w:pPr>
      <w:r>
        <w:rPr>
          <w:color w:val="000000"/>
        </w:rPr>
        <w:t>“</w:t>
      </w:r>
      <w:r>
        <w:rPr>
          <w:rFonts w:ascii="Times New Roman" w:hAnsi="Times New Roman"/>
          <w:color w:val="000000"/>
          <w:sz w:val="24"/>
          <w:u w:val="single"/>
        </w:rPr>
        <w:t>Dollar Equivalent</w:t>
      </w:r>
      <w:r>
        <w:rPr>
          <w:rFonts w:ascii="Times New Roman" w:hAnsi="Times New Roman"/>
          <w:color w:val="000000"/>
          <w:sz w:val="20"/>
        </w:rPr>
        <w:t xml:space="preserve">” </w:t>
      </w:r>
      <w:r>
        <w:rPr>
          <w:rFonts w:ascii="Times New Roman" w:hAnsi="Times New Roman"/>
          <w:color w:val="000000"/>
          <w:sz w:val="24"/>
        </w:rPr>
        <w:t>means, on any date of determination, with respect to an amount denominated in any Foreign Currency, the amount of Dollars that would be required to purchase such amount of such Foreign Currency on the date two (2) Business Days prior to such date, based upon the spot selling rate at which the Administrative Agent offers to sell such Foreign Currency for Dollars in the Principal Financial Center for such Foreign Currency at approximately 11:00 a.m., local time in such Principal Financial Center, for delivery two (2) Business Days later.</w:t>
      </w:r>
    </w:p>
    <w:p>
      <w:pPr>
        <w:pStyle w:val="TextBody"/>
        <w:bidi w:val="0"/>
        <w:spacing w:before="0" w:after="240"/>
        <w:jc w:val="both"/>
        <w:rPr/>
      </w:pPr>
      <w:r>
        <w:rPr>
          <w:color w:val="000000"/>
        </w:rPr>
        <w:t>“</w:t>
      </w:r>
      <w:r>
        <w:rPr>
          <w:rFonts w:ascii="Times New Roman" w:hAnsi="Times New Roman"/>
          <w:color w:val="000000"/>
          <w:sz w:val="24"/>
          <w:u w:val="single"/>
        </w:rPr>
        <w:t>Dollar LC Exposure</w:t>
      </w:r>
      <w:r>
        <w:rPr>
          <w:rFonts w:ascii="Times New Roman" w:hAnsi="Times New Roman"/>
          <w:color w:val="000000"/>
          <w:sz w:val="20"/>
        </w:rPr>
        <w:t xml:space="preserve">” </w:t>
      </w:r>
      <w:r>
        <w:rPr>
          <w:rFonts w:ascii="Times New Roman" w:hAnsi="Times New Roman"/>
          <w:color w:val="000000"/>
          <w:sz w:val="24"/>
        </w:rPr>
        <w:t xml:space="preserve">means, at any time, the sum of (a) the aggregate undrawn amount of all outstanding Dollar Letters of Credit at such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pStyle w:val="TextBody"/>
        <w:bidi w:val="0"/>
        <w:spacing w:before="0" w:after="240"/>
        <w:jc w:val="both"/>
        <w:rPr/>
      </w:pPr>
      <w:r>
        <w:rPr>
          <w:color w:val="000000"/>
        </w:rPr>
        <w:t>“</w:t>
      </w:r>
      <w:r>
        <w:rPr>
          <w:rFonts w:ascii="Times New Roman" w:hAnsi="Times New Roman"/>
          <w:color w:val="000000"/>
          <w:sz w:val="24"/>
          <w:u w:val="single"/>
        </w:rPr>
        <w:t>Dollar Lender</w:t>
      </w:r>
      <w:r>
        <w:rPr>
          <w:rFonts w:ascii="Times New Roman" w:hAnsi="Times New Roman"/>
          <w:color w:val="000000"/>
          <w:sz w:val="20"/>
        </w:rPr>
        <w:t xml:space="preserve">” </w:t>
      </w:r>
      <w:r>
        <w:rPr>
          <w:rFonts w:ascii="Times New Roman" w:hAnsi="Times New Roman"/>
          <w:color w:val="000000"/>
          <w:sz w:val="24"/>
        </w:rPr>
        <w:t xml:space="preserve">means the Persons listed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as having Dollar Commitments and any other Person that shall have become a party hereto pursuant to a Commitment Increase Supplement or Assignment and Assumption that provides for it to assume a Dollar Commitment or to acquire Revolving Dollar Credit Exposure, other than any such Person that ceases to be a party hereto pursuant to an Assignment and Assumption.</w:t>
      </w:r>
    </w:p>
    <w:p>
      <w:pPr>
        <w:pStyle w:val="TextBody"/>
        <w:bidi w:val="0"/>
        <w:spacing w:before="0" w:after="240"/>
        <w:jc w:val="both"/>
        <w:rPr/>
      </w:pPr>
      <w:r>
        <w:rPr>
          <w:color w:val="000000"/>
        </w:rPr>
        <w:t>“</w:t>
      </w:r>
      <w:r>
        <w:rPr>
          <w:rFonts w:ascii="Times New Roman" w:hAnsi="Times New Roman"/>
          <w:color w:val="000000"/>
          <w:sz w:val="24"/>
          <w:u w:val="single"/>
        </w:rPr>
        <w:t>Dollar Letters of Credit</w:t>
      </w:r>
      <w:r>
        <w:rPr>
          <w:rFonts w:ascii="Times New Roman" w:hAnsi="Times New Roman"/>
          <w:color w:val="000000"/>
          <w:sz w:val="20"/>
        </w:rPr>
        <w:t xml:space="preserve">” </w:t>
      </w:r>
      <w:r>
        <w:rPr>
          <w:rFonts w:ascii="Times New Roman" w:hAnsi="Times New Roman"/>
          <w:color w:val="000000"/>
          <w:sz w:val="24"/>
        </w:rPr>
        <w:t>means Letters of Credit that utilize the Dollar Commitments.</w:t>
      </w:r>
    </w:p>
    <w:p>
      <w:pPr>
        <w:pStyle w:val="TextBody"/>
        <w:bidi w:val="0"/>
        <w:spacing w:before="0" w:after="240"/>
        <w:jc w:val="both"/>
        <w:rPr/>
      </w:pPr>
      <w:r>
        <w:rPr>
          <w:color w:val="000000"/>
        </w:rPr>
        <w:t>“</w:t>
      </w:r>
      <w:r>
        <w:rPr>
          <w:rFonts w:ascii="Times New Roman" w:hAnsi="Times New Roman"/>
          <w:color w:val="000000"/>
          <w:sz w:val="24"/>
          <w:u w:val="single"/>
        </w:rPr>
        <w:t>Dollar Loan</w:t>
      </w:r>
      <w:r>
        <w:rPr>
          <w:rFonts w:ascii="Times New Roman" w:hAnsi="Times New Roman"/>
          <w:color w:val="000000"/>
          <w:sz w:val="20"/>
        </w:rPr>
        <w:t xml:space="preserve">” </w:t>
      </w:r>
      <w:r>
        <w:rPr>
          <w:rFonts w:ascii="Times New Roman" w:hAnsi="Times New Roman"/>
          <w:color w:val="000000"/>
          <w:sz w:val="24"/>
        </w:rPr>
        <w:t>means a Loan denominated in Dollars.</w:t>
      </w:r>
    </w:p>
    <w:p>
      <w:pPr>
        <w:pStyle w:val="TextBody"/>
        <w:bidi w:val="0"/>
        <w:spacing w:before="0" w:after="240"/>
        <w:jc w:val="both"/>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refers to lawful money of the United States of America.</w:t>
      </w:r>
    </w:p>
    <w:p>
      <w:pPr>
        <w:pStyle w:val="TextBody"/>
        <w:bidi w:val="0"/>
        <w:spacing w:before="0" w:after="240"/>
        <w:jc w:val="both"/>
        <w:rPr/>
      </w:pPr>
      <w:r>
        <w:rPr>
          <w:color w:val="000000"/>
        </w:rPr>
        <w:t>“</w:t>
      </w:r>
      <w:r>
        <w:rPr>
          <w:rFonts w:ascii="Times New Roman" w:hAnsi="Times New Roman"/>
          <w:color w:val="000000"/>
          <w:sz w:val="24"/>
          <w:u w:val="single"/>
        </w:rPr>
        <w:t>EEA Financial Institution</w:t>
      </w:r>
      <w:r>
        <w:rPr>
          <w:rFonts w:ascii="Times New Roman" w:hAnsi="Times New Roman"/>
          <w:color w:val="000000"/>
          <w:sz w:val="20"/>
        </w:rPr>
        <w:t xml:space="preserve">” </w:t>
      </w:r>
      <w:r>
        <w:rPr>
          <w:rFonts w:ascii="Times New Roman" w:hAnsi="Times New Roman"/>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4"/>
          <w:u w:val="single"/>
        </w:rPr>
        <w:t>EEA Member 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4"/>
          <w:u w:val="single"/>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 xml:space="preserve">means the date on which the conditions specified in </w:t>
      </w:r>
      <w:r>
        <w:rPr>
          <w:rFonts w:ascii="Times New Roman" w:hAnsi="Times New Roman"/>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 xml:space="preserve">are satisfied (or waived in accordance with </w:t>
      </w:r>
      <w:r>
        <w:rPr>
          <w:rFonts w:ascii="Times New Roman" w:hAnsi="Times New Roman"/>
          <w:color w:val="000000"/>
          <w:sz w:val="24"/>
          <w:u w:val="single"/>
        </w:rPr>
        <w:t>Section 9.02</w:t>
      </w:r>
      <w:r>
        <w:rPr>
          <w:rFonts w:ascii="Times New Roman" w:hAnsi="Times New Roman"/>
          <w:color w:val="000000"/>
          <w:sz w:val="24"/>
        </w:rPr>
        <w:t>), which date is February 27, 2014.</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Equity Interests</w:t>
      </w:r>
      <w:r>
        <w:rPr>
          <w:rFonts w:ascii="Times New Roman" w:hAnsi="Times New Roman"/>
          <w:color w:val="000000"/>
          <w:sz w:val="20"/>
        </w:rPr>
        <w:t xml:space="preserve">” </w:t>
      </w:r>
      <w:r>
        <w:rPr>
          <w:rFonts w:ascii="Times New Roman" w:hAnsi="Times New Roman"/>
          <w:color w:val="000000"/>
          <w:sz w:val="24"/>
        </w:rPr>
        <w:t>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from time to time.</w:t>
      </w:r>
    </w:p>
    <w:p>
      <w:pPr>
        <w:pStyle w:val="TextBody"/>
        <w:bidi w:val="0"/>
        <w:spacing w:before="0" w:after="2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bidi w:val="0"/>
        <w:spacing w:before="0" w:after="240"/>
        <w:jc w:val="both"/>
        <w:rPr/>
      </w:pPr>
      <w:r>
        <w:rPr>
          <w:color w:val="000000"/>
        </w:rPr>
        <w:t>“</w:t>
      </w:r>
      <w:r>
        <w:rPr>
          <w:rFonts w:ascii="Times New Roman" w:hAnsi="Times New Roman"/>
          <w:color w:val="000000"/>
          <w:sz w:val="24"/>
          <w:u w:val="single"/>
        </w:rPr>
        <w:t>ERISA Event</w:t>
      </w:r>
      <w:r>
        <w:rPr>
          <w:rFonts w:ascii="Times New Roman" w:hAnsi="Times New Roman"/>
          <w:color w:val="000000"/>
          <w:sz w:val="20"/>
        </w:rPr>
        <w:t xml:space="preserve">” </w:t>
      </w:r>
      <w:r>
        <w:rPr>
          <w:rFonts w:ascii="Times New Roman" w:hAnsi="Times New Roman"/>
          <w:color w:val="000000"/>
          <w:sz w:val="24"/>
        </w:rPr>
        <w:t>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pStyle w:val="TextBody"/>
        <w:bidi w:val="0"/>
        <w:spacing w:before="0" w:after="220"/>
        <w:jc w:val="left"/>
        <w:rPr/>
      </w:pPr>
      <w:r>
        <w:rPr>
          <w:color w:val="000000"/>
        </w:rPr>
        <w:t>“</w:t>
      </w:r>
      <w:r>
        <w:rPr>
          <w:rFonts w:ascii="Times New Roman" w:hAnsi="Times New Roman"/>
          <w:color w:val="000000"/>
          <w:sz w:val="24"/>
          <w:u w:val="single"/>
        </w:rPr>
        <w:t>Erroneous Payment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8.09(a)</w:t>
      </w:r>
      <w:r>
        <w:rPr>
          <w:rFonts w:ascii="Times New Roman" w:hAnsi="Times New Roman"/>
          <w:color w:val="000000"/>
          <w:sz w:val="24"/>
        </w:rPr>
        <w:t>.</w:t>
      </w:r>
    </w:p>
    <w:p>
      <w:pPr>
        <w:pStyle w:val="TextBody"/>
        <w:bidi w:val="0"/>
        <w:spacing w:before="0" w:after="220"/>
        <w:jc w:val="left"/>
        <w:rPr/>
      </w:pPr>
      <w:r>
        <w:rPr>
          <w:color w:val="000000"/>
        </w:rPr>
        <w:t>“</w:t>
      </w:r>
      <w:r>
        <w:rPr>
          <w:rFonts w:ascii="Times New Roman" w:hAnsi="Times New Roman"/>
          <w:color w:val="000000"/>
          <w:sz w:val="24"/>
          <w:u w:val="single"/>
        </w:rPr>
        <w:t>Erroneous Payment Deficiency Assignment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spacing w:before="0" w:after="220"/>
        <w:jc w:val="left"/>
        <w:rPr/>
      </w:pPr>
      <w:r>
        <w:rPr>
          <w:color w:val="000000"/>
        </w:rPr>
        <w:t>“</w:t>
      </w:r>
      <w:r>
        <w:rPr>
          <w:rFonts w:ascii="Times New Roman" w:hAnsi="Times New Roman"/>
          <w:color w:val="000000"/>
          <w:sz w:val="24"/>
          <w:u w:val="single"/>
        </w:rPr>
        <w:t>Erroneous Payment Impacted Class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spacing w:before="0" w:after="220"/>
        <w:jc w:val="left"/>
        <w:rPr/>
      </w:pPr>
      <w:r>
        <w:rPr>
          <w:color w:val="000000"/>
        </w:rPr>
        <w:t>“</w:t>
      </w:r>
      <w:r>
        <w:rPr>
          <w:rFonts w:ascii="Times New Roman" w:hAnsi="Times New Roman"/>
          <w:color w:val="000000"/>
          <w:sz w:val="24"/>
          <w:u w:val="single"/>
        </w:rPr>
        <w:t>Erroneous Payment Return Deficiency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Erroneous Payment Subrogation Rights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EU Bail-In Legislation Schedule</w:t>
      </w:r>
      <w:r>
        <w:rPr>
          <w:rFonts w:ascii="Times New Roman" w:hAnsi="Times New Roman"/>
          <w:color w:val="000000"/>
          <w:sz w:val="20"/>
        </w:rPr>
        <w:t xml:space="preserve">” </w:t>
      </w:r>
      <w:r>
        <w:rPr>
          <w:rFonts w:ascii="Times New Roman" w:hAnsi="Times New Roman"/>
          <w:color w:val="000000"/>
          <w:sz w:val="24"/>
        </w:rPr>
        <w:t>means the EU Bail-In Legislation Schedule published by the Loan Market Association (or any successor person), as in effect from time to time.</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EURIBOR Screen Rate</w:t>
      </w:r>
      <w:r>
        <w:rPr>
          <w:rFonts w:ascii="Times New Roman" w:hAnsi="Times New Roman"/>
          <w:color w:val="000000"/>
          <w:sz w:val="20"/>
        </w:rPr>
        <w:t xml:space="preserve">” </w:t>
      </w:r>
      <w:r>
        <w:rPr>
          <w:rFonts w:ascii="Times New Roman" w:hAnsi="Times New Roman"/>
          <w:color w:val="000000"/>
          <w:sz w:val="24"/>
        </w:rPr>
        <w:t>has the meaning set forth in the definition of “Term Benchmark Rate”.</w:t>
      </w:r>
    </w:p>
    <w:p>
      <w:pPr>
        <w:pStyle w:val="TextBody"/>
        <w:bidi w:val="0"/>
        <w:spacing w:before="0" w:after="240"/>
        <w:jc w:val="both"/>
        <w:rPr/>
      </w:pPr>
      <w:r>
        <w:rPr>
          <w:color w:val="000000"/>
        </w:rPr>
        <w:t>“</w:t>
      </w:r>
      <w:r>
        <w:rPr>
          <w:rFonts w:ascii="Times New Roman" w:hAnsi="Times New Roman"/>
          <w:color w:val="000000"/>
          <w:sz w:val="24"/>
          <w:u w:val="single"/>
        </w:rPr>
        <w:t>Euro</w:t>
      </w:r>
      <w:r>
        <w:rPr>
          <w:rFonts w:ascii="Times New Roman" w:hAnsi="Times New Roman"/>
          <w:color w:val="000000"/>
          <w:sz w:val="20"/>
        </w:rPr>
        <w:t xml:space="preserve">” </w:t>
      </w:r>
      <w:r>
        <w:rPr>
          <w:rFonts w:ascii="Times New Roman" w:hAnsi="Times New Roman"/>
          <w:color w:val="000000"/>
          <w:sz w:val="24"/>
        </w:rPr>
        <w:t>means a single currency of the Participating Member States.</w:t>
      </w:r>
    </w:p>
    <w:p>
      <w:pPr>
        <w:pStyle w:val="TextBody"/>
        <w:bidi w:val="0"/>
        <w:spacing w:before="0" w:after="240"/>
        <w:jc w:val="both"/>
        <w:rPr/>
      </w:pPr>
      <w:r>
        <w:rPr>
          <w:color w:val="000000"/>
        </w:rPr>
        <w:t>“</w:t>
      </w:r>
      <w:r>
        <w:rPr>
          <w:rFonts w:ascii="Times New Roman" w:hAnsi="Times New Roman"/>
          <w:color w:val="000000"/>
          <w:sz w:val="24"/>
          <w:u w:val="single"/>
        </w:rPr>
        <w:t>Event of Default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 xml:space="preserve">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Times New Roman" w:hAnsi="Times New Roman"/>
          <w:color w:val="000000"/>
          <w:sz w:val="24"/>
          <w:u w:val="single"/>
        </w:rPr>
        <w:t>Section 2.18(b)</w:t>
      </w:r>
      <w:r>
        <w:rPr>
          <w:rFonts w:ascii="Times New Roman" w:hAnsi="Times New Roman"/>
          <w:color w:val="000000"/>
          <w:sz w:val="24"/>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hAnsi="Times New Roman"/>
          <w:color w:val="000000"/>
          <w:sz w:val="24"/>
          <w:u w:val="single"/>
        </w:rPr>
        <w:t>Section 2.16</w:t>
      </w:r>
      <w:r>
        <w:rPr>
          <w:rFonts w:ascii="Times New Roman" w:hAnsi="Times New Roman"/>
          <w:color w:val="000000"/>
          <w:sz w:val="24"/>
        </w:rPr>
        <w:t xml:space="preserve">, at the time of such assignment or designation, or (ii) that is attributable to such Lender’s failure or inability to comply with </w:t>
      </w:r>
      <w:r>
        <w:rPr>
          <w:rFonts w:ascii="Times New Roman" w:hAnsi="Times New Roman"/>
          <w:color w:val="000000"/>
          <w:sz w:val="24"/>
          <w:u w:val="single"/>
        </w:rPr>
        <w:t>Section 2.16(f)</w:t>
      </w:r>
      <w:r>
        <w:rPr>
          <w:rFonts w:ascii="Times New Roman" w:hAnsi="Times New Roman"/>
          <w:color w:val="000000"/>
          <w:sz w:val="24"/>
        </w:rPr>
        <w:t>, (c) any U.S. federal, state or local backup withholding Taxes imposed on payments made under any Loan Document, and (d) any Taxes that are imposed under FATCA.</w:t>
      </w:r>
    </w:p>
    <w:p>
      <w:pPr>
        <w:pStyle w:val="TextBody"/>
        <w:bidi w:val="0"/>
        <w:spacing w:before="0" w:after="240"/>
        <w:jc w:val="both"/>
        <w:rPr/>
      </w:pPr>
      <w:r>
        <w:rPr>
          <w:color w:val="000000"/>
        </w:rPr>
        <w:t>“</w:t>
      </w:r>
      <w:r>
        <w:rPr>
          <w:rFonts w:ascii="Times New Roman" w:hAnsi="Times New Roman"/>
          <w:color w:val="000000"/>
          <w:sz w:val="24"/>
          <w:u w:val="single"/>
        </w:rPr>
        <w:t>Existing Credit Agreement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recitals</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spacing w:before="0" w:after="240"/>
        <w:jc w:val="both"/>
        <w:rPr/>
      </w:pPr>
      <w:r>
        <w:rPr>
          <w:color w:val="000000"/>
        </w:rPr>
        <w:t>“</w:t>
      </w:r>
      <w:r>
        <w:rPr>
          <w:rFonts w:ascii="Times New Roman" w:hAnsi="Times New Roman"/>
          <w:color w:val="000000"/>
          <w:sz w:val="24"/>
          <w:u w:val="single"/>
        </w:rPr>
        <w:t>Existing Lenders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recitals</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spacing w:before="0" w:after="240"/>
        <w:jc w:val="both"/>
        <w:rPr/>
      </w:pPr>
      <w:r>
        <w:rPr>
          <w:color w:val="000000"/>
        </w:rPr>
        <w:t>“</w:t>
      </w:r>
      <w:r>
        <w:rPr>
          <w:rFonts w:ascii="Times New Roman" w:hAnsi="Times New Roman"/>
          <w:color w:val="000000"/>
          <w:sz w:val="24"/>
          <w:u w:val="single"/>
        </w:rPr>
        <w:t>Existing Loans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recitals</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spacing w:before="0" w:after="240"/>
        <w:jc w:val="both"/>
        <w:rPr/>
      </w:pPr>
      <w:r>
        <w:rPr>
          <w:color w:val="000000"/>
        </w:rPr>
        <w:t>“</w:t>
      </w:r>
      <w:r>
        <w:rPr>
          <w:rFonts w:ascii="Times New Roman" w:hAnsi="Times New Roman"/>
          <w:color w:val="000000"/>
          <w:sz w:val="24"/>
          <w:u w:val="single"/>
        </w:rPr>
        <w:t>Extended Applicable Margin</w:t>
      </w:r>
      <w:r>
        <w:rPr>
          <w:rFonts w:ascii="Times New Roman" w:hAnsi="Times New Roman"/>
          <w:color w:val="000000"/>
          <w:sz w:val="20"/>
        </w:rPr>
        <w:t xml:space="preserve">” </w:t>
      </w:r>
      <w:r>
        <w:rPr>
          <w:rFonts w:ascii="Times New Roman" w:hAnsi="Times New Roman"/>
          <w:color w:val="000000"/>
          <w:sz w:val="24"/>
        </w:rPr>
        <w:t>means, with respect to any Extending Lender: (a) if the Borrowing Base (as of the most recently delivered Borrowing Base Certificate) is equal to or greater than 2.00 times the Combined Debt Amount, (i) with respect to any ABR Loan, 0.525% per annum; (ii) with respect to any Term Benchmark Loan, 1.525% per annum; and (iii) with respect to any RFR Loan 1.525% per annum; (b) if the Borrowing Base (as of the most recently delivered Borrowing Base Certificate) is less than 2.00 times the Combined Debt Amount and equal to or greater than 1.60 times the Combined Debt Amount, (i) with respect to any ABR Loan, 0.65% per annum; (ii) with respect to any Term Benchmark Loan, 1.65% per annum; and (iii) with respect to any RFR Loan 1.65% per annum; and (c) if the Borrowing Base (as of the most recently delivered Borrowing Base Certificate) is less than 1.60 times the Combined Debt Amount (i)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respect to any ABR Loan, 0.775% per annum; (ii) with respect to any Term Benchmark Loan, 1.775% per annum; and (iii) with respect to any RFR Loan 1.775%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any Borrowing Base Certificate has not been delivered in accordance with </w:t>
      </w:r>
      <w:r>
        <w:rPr>
          <w:rFonts w:ascii="Times New Roman" w:hAnsi="Times New Roman"/>
          <w:color w:val="000000"/>
          <w:sz w:val="24"/>
          <w:u w:val="single"/>
        </w:rPr>
        <w:t>Section 5.01(d)</w:t>
      </w:r>
      <w:r>
        <w:rPr>
          <w:rFonts w:ascii="Times New Roman" w:hAnsi="Times New Roman"/>
          <w:color w:val="000000"/>
          <w:sz w:val="24"/>
        </w:rPr>
        <w:t xml:space="preserve">, then from and including the day immediately succeeding the date on which such Borrowing Base Certificate was required to be delivered, the Extended Applicable Margin shall be the Extended Applicable Margin set forth in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above to and including the date on which the required Borrowing Base Certificate is delivered.</w:t>
      </w:r>
    </w:p>
    <w:p>
      <w:pPr>
        <w:pStyle w:val="TextBody"/>
        <w:bidi w:val="0"/>
        <w:spacing w:before="0" w:after="240"/>
        <w:jc w:val="both"/>
        <w:rPr/>
      </w:pPr>
      <w:r>
        <w:rPr>
          <w:color w:val="000000"/>
        </w:rPr>
        <w:t>“</w:t>
      </w:r>
      <w:r>
        <w:rPr>
          <w:rFonts w:ascii="Times New Roman" w:hAnsi="Times New Roman"/>
          <w:color w:val="000000"/>
          <w:sz w:val="24"/>
          <w:u w:val="single"/>
        </w:rPr>
        <w:t>Extended Availability Period</w:t>
      </w:r>
      <w:r>
        <w:rPr>
          <w:rFonts w:ascii="Times New Roman" w:hAnsi="Times New Roman"/>
          <w:color w:val="000000"/>
          <w:sz w:val="20"/>
        </w:rPr>
        <w:t xml:space="preserve">” </w:t>
      </w:r>
      <w:r>
        <w:rPr>
          <w:rFonts w:ascii="Times New Roman" w:hAnsi="Times New Roman"/>
          <w:color w:val="000000"/>
          <w:sz w:val="24"/>
        </w:rPr>
        <w:t>means, with respect to any Extending Lender, the period from and including the Effective Date to but excluding the earlier of the Extended Commitment Termination Date and the date of termination of the Commitments.</w:t>
      </w:r>
    </w:p>
    <w:p>
      <w:pPr>
        <w:pStyle w:val="TextBody"/>
        <w:bidi w:val="0"/>
        <w:spacing w:before="0" w:after="240"/>
        <w:jc w:val="both"/>
        <w:rPr/>
      </w:pPr>
      <w:r>
        <w:rPr>
          <w:color w:val="000000"/>
        </w:rPr>
        <w:t>“</w:t>
      </w:r>
      <w:r>
        <w:rPr>
          <w:rFonts w:ascii="Times New Roman" w:hAnsi="Times New Roman"/>
          <w:color w:val="000000"/>
          <w:sz w:val="24"/>
          <w:u w:val="single"/>
        </w:rPr>
        <w:t>Extended Commitment Termination Date</w:t>
      </w:r>
      <w:r>
        <w:rPr>
          <w:rFonts w:ascii="Times New Roman" w:hAnsi="Times New Roman"/>
          <w:color w:val="000000"/>
          <w:sz w:val="20"/>
        </w:rPr>
        <w:t xml:space="preserve">” </w:t>
      </w:r>
      <w:r>
        <w:rPr>
          <w:rFonts w:ascii="Times New Roman" w:hAnsi="Times New Roman"/>
          <w:color w:val="000000"/>
          <w:sz w:val="24"/>
        </w:rPr>
        <w:t>means, with respect to each Extending Lender, March 2, 2029.</w:t>
      </w:r>
    </w:p>
    <w:p>
      <w:pPr>
        <w:pStyle w:val="TextBody"/>
        <w:bidi w:val="0"/>
        <w:spacing w:before="0" w:after="240"/>
        <w:jc w:val="both"/>
        <w:rPr/>
      </w:pPr>
      <w:r>
        <w:rPr>
          <w:color w:val="000000"/>
        </w:rPr>
        <w:t>“</w:t>
      </w:r>
      <w:r>
        <w:rPr>
          <w:rFonts w:ascii="Times New Roman" w:hAnsi="Times New Roman"/>
          <w:color w:val="000000"/>
          <w:sz w:val="24"/>
          <w:u w:val="single"/>
        </w:rPr>
        <w:t>Extended Final Maturity Date</w:t>
      </w:r>
      <w:r>
        <w:rPr>
          <w:rFonts w:ascii="Times New Roman" w:hAnsi="Times New Roman"/>
          <w:color w:val="000000"/>
          <w:sz w:val="20"/>
        </w:rPr>
        <w:t xml:space="preserve">” </w:t>
      </w:r>
      <w:r>
        <w:rPr>
          <w:rFonts w:ascii="Times New Roman" w:hAnsi="Times New Roman"/>
          <w:color w:val="000000"/>
          <w:sz w:val="24"/>
        </w:rPr>
        <w:t>means, with respect to each Extending Lender, March 4, 2030.</w:t>
      </w:r>
    </w:p>
    <w:p>
      <w:pPr>
        <w:pStyle w:val="TextBody"/>
        <w:bidi w:val="0"/>
        <w:spacing w:before="0" w:after="240"/>
        <w:jc w:val="both"/>
        <w:rPr/>
      </w:pPr>
      <w:r>
        <w:rPr>
          <w:color w:val="000000"/>
        </w:rPr>
        <w:t>“</w:t>
      </w:r>
      <w:r>
        <w:rPr>
          <w:rFonts w:ascii="Times New Roman" w:hAnsi="Times New Roman"/>
          <w:color w:val="000000"/>
          <w:sz w:val="24"/>
          <w:u w:val="single"/>
        </w:rPr>
        <w:t>Extended Loans</w:t>
      </w:r>
      <w:r>
        <w:rPr>
          <w:rFonts w:ascii="Times New Roman" w:hAnsi="Times New Roman"/>
          <w:color w:val="000000"/>
          <w:sz w:val="20"/>
        </w:rPr>
        <w:t xml:space="preserve">” </w:t>
      </w:r>
      <w:r>
        <w:rPr>
          <w:rFonts w:ascii="Times New Roman" w:hAnsi="Times New Roman"/>
          <w:color w:val="000000"/>
          <w:sz w:val="24"/>
        </w:rPr>
        <w:t>means Loans or Borrowings of any Extending Lender maturing on the Extended Final Maturity Date.</w:t>
      </w:r>
    </w:p>
    <w:p>
      <w:pPr>
        <w:pStyle w:val="TextBody"/>
        <w:bidi w:val="0"/>
        <w:spacing w:before="0" w:after="240"/>
        <w:jc w:val="both"/>
        <w:rPr/>
      </w:pPr>
      <w:r>
        <w:rPr>
          <w:color w:val="000000"/>
        </w:rPr>
        <w:t>“</w:t>
      </w:r>
      <w:r>
        <w:rPr>
          <w:rFonts w:ascii="Times New Roman" w:hAnsi="Times New Roman"/>
          <w:color w:val="000000"/>
          <w:sz w:val="24"/>
          <w:u w:val="single"/>
        </w:rPr>
        <w:t>Extending Lender</w:t>
      </w:r>
      <w:r>
        <w:rPr>
          <w:rFonts w:ascii="Times New Roman" w:hAnsi="Times New Roman"/>
          <w:color w:val="000000"/>
          <w:sz w:val="20"/>
        </w:rPr>
        <w:t xml:space="preserve">” </w:t>
      </w:r>
      <w:r>
        <w:rPr>
          <w:rFonts w:ascii="Times New Roman" w:hAnsi="Times New Roman"/>
          <w:color w:val="000000"/>
          <w:sz w:val="24"/>
        </w:rPr>
        <w:t xml:space="preserve">means each Lender designated as an “Extending Lender” on </w:t>
      </w:r>
      <w:r>
        <w:rPr>
          <w:rFonts w:ascii="Times New Roman" w:hAnsi="Times New Roman"/>
          <w:color w:val="000000"/>
          <w:sz w:val="24"/>
          <w:u w:val="single"/>
        </w:rPr>
        <w:t>Schedule 1.01(b)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External Manager</w:t>
      </w:r>
      <w:r>
        <w:rPr>
          <w:rFonts w:ascii="Times New Roman" w:hAnsi="Times New Roman"/>
          <w:color w:val="000000"/>
          <w:sz w:val="20"/>
        </w:rPr>
        <w:t xml:space="preserve">” </w:t>
      </w:r>
      <w:r>
        <w:rPr>
          <w:rFonts w:ascii="Times New Roman" w:hAnsi="Times New Roman"/>
          <w:color w:val="000000"/>
          <w:sz w:val="24"/>
        </w:rPr>
        <w:t>means Sixth Street Specialty Lending Advisers, LLC.</w:t>
      </w:r>
    </w:p>
    <w:p>
      <w:pPr>
        <w:pStyle w:val="TextBody"/>
        <w:bidi w:val="0"/>
        <w:spacing w:before="0" w:after="240"/>
        <w:jc w:val="both"/>
        <w:rPr/>
      </w:pPr>
      <w:r>
        <w:rPr>
          <w:color w:val="000000"/>
        </w:rPr>
        <w:t>“</w:t>
      </w:r>
      <w:r>
        <w:rPr>
          <w:rFonts w:ascii="Times New Roman" w:hAnsi="Times New Roman"/>
          <w:color w:val="000000"/>
          <w:sz w:val="24"/>
          <w:u w:val="single"/>
        </w:rPr>
        <w:t>Extraordinary Receipts</w:t>
      </w:r>
      <w:r>
        <w:rPr>
          <w:rFonts w:ascii="Times New Roman" w:hAnsi="Times New Roman"/>
          <w:color w:val="000000"/>
          <w:sz w:val="20"/>
        </w:rPr>
        <w:t xml:space="preserve">” </w:t>
      </w:r>
      <w:r>
        <w:rPr>
          <w:rFonts w:ascii="Times New Roman" w:hAnsi="Times New Roman"/>
          <w:color w:val="000000"/>
          <w:sz w:val="24"/>
        </w:rPr>
        <w:t xml:space="preserve">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Extraordinary Receipts shall not include any (x) amounts that the Borrower receives from the Administrative Agent or any Lender pursuant to </w:t>
      </w:r>
      <w:r>
        <w:rPr>
          <w:rFonts w:ascii="Times New Roman" w:hAnsi="Times New Roman"/>
          <w:color w:val="000000"/>
          <w:sz w:val="24"/>
          <w:u w:val="single"/>
        </w:rPr>
        <w:t>Section 2.16(f)</w:t>
      </w:r>
      <w:r>
        <w:rPr>
          <w:rFonts w:ascii="Times New Roman" w:hAnsi="Times New Roman"/>
          <w:color w:val="000000"/>
          <w:sz w:val="24"/>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pStyle w:val="TextBody"/>
        <w:bidi w:val="0"/>
        <w:spacing w:before="0" w:after="2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and any regulations promulgated thereunder and official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interpretations thereof and any foreign legislation implemented to give effect to any intergovernmental agreements entered into thereunder and any agreements entered into pursuant to Section 1471(b)(1) of the Code.</w:t>
      </w:r>
    </w:p>
    <w:p>
      <w:pPr>
        <w:pStyle w:val="TextBody"/>
        <w:bidi w:val="0"/>
        <w:spacing w:before="0" w:after="240"/>
        <w:jc w:val="both"/>
        <w:rPr/>
      </w:pPr>
      <w:r>
        <w:rPr>
          <w:color w:val="000000"/>
        </w:rPr>
        <w:t>“</w:t>
      </w:r>
      <w:r>
        <w:rPr>
          <w:rFonts w:ascii="Times New Roman" w:hAnsi="Times New Roman"/>
          <w:color w:val="000000"/>
          <w:sz w:val="24"/>
          <w:u w:val="single"/>
        </w:rPr>
        <w:t>Federal Funds Effective Rate</w:t>
      </w:r>
      <w:r>
        <w:rPr>
          <w:rFonts w:ascii="Times New Roman" w:hAnsi="Times New Roman"/>
          <w:color w:val="000000"/>
          <w:sz w:val="20"/>
        </w:rPr>
        <w:t xml:space="preserve">” </w:t>
      </w:r>
      <w:r>
        <w:rPr>
          <w:rFonts w:ascii="Times New Roman" w:hAnsi="Times New Roman"/>
          <w:color w:val="000000"/>
          <w:sz w:val="24"/>
        </w:rPr>
        <w:t>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Fifteenth Amendment Effective Date</w:t>
      </w:r>
      <w:r>
        <w:rPr>
          <w:rFonts w:ascii="Times New Roman" w:hAnsi="Times New Roman"/>
          <w:color w:val="000000"/>
          <w:sz w:val="20"/>
        </w:rPr>
        <w:t xml:space="preserve">” </w:t>
      </w:r>
      <w:r>
        <w:rPr>
          <w:rFonts w:ascii="Times New Roman" w:hAnsi="Times New Roman"/>
          <w:color w:val="000000"/>
          <w:sz w:val="24"/>
        </w:rPr>
        <w:t>means April 24, 2024.</w:t>
      </w:r>
    </w:p>
    <w:p>
      <w:pPr>
        <w:pStyle w:val="TextBody"/>
        <w:bidi w:val="0"/>
        <w:spacing w:before="0" w:after="240"/>
        <w:jc w:val="both"/>
        <w:rPr/>
      </w:pPr>
      <w:r>
        <w:rPr>
          <w:color w:val="000000"/>
        </w:rPr>
        <w:t>“</w:t>
      </w:r>
      <w:r>
        <w:rPr>
          <w:rFonts w:ascii="Times New Roman" w:hAnsi="Times New Roman"/>
          <w:color w:val="000000"/>
          <w:sz w:val="24"/>
          <w:u w:val="single"/>
        </w:rPr>
        <w:t>Final Maturity Date</w:t>
      </w:r>
      <w:r>
        <w:rPr>
          <w:rFonts w:ascii="Times New Roman" w:hAnsi="Times New Roman"/>
          <w:color w:val="000000"/>
          <w:sz w:val="20"/>
        </w:rPr>
        <w:t xml:space="preserve">” </w:t>
      </w:r>
      <w:r>
        <w:rPr>
          <w:rFonts w:ascii="Times New Roman" w:hAnsi="Times New Roman"/>
          <w:color w:val="000000"/>
          <w:sz w:val="24"/>
        </w:rPr>
        <w:t>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pStyle w:val="TextBody"/>
        <w:bidi w:val="0"/>
        <w:spacing w:before="0" w:after="240"/>
        <w:jc w:val="both"/>
        <w:rPr/>
      </w:pPr>
      <w:r>
        <w:rPr>
          <w:color w:val="000000"/>
        </w:rPr>
        <w:t>“</w:t>
      </w:r>
      <w:r>
        <w:rPr>
          <w:rFonts w:ascii="Times New Roman" w:hAnsi="Times New Roman"/>
          <w:color w:val="000000"/>
          <w:sz w:val="24"/>
          <w:u w:val="single"/>
        </w:rPr>
        <w:t>Financial Officer</w:t>
      </w:r>
      <w:r>
        <w:rPr>
          <w:rFonts w:ascii="Times New Roman" w:hAnsi="Times New Roman"/>
          <w:color w:val="000000"/>
          <w:sz w:val="20"/>
        </w:rPr>
        <w:t xml:space="preserve">” </w:t>
      </w:r>
      <w:r>
        <w:rPr>
          <w:rFonts w:ascii="Times New Roman" w:hAnsi="Times New Roman"/>
          <w:color w:val="000000"/>
          <w:sz w:val="24"/>
        </w:rPr>
        <w:t>means the chief financial officer, principal accounting officer, treasurer or controller of the Borrower.</w:t>
      </w:r>
    </w:p>
    <w:p>
      <w:pPr>
        <w:pStyle w:val="TextBody"/>
        <w:bidi w:val="0"/>
        <w:spacing w:before="0" w:after="240"/>
        <w:jc w:val="both"/>
        <w:rPr/>
      </w:pPr>
      <w:r>
        <w:rPr>
          <w:color w:val="000000"/>
        </w:rPr>
        <w:t>“</w:t>
      </w:r>
      <w:r>
        <w:rPr>
          <w:rFonts w:ascii="Times New Roman" w:hAnsi="Times New Roman"/>
          <w:color w:val="000000"/>
          <w:sz w:val="24"/>
          <w:u w:val="single"/>
        </w:rPr>
        <w:t>Financing Subsidiary</w:t>
      </w:r>
      <w:r>
        <w:rPr>
          <w:rFonts w:ascii="Times New Roman" w:hAnsi="Times New Roman"/>
          <w:color w:val="000000"/>
          <w:sz w:val="20"/>
        </w:rPr>
        <w:t xml:space="preserve">” </w:t>
      </w:r>
      <w:r>
        <w:rPr>
          <w:rFonts w:ascii="Times New Roman" w:hAnsi="Times New Roman"/>
          <w:color w:val="000000"/>
          <w:sz w:val="24"/>
        </w:rPr>
        <w:t>means an SPE Subsidiary or an SBIC Subsidiary.</w:t>
      </w:r>
    </w:p>
    <w:p>
      <w:pPr>
        <w:pStyle w:val="TextBody"/>
        <w:bidi w:val="0"/>
        <w:spacing w:before="0" w:after="240"/>
        <w:jc w:val="both"/>
        <w:rPr/>
      </w:pPr>
      <w:r>
        <w:rPr>
          <w:color w:val="000000"/>
        </w:rPr>
        <w:t>“</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 a rate of interest equal to zero percent (0.00%)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4"/>
          <w:u w:val="single"/>
        </w:rPr>
        <w:t>Foreign Currency</w:t>
      </w:r>
      <w:r>
        <w:rPr>
          <w:rFonts w:ascii="Times New Roman" w:hAnsi="Times New Roman"/>
          <w:color w:val="000000"/>
          <w:sz w:val="20"/>
        </w:rPr>
        <w:t xml:space="preserve">” </w:t>
      </w:r>
      <w:r>
        <w:rPr>
          <w:rFonts w:ascii="Times New Roman" w:hAnsi="Times New Roman"/>
          <w:color w:val="000000"/>
          <w:sz w:val="24"/>
        </w:rPr>
        <w:t>means at any time any Currency other than Dollars.</w:t>
      </w:r>
    </w:p>
    <w:p>
      <w:pPr>
        <w:pStyle w:val="TextBody"/>
        <w:bidi w:val="0"/>
        <w:spacing w:before="0" w:after="240"/>
        <w:jc w:val="both"/>
        <w:rPr/>
      </w:pPr>
      <w:r>
        <w:rPr>
          <w:color w:val="000000"/>
        </w:rPr>
        <w:t>“</w:t>
      </w:r>
      <w:r>
        <w:rPr>
          <w:rFonts w:ascii="Times New Roman" w:hAnsi="Times New Roman"/>
          <w:color w:val="000000"/>
          <w:sz w:val="24"/>
          <w:u w:val="single"/>
        </w:rPr>
        <w:t>Foreign Currency Equivalent</w:t>
      </w:r>
      <w:r>
        <w:rPr>
          <w:rFonts w:ascii="Times New Roman" w:hAnsi="Times New Roman"/>
          <w:color w:val="000000"/>
          <w:sz w:val="20"/>
        </w:rPr>
        <w:t xml:space="preserve">” </w:t>
      </w:r>
      <w:r>
        <w:rPr>
          <w:rFonts w:ascii="Times New Roman" w:hAnsi="Times New Roman"/>
          <w:color w:val="000000"/>
          <w:sz w:val="24"/>
        </w:rPr>
        <w:t>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Foreign Lender</w:t>
      </w:r>
      <w:r>
        <w:rPr>
          <w:rFonts w:ascii="Times New Roman" w:hAnsi="Times New Roman"/>
          <w:color w:val="000000"/>
          <w:sz w:val="20"/>
        </w:rPr>
        <w:t xml:space="preserve">” </w:t>
      </w:r>
      <w:r>
        <w:rPr>
          <w:rFonts w:ascii="Times New Roman" w:hAnsi="Times New Roman"/>
          <w:color w:val="000000"/>
          <w:sz w:val="24"/>
        </w:rPr>
        <w:t>means any Lender that is not a “United States person” as defined under Section 7701(a)(30) of the Code.</w:t>
      </w:r>
    </w:p>
    <w:p>
      <w:pPr>
        <w:pStyle w:val="TextBody"/>
        <w:bidi w:val="0"/>
        <w:spacing w:before="0" w:after="240"/>
        <w:jc w:val="both"/>
        <w:rPr/>
      </w:pPr>
      <w:r>
        <w:rPr>
          <w:color w:val="000000"/>
        </w:rPr>
        <w:t>“</w:t>
      </w:r>
      <w:r>
        <w:rPr>
          <w:rFonts w:ascii="Times New Roman" w:hAnsi="Times New Roman"/>
          <w:color w:val="000000"/>
          <w:sz w:val="24"/>
          <w:u w:val="single"/>
        </w:rPr>
        <w:t>Foreign Subsidiary</w:t>
      </w:r>
      <w:r>
        <w:rPr>
          <w:rFonts w:ascii="Times New Roman" w:hAnsi="Times New Roman"/>
          <w:color w:val="000000"/>
          <w:sz w:val="20"/>
        </w:rPr>
        <w:t xml:space="preserve">” </w:t>
      </w:r>
      <w:r>
        <w:rPr>
          <w:rFonts w:ascii="Times New Roman" w:hAnsi="Times New Roman"/>
          <w:color w:val="000000"/>
          <w:sz w:val="24"/>
        </w:rPr>
        <w:t>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pStyle w:val="TextBody"/>
        <w:bidi w:val="0"/>
        <w:spacing w:before="0" w:after="240"/>
        <w:jc w:val="both"/>
        <w:rPr/>
      </w:pPr>
      <w:r>
        <w:rPr>
          <w:color w:val="000000"/>
        </w:rPr>
        <w:t>“</w:t>
      </w:r>
      <w:r>
        <w:rPr>
          <w:rFonts w:ascii="Times New Roman" w:hAnsi="Times New Roman"/>
          <w:color w:val="000000"/>
          <w:sz w:val="24"/>
          <w:u w:val="single"/>
        </w:rPr>
        <w:t>Fronting Exposure</w:t>
      </w:r>
      <w:r>
        <w:rPr>
          <w:rFonts w:ascii="Times New Roman" w:hAnsi="Times New Roman"/>
          <w:color w:val="000000"/>
          <w:sz w:val="20"/>
        </w:rPr>
        <w:t xml:space="preserve">” </w:t>
      </w:r>
      <w:r>
        <w:rPr>
          <w:rFonts w:ascii="Times New Roman" w:hAnsi="Times New Roman"/>
          <w:color w:val="000000"/>
          <w:sz w:val="24"/>
        </w:rPr>
        <w:t>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 other than Dollar LC Exposure or Multicurrency LC Exposure, as the case may be, as to which such Defaulting Lender’s participation obligation has been reallocated to other Lenders or Cash Collateralized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pStyle w:val="TextBody"/>
        <w:bidi w:val="0"/>
        <w:spacing w:before="0" w:after="240"/>
        <w:jc w:val="both"/>
        <w:rPr/>
      </w:pPr>
      <w:r>
        <w:rPr>
          <w:color w:val="000000"/>
        </w:rPr>
        <w:t>“</w:t>
      </w:r>
      <w:r>
        <w:rPr>
          <w:rFonts w:ascii="Times New Roman" w:hAnsi="Times New Roman"/>
          <w:color w:val="000000"/>
          <w:sz w:val="24"/>
          <w:u w:val="single"/>
        </w:rPr>
        <w:t>Guarantee</w:t>
      </w:r>
      <w:r>
        <w:rPr>
          <w:rFonts w:ascii="Times New Roman" w:hAnsi="Times New Roman"/>
          <w:color w:val="000000"/>
          <w:sz w:val="20"/>
        </w:rPr>
        <w:t xml:space="preserve">” </w:t>
      </w:r>
      <w:r>
        <w:rPr>
          <w:rFonts w:ascii="Times New Roman" w:hAnsi="Times New Roman"/>
          <w:color w:val="000000"/>
          <w:sz w:val="24"/>
        </w:rPr>
        <w:t>of, or “</w:t>
      </w:r>
      <w:r>
        <w:rPr>
          <w:rFonts w:ascii="Times New Roman" w:hAnsi="Times New Roman"/>
          <w:color w:val="000000"/>
          <w:sz w:val="24"/>
          <w:u w:val="single"/>
        </w:rPr>
        <w:t>Guaranteed</w:t>
      </w:r>
      <w:r>
        <w:rPr>
          <w:rFonts w:ascii="Times New Roman" w:hAnsi="Times New Roman"/>
          <w:color w:val="000000"/>
          <w:sz w:val="20"/>
        </w:rPr>
        <w:t xml:space="preserve">” </w:t>
      </w:r>
      <w:r>
        <w:rPr>
          <w:rFonts w:ascii="Times New Roman" w:hAnsi="Times New Roman"/>
          <w:color w:val="000000"/>
          <w:sz w:val="24"/>
        </w:rPr>
        <w:t>by, any Person (the “</w:t>
      </w:r>
      <w:r>
        <w:rPr>
          <w:rFonts w:ascii="Times New Roman" w:hAnsi="Times New Roman"/>
          <w:color w:val="000000"/>
          <w:sz w:val="24"/>
          <w:u w:val="single"/>
        </w:rPr>
        <w:t>guarantor</w:t>
      </w:r>
      <w:r>
        <w:rPr>
          <w:rFonts w:ascii="Times New Roman" w:hAnsi="Times New Roman"/>
          <w:color w:val="000000"/>
          <w:sz w:val="20"/>
        </w:rPr>
        <w:t>”</w:t>
      </w:r>
      <w:r>
        <w:rPr>
          <w:rFonts w:ascii="Times New Roman" w:hAnsi="Times New Roman"/>
          <w:color w:val="000000"/>
          <w:sz w:val="24"/>
        </w:rPr>
        <w:t>) means any obligation, contingent or otherwise, of the guarantor guaranteeing or having the economic effect of guaranteeing any Indebtedness or other obligation of any other Person (the “</w:t>
      </w:r>
      <w:r>
        <w:rPr>
          <w:rFonts w:ascii="Times New Roman" w:hAnsi="Times New Roman"/>
          <w:color w:val="000000"/>
          <w:sz w:val="24"/>
          <w:u w:val="single"/>
        </w:rPr>
        <w:t>primary obligor</w:t>
      </w:r>
      <w:r>
        <w:rPr>
          <w:rFonts w:ascii="Times New Roman" w:hAnsi="Times New Roman"/>
          <w:color w:val="000000"/>
          <w:sz w:val="20"/>
        </w:rPr>
        <w:t>”</w:t>
      </w:r>
      <w:r>
        <w:rPr>
          <w:rFonts w:ascii="Times New Roman" w:hAnsi="Times New Roman"/>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pStyle w:val="TextBody"/>
        <w:bidi w:val="0"/>
        <w:spacing w:before="0" w:after="240"/>
        <w:jc w:val="both"/>
        <w:rPr/>
      </w:pPr>
      <w:r>
        <w:rPr>
          <w:color w:val="000000"/>
        </w:rPr>
        <w:t>“</w:t>
      </w:r>
      <w:r>
        <w:rPr>
          <w:rFonts w:ascii="Times New Roman" w:hAnsi="Times New Roman"/>
          <w:color w:val="000000"/>
          <w:sz w:val="24"/>
          <w:u w:val="single"/>
        </w:rPr>
        <w:t>Guarantee and Security Agreement</w:t>
      </w:r>
      <w:r>
        <w:rPr>
          <w:rFonts w:ascii="Times New Roman" w:hAnsi="Times New Roman"/>
          <w:color w:val="000000"/>
          <w:sz w:val="20"/>
        </w:rPr>
        <w:t xml:space="preserve">” </w:t>
      </w:r>
      <w:r>
        <w:rPr>
          <w:rFonts w:ascii="Times New Roman" w:hAnsi="Times New Roman"/>
          <w:color w:val="000000"/>
          <w:sz w:val="24"/>
        </w:rPr>
        <w:t>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restated, modified and supplemented and in effect from time to time.</w:t>
      </w:r>
    </w:p>
    <w:p>
      <w:pPr>
        <w:pStyle w:val="TextBody"/>
        <w:bidi w:val="0"/>
        <w:spacing w:before="0" w:after="240"/>
        <w:jc w:val="both"/>
        <w:rPr/>
      </w:pPr>
      <w:r>
        <w:rPr>
          <w:color w:val="000000"/>
        </w:rPr>
        <w:t>“</w:t>
      </w:r>
      <w:r>
        <w:rPr>
          <w:rFonts w:ascii="Times New Roman" w:hAnsi="Times New Roman"/>
          <w:color w:val="000000"/>
          <w:sz w:val="24"/>
          <w:u w:val="single"/>
        </w:rPr>
        <w:t>Guarantee Assumption Agreement</w:t>
      </w:r>
      <w:r>
        <w:rPr>
          <w:rFonts w:ascii="Times New Roman" w:hAnsi="Times New Roman"/>
          <w:color w:val="000000"/>
          <w:sz w:val="20"/>
        </w:rPr>
        <w:t xml:space="preserve">” </w:t>
      </w:r>
      <w:r>
        <w:rPr>
          <w:rFonts w:ascii="Times New Roman" w:hAnsi="Times New Roman"/>
          <w:color w:val="000000"/>
          <w:sz w:val="24"/>
        </w:rPr>
        <w:t xml:space="preserve">means a Guarantee Assumption Agreement substantially in the form of Exhibit B to the Guarantee and Security Agreement between the Collateral Agent and an entity that pursuant to </w:t>
      </w:r>
      <w:r>
        <w:rPr>
          <w:rFonts w:ascii="Times New Roman" w:hAnsi="Times New Roman"/>
          <w:color w:val="000000"/>
          <w:sz w:val="24"/>
          <w:u w:val="single"/>
        </w:rPr>
        <w:t>Section 5.08</w:t>
      </w:r>
      <w:r>
        <w:rPr>
          <w:rFonts w:ascii="Times New Roman" w:hAnsi="Times New Roman"/>
          <w:color w:val="000000"/>
          <w:sz w:val="20"/>
        </w:rPr>
        <w:t xml:space="preserve"> </w:t>
      </w:r>
      <w:r>
        <w:rPr>
          <w:rFonts w:ascii="Times New Roman" w:hAnsi="Times New Roman"/>
          <w:color w:val="000000"/>
          <w:sz w:val="24"/>
        </w:rPr>
        <w:t xml:space="preserve">is required to become a “Subsidiary Guarantor” under the Guarantee and Security Agreement (with such changes as the Administrative Agent shall request consistent with the requirements of </w:t>
      </w:r>
      <w:r>
        <w:rPr>
          <w:rFonts w:ascii="Times New Roman" w:hAnsi="Times New Roman"/>
          <w:color w:val="000000"/>
          <w:sz w:val="24"/>
          <w:u w:val="single"/>
        </w:rPr>
        <w:t>Section 5.08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Hedging Agreement</w:t>
      </w:r>
      <w:r>
        <w:rPr>
          <w:rFonts w:ascii="Times New Roman" w:hAnsi="Times New Roman"/>
          <w:color w:val="000000"/>
          <w:sz w:val="20"/>
        </w:rPr>
        <w:t xml:space="preserve">” </w:t>
      </w:r>
      <w:r>
        <w:rPr>
          <w:rFonts w:ascii="Times New Roman" w:hAnsi="Times New Roman"/>
          <w:color w:val="000000"/>
          <w:sz w:val="24"/>
        </w:rPr>
        <w:t>means any interest rate protection agreement, foreign currency exchange protection agreement, commodity price protection agreement or other interest or currency exchange rate or commodity price hedging arrangement.</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Immaterial Subsidiaries</w:t>
      </w:r>
      <w:r>
        <w:rPr>
          <w:rFonts w:ascii="Times New Roman" w:hAnsi="Times New Roman"/>
          <w:color w:val="000000"/>
          <w:sz w:val="20"/>
        </w:rPr>
        <w:t xml:space="preserve">” </w:t>
      </w:r>
      <w:r>
        <w:rPr>
          <w:rFonts w:ascii="Times New Roman" w:hAnsi="Times New Roman"/>
          <w:color w:val="000000"/>
          <w:sz w:val="24"/>
        </w:rPr>
        <w:t xml:space="preserve">means those Subsidiaries of the Borrower that are “designated” as Immaterial Subsidiaries by the Borrower from time to time (it being understood that the Borrower may at any time change any such designation);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designated Immaterial Subsidiaries shall collectively meet all of the following criteria as of the date of the most recent balance sheet required to be delivered pursuant to </w:t>
      </w:r>
      <w:r>
        <w:rPr>
          <w:rFonts w:ascii="Times New Roman" w:hAnsi="Times New Roman"/>
          <w:color w:val="000000"/>
          <w:sz w:val="24"/>
          <w:u w:val="single"/>
        </w:rPr>
        <w:t>Section 5.01</w:t>
      </w:r>
      <w:r>
        <w:rPr>
          <w:rFonts w:ascii="Times New Roman" w:hAnsi="Times New Roman"/>
          <w:color w:val="000000"/>
          <w:sz w:val="24"/>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pStyle w:val="TextBody"/>
        <w:bidi w:val="0"/>
        <w:spacing w:before="0" w:after="240"/>
        <w:jc w:val="both"/>
        <w:rPr/>
      </w:pPr>
      <w:r>
        <w:rPr>
          <w:color w:val="000000"/>
        </w:rPr>
        <w:t>“</w:t>
      </w:r>
      <w:r>
        <w:rPr>
          <w:rFonts w:ascii="Times New Roman" w:hAnsi="Times New Roman"/>
          <w:color w:val="000000"/>
          <w:sz w:val="24"/>
          <w:u w:val="single"/>
        </w:rPr>
        <w:t>Increasing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of any Person means, without duplication, (a) all obligations of such Person for borrowed money or with respect to deposits or advances of any kind, (b) all 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pStyle w:val="TextBody"/>
        <w:bidi w:val="0"/>
        <w:spacing w:before="0" w:after="2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means Taxes, other than Excluded Taxes, imposed on or with respect to any payment made by or on account of any obligation of the Borrower under this Agreement.</w:t>
      </w:r>
    </w:p>
    <w:p>
      <w:pPr>
        <w:pStyle w:val="TextBody"/>
        <w:bidi w:val="0"/>
        <w:spacing w:before="0" w:after="240"/>
        <w:jc w:val="both"/>
        <w:rPr/>
      </w:pPr>
      <w:r>
        <w:rPr>
          <w:color w:val="000000"/>
        </w:rPr>
        <w:t>“</w:t>
      </w:r>
      <w:r>
        <w:rPr>
          <w:rFonts w:ascii="Times New Roman" w:hAnsi="Times New Roman"/>
          <w:color w:val="000000"/>
          <w:sz w:val="24"/>
          <w:u w:val="single"/>
        </w:rPr>
        <w:t>Indemnitee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9.03(b)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Independent</w:t>
      </w:r>
      <w:r>
        <w:rPr>
          <w:rFonts w:ascii="Times New Roman" w:hAnsi="Times New Roman"/>
          <w:color w:val="000000"/>
          <w:sz w:val="20"/>
        </w:rPr>
        <w:t xml:space="preserve">” </w:t>
      </w:r>
      <w:r>
        <w:rPr>
          <w:rFonts w:ascii="Times New Roman" w:hAnsi="Times New Roman"/>
          <w:color w:val="000000"/>
          <w:sz w:val="24"/>
        </w:rPr>
        <w:t>when used with respect to any specified Person means that such Person (a) does not have any direct financial interest or any material indirect financial interest in the Borrower or any of its Subsidiaries or Affiliates (including its investment advisor or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 thereof) and (b) is not connected with the Borrower or of its Subsidiaries or Affiliates (including its investment advisor or any Affiliate thereof) as an officer, employee, promoter, underwriter, trustee, partner, director or Person performing similar functions.</w:t>
      </w:r>
    </w:p>
    <w:p>
      <w:pPr>
        <w:pStyle w:val="TextBody"/>
        <w:bidi w:val="0"/>
        <w:spacing w:before="0" w:after="240"/>
        <w:jc w:val="both"/>
        <w:rPr/>
      </w:pPr>
      <w:r>
        <w:rPr>
          <w:color w:val="000000"/>
        </w:rPr>
        <w:t>“</w:t>
      </w:r>
      <w:r>
        <w:rPr>
          <w:rFonts w:ascii="Times New Roman" w:hAnsi="Times New Roman"/>
          <w:color w:val="000000"/>
          <w:sz w:val="24"/>
          <w:u w:val="single"/>
        </w:rPr>
        <w:t>Industry Classification Group</w:t>
      </w:r>
      <w:r>
        <w:rPr>
          <w:rFonts w:ascii="Times New Roman" w:hAnsi="Times New Roman"/>
          <w:color w:val="000000"/>
          <w:sz w:val="20"/>
        </w:rPr>
        <w:t xml:space="preserve">” </w:t>
      </w:r>
      <w:r>
        <w:rPr>
          <w:rFonts w:ascii="Times New Roman" w:hAnsi="Times New Roman"/>
          <w:color w:val="000000"/>
          <w:sz w:val="24"/>
        </w:rPr>
        <w:t xml:space="preserve">means (a) any of the classification groups set forth in </w:t>
      </w:r>
      <w:r>
        <w:rPr>
          <w:rFonts w:ascii="Times New Roman" w:hAnsi="Times New Roman"/>
          <w:color w:val="000000"/>
          <w:sz w:val="24"/>
          <w:u w:val="single"/>
        </w:rPr>
        <w:t>Schedule 1.01(c)</w:t>
      </w:r>
      <w:r>
        <w:rPr>
          <w:rFonts w:ascii="Times New Roman" w:hAnsi="Times New Roman"/>
          <w:color w:val="000000"/>
          <w:sz w:val="20"/>
        </w:rPr>
        <w:t xml:space="preserve"> </w:t>
      </w:r>
      <w:r>
        <w:rPr>
          <w:rFonts w:ascii="Times New Roman" w:hAnsi="Times New Roman"/>
          <w:color w:val="000000"/>
          <w:sz w:val="24"/>
        </w:rPr>
        <w:t xml:space="preserve">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hAnsi="Times New Roman"/>
          <w:color w:val="000000"/>
          <w:sz w:val="24"/>
          <w:u w:val="single"/>
        </w:rPr>
        <w:t>Section 5.12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Interest Election Request</w:t>
      </w:r>
      <w:r>
        <w:rPr>
          <w:rFonts w:ascii="Times New Roman" w:hAnsi="Times New Roman"/>
          <w:color w:val="000000"/>
          <w:sz w:val="20"/>
        </w:rPr>
        <w:t xml:space="preserve">” </w:t>
      </w:r>
      <w:r>
        <w:rPr>
          <w:rFonts w:ascii="Times New Roman" w:hAnsi="Times New Roman"/>
          <w:color w:val="000000"/>
          <w:sz w:val="24"/>
        </w:rPr>
        <w:t xml:space="preserve">means a request by the Borrower to convert or continue a Syndicated Borrowing in accordance with </w:t>
      </w:r>
      <w:r>
        <w:rPr>
          <w:rFonts w:ascii="Times New Roman" w:hAnsi="Times New Roman"/>
          <w:color w:val="000000"/>
          <w:sz w:val="24"/>
          <w:u w:val="single"/>
        </w:rPr>
        <w:t>Section 2.07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Interest Payment Date</w:t>
      </w:r>
      <w:r>
        <w:rPr>
          <w:rFonts w:ascii="Times New Roman" w:hAnsi="Times New Roman"/>
          <w:color w:val="000000"/>
          <w:sz w:val="20"/>
        </w:rPr>
        <w:t xml:space="preserve">” </w:t>
      </w:r>
      <w:r>
        <w:rPr>
          <w:rFonts w:ascii="Times New Roman" w:hAnsi="Times New Roman"/>
          <w:color w:val="000000"/>
          <w:sz w:val="24"/>
        </w:rPr>
        <w:t>means (a) with respect to any Syndicated ABR Loan, each Quarterly Date, (b) with respect to any Term Benchmark Loan or RFR Loan, in each case, in 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pStyle w:val="TextBody"/>
        <w:bidi w:val="0"/>
        <w:spacing w:before="0" w:after="240"/>
        <w:jc w:val="both"/>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 xml:space="preserve">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denominated in Canadian Dollars and RFR Loans, six months thereafter or, with respect to such portion of any Term Benchmark Loan or Borrowing or any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 a Foreign Currency or RFR Borrowing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hAnsi="Times New Roman"/>
          <w:color w:val="000000"/>
          <w:sz w:val="24"/>
          <w:u w:val="single"/>
        </w:rPr>
        <w:t>Section 2.22(d)</w:t>
      </w:r>
      <w:r>
        <w:rPr>
          <w:rFonts w:ascii="Times New Roman" w:hAnsi="Times New Roman"/>
          <w:color w:val="000000"/>
          <w:sz w:val="20"/>
        </w:rPr>
        <w:t xml:space="preserve"> </w:t>
      </w:r>
      <w:r>
        <w:rPr>
          <w:rFonts w:ascii="Times New Roman" w:hAnsi="Times New Roman"/>
          <w:color w:val="000000"/>
          <w:sz w:val="24"/>
        </w:rPr>
        <w:t xml:space="preserve">shall be available for specification in such Borrowing Request or notice of conversion or continuation unless or until it is reinstated pursuant to </w:t>
      </w:r>
      <w:r>
        <w:rPr>
          <w:rFonts w:ascii="Times New Roman" w:hAnsi="Times New Roman"/>
          <w:color w:val="000000"/>
          <w:sz w:val="24"/>
          <w:u w:val="single"/>
        </w:rPr>
        <w:t>Section 2.22(d)</w:t>
      </w:r>
      <w:r>
        <w:rPr>
          <w:rFonts w:ascii="Times New Roman" w:hAnsi="Times New Roman"/>
          <w:color w:val="000000"/>
          <w:sz w:val="24"/>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pStyle w:val="TextBody"/>
        <w:bidi w:val="0"/>
        <w:spacing w:before="0" w:after="240"/>
        <w:jc w:val="both"/>
        <w:rPr/>
      </w:pPr>
      <w:r>
        <w:rPr>
          <w:color w:val="000000"/>
        </w:rPr>
        <w:t>“</w:t>
      </w:r>
      <w:r>
        <w:rPr>
          <w:rFonts w:ascii="Times New Roman" w:hAnsi="Times New Roman"/>
          <w:color w:val="000000"/>
          <w:sz w:val="24"/>
          <w:u w:val="single"/>
        </w:rPr>
        <w:t>Investment Company Act</w:t>
      </w:r>
      <w:r>
        <w:rPr>
          <w:rFonts w:ascii="Times New Roman" w:hAnsi="Times New Roman"/>
          <w:color w:val="000000"/>
          <w:sz w:val="20"/>
        </w:rPr>
        <w:t xml:space="preserve">” </w:t>
      </w:r>
      <w:r>
        <w:rPr>
          <w:rFonts w:ascii="Times New Roman" w:hAnsi="Times New Roman"/>
          <w:color w:val="000000"/>
          <w:sz w:val="24"/>
        </w:rPr>
        <w:t>means the Investment Company Act of 1940, as amended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Investment Policies</w:t>
      </w:r>
      <w:r>
        <w:rPr>
          <w:rFonts w:ascii="Times New Roman" w:hAnsi="Times New Roman"/>
          <w:color w:val="000000"/>
          <w:sz w:val="20"/>
        </w:rPr>
        <w:t xml:space="preserve">” </w:t>
      </w:r>
      <w:r>
        <w:rPr>
          <w:rFonts w:ascii="Times New Roman" w:hAnsi="Times New Roman"/>
          <w:color w:val="000000"/>
          <w:sz w:val="24"/>
        </w:rPr>
        <w:t>means the investment objectives, policies, restrictions and limitations set forth in the “BUSINESS” section of its Registration Statement, and as the same may be changed, altered, expanded, amended, modified, terminated or restated from time to time.</w:t>
      </w:r>
    </w:p>
    <w:p>
      <w:pPr>
        <w:pStyle w:val="TextBody"/>
        <w:bidi w:val="0"/>
        <w:spacing w:before="0" w:after="240"/>
        <w:jc w:val="both"/>
        <w:rPr/>
      </w:pPr>
      <w:r>
        <w:rPr>
          <w:color w:val="000000"/>
        </w:rPr>
        <w:t>“</w:t>
      </w:r>
      <w:r>
        <w:rPr>
          <w:rFonts w:ascii="Times New Roman" w:hAnsi="Times New Roman"/>
          <w:color w:val="000000"/>
          <w:sz w:val="24"/>
          <w:u w:val="single"/>
        </w:rPr>
        <w:t>Issuing Bank</w:t>
      </w:r>
      <w:r>
        <w:rPr>
          <w:rFonts w:ascii="Times New Roman" w:hAnsi="Times New Roman"/>
          <w:color w:val="000000"/>
          <w:sz w:val="20"/>
        </w:rPr>
        <w:t xml:space="preserve">” </w:t>
      </w:r>
      <w:r>
        <w:rPr>
          <w:rFonts w:ascii="Times New Roman" w:hAnsi="Times New Roman"/>
          <w:color w:val="000000"/>
          <w:sz w:val="24"/>
        </w:rPr>
        <w:t xml:space="preserve">means Truist, JPMorgan Chase Bank, N.A. and any other Issuing Bank designated pursuant to </w:t>
      </w:r>
      <w:r>
        <w:rPr>
          <w:rFonts w:ascii="Times New Roman" w:hAnsi="Times New Roman"/>
          <w:color w:val="000000"/>
          <w:sz w:val="24"/>
          <w:u w:val="single"/>
        </w:rPr>
        <w:t>Section 2.05(l)</w:t>
      </w:r>
      <w:r>
        <w:rPr>
          <w:rFonts w:ascii="Times New Roman" w:hAnsi="Times New Roman"/>
          <w:color w:val="000000"/>
          <w:sz w:val="24"/>
        </w:rPr>
        <w:t xml:space="preserve">, in their capacity as the issuers of Letters of Credit hereunder, and their respective successors in such capacity as provided in </w:t>
      </w:r>
      <w:r>
        <w:rPr>
          <w:rFonts w:ascii="Times New Roman" w:hAnsi="Times New Roman"/>
          <w:color w:val="000000"/>
          <w:sz w:val="24"/>
          <w:u w:val="single"/>
        </w:rPr>
        <w:t>Section 2.05(j)</w:t>
      </w:r>
      <w:r>
        <w:rPr>
          <w:rFonts w:ascii="Times New Roman" w:hAnsi="Times New Roman"/>
          <w:color w:val="000000"/>
          <w:sz w:val="24"/>
        </w:rPr>
        <w:t>. In the case of any Letter of Credit to be issued in an Agreed Foreign Currency, Truist and JPMorgan Chase Bank, N.A., respectively, may designate any of their respective affiliates as the “Issuing Bank” for purposes of such Letter of Credit.</w:t>
      </w:r>
    </w:p>
    <w:p>
      <w:pPr>
        <w:pStyle w:val="TextBody"/>
        <w:bidi w:val="0"/>
        <w:spacing w:before="0" w:after="240"/>
        <w:jc w:val="both"/>
        <w:rPr/>
      </w:pPr>
      <w:r>
        <w:rPr>
          <w:color w:val="000000"/>
        </w:rPr>
        <w:t>“</w:t>
      </w:r>
      <w:r>
        <w:rPr>
          <w:rFonts w:ascii="Times New Roman" w:hAnsi="Times New Roman"/>
          <w:color w:val="000000"/>
          <w:sz w:val="24"/>
          <w:u w:val="single"/>
        </w:rPr>
        <w:t>Japanese Yen</w:t>
      </w:r>
      <w:r>
        <w:rPr>
          <w:rFonts w:ascii="Times New Roman" w:hAnsi="Times New Roman"/>
          <w:color w:val="000000"/>
          <w:sz w:val="20"/>
        </w:rPr>
        <w:t xml:space="preserve">” </w:t>
      </w:r>
      <w:r>
        <w:rPr>
          <w:rFonts w:ascii="Times New Roman" w:hAnsi="Times New Roman"/>
          <w:color w:val="000000"/>
          <w:sz w:val="24"/>
        </w:rPr>
        <w:t>means the lawful currency of Japan.</w:t>
      </w:r>
    </w:p>
    <w:p>
      <w:pPr>
        <w:pStyle w:val="TextBody"/>
        <w:bidi w:val="0"/>
        <w:spacing w:before="0" w:after="240"/>
        <w:jc w:val="both"/>
        <w:rPr/>
      </w:pPr>
      <w:r>
        <w:rPr>
          <w:color w:val="000000"/>
        </w:rPr>
        <w:t>“</w:t>
      </w:r>
      <w:r>
        <w:rPr>
          <w:rFonts w:ascii="Times New Roman" w:hAnsi="Times New Roman"/>
          <w:color w:val="000000"/>
          <w:sz w:val="24"/>
          <w:u w:val="single"/>
        </w:rPr>
        <w:t>Joint Lead Arrangers</w:t>
      </w:r>
      <w:r>
        <w:rPr>
          <w:rFonts w:ascii="Times New Roman" w:hAnsi="Times New Roman"/>
          <w:color w:val="000000"/>
          <w:sz w:val="20"/>
        </w:rPr>
        <w:t xml:space="preserve">” </w:t>
      </w:r>
      <w:r>
        <w:rPr>
          <w:rFonts w:ascii="Times New Roman" w:hAnsi="Times New Roman"/>
          <w:color w:val="000000"/>
          <w:sz w:val="24"/>
        </w:rPr>
        <w:t>means Truist Securities, Inc., JPMorgan Chase Bank, N.A., MUFG Bank, Ltd., Sumitomo Mitsui Banking Corporation and State Street Bank and Trust Company.</w:t>
      </w:r>
    </w:p>
    <w:p>
      <w:pPr>
        <w:pStyle w:val="TextBody"/>
        <w:bidi w:val="0"/>
        <w:spacing w:before="0" w:after="240"/>
        <w:jc w:val="both"/>
        <w:rPr/>
      </w:pPr>
      <w:r>
        <w:rPr>
          <w:color w:val="000000"/>
        </w:rPr>
        <w:t>“</w:t>
      </w:r>
      <w:r>
        <w:rPr>
          <w:rFonts w:ascii="Times New Roman" w:hAnsi="Times New Roman"/>
          <w:color w:val="000000"/>
          <w:sz w:val="24"/>
          <w:u w:val="single"/>
        </w:rPr>
        <w:t>LC Disbursement</w:t>
      </w:r>
      <w:r>
        <w:rPr>
          <w:rFonts w:ascii="Times New Roman" w:hAnsi="Times New Roman"/>
          <w:color w:val="000000"/>
          <w:sz w:val="20"/>
        </w:rPr>
        <w:t xml:space="preserve">” </w:t>
      </w:r>
      <w:r>
        <w:rPr>
          <w:rFonts w:ascii="Times New Roman" w:hAnsi="Times New Roman"/>
          <w:color w:val="000000"/>
          <w:sz w:val="24"/>
        </w:rPr>
        <w:t>means a payment made by any Issuing Bank pursuant to a Letter of Credit.</w:t>
      </w:r>
    </w:p>
    <w:p>
      <w:pPr>
        <w:pStyle w:val="TextBody"/>
        <w:bidi w:val="0"/>
        <w:spacing w:before="0" w:after="240"/>
        <w:jc w:val="both"/>
        <w:rPr/>
      </w:pPr>
      <w:r>
        <w:rPr>
          <w:color w:val="000000"/>
        </w:rPr>
        <w:t>“</w:t>
      </w:r>
      <w:r>
        <w:rPr>
          <w:rFonts w:ascii="Times New Roman" w:hAnsi="Times New Roman"/>
          <w:color w:val="000000"/>
          <w:sz w:val="24"/>
          <w:u w:val="single"/>
        </w:rPr>
        <w:t>LC Exposure</w:t>
      </w:r>
      <w:r>
        <w:rPr>
          <w:rFonts w:ascii="Times New Roman" w:hAnsi="Times New Roman"/>
          <w:color w:val="000000"/>
          <w:sz w:val="20"/>
        </w:rPr>
        <w:t xml:space="preserve">” </w:t>
      </w:r>
      <w:r>
        <w:rPr>
          <w:rFonts w:ascii="Times New Roman" w:hAnsi="Times New Roman"/>
          <w:color w:val="000000"/>
          <w:sz w:val="24"/>
        </w:rPr>
        <w:t>means, at any time, the sum of the Dollar LC Exposure and the Multicurrency LC Exposure.</w:t>
      </w:r>
    </w:p>
    <w:p>
      <w:pPr>
        <w:pStyle w:val="TextBody"/>
        <w:bidi w:val="0"/>
        <w:spacing w:before="0" w:after="240"/>
        <w:jc w:val="both"/>
        <w:rPr/>
      </w:pPr>
      <w:r>
        <w:rPr>
          <w:color w:val="000000"/>
        </w:rPr>
        <w:t>“</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means, collectively, the Dollar Lenders and the Multicurrency Lenders. Unless the context otherwise requires, the term “Lenders” includes each Swingline Lender.</w:t>
      </w:r>
    </w:p>
    <w:p>
      <w:pPr>
        <w:pStyle w:val="TextBody"/>
        <w:bidi w:val="0"/>
        <w:spacing w:before="0" w:after="240"/>
        <w:jc w:val="both"/>
        <w:rPr/>
      </w:pPr>
      <w:r>
        <w:rPr>
          <w:color w:val="000000"/>
        </w:rPr>
        <w:t>“</w:t>
      </w:r>
      <w:r>
        <w:rPr>
          <w:rFonts w:ascii="Times New Roman" w:hAnsi="Times New Roman"/>
          <w:color w:val="000000"/>
          <w:sz w:val="24"/>
          <w:u w:val="single"/>
        </w:rPr>
        <w:t>Letter of Credit</w:t>
      </w:r>
      <w:r>
        <w:rPr>
          <w:rFonts w:ascii="Times New Roman" w:hAnsi="Times New Roman"/>
          <w:color w:val="000000"/>
          <w:sz w:val="20"/>
        </w:rPr>
        <w:t xml:space="preserve">” </w:t>
      </w:r>
      <w:r>
        <w:rPr>
          <w:rFonts w:ascii="Times New Roman" w:hAnsi="Times New Roman"/>
          <w:color w:val="000000"/>
          <w:sz w:val="24"/>
        </w:rPr>
        <w:t>means any letter of credit issued pursuant to this Agreement.</w:t>
      </w:r>
    </w:p>
    <w:p>
      <w:pPr>
        <w:pStyle w:val="TextBody"/>
        <w:bidi w:val="0"/>
        <w:spacing w:before="0" w:after="240"/>
        <w:jc w:val="both"/>
        <w:rPr/>
      </w:pPr>
      <w:r>
        <w:rPr>
          <w:color w:val="000000"/>
        </w:rPr>
        <w:t>“</w:t>
      </w:r>
      <w:r>
        <w:rPr>
          <w:rFonts w:ascii="Times New Roman" w:hAnsi="Times New Roman"/>
          <w:color w:val="000000"/>
          <w:sz w:val="24"/>
          <w:u w:val="single"/>
        </w:rPr>
        <w:t>Letter of Credit Collateral Account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2.05(k)</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Letter of Credit Documents</w:t>
      </w:r>
      <w:r>
        <w:rPr>
          <w:rFonts w:ascii="Times New Roman" w:hAnsi="Times New Roman"/>
          <w:color w:val="000000"/>
          <w:sz w:val="20"/>
        </w:rPr>
        <w:t xml:space="preserve">” </w:t>
      </w:r>
      <w:r>
        <w:rPr>
          <w:rFonts w:ascii="Times New Roman" w:hAnsi="Times New Roman"/>
          <w:color w:val="000000"/>
          <w:sz w:val="24"/>
        </w:rPr>
        <w:t>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Letter of Credit or (b) any collateral security for any of such obligations, each as the same may be modified and supplemented and in effect from time to time.</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pStyle w:val="TextBody"/>
        <w:bidi w:val="0"/>
        <w:spacing w:before="0" w:after="240"/>
        <w:jc w:val="both"/>
        <w:rPr/>
      </w:pPr>
      <w:r>
        <w:rPr>
          <w:color w:val="000000"/>
        </w:rPr>
        <w:t>“</w:t>
      </w:r>
      <w:r>
        <w:rPr>
          <w:rFonts w:ascii="Times New Roman" w:hAnsi="Times New Roman"/>
          <w:color w:val="000000"/>
          <w:sz w:val="24"/>
          <w:u w:val="single"/>
        </w:rPr>
        <w:t>Loan Documents</w:t>
      </w:r>
      <w:r>
        <w:rPr>
          <w:rFonts w:ascii="Times New Roman" w:hAnsi="Times New Roman"/>
          <w:color w:val="000000"/>
          <w:sz w:val="20"/>
        </w:rPr>
        <w:t xml:space="preserve">” </w:t>
      </w:r>
      <w:r>
        <w:rPr>
          <w:rFonts w:ascii="Times New Roman" w:hAnsi="Times New Roman"/>
          <w:color w:val="000000"/>
          <w:sz w:val="24"/>
        </w:rPr>
        <w:t>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the Sixth Amendment to this Agreement dated as of February 20, 2018, the Seventh Amendment to this Agreement dated as of November 5, 2018, the Eighth Amendment to this Agreement dated as of February 14, 2019, the Ninth Amendment to this Agreement dated as of January 31, 2020, the Tenth Amendment to this Agreement dated as of February 5, 2021, the Eleventh Amendment to this Agreement dated as of December 14, 2021, the Twelfth Amendment to this Agreement dated as of April 25, 2022, the Thirteenth Amendment to this Agreement dated as of May 19, 2022, the Fourteenth Amendment to this Agreement dated as of June 12, 2023, the Fifteenth Amendment to this Agreement dated as of April 24, 2024, and the Sixteenth Amendment to this Agreement and Second Amendment to the Guarantee and Security Agreement dated as of March 4, 2025.</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Loans</w:t>
      </w:r>
      <w:r>
        <w:rPr>
          <w:rFonts w:ascii="Times New Roman" w:hAnsi="Times New Roman"/>
          <w:color w:val="000000"/>
          <w:sz w:val="20"/>
        </w:rPr>
        <w:t xml:space="preserve">” </w:t>
      </w:r>
      <w:r>
        <w:rPr>
          <w:rFonts w:ascii="Times New Roman" w:hAnsi="Times New Roman"/>
          <w:color w:val="000000"/>
          <w:sz w:val="24"/>
        </w:rPr>
        <w:t>means the loans made by the Lenders to the Borrower pursuant to this Agreement.</w:t>
      </w:r>
    </w:p>
    <w:p>
      <w:pPr>
        <w:pStyle w:val="TextBody"/>
        <w:bidi w:val="0"/>
        <w:spacing w:before="0" w:after="240"/>
        <w:jc w:val="both"/>
        <w:rPr/>
      </w:pPr>
      <w:r>
        <w:rPr>
          <w:color w:val="000000"/>
        </w:rPr>
        <w:t>“</w:t>
      </w:r>
      <w:r>
        <w:rPr>
          <w:rFonts w:ascii="Times New Roman" w:hAnsi="Times New Roman"/>
          <w:color w:val="000000"/>
          <w:sz w:val="24"/>
          <w:u w:val="single"/>
        </w:rPr>
        <w:t>Margin Stock</w:t>
      </w:r>
      <w:r>
        <w:rPr>
          <w:rFonts w:ascii="Times New Roman" w:hAnsi="Times New Roman"/>
          <w:color w:val="000000"/>
          <w:sz w:val="20"/>
        </w:rPr>
        <w:t xml:space="preserve">” </w:t>
      </w:r>
      <w:r>
        <w:rPr>
          <w:rFonts w:ascii="Times New Roman" w:hAnsi="Times New Roman"/>
          <w:color w:val="000000"/>
          <w:sz w:val="24"/>
        </w:rPr>
        <w:t>means “margin stock” within the meaning of Regulations T, U and X.</w:t>
      </w:r>
    </w:p>
    <w:p>
      <w:pPr>
        <w:pStyle w:val="TextBody"/>
        <w:bidi w:val="0"/>
        <w:spacing w:before="0" w:after="240"/>
        <w:jc w:val="both"/>
        <w:rPr/>
      </w:pPr>
      <w:r>
        <w:rPr>
          <w:color w:val="000000"/>
        </w:rPr>
        <w:t>“</w:t>
      </w:r>
      <w:r>
        <w:rPr>
          <w:rFonts w:ascii="Times New Roman" w:hAnsi="Times New Roman"/>
          <w:color w:val="000000"/>
          <w:sz w:val="24"/>
          <w:u w:val="single"/>
        </w:rPr>
        <w:t>Material Adverse Change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3.04(b)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Collateral Agent, the Administrative Agent and the Lenders thereunder.</w:t>
      </w:r>
    </w:p>
    <w:p>
      <w:pPr>
        <w:pStyle w:val="TextBody"/>
        <w:bidi w:val="0"/>
        <w:spacing w:before="0" w:after="240"/>
        <w:jc w:val="both"/>
        <w:rPr/>
      </w:pPr>
      <w:r>
        <w:rPr>
          <w:color w:val="000000"/>
        </w:rPr>
        <w:t>“</w:t>
      </w:r>
      <w:r>
        <w:rPr>
          <w:rFonts w:ascii="Times New Roman" w:hAnsi="Times New Roman"/>
          <w:color w:val="000000"/>
          <w:sz w:val="24"/>
          <w:u w:val="single"/>
        </w:rPr>
        <w:t>Material Indebtedness</w:t>
      </w:r>
      <w:r>
        <w:rPr>
          <w:rFonts w:ascii="Times New Roman" w:hAnsi="Times New Roman"/>
          <w:color w:val="000000"/>
          <w:sz w:val="20"/>
        </w:rPr>
        <w:t xml:space="preserve">” </w:t>
      </w:r>
      <w:r>
        <w:rPr>
          <w:rFonts w:ascii="Times New Roman" w:hAnsi="Times New Roman"/>
          <w:color w:val="000000"/>
          <w:sz w:val="24"/>
        </w:rPr>
        <w:t>means (a) Indebtedness (other than the Loans, Letters of Credit and Hedging Agreements), of any one or more of the Borrower and its Subsidiaries in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aggregate principal amount exceeding $50,000,000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$50,000,000.</w:t>
      </w:r>
    </w:p>
    <w:p>
      <w:pPr>
        <w:pStyle w:val="TextBody"/>
        <w:bidi w:val="0"/>
        <w:spacing w:before="0" w:after="240"/>
        <w:jc w:val="both"/>
        <w:rPr/>
      </w:pPr>
      <w:r>
        <w:rPr>
          <w:color w:val="000000"/>
        </w:rPr>
        <w:t>“</w:t>
      </w:r>
      <w:r>
        <w:rPr>
          <w:rFonts w:ascii="Times New Roman" w:hAnsi="Times New Roman"/>
          <w:color w:val="000000"/>
          <w:sz w:val="24"/>
          <w:u w:val="single"/>
        </w:rPr>
        <w:t>Maximum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9.20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Minimum Collateral Amount</w:t>
      </w:r>
      <w:r>
        <w:rPr>
          <w:rFonts w:ascii="Times New Roman" w:hAnsi="Times New Roman"/>
          <w:color w:val="000000"/>
          <w:sz w:val="20"/>
        </w:rPr>
        <w:t xml:space="preserve">” </w:t>
      </w:r>
      <w:r>
        <w:rPr>
          <w:rFonts w:ascii="Times New Roman" w:hAnsi="Times New Roman"/>
          <w:color w:val="000000"/>
          <w:sz w:val="24"/>
        </w:rPr>
        <w:t>means, at any time, with respect to Cash Collateral consisting of Cash or deposit account balances, an amount equal to 100% of the Fronting Exposure of each Issuing Bank with respect to Letters of Credit issued and outstanding at such time.</w:t>
      </w:r>
    </w:p>
    <w:p>
      <w:pPr>
        <w:pStyle w:val="TextBody"/>
        <w:bidi w:val="0"/>
        <w:spacing w:before="0" w:after="240"/>
        <w:jc w:val="both"/>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 or any successor thereto.</w:t>
      </w:r>
    </w:p>
    <w:p>
      <w:pPr>
        <w:pStyle w:val="TextBody"/>
        <w:bidi w:val="0"/>
        <w:spacing w:before="0" w:after="240"/>
        <w:jc w:val="both"/>
        <w:rPr/>
      </w:pPr>
      <w:r>
        <w:rPr>
          <w:color w:val="000000"/>
        </w:rPr>
        <w:t>“</w:t>
      </w:r>
      <w:r>
        <w:rPr>
          <w:rFonts w:ascii="Times New Roman" w:hAnsi="Times New Roman"/>
          <w:color w:val="000000"/>
          <w:sz w:val="24"/>
          <w:u w:val="single"/>
        </w:rPr>
        <w:t>Multicurrency Commitment</w:t>
      </w:r>
      <w:r>
        <w:rPr>
          <w:rFonts w:ascii="Times New Roman" w:hAnsi="Times New Roman"/>
          <w:color w:val="000000"/>
          <w:sz w:val="20"/>
        </w:rPr>
        <w:t xml:space="preserve">” </w:t>
      </w:r>
      <w:r>
        <w:rPr>
          <w:rFonts w:ascii="Times New Roman" w:hAnsi="Times New Roman"/>
          <w:color w:val="000000"/>
          <w:sz w:val="24"/>
        </w:rPr>
        <w:t xml:space="preserve">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and (b) reduced or increased from time to time pursuant to assignments by or to such Lender pursuant to </w:t>
      </w:r>
      <w:r>
        <w:rPr>
          <w:rFonts w:ascii="Times New Roman" w:hAnsi="Times New Roman"/>
          <w:color w:val="000000"/>
          <w:sz w:val="24"/>
          <w:u w:val="single"/>
        </w:rPr>
        <w:t>Section 9.04</w:t>
      </w:r>
      <w:r>
        <w:rPr>
          <w:rFonts w:ascii="Times New Roman" w:hAnsi="Times New Roman"/>
          <w:color w:val="000000"/>
          <w:sz w:val="24"/>
        </w:rPr>
        <w:t xml:space="preserve">. The initial amount of each Lender’s Multicurrency Commitment as of the Sixteenth Amendment Effective Date is set forth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or in a Commitment Increase Supplement or Assignment and Assumption pursuant to which such Lender shall have assumed its Multicurrency Commitment, as applicable. The aggregate amount of the Lenders’ Multicurrency Commitments as of the Sixteenth Amendment Effective Date is $1,195,000,000.</w:t>
      </w:r>
    </w:p>
    <w:p>
      <w:pPr>
        <w:pStyle w:val="TextBody"/>
        <w:bidi w:val="0"/>
        <w:spacing w:before="0" w:after="240"/>
        <w:jc w:val="both"/>
        <w:rPr/>
      </w:pPr>
      <w:r>
        <w:rPr>
          <w:color w:val="000000"/>
        </w:rPr>
        <w:t>“</w:t>
      </w:r>
      <w:r>
        <w:rPr>
          <w:rFonts w:ascii="Times New Roman" w:hAnsi="Times New Roman"/>
          <w:color w:val="000000"/>
          <w:sz w:val="24"/>
          <w:u w:val="single"/>
        </w:rPr>
        <w:t>Multicurrency LC Exposure</w:t>
      </w:r>
      <w:r>
        <w:rPr>
          <w:rFonts w:ascii="Times New Roman" w:hAnsi="Times New Roman"/>
          <w:color w:val="000000"/>
          <w:sz w:val="20"/>
        </w:rPr>
        <w:t xml:space="preserve">” </w:t>
      </w:r>
      <w:r>
        <w:rPr>
          <w:rFonts w:ascii="Times New Roman" w:hAnsi="Times New Roman"/>
          <w:color w:val="000000"/>
          <w:sz w:val="24"/>
        </w:rPr>
        <w:t xml:space="preserve">means, at any time, the sum of (a) the aggregate undrawn amount of all outstanding Multicurrency Letters of Credit at such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Multicurrency Lender</w:t>
      </w:r>
      <w:r>
        <w:rPr>
          <w:rFonts w:ascii="Times New Roman" w:hAnsi="Times New Roman"/>
          <w:color w:val="000000"/>
          <w:sz w:val="20"/>
        </w:rPr>
        <w:t xml:space="preserve">” </w:t>
      </w:r>
      <w:r>
        <w:rPr>
          <w:rFonts w:ascii="Times New Roman" w:hAnsi="Times New Roman"/>
          <w:color w:val="000000"/>
          <w:sz w:val="24"/>
        </w:rPr>
        <w:t xml:space="preserve">means the Persons listed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as having Multicurrency Commitments and any other Person that shall have become a party hereto pursuant to a Commitment Increase Supplement or Assignment and Assumption that provides for it to assume a Multicurrency Commitment or to acquire Revolving Multicurrency Credit Exposure, other than any such Person that ceases to be a party hereto pursuant to an Assignment and Assumption.</w:t>
      </w:r>
    </w:p>
    <w:p>
      <w:pPr>
        <w:pStyle w:val="TextBody"/>
        <w:bidi w:val="0"/>
        <w:spacing w:before="0" w:after="240"/>
        <w:jc w:val="both"/>
        <w:rPr/>
      </w:pPr>
      <w:r>
        <w:rPr>
          <w:color w:val="000000"/>
        </w:rPr>
        <w:t>“</w:t>
      </w:r>
      <w:r>
        <w:rPr>
          <w:rFonts w:ascii="Times New Roman" w:hAnsi="Times New Roman"/>
          <w:color w:val="000000"/>
          <w:sz w:val="24"/>
          <w:u w:val="single"/>
        </w:rPr>
        <w:t>Multicurrency Letters of Credit</w:t>
      </w:r>
      <w:r>
        <w:rPr>
          <w:rFonts w:ascii="Times New Roman" w:hAnsi="Times New Roman"/>
          <w:color w:val="000000"/>
          <w:sz w:val="20"/>
        </w:rPr>
        <w:t xml:space="preserve">” </w:t>
      </w:r>
      <w:r>
        <w:rPr>
          <w:rFonts w:ascii="Times New Roman" w:hAnsi="Times New Roman"/>
          <w:color w:val="000000"/>
          <w:sz w:val="24"/>
        </w:rPr>
        <w:t>means Letters of Credit that utilize the Multicurrency Commitments.</w:t>
      </w:r>
    </w:p>
    <w:p>
      <w:pPr>
        <w:pStyle w:val="TextBody"/>
        <w:bidi w:val="0"/>
        <w:spacing w:before="0" w:after="240"/>
        <w:jc w:val="both"/>
        <w:rPr/>
      </w:pPr>
      <w:r>
        <w:rPr>
          <w:color w:val="000000"/>
        </w:rPr>
        <w:t>“</w:t>
      </w:r>
      <w:r>
        <w:rPr>
          <w:rFonts w:ascii="Times New Roman" w:hAnsi="Times New Roman"/>
          <w:color w:val="000000"/>
          <w:sz w:val="24"/>
          <w:u w:val="single"/>
        </w:rPr>
        <w:t>Multicurrency Loan</w:t>
      </w:r>
      <w:r>
        <w:rPr>
          <w:rFonts w:ascii="Times New Roman" w:hAnsi="Times New Roman"/>
          <w:color w:val="000000"/>
          <w:sz w:val="20"/>
        </w:rPr>
        <w:t xml:space="preserve">” </w:t>
      </w:r>
      <w:r>
        <w:rPr>
          <w:rFonts w:ascii="Times New Roman" w:hAnsi="Times New Roman"/>
          <w:color w:val="000000"/>
          <w:sz w:val="24"/>
        </w:rPr>
        <w:t>means a Loan denominated in Dollars or an Agreed Foreign Currency.</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w:t>
      </w:r>
    </w:p>
    <w:p>
      <w:pPr>
        <w:pStyle w:val="TextBody"/>
        <w:bidi w:val="0"/>
        <w:spacing w:before="0" w:after="240"/>
        <w:jc w:val="both"/>
        <w:rPr/>
      </w:pPr>
      <w:r>
        <w:rPr>
          <w:color w:val="000000"/>
        </w:rPr>
        <w:t>“</w:t>
      </w:r>
      <w:r>
        <w:rPr>
          <w:rFonts w:ascii="Times New Roman" w:hAnsi="Times New Roman"/>
          <w:color w:val="000000"/>
          <w:sz w:val="24"/>
          <w:u w:val="single"/>
        </w:rPr>
        <w:t>National Currency</w:t>
      </w:r>
      <w:r>
        <w:rPr>
          <w:rFonts w:ascii="Times New Roman" w:hAnsi="Times New Roman"/>
          <w:color w:val="000000"/>
          <w:sz w:val="20"/>
        </w:rPr>
        <w:t xml:space="preserve">” </w:t>
      </w:r>
      <w:r>
        <w:rPr>
          <w:rFonts w:ascii="Times New Roman" w:hAnsi="Times New Roman"/>
          <w:color w:val="000000"/>
          <w:sz w:val="24"/>
        </w:rPr>
        <w:t>means the currency, other than the Euro, of a Participating Member State.</w:t>
      </w:r>
    </w:p>
    <w:p>
      <w:pPr>
        <w:pStyle w:val="TextBody"/>
        <w:bidi w:val="0"/>
        <w:spacing w:before="0" w:after="240"/>
        <w:jc w:val="both"/>
        <w:rPr/>
      </w:pPr>
      <w:r>
        <w:rPr>
          <w:color w:val="000000"/>
        </w:rPr>
        <w:t>“</w:t>
      </w:r>
      <w:r>
        <w:rPr>
          <w:rFonts w:ascii="Times New Roman" w:hAnsi="Times New Roman"/>
          <w:color w:val="000000"/>
          <w:sz w:val="24"/>
          <w:u w:val="single"/>
        </w:rPr>
        <w:t>Net Cash Proceeds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 w:hAnsi="Times New Roman"/>
          <w:color w:val="000000"/>
          <w:sz w:val="24"/>
          <w:u w:val="single"/>
        </w:rPr>
        <w:t>Section 2.10(d)</w:t>
      </w:r>
      <w:r>
        <w:rPr>
          <w:rFonts w:ascii="Times New Roman" w:hAnsi="Times New Roman"/>
          <w:color w:val="000000"/>
          <w:sz w:val="24"/>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amount of any estimated taxes pursuant to </w:t>
      </w:r>
      <w:r>
        <w:rPr>
          <w:rFonts w:ascii="Times New Roman" w:hAnsi="Times New Roman"/>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hAnsi="Times New Roman"/>
          <w:color w:val="000000"/>
          <w:sz w:val="24"/>
          <w:u w:val="single"/>
        </w:rPr>
        <w:t>Section 2.10(d)</w:t>
      </w:r>
      <w:r>
        <w:rPr>
          <w:rFonts w:ascii="Times New Roman" w:hAnsi="Times New Roman"/>
          <w:color w:val="000000"/>
          <w:sz w:val="24"/>
        </w:rPr>
        <w:t xml:space="preserve">), an amount equal to (i) the sum of the cash and Cash Equivalents received in connection with such transaction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the sum of (1) reasonable out-of-pocket fees, costs and expenses, incurred by the Borrower or such Subsidiary in connection therewith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(2) any reasonable costs, fees, commissions, premiums, expenses, or underwriting discounts or commissions incurred by the Borrower or any of its Subsidiaries in connection with such sale or issuance.</w:t>
      </w:r>
    </w:p>
    <w:p>
      <w:pPr>
        <w:pStyle w:val="TextBody"/>
        <w:bidi w:val="0"/>
        <w:spacing w:before="0" w:after="240"/>
        <w:jc w:val="both"/>
        <w:rPr/>
      </w:pPr>
      <w:r>
        <w:rPr>
          <w:color w:val="000000"/>
        </w:rPr>
        <w:t>“</w:t>
      </w:r>
      <w:r>
        <w:rPr>
          <w:rFonts w:ascii="Times New Roman" w:hAnsi="Times New Roman"/>
          <w:color w:val="000000"/>
          <w:sz w:val="24"/>
          <w:u w:val="single"/>
        </w:rPr>
        <w:t>New Zealand Dollars</w:t>
      </w:r>
      <w:r>
        <w:rPr>
          <w:rFonts w:ascii="Times New Roman" w:hAnsi="Times New Roman"/>
          <w:color w:val="000000"/>
          <w:sz w:val="20"/>
        </w:rPr>
        <w:t xml:space="preserve">” </w:t>
      </w:r>
      <w:r>
        <w:rPr>
          <w:rFonts w:ascii="Times New Roman" w:hAnsi="Times New Roman"/>
          <w:color w:val="000000"/>
          <w:sz w:val="24"/>
        </w:rPr>
        <w:t>means the lawful currency of New Zealand.</w:t>
      </w:r>
    </w:p>
    <w:p>
      <w:pPr>
        <w:pStyle w:val="TextBody"/>
        <w:bidi w:val="0"/>
        <w:spacing w:before="0" w:after="240"/>
        <w:jc w:val="both"/>
        <w:rPr/>
      </w:pPr>
      <w:r>
        <w:rPr>
          <w:color w:val="000000"/>
        </w:rPr>
        <w:t>“</w:t>
      </w:r>
      <w:r>
        <w:rPr>
          <w:rFonts w:ascii="Times New Roman" w:hAnsi="Times New Roman"/>
          <w:color w:val="000000"/>
          <w:sz w:val="24"/>
          <w:u w:val="single"/>
        </w:rPr>
        <w:t>Non-Consenting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Non-Defaulting Lender</w:t>
      </w:r>
      <w:r>
        <w:rPr>
          <w:rFonts w:ascii="Times New Roman" w:hAnsi="Times New Roman"/>
          <w:color w:val="000000"/>
          <w:sz w:val="20"/>
        </w:rPr>
        <w:t xml:space="preserve">” </w:t>
      </w:r>
      <w:r>
        <w:rPr>
          <w:rFonts w:ascii="Times New Roman" w:hAnsi="Times New Roman"/>
          <w:color w:val="000000"/>
          <w:sz w:val="24"/>
        </w:rPr>
        <w:t>means, at any time, a Lender that is not a Defaulting Lender at such time.</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Non-Extended Applicable Margin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with respect to each Non-Extending Lender to which the Non-Extended Final Maturity Date of January 31, 2025 is applicable, (i) if the Borrowing Base (as of the most recently delivered Borrowing Base Certificate) is equal to or greater than 1.85 times the Combined Debt Amount, (A) with respect to any ABR Loan, 0.75% per annum; (B) with respect to any Term Benchmark Loan, 1.75% per annum; and (C) with respect to any RFR Loan, 1.75% per annum plus the RFR Applicable Credit Adjustment Spread; and (ii) if the Borrowing Base (as of the most recently delivered Borrowing Base Certificate) is less than 1.85 times the Combined Debt Amount (A) with respect to any ABR Loan, 0.875% per annum; (B) with respect to any Term Benchmark Loan, 1.875% per annum; and (C) with respect to any RFR Loan, 1.875% per annum plus the RFR Applicable Credit Adjustment Spread;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each Non-Extending Lender to which the Non-Extended Final Maturity Date of February 4, 2026 is applicable, (i) if the Borrowing Base (as of the most recently delivered Borrowing Base Certificate) is equal to or greater than 1.85 times the Combined Debt Amount, (A) with respect to any ABR Loan, 0.75% per annum; (B) with respect to any Term Benchmark Loan, 1.75% per annum; and (C) with respect to any RFR Loan, 1.75% per annum plus the RFR Applicable Credit Adjustment Spread; and (ii) if the Borrowing Base (as of the most recently delivered Borrowing Base Certificate) is less than 1.85 times the Combined Debt Amount (A) with respect to any ABR Loan, 0.875% per annum; (B) with respect to any Term Benchmark Loan, 1.875% per annum; and (C) with respect to any RFR Loan, 1.875% per annum plus the RFR Applicable Credit Adjustment Spread; and</w:t>
      </w:r>
    </w:p>
    <w:p>
      <w:pPr>
        <w:pStyle w:val="TextBody"/>
        <w:bidi w:val="0"/>
        <w:spacing w:before="0" w:after="240"/>
        <w:jc w:val="both"/>
        <w:rPr>
          <w:rFonts w:ascii="Times New Roman" w:hAnsi="Times New Roman"/>
          <w:sz w:val="20"/>
        </w:rPr>
      </w:pPr>
      <w:r>
        <w:rPr>
          <w:rFonts w:ascii="Times New Roman" w:hAnsi="Times New Roman"/>
          <w:color w:val="000000"/>
          <w:sz w:val="24"/>
        </w:rPr>
        <w:t>(c) with respect to each Non-Extending Lender to which the Non-Extended Final Maturity Date of April 23, 2027 is applicable, (i) if the Borrowing Base (as of the most recently delivered Borrowing Base Certificate) is equal to or greater than 1.60 times the Combined Debt Amount, (A) with respect to any ABR Loan, 0.75% per annum; (B) with respect to any Term Benchmark Loan, 1.75% per annum; and (C) with respect to any RFR Loan 1.75% per annum; and (ii) if the Borrowing Base (as of the most recently delivered Borrowing Base Certificate) is less than 1.60 times the Combined Debt Amount (A) with respect to any ABR Loan, 0.875% per annum; (B) with respect to any Term Benchmark Loan, 1.875% per annum; and (C) with respect to any RFR Loan 1.875% per annum.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provided that if any Borrowing Base Certificate has not been delivered in accordance with Section 5.01(d), then from and including the day immediately succeeding the date on which such Borrowing Base Certificate was required to be delivered, the Non-Extended Applicable Margin shall be the Non-Extended Applicable Margin set forth in clause (a)(ii), clause (b)(ii) or clause (c)(ii) above, as applicable, to and including the date on which the required Borrowing Base Certificate is delivered.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Non-Extended Availability Period</w:t>
      </w:r>
      <w:r>
        <w:rPr>
          <w:rFonts w:ascii="Times New Roman" w:hAnsi="Times New Roman"/>
          <w:color w:val="000000"/>
          <w:sz w:val="20"/>
        </w:rPr>
        <w:t xml:space="preserve">” </w:t>
      </w:r>
      <w:r>
        <w:rPr>
          <w:rFonts w:ascii="Times New Roman" w:hAnsi="Times New Roman"/>
          <w:color w:val="000000"/>
          <w:sz w:val="24"/>
        </w:rPr>
        <w:t>means, with respect to any Non-Extending Lender, the period from and including the Effective Date to but excluding the earlier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Non-Extended Commitment Termination Date for such Non-Extending Lender and the date of termination of the Commitments.</w:t>
      </w:r>
    </w:p>
    <w:p>
      <w:pPr>
        <w:pStyle w:val="TextBody"/>
        <w:bidi w:val="0"/>
        <w:spacing w:before="0" w:after="240"/>
        <w:jc w:val="both"/>
        <w:rPr/>
      </w:pPr>
      <w:r>
        <w:rPr>
          <w:color w:val="000000"/>
        </w:rPr>
        <w:t>“</w:t>
      </w:r>
      <w:r>
        <w:rPr>
          <w:rFonts w:ascii="Times New Roman" w:hAnsi="Times New Roman"/>
          <w:color w:val="000000"/>
          <w:sz w:val="24"/>
          <w:u w:val="single"/>
        </w:rPr>
        <w:t>Non-Extended Commitment Termination Date</w:t>
      </w:r>
      <w:r>
        <w:rPr>
          <w:rFonts w:ascii="Times New Roman" w:hAnsi="Times New Roman"/>
          <w:color w:val="000000"/>
          <w:sz w:val="20"/>
        </w:rPr>
        <w:t xml:space="preserve">” </w:t>
      </w:r>
      <w:r>
        <w:rPr>
          <w:rFonts w:ascii="Times New Roman" w:hAnsi="Times New Roman"/>
          <w:color w:val="000000"/>
          <w:sz w:val="24"/>
        </w:rPr>
        <w:t xml:space="preserve">means, with respect to each Non-Extending Lender, the “Non-Extended Commitment Termination Date” set forth next to such Non-Extending Lender’s name on </w:t>
      </w:r>
      <w:r>
        <w:rPr>
          <w:rFonts w:ascii="Times New Roman" w:hAnsi="Times New Roman"/>
          <w:color w:val="000000"/>
          <w:sz w:val="24"/>
          <w:u w:val="single"/>
        </w:rPr>
        <w:t>Schedule 1.01(b)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Non-Extended Final Maturity Date</w:t>
      </w:r>
      <w:r>
        <w:rPr>
          <w:rFonts w:ascii="Times New Roman" w:hAnsi="Times New Roman"/>
          <w:color w:val="000000"/>
          <w:sz w:val="20"/>
        </w:rPr>
        <w:t xml:space="preserve">” </w:t>
      </w:r>
      <w:r>
        <w:rPr>
          <w:rFonts w:ascii="Times New Roman" w:hAnsi="Times New Roman"/>
          <w:color w:val="000000"/>
          <w:sz w:val="24"/>
        </w:rPr>
        <w:t xml:space="preserve">means, with respect to each Non-Extending Lender, the “Non-Extended Final Maturity Date” set forth next to such Non-Extending Lender’s name on </w:t>
      </w:r>
      <w:r>
        <w:rPr>
          <w:rFonts w:ascii="Times New Roman" w:hAnsi="Times New Roman"/>
          <w:color w:val="000000"/>
          <w:sz w:val="24"/>
          <w:u w:val="single"/>
        </w:rPr>
        <w:t>Schedule 1.01(b)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Non-Extended Loans</w:t>
      </w:r>
      <w:r>
        <w:rPr>
          <w:rFonts w:ascii="Times New Roman" w:hAnsi="Times New Roman"/>
          <w:color w:val="000000"/>
          <w:sz w:val="20"/>
        </w:rPr>
        <w:t xml:space="preserve">” </w:t>
      </w:r>
      <w:r>
        <w:rPr>
          <w:rFonts w:ascii="Times New Roman" w:hAnsi="Times New Roman"/>
          <w:color w:val="000000"/>
          <w:sz w:val="24"/>
        </w:rPr>
        <w:t>means Loans or Borrowings of any Non-Extending Lender maturing on the Non-Extended Final Maturity Date for such Non-Extending Lender.</w:t>
      </w:r>
    </w:p>
    <w:p>
      <w:pPr>
        <w:pStyle w:val="TextBody"/>
        <w:bidi w:val="0"/>
        <w:spacing w:before="0" w:after="240"/>
        <w:jc w:val="both"/>
        <w:rPr/>
      </w:pPr>
      <w:r>
        <w:rPr>
          <w:color w:val="000000"/>
        </w:rPr>
        <w:t>“</w:t>
      </w:r>
      <w:r>
        <w:rPr>
          <w:rFonts w:ascii="Times New Roman" w:hAnsi="Times New Roman"/>
          <w:color w:val="000000"/>
          <w:sz w:val="24"/>
          <w:u w:val="single"/>
        </w:rPr>
        <w:t>Non-Extending Lender</w:t>
      </w:r>
      <w:r>
        <w:rPr>
          <w:rFonts w:ascii="Times New Roman" w:hAnsi="Times New Roman"/>
          <w:color w:val="000000"/>
          <w:sz w:val="20"/>
        </w:rPr>
        <w:t xml:space="preserve">” </w:t>
      </w:r>
      <w:r>
        <w:rPr>
          <w:rFonts w:ascii="Times New Roman" w:hAnsi="Times New Roman"/>
          <w:color w:val="000000"/>
          <w:sz w:val="24"/>
        </w:rPr>
        <w:t xml:space="preserve">means each Lender designated as a “Non-Extending Lender” on </w:t>
      </w:r>
      <w:r>
        <w:rPr>
          <w:rFonts w:ascii="Times New Roman" w:hAnsi="Times New Roman"/>
          <w:color w:val="000000"/>
          <w:sz w:val="24"/>
          <w:u w:val="single"/>
        </w:rPr>
        <w:t>Schedule 1.01(b)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Non-Public Information</w:t>
      </w:r>
      <w:r>
        <w:rPr>
          <w:rFonts w:ascii="Times New Roman" w:hAnsi="Times New Roman"/>
          <w:color w:val="000000"/>
          <w:sz w:val="20"/>
        </w:rPr>
        <w:t xml:space="preserve">” </w:t>
      </w:r>
      <w:r>
        <w:rPr>
          <w:rFonts w:ascii="Times New Roman" w:hAnsi="Times New Roman"/>
          <w:color w:val="000000"/>
          <w:sz w:val="24"/>
        </w:rPr>
        <w:t>means material non-public information (within the meaning of United States federal, state or other applicable securities laws) with respect to Borrower or its Affiliates or their Securities.</w:t>
      </w:r>
    </w:p>
    <w:p>
      <w:pPr>
        <w:pStyle w:val="TextBody"/>
        <w:bidi w:val="0"/>
        <w:spacing w:before="0" w:after="240"/>
        <w:jc w:val="both"/>
        <w:rPr/>
      </w:pPr>
      <w:r>
        <w:rPr>
          <w:color w:val="000000"/>
        </w:rPr>
        <w:t>“</w:t>
      </w:r>
      <w:r>
        <w:rPr>
          <w:rFonts w:ascii="Times New Roman" w:hAnsi="Times New Roman"/>
          <w:color w:val="000000"/>
          <w:sz w:val="24"/>
          <w:u w:val="single"/>
        </w:rPr>
        <w:t>Obligor</w:t>
      </w:r>
      <w:r>
        <w:rPr>
          <w:rFonts w:ascii="Times New Roman" w:hAnsi="Times New Roman"/>
          <w:color w:val="000000"/>
          <w:sz w:val="20"/>
        </w:rPr>
        <w:t xml:space="preserve">” </w:t>
      </w:r>
      <w:r>
        <w:rPr>
          <w:rFonts w:ascii="Times New Roman" w:hAnsi="Times New Roman"/>
          <w:color w:val="000000"/>
          <w:sz w:val="24"/>
        </w:rPr>
        <w:t>means, collectively, the Borrower and the Subsidiary Guarantors.</w:t>
      </w:r>
    </w:p>
    <w:p>
      <w:pPr>
        <w:pStyle w:val="TextBody"/>
        <w:bidi w:val="0"/>
        <w:spacing w:before="0" w:after="240"/>
        <w:jc w:val="both"/>
        <w:rPr/>
      </w:pPr>
      <w:r>
        <w:rPr>
          <w:color w:val="000000"/>
        </w:rPr>
        <w:t>“</w:t>
      </w:r>
      <w:r>
        <w:rPr>
          <w:rFonts w:ascii="Times New Roman" w:hAnsi="Times New Roman"/>
          <w:color w:val="000000"/>
          <w:sz w:val="24"/>
          <w:u w:val="single"/>
        </w:rPr>
        <w:t>Original Currency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Original Effective Date</w:t>
      </w:r>
      <w:r>
        <w:rPr>
          <w:rFonts w:ascii="Times New Roman" w:hAnsi="Times New Roman"/>
          <w:color w:val="000000"/>
          <w:sz w:val="20"/>
        </w:rPr>
        <w:t xml:space="preserve">” </w:t>
      </w:r>
      <w:r>
        <w:rPr>
          <w:rFonts w:ascii="Times New Roman" w:hAnsi="Times New Roman"/>
          <w:color w:val="000000"/>
          <w:sz w:val="24"/>
        </w:rPr>
        <w:t>means July 3, 2013.</w:t>
      </w:r>
    </w:p>
    <w:p>
      <w:pPr>
        <w:pStyle w:val="TextBody"/>
        <w:bidi w:val="0"/>
        <w:spacing w:before="0" w:after="240"/>
        <w:jc w:val="both"/>
        <w:rPr/>
      </w:pPr>
      <w:r>
        <w:rPr>
          <w:color w:val="000000"/>
        </w:rPr>
        <w:t>“</w:t>
      </w:r>
      <w:r>
        <w:rPr>
          <w:rFonts w:ascii="Times New Roman" w:hAnsi="Times New Roman"/>
          <w:color w:val="000000"/>
          <w:sz w:val="24"/>
          <w:u w:val="single"/>
        </w:rPr>
        <w:t>Other Benchmark Rate Election</w:t>
      </w:r>
      <w:r>
        <w:rPr>
          <w:rFonts w:ascii="Times New Roman" w:hAnsi="Times New Roman"/>
          <w:color w:val="000000"/>
          <w:sz w:val="20"/>
        </w:rPr>
        <w:t xml:space="preserve">” </w:t>
      </w:r>
      <w:r>
        <w:rPr>
          <w:rFonts w:ascii="Times New Roman" w:hAnsi="Times New Roman"/>
          <w:color w:val="000000"/>
          <w:sz w:val="24"/>
        </w:rPr>
        <w:t>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pStyle w:val="TextBody"/>
        <w:bidi w:val="0"/>
        <w:spacing w:before="0" w:after="240"/>
        <w:jc w:val="both"/>
        <w:rPr/>
      </w:pPr>
      <w:r>
        <w:rPr>
          <w:color w:val="000000"/>
        </w:rPr>
        <w:t>“</w:t>
      </w:r>
      <w:r>
        <w:rPr>
          <w:rFonts w:ascii="Times New Roman" w:hAnsi="Times New Roman"/>
          <w:color w:val="000000"/>
          <w:sz w:val="24"/>
          <w:u w:val="single"/>
        </w:rPr>
        <w:t>Other Covered Indebtedness</w:t>
      </w:r>
      <w:r>
        <w:rPr>
          <w:rFonts w:ascii="Times New Roman" w:hAnsi="Times New Roman"/>
          <w:color w:val="000000"/>
          <w:sz w:val="20"/>
        </w:rPr>
        <w:t xml:space="preserve">” </w:t>
      </w:r>
      <w:r>
        <w:rPr>
          <w:rFonts w:ascii="Times New Roman" w:hAnsi="Times New Roman"/>
          <w:color w:val="000000"/>
          <w:sz w:val="24"/>
        </w:rPr>
        <w:t xml:space="preserve">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 w:hAnsi="Times New Roman"/>
          <w:color w:val="000000"/>
          <w:sz w:val="24"/>
          <w:u w:val="single"/>
        </w:rPr>
        <w:t>Section 6.02(e)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Other Permitted Indebtedness</w:t>
      </w:r>
      <w:r>
        <w:rPr>
          <w:rFonts w:ascii="Times New Roman" w:hAnsi="Times New Roman"/>
          <w:color w:val="000000"/>
          <w:sz w:val="20"/>
        </w:rPr>
        <w:t xml:space="preserve">” </w:t>
      </w:r>
      <w:r>
        <w:rPr>
          <w:rFonts w:ascii="Times New Roman" w:hAnsi="Times New Roman"/>
          <w:color w:val="000000"/>
          <w:sz w:val="24"/>
        </w:rPr>
        <w:t>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hAnsi="Times New Roman"/>
          <w:color w:val="000000"/>
          <w:sz w:val="24"/>
          <w:u w:val="single"/>
        </w:rPr>
        <w:t>clause (l)</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 xml:space="preserve">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 xml:space="preserve">hereof (unless such assignment is made pursuant to </w:t>
      </w:r>
      <w:r>
        <w:rPr>
          <w:rFonts w:ascii="Times New Roman" w:hAnsi="Times New Roman"/>
          <w:color w:val="000000"/>
          <w:sz w:val="24"/>
          <w:u w:val="single"/>
        </w:rPr>
        <w:t>Section 2.18(b)</w:t>
      </w:r>
      <w:r>
        <w:rPr>
          <w:rFonts w:ascii="Times New Roman" w:hAnsi="Times New Roman"/>
          <w:color w:val="000000"/>
          <w:sz w:val="24"/>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pStyle w:val="TextBody"/>
        <w:bidi w:val="0"/>
        <w:spacing w:before="0" w:after="240"/>
        <w:jc w:val="both"/>
        <w:rPr/>
      </w:pPr>
      <w:r>
        <w:rPr>
          <w:color w:val="000000"/>
        </w:rPr>
        <w:t>“</w:t>
      </w:r>
      <w:r>
        <w:rPr>
          <w:rFonts w:ascii="Times New Roman" w:hAnsi="Times New Roman"/>
          <w:color w:val="000000"/>
          <w:sz w:val="24"/>
          <w:u w:val="single"/>
        </w:rPr>
        <w:t>Outbound Investment Rules</w:t>
      </w:r>
      <w:r>
        <w:rPr>
          <w:rFonts w:ascii="Times New Roman" w:hAnsi="Times New Roman"/>
          <w:color w:val="000000"/>
          <w:sz w:val="20"/>
        </w:rPr>
        <w:t xml:space="preserve">” </w:t>
      </w:r>
      <w:r>
        <w:rPr>
          <w:rFonts w:ascii="Times New Roman" w:hAnsi="Times New Roman"/>
          <w:color w:val="000000"/>
          <w:sz w:val="24"/>
        </w:rPr>
        <w:t>means the regulations codified at 31 C.F.R. § 850.101 et seq.</w:t>
      </w:r>
    </w:p>
    <w:p>
      <w:pPr>
        <w:pStyle w:val="TextBody"/>
        <w:bidi w:val="0"/>
        <w:spacing w:before="0" w:after="240"/>
        <w:jc w:val="both"/>
        <w:rPr/>
      </w:pPr>
      <w:r>
        <w:rPr>
          <w:color w:val="000000"/>
        </w:rPr>
        <w:t>“</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9.04(f)</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Participant Register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Participating Member State</w:t>
      </w:r>
      <w:r>
        <w:rPr>
          <w:rFonts w:ascii="Times New Roman" w:hAnsi="Times New Roman"/>
          <w:color w:val="000000"/>
          <w:sz w:val="20"/>
        </w:rPr>
        <w:t xml:space="preserve">” </w:t>
      </w:r>
      <w:r>
        <w:rPr>
          <w:rFonts w:ascii="Times New Roman" w:hAnsi="Times New Roman"/>
          <w:color w:val="000000"/>
          <w:sz w:val="24"/>
        </w:rPr>
        <w:t>means any member state of the European Community that adopts or has adopted the Euro as its lawful currency in accordance with the legislation of the European Union relating to the European Monetary Union.</w:t>
      </w:r>
    </w:p>
    <w:p>
      <w:pPr>
        <w:pStyle w:val="TextBody"/>
        <w:bidi w:val="0"/>
        <w:spacing w:before="0" w:after="240"/>
        <w:jc w:val="both"/>
        <w:rPr/>
      </w:pPr>
      <w:r>
        <w:rPr>
          <w:color w:val="000000"/>
        </w:rPr>
        <w:t>“</w:t>
      </w:r>
      <w:r>
        <w:rPr>
          <w:rFonts w:ascii="Times New Roman" w:hAnsi="Times New Roman"/>
          <w:color w:val="000000"/>
          <w:sz w:val="24"/>
          <w:u w:val="single"/>
        </w:rPr>
        <w:t>PBGC</w:t>
      </w:r>
      <w:r>
        <w:rPr>
          <w:rFonts w:ascii="Times New Roman" w:hAnsi="Times New Roman"/>
          <w:color w:val="000000"/>
          <w:sz w:val="20"/>
        </w:rPr>
        <w:t xml:space="preserve">” </w:t>
      </w:r>
      <w:r>
        <w:rPr>
          <w:rFonts w:ascii="Times New Roman" w:hAnsi="Times New Roman"/>
          <w:color w:val="000000"/>
          <w:sz w:val="24"/>
        </w:rPr>
        <w:t>means the Pension Benefit Guaranty Corporation referred to and defined in ERISA and any successor entity performing similar functions.</w:t>
      </w:r>
    </w:p>
    <w:p>
      <w:pPr>
        <w:pStyle w:val="TextBody"/>
        <w:bidi w:val="0"/>
        <w:spacing w:before="0" w:after="240"/>
        <w:jc w:val="both"/>
        <w:rPr/>
      </w:pPr>
      <w:r>
        <w:rPr>
          <w:color w:val="000000"/>
        </w:rPr>
        <w:t>“</w:t>
      </w:r>
      <w:r>
        <w:rPr>
          <w:rFonts w:ascii="Times New Roman" w:hAnsi="Times New Roman"/>
          <w:color w:val="000000"/>
          <w:sz w:val="24"/>
          <w:u w:val="single"/>
        </w:rPr>
        <w:t>Periodic Term CORRA Determination Day</w:t>
      </w:r>
      <w:r>
        <w:rPr>
          <w:rFonts w:ascii="Times New Roman" w:hAnsi="Times New Roman"/>
          <w:color w:val="000000"/>
          <w:sz w:val="20"/>
        </w:rPr>
        <w:t xml:space="preserve">” </w:t>
      </w:r>
      <w:r>
        <w:rPr>
          <w:rFonts w:ascii="Times New Roman" w:hAnsi="Times New Roman"/>
          <w:color w:val="000000"/>
          <w:sz w:val="24"/>
        </w:rPr>
        <w:t>has the meaning specified in the definition of “Term CORRA”.</w:t>
      </w:r>
    </w:p>
    <w:p>
      <w:pPr>
        <w:pStyle w:val="TextBody"/>
        <w:bidi w:val="0"/>
        <w:spacing w:before="0" w:after="240"/>
        <w:jc w:val="both"/>
        <w:rPr/>
      </w:pPr>
      <w:r>
        <w:rPr>
          <w:color w:val="000000"/>
        </w:rPr>
        <w:t>“</w:t>
      </w:r>
      <w:r>
        <w:rPr>
          <w:rFonts w:ascii="Times New Roman" w:hAnsi="Times New Roman"/>
          <w:color w:val="000000"/>
          <w:sz w:val="24"/>
          <w:u w:val="single"/>
        </w:rPr>
        <w:t>Periodic Term SOFR Determination Day</w:t>
      </w:r>
      <w:r>
        <w:rPr>
          <w:rFonts w:ascii="Times New Roman" w:hAnsi="Times New Roman"/>
          <w:color w:val="000000"/>
          <w:sz w:val="20"/>
        </w:rPr>
        <w:t xml:space="preserve">” </w:t>
      </w:r>
      <w:r>
        <w:rPr>
          <w:rFonts w:ascii="Times New Roman" w:hAnsi="Times New Roman"/>
          <w:color w:val="000000"/>
          <w:sz w:val="24"/>
        </w:rPr>
        <w:t>has the meaning set forth in the definition of “Term SOFR”.</w:t>
      </w:r>
    </w:p>
    <w:p>
      <w:pPr>
        <w:pStyle w:val="TextBody"/>
        <w:bidi w:val="0"/>
        <w:spacing w:before="0" w:after="240"/>
        <w:jc w:val="both"/>
        <w:rPr/>
      </w:pPr>
      <w:r>
        <w:rPr>
          <w:color w:val="000000"/>
        </w:rPr>
        <w:t>“</w:t>
      </w:r>
      <w:r>
        <w:rPr>
          <w:rFonts w:ascii="Times New Roman" w:hAnsi="Times New Roman"/>
          <w:color w:val="000000"/>
          <w:sz w:val="24"/>
          <w:u w:val="single"/>
        </w:rPr>
        <w:t>Permitted Equity Interests</w:t>
      </w:r>
      <w:r>
        <w:rPr>
          <w:rFonts w:ascii="Times New Roman" w:hAnsi="Times New Roman"/>
          <w:color w:val="000000"/>
          <w:sz w:val="20"/>
        </w:rPr>
        <w:t xml:space="preserve">” </w:t>
      </w:r>
      <w:r>
        <w:rPr>
          <w:rFonts w:ascii="Times New Roman" w:hAnsi="Times New Roman"/>
          <w:color w:val="000000"/>
          <w:sz w:val="24"/>
        </w:rPr>
        <w:t>means common stock of the Borrower that after its issuance is not subject to any agreement between the holder of such common stock and the Borrower where the Borrower is required to purchase, redeem, retire, acquire, cancel or terminate any such common stock.</w:t>
      </w:r>
    </w:p>
    <w:p>
      <w:pPr>
        <w:pStyle w:val="TextBody"/>
        <w:bidi w:val="0"/>
        <w:spacing w:before="0" w:after="2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hAnsi="Times New Roman"/>
          <w:color w:val="000000"/>
          <w:sz w:val="24"/>
          <w:u w:val="single"/>
        </w:rPr>
        <w:t>clause (l)</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Article VII</w:t>
      </w:r>
      <w:r>
        <w:rPr>
          <w:rFonts w:ascii="Times New Roman" w:hAnsi="Times New Roman"/>
          <w:color w:val="000000"/>
          <w:sz w:val="24"/>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Permitted Policy Amendment</w:t>
      </w:r>
      <w:r>
        <w:rPr>
          <w:rFonts w:ascii="Times New Roman" w:hAnsi="Times New Roman"/>
          <w:color w:val="000000"/>
          <w:sz w:val="20"/>
        </w:rPr>
        <w:t xml:space="preserve">” </w:t>
      </w:r>
      <w:r>
        <w:rPr>
          <w:rFonts w:ascii="Times New Roman" w:hAnsi="Times New Roman"/>
          <w:color w:val="000000"/>
          <w:sz w:val="24"/>
        </w:rPr>
        <w:t>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“materially adverse” if investment size proportionately increases as the size of the Borrower’s capital base changes).</w:t>
      </w:r>
    </w:p>
    <w:p>
      <w:pPr>
        <w:pStyle w:val="TextBody"/>
        <w:bidi w:val="0"/>
        <w:spacing w:before="0" w:after="240"/>
        <w:jc w:val="both"/>
        <w:rPr/>
      </w:pPr>
      <w:r>
        <w:rPr>
          <w:color w:val="000000"/>
        </w:rPr>
        <w:t>“</w:t>
      </w:r>
      <w:r>
        <w:rPr>
          <w:rFonts w:ascii="Times New Roman" w:hAnsi="Times New Roman"/>
          <w:color w:val="000000"/>
          <w:sz w:val="24"/>
          <w:u w:val="single"/>
        </w:rPr>
        <w:t>Permitted SBIC Guarantee</w:t>
      </w:r>
      <w:r>
        <w:rPr>
          <w:rFonts w:ascii="Times New Roman" w:hAnsi="Times New Roman"/>
          <w:color w:val="000000"/>
          <w:sz w:val="20"/>
        </w:rPr>
        <w:t xml:space="preserve">” </w:t>
      </w:r>
      <w:r>
        <w:rPr>
          <w:rFonts w:ascii="Times New Roman" w:hAnsi="Times New Roman"/>
          <w:color w:val="000000"/>
          <w:sz w:val="24"/>
        </w:rPr>
        <w:t xml:space="preserve">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 w:hAnsi="Times New Roman"/>
          <w:color w:val="000000"/>
          <w:sz w:val="24"/>
          <w:u w:val="single"/>
        </w:rPr>
        <w:t>clause (s)</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Article VII</w:t>
      </w:r>
      <w:r>
        <w:rPr>
          <w:rFonts w:ascii="Times New Roman" w:hAnsi="Times New Roman"/>
          <w:color w:val="000000"/>
          <w:sz w:val="24"/>
        </w:rPr>
        <w:t>, it shall be an Event of Default hereunder if any such event or condition giving rise to such recourse occurs).</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natural person, corporation, 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color w:val="000000"/>
          <w:sz w:val="24"/>
          <w:u w:val="single"/>
        </w:rPr>
        <w:t>Plan</w:t>
      </w:r>
      <w:r>
        <w:rPr>
          <w:rFonts w:ascii="Times New Roman" w:hAnsi="Times New Roman"/>
          <w:color w:val="000000"/>
          <w:sz w:val="20"/>
        </w:rPr>
        <w:t xml:space="preserve">” </w:t>
      </w:r>
      <w:r>
        <w:rPr>
          <w:rFonts w:ascii="Times New Roman" w:hAnsi="Times New Roman"/>
          <w:color w:val="000000"/>
          <w:sz w:val="24"/>
        </w:rPr>
        <w:t>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240"/>
        <w:jc w:val="both"/>
        <w:rPr/>
      </w:pPr>
      <w:r>
        <w:rPr>
          <w:color w:val="000000"/>
        </w:rPr>
        <w:t>“</w:t>
      </w:r>
      <w:r>
        <w:rPr>
          <w:rFonts w:ascii="Times New Roman" w:hAnsi="Times New Roman"/>
          <w:color w:val="000000"/>
          <w:sz w:val="24"/>
          <w:u w:val="single"/>
        </w:rPr>
        <w:t>Platform</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5.01(i)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Portfolio Investment</w:t>
      </w:r>
      <w:r>
        <w:rPr>
          <w:rFonts w:ascii="Times New Roman" w:hAnsi="Times New Roman"/>
          <w:color w:val="000000"/>
          <w:sz w:val="20"/>
        </w:rPr>
        <w:t xml:space="preserve">” </w:t>
      </w:r>
      <w:r>
        <w:rPr>
          <w:rFonts w:ascii="Times New Roman" w:hAnsi="Times New Roman"/>
          <w:color w:val="000000"/>
          <w:sz w:val="24"/>
        </w:rPr>
        <w:t>means any Investment (including any Participation Interest)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(c) any Investment, which if debt, is an obligation (other than a revolving loan or delayed draw term loan) pursuant to which any future advances or payments to the underlying obligor of such debt may be required to be made by the applicable Obligor; (d) any Investment which is made to a bankrupt entity (other than a debtor-in-possession financing and current pay obligations); (e) any Investment, Cash or account in which a Financing Subsidiary has an interest; and (f) to the extent of such participation, any Investment in which any Obligor has sold a participation therein to a Person that is not an Obligor.</w:t>
      </w:r>
    </w:p>
    <w:p>
      <w:pPr>
        <w:pStyle w:val="TextBody"/>
        <w:bidi w:val="0"/>
        <w:spacing w:before="0" w:after="2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 xml:space="preserve">means the rate which is quoted as the “prime rate” in the print edition of </w:t>
      </w:r>
      <w:r>
        <w:rPr>
          <w:rFonts w:ascii="Times New Roman" w:hAnsi="Times New Roman"/>
          <w:i/>
          <w:color w:val="000000"/>
          <w:sz w:val="24"/>
        </w:rPr>
        <w:t>The Wall Street Journal</w:t>
      </w:r>
      <w:r>
        <w:rPr>
          <w:rFonts w:ascii="Times New Roman" w:hAnsi="Times New Roman"/>
          <w:color w:val="000000"/>
          <w:sz w:val="24"/>
        </w:rPr>
        <w:t>, Money Rates Section.</w:t>
      </w:r>
    </w:p>
    <w:p>
      <w:pPr>
        <w:pStyle w:val="TextBody"/>
        <w:bidi w:val="0"/>
        <w:spacing w:before="0" w:after="240"/>
        <w:jc w:val="both"/>
        <w:rPr/>
      </w:pPr>
      <w:r>
        <w:rPr>
          <w:color w:val="000000"/>
        </w:rPr>
        <w:t>“</w:t>
      </w:r>
      <w:r>
        <w:rPr>
          <w:rFonts w:ascii="Times New Roman" w:hAnsi="Times New Roman"/>
          <w:color w:val="000000"/>
          <w:sz w:val="24"/>
          <w:u w:val="single"/>
        </w:rPr>
        <w:t>Principal Financial Center</w:t>
      </w:r>
      <w:r>
        <w:rPr>
          <w:rFonts w:ascii="Times New Roman" w:hAnsi="Times New Roman"/>
          <w:color w:val="000000"/>
          <w:sz w:val="20"/>
        </w:rPr>
        <w:t xml:space="preserve">” </w:t>
      </w:r>
      <w:r>
        <w:rPr>
          <w:rFonts w:ascii="Times New Roman" w:hAnsi="Times New Roman"/>
          <w:color w:val="000000"/>
          <w:sz w:val="24"/>
        </w:rPr>
        <w:t>means, in the case of any Currency, the principal financial center where such Currency is cleared and settled, as determined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PTE</w:t>
      </w:r>
      <w:r>
        <w:rPr>
          <w:rFonts w:ascii="Times New Roman" w:hAnsi="Times New Roman"/>
          <w:color w:val="000000"/>
          <w:sz w:val="20"/>
        </w:rPr>
        <w:t xml:space="preserve">” </w:t>
      </w:r>
      <w:r>
        <w:rPr>
          <w:rFonts w:ascii="Times New Roman" w:hAnsi="Times New Roman"/>
          <w:color w:val="000000"/>
          <w:sz w:val="24"/>
        </w:rPr>
        <w:t>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color w:val="000000"/>
          <w:sz w:val="24"/>
          <w:u w:val="single"/>
        </w:rPr>
        <w:t>Public Lender</w:t>
      </w:r>
      <w:r>
        <w:rPr>
          <w:rFonts w:ascii="Times New Roman" w:hAnsi="Times New Roman"/>
          <w:color w:val="000000"/>
          <w:sz w:val="20"/>
        </w:rPr>
        <w:t xml:space="preserve">” </w:t>
      </w:r>
      <w:r>
        <w:rPr>
          <w:rFonts w:ascii="Times New Roman" w:hAnsi="Times New Roman"/>
          <w:color w:val="000000"/>
          <w:sz w:val="24"/>
        </w:rPr>
        <w:t>means Lenders that do not wish to receive Non-Public Information with respect to the Borrower or any of its Subsidiaries or their Securities.</w:t>
      </w:r>
    </w:p>
    <w:p>
      <w:pPr>
        <w:pStyle w:val="TextBody"/>
        <w:bidi w:val="0"/>
        <w:spacing w:before="0" w:after="240"/>
        <w:jc w:val="both"/>
        <w:rPr/>
      </w:pPr>
      <w:r>
        <w:rPr>
          <w:color w:val="000000"/>
        </w:rPr>
        <w:t>“</w:t>
      </w:r>
      <w:r>
        <w:rPr>
          <w:rFonts w:ascii="Times New Roman" w:hAnsi="Times New Roman"/>
          <w:color w:val="000000"/>
          <w:sz w:val="24"/>
          <w:u w:val="single"/>
        </w:rPr>
        <w:t>Quarterly Dates</w:t>
      </w:r>
      <w:r>
        <w:rPr>
          <w:rFonts w:ascii="Times New Roman" w:hAnsi="Times New Roman"/>
          <w:color w:val="000000"/>
          <w:sz w:val="20"/>
        </w:rPr>
        <w:t xml:space="preserve">” </w:t>
      </w:r>
      <w:r>
        <w:rPr>
          <w:rFonts w:ascii="Times New Roman" w:hAnsi="Times New Roman"/>
          <w:color w:val="000000"/>
          <w:sz w:val="24"/>
        </w:rPr>
        <w:t>means the last Business Day of March, June, September and December in each year, commencing on September 30, 2013.</w:t>
      </w:r>
    </w:p>
    <w:p>
      <w:pPr>
        <w:pStyle w:val="TextBody"/>
        <w:bidi w:val="0"/>
        <w:spacing w:before="0" w:after="240"/>
        <w:jc w:val="both"/>
        <w:rPr/>
      </w:pPr>
      <w:r>
        <w:rPr>
          <w:color w:val="000000"/>
        </w:rPr>
        <w:t>“</w:t>
      </w:r>
      <w:r>
        <w:rPr>
          <w:rFonts w:ascii="Times New Roman" w:hAnsi="Times New Roman"/>
          <w:color w:val="000000"/>
          <w:sz w:val="24"/>
          <w:u w:val="single"/>
        </w:rPr>
        <w:t>Quoted Investments</w:t>
      </w:r>
      <w:r>
        <w:rPr>
          <w:rFonts w:ascii="Times New Roman" w:hAnsi="Times New Roman"/>
          <w:color w:val="000000"/>
          <w:sz w:val="20"/>
        </w:rPr>
        <w:t xml:space="preserve">” </w:t>
      </w:r>
      <w:r>
        <w:rPr>
          <w:rFonts w:ascii="Times New Roman" w:hAnsi="Times New Roman"/>
          <w:color w:val="000000"/>
          <w:sz w:val="24"/>
        </w:rPr>
        <w:t xml:space="preserve">means a Portfolio Investment with a value assigned by the Borrower pursuant to </w:t>
      </w:r>
      <w:r>
        <w:rPr>
          <w:rFonts w:ascii="Times New Roman" w:hAnsi="Times New Roman"/>
          <w:color w:val="000000"/>
          <w:sz w:val="24"/>
          <w:u w:val="single"/>
        </w:rPr>
        <w:t>Section 5.12(b)(ii)(A)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Register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9.04(c)</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the Registration Statement filed by the Borrower with the Securities and Exchange Commission on March 14, 2011.</w:t>
      </w:r>
    </w:p>
    <w:p>
      <w:pPr>
        <w:pStyle w:val="TextBody"/>
        <w:bidi w:val="0"/>
        <w:spacing w:before="0" w:after="240"/>
        <w:jc w:val="both"/>
        <w:rPr/>
      </w:pPr>
      <w:r>
        <w:rPr>
          <w:color w:val="000000"/>
        </w:rPr>
        <w:t>“</w:t>
      </w:r>
      <w:r>
        <w:rPr>
          <w:rFonts w:ascii="Times New Roman" w:hAnsi="Times New Roman"/>
          <w:color w:val="000000"/>
          <w:sz w:val="24"/>
          <w:u w:val="single"/>
        </w:rPr>
        <w:t>Regulations D, T, U and X</w:t>
      </w:r>
      <w:r>
        <w:rPr>
          <w:rFonts w:ascii="Times New Roman" w:hAnsi="Times New Roman"/>
          <w:color w:val="000000"/>
          <w:sz w:val="20"/>
        </w:rPr>
        <w:t xml:space="preserve">” </w:t>
      </w:r>
      <w:r>
        <w:rPr>
          <w:rFonts w:ascii="Times New Roman" w:hAnsi="Times New Roman"/>
          <w:color w:val="000000"/>
          <w:sz w:val="24"/>
        </w:rPr>
        <w:t>means, respectively, Regulations D, T, U and X of the Board, as the same may be modified and supplemented and in effect from time to time.</w:t>
      </w:r>
    </w:p>
    <w:p>
      <w:pPr>
        <w:pStyle w:val="TextBody"/>
        <w:bidi w:val="0"/>
        <w:spacing w:before="0" w:after="240"/>
        <w:jc w:val="both"/>
        <w:rPr/>
      </w:pPr>
      <w:r>
        <w:rPr>
          <w:color w:val="000000"/>
        </w:rPr>
        <w:t>“</w:t>
      </w:r>
      <w:r>
        <w:rPr>
          <w:rFonts w:ascii="Times New Roman" w:hAnsi="Times New Roman"/>
          <w:color w:val="000000"/>
          <w:sz w:val="24"/>
          <w:u w:val="single"/>
        </w:rPr>
        <w:t>Related Parties</w:t>
      </w:r>
      <w:r>
        <w:rPr>
          <w:rFonts w:ascii="Times New Roman" w:hAnsi="Times New Roman"/>
          <w:color w:val="000000"/>
          <w:sz w:val="20"/>
        </w:rPr>
        <w:t xml:space="preserve">” </w:t>
      </w:r>
      <w:r>
        <w:rPr>
          <w:rFonts w:ascii="Times New Roman" w:hAnsi="Times New Roman"/>
          <w:color w:val="000000"/>
          <w:sz w:val="24"/>
        </w:rPr>
        <w:t>means, with respect to any specified Person, such Person’s Affiliates and the respective partners, directors, officers, employees, agents and advisors of such Person and such Person’s Affiliates.</w:t>
      </w:r>
    </w:p>
    <w:p>
      <w:pPr>
        <w:pStyle w:val="TextBody"/>
        <w:bidi w:val="0"/>
        <w:spacing w:before="0" w:after="240"/>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(a) with respect to a Benchmark Replacement in respect of obligations, interest, fees, commissions or other amounts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denominated in, or calculated with respect to, Canadian Dollars, the Bank of Canada, or a committee officially endorsed or convened by the Bank of Canada or, in each case, any successor thereto, (c)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(d) with respect to a Benchmark Replacement in respect of obligations, interest, fees, commissions or other amounts denominated in, or calculated with respect to, Euro, the European Central Bank, or a committee officially endorsed or convened by the European Central Bank or, in each case, any successor thereto, and (e) with respect to a Benchmark Replacement in respect of obligations, interest, fees, commissions or other amounts denominated in, or calculated with respect to, any Currency (other than Dollars, Canadian Dollars, Sterling or Euro), (1) the central bank for the Currency in which such obligations, interest, fees, commissions or other amounts are denominated, or calculated with respect thereto,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pStyle w:val="TextBody"/>
        <w:bidi w:val="0"/>
        <w:spacing w:before="0" w:after="240"/>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 xml:space="preserve">means, at any time, Lenders having Revolving Credit Exposures and unused Commitments representing more than 50% of the sum of the total Revolving Credit Exposures and unused Commitments at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Revolving Credit Exposures and unused Commitments of any Defaulting Lender shall be disregarded in the determination of Required Lenders. The Required Lenders of a Class (which shall include the terms “</w:t>
      </w:r>
      <w:r>
        <w:rPr>
          <w:rFonts w:ascii="Times New Roman" w:hAnsi="Times New Roman"/>
          <w:color w:val="000000"/>
          <w:sz w:val="24"/>
          <w:u w:val="single"/>
        </w:rPr>
        <w:t>Required Dollar Lenders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Required Multicurrency Lenders</w:t>
      </w:r>
      <w:r>
        <w:rPr>
          <w:rFonts w:ascii="Times New Roman" w:hAnsi="Times New Roman"/>
          <w:color w:val="000000"/>
          <w:sz w:val="20"/>
        </w:rPr>
        <w:t>”</w:t>
      </w:r>
      <w:r>
        <w:rPr>
          <w:rFonts w:ascii="Times New Roman" w:hAnsi="Times New Roman"/>
          <w:color w:val="000000"/>
          <w:sz w:val="24"/>
        </w:rPr>
        <w:t>)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any Defaulting Lender shall be disregarded in the determination of Required Lenders or Required Lenders of a Class.</w:t>
      </w:r>
    </w:p>
    <w:p>
      <w:pPr>
        <w:pStyle w:val="TextBody"/>
        <w:bidi w:val="0"/>
        <w:spacing w:before="0" w:after="240"/>
        <w:jc w:val="both"/>
        <w:rPr/>
      </w:pPr>
      <w:r>
        <w:rPr>
          <w:color w:val="000000"/>
        </w:rPr>
        <w:t>“</w:t>
      </w:r>
      <w:r>
        <w:rPr>
          <w:rFonts w:ascii="Times New Roman" w:hAnsi="Times New Roman"/>
          <w:color w:val="000000"/>
          <w:sz w:val="24"/>
          <w:u w:val="single"/>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the chief executive officer, president, chief financial officer, treasurer, assistant treasurer or controller of an Obligor.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Restricted Payment</w:t>
      </w:r>
      <w:r>
        <w:rPr>
          <w:rFonts w:ascii="Times New Roman" w:hAnsi="Times New Roman"/>
          <w:color w:val="000000"/>
          <w:sz w:val="20"/>
        </w:rPr>
        <w:t xml:space="preserve">” </w:t>
      </w:r>
      <w:r>
        <w:rPr>
          <w:rFonts w:ascii="Times New Roman" w:hAnsi="Times New Roman"/>
          <w:color w:val="000000"/>
          <w:sz w:val="24"/>
        </w:rPr>
        <w:t>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pStyle w:val="TextBody"/>
        <w:bidi w:val="0"/>
        <w:spacing w:before="0" w:after="240"/>
        <w:jc w:val="both"/>
        <w:rPr/>
      </w:pPr>
      <w:r>
        <w:rPr>
          <w:color w:val="000000"/>
        </w:rPr>
        <w:t>“</w:t>
      </w:r>
      <w:r>
        <w:rPr>
          <w:rFonts w:ascii="Times New Roman" w:hAnsi="Times New Roman"/>
          <w:color w:val="000000"/>
          <w:sz w:val="24"/>
          <w:u w:val="single"/>
        </w:rPr>
        <w:t>Return of Capital</w:t>
      </w:r>
      <w:r>
        <w:rPr>
          <w:rFonts w:ascii="Times New Roman" w:hAnsi="Times New Roman"/>
          <w:color w:val="000000"/>
          <w:sz w:val="20"/>
        </w:rPr>
        <w:t xml:space="preserve">” </w:t>
      </w:r>
      <w:r>
        <w:rPr>
          <w:rFonts w:ascii="Times New Roman" w:hAnsi="Times New Roman"/>
          <w:color w:val="000000"/>
          <w:sz w:val="24"/>
        </w:rPr>
        <w:t xml:space="preserve">means (a) any net cash amount received by any Obligor in respect of the outstanding principal of any Portfolio Investment (whether at stated maturity, by acceleration or otherwise), (b) without duplication of amounts received under </w:t>
      </w:r>
      <w:r>
        <w:rPr>
          <w:rFonts w:ascii="Times New Roman" w:hAnsi="Times New Roman"/>
          <w:color w:val="000000"/>
          <w:sz w:val="24"/>
          <w:u w:val="single"/>
        </w:rPr>
        <w:t>clause (a)</w:t>
      </w:r>
      <w:r>
        <w:rPr>
          <w:rFonts w:ascii="Times New Roman" w:hAnsi="Times New Roman"/>
          <w:color w:val="000000"/>
          <w:sz w:val="24"/>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net of any fees, costs, expenses and taxes payable with respect thereto).</w:t>
      </w:r>
    </w:p>
    <w:p>
      <w:pPr>
        <w:pStyle w:val="TextBody"/>
        <w:bidi w:val="0"/>
        <w:spacing w:before="0" w:after="240"/>
        <w:jc w:val="both"/>
        <w:rPr/>
      </w:pPr>
      <w:r>
        <w:rPr>
          <w:color w:val="000000"/>
        </w:rPr>
        <w:t>“</w:t>
      </w:r>
      <w:r>
        <w:rPr>
          <w:rFonts w:ascii="Times New Roman" w:hAnsi="Times New Roman"/>
          <w:color w:val="000000"/>
          <w:sz w:val="24"/>
          <w:u w:val="single"/>
        </w:rPr>
        <w:t>Revolving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Revolving Dollar Credit Exposure and Revolving Multicurrency Credit Exposure at such time.</w:t>
      </w:r>
    </w:p>
    <w:p>
      <w:pPr>
        <w:pStyle w:val="TextBody"/>
        <w:bidi w:val="0"/>
        <w:spacing w:before="0" w:after="240"/>
        <w:jc w:val="both"/>
        <w:rPr/>
      </w:pPr>
      <w:r>
        <w:rPr>
          <w:color w:val="000000"/>
        </w:rPr>
        <w:t>“</w:t>
      </w:r>
      <w:r>
        <w:rPr>
          <w:rFonts w:ascii="Times New Roman" w:hAnsi="Times New Roman"/>
          <w:color w:val="000000"/>
          <w:sz w:val="24"/>
          <w:u w:val="single"/>
        </w:rPr>
        <w:t>Revolving Dollar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Syndicated Loans, and its LC Exposure and Swingline Exposure, at such time made or incurred under the Dollar Commitments.</w:t>
      </w:r>
    </w:p>
    <w:p>
      <w:pPr>
        <w:pStyle w:val="TextBody"/>
        <w:bidi w:val="0"/>
        <w:spacing w:before="0" w:after="240"/>
        <w:jc w:val="both"/>
        <w:rPr/>
      </w:pPr>
      <w:r>
        <w:rPr>
          <w:color w:val="000000"/>
        </w:rPr>
        <w:t>“</w:t>
      </w:r>
      <w:r>
        <w:rPr>
          <w:rFonts w:ascii="Times New Roman" w:hAnsi="Times New Roman"/>
          <w:color w:val="000000"/>
          <w:sz w:val="24"/>
          <w:u w:val="single"/>
        </w:rPr>
        <w:t>Revolving Multicurrency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Syndicated Loans, and its LC Exposure and Swingline Exposure, at such time made or incurred under the Multicurrency Commitments.</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Revolving Percentage</w:t>
      </w:r>
      <w:r>
        <w:rPr>
          <w:rFonts w:ascii="Times New Roman" w:hAnsi="Times New Roman"/>
          <w:color w:val="000000"/>
          <w:sz w:val="20"/>
        </w:rPr>
        <w:t xml:space="preserve">” </w:t>
      </w:r>
      <w:r>
        <w:rPr>
          <w:rFonts w:ascii="Times New Roman" w:hAnsi="Times New Roman"/>
          <w:color w:val="000000"/>
          <w:sz w:val="24"/>
        </w:rPr>
        <w:t>means, as of any date of determination, the result, expressed as a percentage, of the Revolving Credit Exposure on such date divided by the aggregate outstanding Covered Debt Amount on such date.</w:t>
      </w:r>
    </w:p>
    <w:p>
      <w:pPr>
        <w:pStyle w:val="TextBody"/>
        <w:bidi w:val="0"/>
        <w:spacing w:before="0" w:after="240"/>
        <w:jc w:val="both"/>
        <w:rPr/>
      </w:pPr>
      <w:r>
        <w:rPr>
          <w:color w:val="000000"/>
        </w:rPr>
        <w:t>“</w:t>
      </w:r>
      <w:r>
        <w:rPr>
          <w:rFonts w:ascii="Times New Roman" w:hAnsi="Times New Roman"/>
          <w:color w:val="000000"/>
          <w:sz w:val="24"/>
          <w:u w:val="single"/>
        </w:rPr>
        <w:t>RFR</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bearing interest at a rate determined by reference to the Daily Simple RFR for the applicable Currency.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RFR Administrator</w:t>
      </w:r>
      <w:r>
        <w:rPr>
          <w:rFonts w:ascii="Times New Roman" w:hAnsi="Times New Roman"/>
          <w:color w:val="000000"/>
          <w:sz w:val="20"/>
        </w:rPr>
        <w:t xml:space="preserve">” </w:t>
      </w:r>
      <w:r>
        <w:rPr>
          <w:rFonts w:ascii="Times New Roman" w:hAnsi="Times New Roman"/>
          <w:color w:val="000000"/>
          <w:sz w:val="24"/>
        </w:rPr>
        <w:t>means the SONIA Administrator or the SARON Administrator, as applicable.</w:t>
      </w:r>
    </w:p>
    <w:p>
      <w:pPr>
        <w:pStyle w:val="TextBody"/>
        <w:bidi w:val="0"/>
        <w:spacing w:before="0" w:after="240"/>
        <w:jc w:val="both"/>
        <w:rPr/>
      </w:pPr>
      <w:r>
        <w:rPr>
          <w:color w:val="000000"/>
        </w:rPr>
        <w:t>“</w:t>
      </w:r>
      <w:r>
        <w:rPr>
          <w:rFonts w:ascii="Times New Roman" w:hAnsi="Times New Roman"/>
          <w:color w:val="000000"/>
          <w:sz w:val="24"/>
          <w:u w:val="single"/>
        </w:rPr>
        <w:t>RFR Administrator’s Website</w:t>
      </w:r>
      <w:r>
        <w:rPr>
          <w:rFonts w:ascii="Times New Roman" w:hAnsi="Times New Roman"/>
          <w:color w:val="000000"/>
          <w:sz w:val="20"/>
        </w:rPr>
        <w:t xml:space="preserve">” </w:t>
      </w:r>
      <w:r>
        <w:rPr>
          <w:rFonts w:ascii="Times New Roman" w:hAnsi="Times New Roman"/>
          <w:color w:val="000000"/>
          <w:sz w:val="24"/>
        </w:rPr>
        <w:t>means the SONIA Administrator’s Website or the SARON Administrator’s Website, as applicable.</w:t>
      </w:r>
    </w:p>
    <w:p>
      <w:pPr>
        <w:pStyle w:val="TextBody"/>
        <w:bidi w:val="0"/>
        <w:spacing w:before="0" w:after="240"/>
        <w:jc w:val="both"/>
        <w:rPr/>
      </w:pPr>
      <w:r>
        <w:rPr>
          <w:color w:val="000000"/>
        </w:rPr>
        <w:t>“</w:t>
      </w:r>
      <w:r>
        <w:rPr>
          <w:rFonts w:ascii="Times New Roman" w:hAnsi="Times New Roman"/>
          <w:color w:val="000000"/>
          <w:sz w:val="24"/>
          <w:u w:val="single"/>
        </w:rPr>
        <w:t>RFR Applicable Credit Adjustment Spread</w:t>
      </w:r>
      <w:r>
        <w:rPr>
          <w:rFonts w:ascii="Times New Roman" w:hAnsi="Times New Roman"/>
          <w:color w:val="000000"/>
          <w:sz w:val="20"/>
        </w:rPr>
        <w:t xml:space="preserve">” </w:t>
      </w:r>
      <w:r>
        <w:rPr>
          <w:rFonts w:ascii="Times New Roman" w:hAnsi="Times New Roman"/>
          <w:color w:val="000000"/>
          <w:sz w:val="24"/>
        </w:rPr>
        <w:t>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-0.0571%.</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RFR Business Day</w:t>
      </w:r>
      <w:r>
        <w:rPr>
          <w:rFonts w:ascii="Times New Roman" w:hAnsi="Times New Roman"/>
          <w:color w:val="000000"/>
          <w:sz w:val="20"/>
        </w:rPr>
        <w:t xml:space="preserve">” </w:t>
      </w:r>
      <w:r>
        <w:rPr>
          <w:rFonts w:ascii="Times New Roman" w:hAnsi="Times New Roman"/>
          <w:color w:val="000000"/>
          <w:sz w:val="24"/>
        </w:rPr>
        <w:t>means, for any Loans, Borrowings, interest, fees, commissions or other amounts denominated in, or calculated with respect to, (a) Sterling, any day except for (i) a Saturday, (ii) a Sunday or (iii) a day on which banks are closed for general business in London, and (b) Swiss Francs, any day except for (i) a Saturday, (ii) a Sunday or (iii) a day on which banks are closed for the settlement of payments and foreign exchange transactions in Zurich.</w:t>
      </w:r>
    </w:p>
    <w:p>
      <w:pPr>
        <w:pStyle w:val="TextBody"/>
        <w:bidi w:val="0"/>
        <w:spacing w:before="0" w:after="240"/>
        <w:jc w:val="both"/>
        <w:rPr/>
      </w:pPr>
      <w:r>
        <w:rPr>
          <w:color w:val="000000"/>
        </w:rPr>
        <w:t>“</w:t>
      </w:r>
      <w:r>
        <w:rPr>
          <w:rFonts w:ascii="Times New Roman" w:hAnsi="Times New Roman"/>
          <w:color w:val="000000"/>
          <w:sz w:val="24"/>
          <w:u w:val="single"/>
        </w:rPr>
        <w:t>RFR Interest Day</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 RFR”.</w:t>
      </w:r>
    </w:p>
    <w:p>
      <w:pPr>
        <w:pStyle w:val="TextBody"/>
        <w:bidi w:val="0"/>
        <w:spacing w:before="0" w:after="240"/>
        <w:jc w:val="both"/>
        <w:rPr/>
      </w:pPr>
      <w:r>
        <w:rPr>
          <w:color w:val="000000"/>
        </w:rPr>
        <w:t>“</w:t>
      </w:r>
      <w:r>
        <w:rPr>
          <w:rFonts w:ascii="Times New Roman" w:hAnsi="Times New Roman"/>
          <w:color w:val="000000"/>
          <w:sz w:val="24"/>
          <w:u w:val="single"/>
        </w:rPr>
        <w:t>RFR Rate</w:t>
      </w:r>
      <w:r>
        <w:rPr>
          <w:rFonts w:ascii="Times New Roman" w:hAnsi="Times New Roman"/>
          <w:color w:val="000000"/>
          <w:sz w:val="20"/>
        </w:rPr>
        <w:t xml:space="preserve">” </w:t>
      </w:r>
      <w:r>
        <w:rPr>
          <w:rFonts w:ascii="Times New Roman" w:hAnsi="Times New Roman"/>
          <w:color w:val="000000"/>
          <w:sz w:val="24"/>
        </w:rPr>
        <w:t>means, for any Loans, Borrowings, interest, fees, commissions or other amounts denominated in, or calculated with respect to (a) Sterling, SONIA, and (b) Swiss Francs, SARON.</w:t>
      </w:r>
    </w:p>
    <w:p>
      <w:pPr>
        <w:pStyle w:val="TextBody"/>
        <w:bidi w:val="0"/>
        <w:spacing w:before="0" w:after="240"/>
        <w:jc w:val="both"/>
        <w:rPr/>
      </w:pPr>
      <w:r>
        <w:rPr>
          <w:color w:val="000000"/>
        </w:rPr>
        <w:t>“</w:t>
      </w:r>
      <w:r>
        <w:rPr>
          <w:rFonts w:ascii="Times New Roman" w:hAnsi="Times New Roman"/>
          <w:color w:val="000000"/>
          <w:sz w:val="24"/>
          <w:u w:val="single"/>
        </w:rPr>
        <w:t>RFR Reference Day</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 RFR”.</w:t>
      </w:r>
    </w:p>
    <w:p>
      <w:pPr>
        <w:pStyle w:val="TextBody"/>
        <w:bidi w:val="0"/>
        <w:spacing w:before="0" w:after="240"/>
        <w:jc w:val="both"/>
        <w:rPr/>
      </w:pPr>
      <w:r>
        <w:rPr>
          <w:color w:val="000000"/>
        </w:rPr>
        <w:t>“</w:t>
      </w:r>
      <w:r>
        <w:rPr>
          <w:rFonts w:ascii="Times New Roman" w:hAnsi="Times New Roman"/>
          <w:color w:val="000000"/>
          <w:sz w:val="24"/>
          <w:u w:val="single"/>
        </w:rPr>
        <w:t>RIC</w:t>
      </w:r>
      <w:r>
        <w:rPr>
          <w:rFonts w:ascii="Times New Roman" w:hAnsi="Times New Roman"/>
          <w:color w:val="000000"/>
          <w:sz w:val="20"/>
        </w:rPr>
        <w:t xml:space="preserve">” </w:t>
      </w:r>
      <w:r>
        <w:rPr>
          <w:rFonts w:ascii="Times New Roman" w:hAnsi="Times New Roman"/>
          <w:color w:val="000000"/>
          <w:sz w:val="24"/>
        </w:rPr>
        <w:t>means a person qualifying for treatment as a “regulated investment company” under the Code.</w:t>
      </w:r>
    </w:p>
    <w:p>
      <w:pPr>
        <w:pStyle w:val="TextBody"/>
        <w:bidi w:val="0"/>
        <w:spacing w:before="0" w:after="240"/>
        <w:jc w:val="both"/>
        <w:rPr/>
      </w:pPr>
      <w:r>
        <w:rPr>
          <w:color w:val="000000"/>
        </w:rPr>
        <w:t>“</w:t>
      </w:r>
      <w:r>
        <w:rPr>
          <w:rFonts w:ascii="Times New Roman" w:hAnsi="Times New Roman"/>
          <w:color w:val="000000"/>
          <w:sz w:val="24"/>
          <w:u w:val="single"/>
        </w:rPr>
        <w:t>S&amp;P</w:t>
      </w:r>
      <w:r>
        <w:rPr>
          <w:rFonts w:ascii="Times New Roman" w:hAnsi="Times New Roman"/>
          <w:color w:val="000000"/>
          <w:sz w:val="20"/>
        </w:rPr>
        <w:t xml:space="preserve">” </w:t>
      </w:r>
      <w:r>
        <w:rPr>
          <w:rFonts w:ascii="Times New Roman" w:hAnsi="Times New Roman"/>
          <w:color w:val="000000"/>
          <w:sz w:val="24"/>
        </w:rPr>
        <w:t>means S&amp;P Global Ratings or any successor thereto.</w:t>
      </w:r>
    </w:p>
    <w:p>
      <w:pPr>
        <w:pStyle w:val="TextBody"/>
        <w:bidi w:val="0"/>
        <w:spacing w:before="0" w:after="24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at any time, a country, territory or region that is the subject or the target of country-wide or territory-wide Sanctions broadly prohibiting dealings with such country, territory or region (currently, Cuba, Iran, North Korea and Syria, the Crimea Region of Ukraine, the so-called Donetsk People’s Republic, the so-called Luhansk People’s Republic and non-government-controlled areas of the Zaporizhzhia and Kherson Regions of Ukraine).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3.15(a)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SARON</w:t>
      </w:r>
      <w:r>
        <w:rPr>
          <w:rFonts w:ascii="Times New Roman" w:hAnsi="Times New Roman"/>
          <w:color w:val="000000"/>
          <w:sz w:val="20"/>
        </w:rPr>
        <w:t xml:space="preserve">” </w:t>
      </w:r>
      <w:r>
        <w:rPr>
          <w:rFonts w:ascii="Times New Roman" w:hAnsi="Times New Roman"/>
          <w:color w:val="000000"/>
          <w:sz w:val="24"/>
        </w:rPr>
        <w:t>means a rate equal to the Swiss Average Rate Overnight as administered by the SARON Administrator.</w:t>
      </w:r>
    </w:p>
    <w:p>
      <w:pPr>
        <w:pStyle w:val="TextBody"/>
        <w:bidi w:val="0"/>
        <w:spacing w:before="0" w:after="240"/>
        <w:jc w:val="both"/>
        <w:rPr/>
      </w:pPr>
      <w:r>
        <w:rPr>
          <w:color w:val="000000"/>
        </w:rPr>
        <w:t>“</w:t>
      </w:r>
      <w:r>
        <w:rPr>
          <w:rFonts w:ascii="Times New Roman" w:hAnsi="Times New Roman"/>
          <w:color w:val="000000"/>
          <w:sz w:val="24"/>
          <w:u w:val="single"/>
        </w:rPr>
        <w:t>SARON Administrator</w:t>
      </w:r>
      <w:r>
        <w:rPr>
          <w:rFonts w:ascii="Times New Roman" w:hAnsi="Times New Roman"/>
          <w:color w:val="000000"/>
          <w:sz w:val="20"/>
        </w:rPr>
        <w:t xml:space="preserve">” </w:t>
      </w:r>
      <w:r>
        <w:rPr>
          <w:rFonts w:ascii="Times New Roman" w:hAnsi="Times New Roman"/>
          <w:color w:val="000000"/>
          <w:sz w:val="24"/>
        </w:rPr>
        <w:t>means the SIX Swiss Exchange AG (or any successor administrator of the Swiss Average Rate Overnight).</w:t>
      </w:r>
    </w:p>
    <w:p>
      <w:pPr>
        <w:pStyle w:val="TextBody"/>
        <w:bidi w:val="0"/>
        <w:spacing w:before="0" w:after="240"/>
        <w:jc w:val="both"/>
        <w:rPr/>
      </w:pPr>
      <w:r>
        <w:rPr>
          <w:color w:val="000000"/>
        </w:rPr>
        <w:t>“</w:t>
      </w:r>
      <w:r>
        <w:rPr>
          <w:rFonts w:ascii="Times New Roman" w:hAnsi="Times New Roman"/>
          <w:color w:val="000000"/>
          <w:sz w:val="24"/>
          <w:u w:val="single"/>
        </w:rPr>
        <w:t>SARON Administrator’s Website</w:t>
      </w:r>
      <w:r>
        <w:rPr>
          <w:rFonts w:ascii="Times New Roman" w:hAnsi="Times New Roman"/>
          <w:color w:val="000000"/>
          <w:sz w:val="20"/>
        </w:rPr>
        <w:t xml:space="preserve">” </w:t>
      </w:r>
      <w:r>
        <w:rPr>
          <w:rFonts w:ascii="Times New Roman" w:hAnsi="Times New Roman"/>
          <w:color w:val="000000"/>
          <w:sz w:val="24"/>
        </w:rPr>
        <w:t>means SIX Swiss Exchange AG’s website, currently at https://www.six-group.com, or any successor source for the Swiss Average Rate Overnight identified as such by the SARON Administrator from time to time.</w:t>
      </w:r>
    </w:p>
    <w:p>
      <w:pPr>
        <w:pStyle w:val="TextBody"/>
        <w:bidi w:val="0"/>
        <w:spacing w:before="0" w:after="240"/>
        <w:jc w:val="both"/>
        <w:rPr/>
      </w:pPr>
      <w:r>
        <w:rPr>
          <w:color w:val="000000"/>
        </w:rPr>
        <w:t>“</w:t>
      </w:r>
      <w:r>
        <w:rPr>
          <w:rFonts w:ascii="Times New Roman" w:hAnsi="Times New Roman"/>
          <w:color w:val="000000"/>
          <w:sz w:val="24"/>
          <w:u w:val="single"/>
        </w:rPr>
        <w:t>SBA</w:t>
      </w:r>
      <w:r>
        <w:rPr>
          <w:rFonts w:ascii="Times New Roman" w:hAnsi="Times New Roman"/>
          <w:color w:val="000000"/>
          <w:sz w:val="20"/>
        </w:rPr>
        <w:t xml:space="preserve">” </w:t>
      </w:r>
      <w:r>
        <w:rPr>
          <w:rFonts w:ascii="Times New Roman" w:hAnsi="Times New Roman"/>
          <w:color w:val="000000"/>
          <w:sz w:val="24"/>
        </w:rPr>
        <w:t>means the United States Small Business Administration.</w:t>
      </w:r>
    </w:p>
    <w:p>
      <w:pPr>
        <w:pStyle w:val="TextBody"/>
        <w:bidi w:val="0"/>
        <w:spacing w:before="0" w:after="240"/>
        <w:jc w:val="both"/>
        <w:rPr/>
      </w:pPr>
      <w:r>
        <w:rPr>
          <w:color w:val="000000"/>
        </w:rPr>
        <w:t>“</w:t>
      </w:r>
      <w:r>
        <w:rPr>
          <w:rFonts w:ascii="Times New Roman" w:hAnsi="Times New Roman"/>
          <w:color w:val="000000"/>
          <w:sz w:val="24"/>
          <w:u w:val="single"/>
        </w:rPr>
        <w:t>SBIC Equity Commitment</w:t>
      </w:r>
      <w:r>
        <w:rPr>
          <w:rFonts w:ascii="Times New Roman" w:hAnsi="Times New Roman"/>
          <w:color w:val="000000"/>
          <w:sz w:val="20"/>
        </w:rPr>
        <w:t xml:space="preserve">” </w:t>
      </w:r>
      <w:r>
        <w:rPr>
          <w:rFonts w:ascii="Times New Roman" w:hAnsi="Times New Roman"/>
          <w:color w:val="000000"/>
          <w:sz w:val="24"/>
        </w:rPr>
        <w:t>means a commitment by the Borrower to make one or more capital contributions to an SBIC Subsidiary.</w:t>
      </w:r>
    </w:p>
    <w:p>
      <w:pPr>
        <w:pStyle w:val="TextBody"/>
        <w:bidi w:val="0"/>
        <w:spacing w:before="0" w:after="240"/>
        <w:jc w:val="both"/>
        <w:rPr/>
      </w:pPr>
      <w:r>
        <w:rPr>
          <w:color w:val="000000"/>
        </w:rPr>
        <w:t>“</w:t>
      </w:r>
      <w:r>
        <w:rPr>
          <w:rFonts w:ascii="Times New Roman" w:hAnsi="Times New Roman"/>
          <w:color w:val="000000"/>
          <w:sz w:val="24"/>
          <w:u w:val="single"/>
        </w:rPr>
        <w:t>SBIC Subsidiary</w:t>
      </w:r>
      <w:r>
        <w:rPr>
          <w:rFonts w:ascii="Times New Roman" w:hAnsi="Times New Roman"/>
          <w:color w:val="000000"/>
          <w:sz w:val="20"/>
        </w:rPr>
        <w:t xml:space="preserve">” </w:t>
      </w:r>
      <w:r>
        <w:rPr>
          <w:rFonts w:ascii="Times New Roman" w:hAnsi="Times New Roman"/>
          <w:color w:val="000000"/>
          <w:sz w:val="24"/>
        </w:rPr>
        <w:t>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pStyle w:val="TextBody"/>
        <w:bidi w:val="0"/>
        <w:spacing w:before="0" w:after="240"/>
        <w:jc w:val="both"/>
        <w:rPr/>
      </w:pPr>
      <w:r>
        <w:rPr>
          <w:color w:val="000000"/>
        </w:rPr>
        <w:t>“</w:t>
      </w:r>
      <w:r>
        <w:rPr>
          <w:rFonts w:ascii="Times New Roman" w:hAnsi="Times New Roman"/>
          <w:color w:val="000000"/>
          <w:sz w:val="24"/>
          <w:u w:val="single"/>
        </w:rPr>
        <w:t>Secured Longer-Term Indebtedness</w:t>
      </w:r>
      <w:r>
        <w:rPr>
          <w:rFonts w:ascii="Times New Roman" w:hAnsi="Times New Roman"/>
          <w:color w:val="000000"/>
          <w:sz w:val="20"/>
        </w:rPr>
        <w:t xml:space="preserve">” </w:t>
      </w:r>
      <w:r>
        <w:rPr>
          <w:rFonts w:ascii="Times New Roman" w:hAnsi="Times New Roman"/>
          <w:color w:val="000000"/>
          <w:sz w:val="24"/>
        </w:rPr>
        <w:t xml:space="preserve">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hAnsi="Times New Roman"/>
          <w:color w:val="000000"/>
          <w:sz w:val="24"/>
          <w:u w:val="single"/>
        </w:rPr>
        <w:t>Section 6.01(i)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6.01(o</w:t>
      </w:r>
      <w:r>
        <w:rPr>
          <w:rFonts w:ascii="Times New Roman" w:hAnsi="Times New Roman"/>
          <w:color w:val="000000"/>
          <w:sz w:val="24"/>
        </w:rPr>
        <w:t xml:space="preserve">)) prior to, and a final maturity date not earlier than, six months after the Extended Final Maturity Date (it being understood that none of: (w) the conversion features into Permitted Equity Interests under convertible notes; (x) the triggering and/or settlement thereof; or (y) any cash payment made in respect thereof, shall constitute “amortization” for purposes of this </w:t>
      </w:r>
      <w:r>
        <w:rPr>
          <w:rFonts w:ascii="Times New Roman" w:hAnsi="Times New Roman"/>
          <w:color w:val="000000"/>
          <w:sz w:val="24"/>
          <w:u w:val="single"/>
        </w:rPr>
        <w:t>clause (a)</w:t>
      </w:r>
      <w:r>
        <w:rPr>
          <w:rFonts w:ascii="Times New Roman" w:hAnsi="Times New Roman"/>
          <w:color w:val="000000"/>
          <w:sz w:val="24"/>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Secured Shorter-Term Indebtedness</w:t>
      </w:r>
      <w:r>
        <w:rPr>
          <w:rFonts w:ascii="Times New Roman" w:hAnsi="Times New Roman"/>
          <w:color w:val="000000"/>
          <w:sz w:val="20"/>
        </w:rPr>
        <w:t xml:space="preserve">” </w:t>
      </w:r>
      <w:r>
        <w:rPr>
          <w:rFonts w:ascii="Times New Roman" w:hAnsi="Times New Roman"/>
          <w:color w:val="000000"/>
          <w:sz w:val="24"/>
        </w:rPr>
        <w:t xml:space="preserve">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 w:hAnsi="Times New Roman"/>
          <w:color w:val="000000"/>
          <w:sz w:val="24"/>
          <w:u w:val="single"/>
        </w:rPr>
        <w:t>Section 6.11(a)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Security Documents</w:t>
      </w:r>
      <w:r>
        <w:rPr>
          <w:rFonts w:ascii="Times New Roman" w:hAnsi="Times New Roman"/>
          <w:color w:val="000000"/>
          <w:sz w:val="20"/>
        </w:rPr>
        <w:t xml:space="preserve">” </w:t>
      </w:r>
      <w:r>
        <w:rPr>
          <w:rFonts w:ascii="Times New Roman" w:hAnsi="Times New Roman"/>
          <w:color w:val="000000"/>
          <w:sz w:val="24"/>
        </w:rPr>
        <w:t>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pStyle w:val="TextBody"/>
        <w:bidi w:val="0"/>
        <w:spacing w:before="0" w:after="240"/>
        <w:jc w:val="both"/>
        <w:rPr/>
      </w:pPr>
      <w:r>
        <w:rPr>
          <w:color w:val="000000"/>
        </w:rPr>
        <w:t>“</w:t>
      </w:r>
      <w:r>
        <w:rPr>
          <w:rFonts w:ascii="Times New Roman" w:hAnsi="Times New Roman"/>
          <w:color w:val="000000"/>
          <w:sz w:val="24"/>
          <w:u w:val="single"/>
        </w:rPr>
        <w:t>Shareholders’ Equity</w:t>
      </w:r>
      <w:r>
        <w:rPr>
          <w:rFonts w:ascii="Times New Roman" w:hAnsi="Times New Roman"/>
          <w:color w:val="000000"/>
          <w:sz w:val="20"/>
        </w:rPr>
        <w:t xml:space="preserve">” </w:t>
      </w:r>
      <w:r>
        <w:rPr>
          <w:rFonts w:ascii="Times New Roman" w:hAnsi="Times New Roman"/>
          <w:color w:val="000000"/>
          <w:sz w:val="24"/>
        </w:rPr>
        <w:t>means, at any date, the amount determined on a consolidated basis, without duplication, in accordance with GAAP, of shareholders equity for the Borrower and its Subsidiaries at such date.</w:t>
      </w:r>
    </w:p>
    <w:p>
      <w:pPr>
        <w:pStyle w:val="TextBody"/>
        <w:bidi w:val="0"/>
        <w:spacing w:before="0" w:after="240"/>
        <w:jc w:val="both"/>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a rate per annum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Federal Reserve Bank of New York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4"/>
          <w:u w:val="single"/>
        </w:rPr>
        <w:t>SONIA</w:t>
      </w:r>
      <w:r>
        <w:rPr>
          <w:rFonts w:ascii="Times New Roman" w:hAnsi="Times New Roman"/>
          <w:color w:val="000000"/>
          <w:sz w:val="20"/>
        </w:rPr>
        <w:t xml:space="preserve">” </w:t>
      </w:r>
      <w:r>
        <w:rPr>
          <w:rFonts w:ascii="Times New Roman" w:hAnsi="Times New Roman"/>
          <w:color w:val="000000"/>
          <w:sz w:val="24"/>
        </w:rPr>
        <w:t>means a rate equal to the Sterling Overnight Index Average as administered by the SONIA Administrator.</w:t>
      </w:r>
    </w:p>
    <w:p>
      <w:pPr>
        <w:pStyle w:val="TextBody"/>
        <w:bidi w:val="0"/>
        <w:spacing w:before="0" w:after="240"/>
        <w:jc w:val="both"/>
        <w:rPr/>
      </w:pPr>
      <w:r>
        <w:rPr>
          <w:color w:val="000000"/>
        </w:rPr>
        <w:t>“</w:t>
      </w:r>
      <w:r>
        <w:rPr>
          <w:rFonts w:ascii="Times New Roman" w:hAnsi="Times New Roman"/>
          <w:color w:val="000000"/>
          <w:sz w:val="24"/>
          <w:u w:val="single"/>
        </w:rPr>
        <w:t>SONIA Administrator</w:t>
      </w:r>
      <w:r>
        <w:rPr>
          <w:rFonts w:ascii="Times New Roman" w:hAnsi="Times New Roman"/>
          <w:color w:val="000000"/>
          <w:sz w:val="20"/>
        </w:rPr>
        <w:t xml:space="preserve">” </w:t>
      </w:r>
      <w:r>
        <w:rPr>
          <w:rFonts w:ascii="Times New Roman" w:hAnsi="Times New Roman"/>
          <w:color w:val="000000"/>
          <w:sz w:val="24"/>
        </w:rPr>
        <w:t>means the Bank of England (or any successor administrator of the Sterling Overnight Index Average).</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SONIA Administrator’s Website</w:t>
      </w:r>
      <w:r>
        <w:rPr>
          <w:rFonts w:ascii="Times New Roman" w:hAnsi="Times New Roman"/>
          <w:color w:val="000000"/>
          <w:sz w:val="20"/>
        </w:rPr>
        <w:t xml:space="preserve">” </w:t>
      </w:r>
      <w:r>
        <w:rPr>
          <w:rFonts w:ascii="Times New Roman" w:hAnsi="Times New Roman"/>
          <w:color w:val="000000"/>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240"/>
        <w:jc w:val="both"/>
        <w:rPr/>
      </w:pPr>
      <w:r>
        <w:rPr>
          <w:color w:val="000000"/>
        </w:rPr>
        <w:t>“</w:t>
      </w:r>
      <w:r>
        <w:rPr>
          <w:rFonts w:ascii="Times New Roman" w:hAnsi="Times New Roman"/>
          <w:color w:val="000000"/>
          <w:sz w:val="24"/>
          <w:u w:val="single"/>
        </w:rPr>
        <w:t>SPE Subsidiary</w:t>
      </w:r>
      <w:r>
        <w:rPr>
          <w:rFonts w:ascii="Times New Roman" w:hAnsi="Times New Roman"/>
          <w:color w:val="000000"/>
          <w:sz w:val="20"/>
        </w:rPr>
        <w:t xml:space="preserve">” </w:t>
      </w:r>
      <w:r>
        <w:rPr>
          <w:rFonts w:ascii="Times New Roman" w:hAnsi="Times New Roman"/>
          <w:color w:val="000000"/>
          <w:sz w:val="24"/>
        </w:rPr>
        <w:t>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which no Obligor has any obligation to maintain or preserve such entity’s financial condition or cause such entity to achieve certain levels of operating results.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pStyle w:val="TextBody"/>
        <w:bidi w:val="0"/>
        <w:spacing w:before="0" w:after="240"/>
        <w:jc w:val="both"/>
        <w:rPr/>
      </w:pPr>
      <w:r>
        <w:rPr>
          <w:color w:val="000000"/>
        </w:rPr>
        <w:t>“</w:t>
      </w:r>
      <w:r>
        <w:rPr>
          <w:rFonts w:ascii="Times New Roman" w:hAnsi="Times New Roman"/>
          <w:color w:val="000000"/>
          <w:sz w:val="24"/>
          <w:u w:val="single"/>
        </w:rPr>
        <w:t>Special Equity Interest</w:t>
      </w:r>
      <w:r>
        <w:rPr>
          <w:rFonts w:ascii="Times New Roman" w:hAnsi="Times New Roman"/>
          <w:color w:val="000000"/>
          <w:sz w:val="20"/>
        </w:rPr>
        <w:t xml:space="preserve">” </w:t>
      </w:r>
      <w:r>
        <w:rPr>
          <w:rFonts w:ascii="Times New Roman" w:hAnsi="Times New Roman"/>
          <w:color w:val="000000"/>
          <w:sz w:val="24"/>
        </w:rPr>
        <w:t xml:space="preserve">means any Equity Interest that is subject to a Lien in favor of creditors of the issuer of such Equity Interest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such Lien was created to secure Indebtedness owing by such issuer to such creditors, (b) such Indebtedness was (i) in existence and already secured by such Lien at the time the Obligors acquired such Equity Interest, (ii) incurred or assumed by such issuer and secured by such Lien substantially contemporaneously with such acquisition or (iii) a refinancing of the Indebtedness described in the foregoing clause (i) or clause (ii) and (c) unless such Equity Interest is not intended to be included in the Collateral, the documentation creating or governing such Lien does not prohibit the inclusion of such Equity Interest in the Collateral.</w:t>
      </w:r>
    </w:p>
    <w:p>
      <w:pPr>
        <w:pStyle w:val="TextBody"/>
        <w:bidi w:val="0"/>
        <w:spacing w:before="0" w:after="240"/>
        <w:jc w:val="both"/>
        <w:rPr/>
      </w:pPr>
      <w:r>
        <w:rPr>
          <w:color w:val="000000"/>
        </w:rPr>
        <w:t>“</w:t>
      </w:r>
      <w:r>
        <w:rPr>
          <w:rFonts w:ascii="Times New Roman" w:hAnsi="Times New Roman"/>
          <w:color w:val="000000"/>
          <w:sz w:val="24"/>
          <w:u w:val="single"/>
        </w:rPr>
        <w:t>Special Unsecured Indebtedness</w:t>
      </w:r>
      <w:r>
        <w:rPr>
          <w:rFonts w:ascii="Times New Roman" w:hAnsi="Times New Roman"/>
          <w:color w:val="000000"/>
          <w:sz w:val="20"/>
        </w:rPr>
        <w:t xml:space="preserve">” </w:t>
      </w:r>
      <w:r>
        <w:rPr>
          <w:rFonts w:ascii="Times New Roman" w:hAnsi="Times New Roman"/>
          <w:color w:val="000000"/>
          <w:sz w:val="24"/>
        </w:rPr>
        <w:t>means Indebtedness of an Obligor issued after the Fifteenth Amendment Effective Date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of 1% is permitted to be incurred pursuant to </w:t>
      </w:r>
      <w:r>
        <w:rPr>
          <w:rFonts w:ascii="Times New Roman" w:hAnsi="Times New Roman"/>
          <w:color w:val="000000"/>
          <w:sz w:val="24"/>
          <w:u w:val="single"/>
        </w:rPr>
        <w:t>Section 6.01(m)</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6.01(o</w:t>
      </w:r>
      <w:r>
        <w:rPr>
          <w:rFonts w:ascii="Times New Roman" w:hAnsi="Times New Roman"/>
          <w:color w:val="000000"/>
          <w:sz w:val="24"/>
        </w:rPr>
        <w:t xml:space="preserve">)) prior to, and a final maturity date not earlier than, five years from the date such Indebtedness is issued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Special Unsecured Indebtedness shall not include any Indebtedness permitted pursuant to </w:t>
      </w:r>
      <w:r>
        <w:rPr>
          <w:rFonts w:ascii="Times New Roman" w:hAnsi="Times New Roman"/>
          <w:color w:val="000000"/>
          <w:sz w:val="24"/>
          <w:u w:val="single"/>
        </w:rPr>
        <w:t>Section 6.01(l)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Specified Event of Default</w:t>
      </w:r>
      <w:r>
        <w:rPr>
          <w:rFonts w:ascii="Times New Roman" w:hAnsi="Times New Roman"/>
          <w:color w:val="000000"/>
          <w:sz w:val="20"/>
        </w:rPr>
        <w:t xml:space="preserve">” </w:t>
      </w:r>
      <w:r>
        <w:rPr>
          <w:rFonts w:ascii="Times New Roman" w:hAnsi="Times New Roman"/>
          <w:color w:val="000000"/>
          <w:sz w:val="24"/>
        </w:rPr>
        <w:t xml:space="preserve">means an Event of Default under </w:t>
      </w:r>
      <w:r>
        <w:rPr>
          <w:rFonts w:ascii="Times New Roman" w:hAnsi="Times New Roman"/>
          <w:color w:val="000000"/>
          <w:sz w:val="24"/>
          <w:u w:val="single"/>
        </w:rPr>
        <w:t>Section 7.01(a)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(i)</w:t>
      </w:r>
      <w:r>
        <w:rPr>
          <w:rFonts w:ascii="Times New Roman" w:hAnsi="Times New Roman"/>
          <w:color w:val="000000"/>
          <w:sz w:val="24"/>
        </w:rPr>
        <w:t>, (j) and (k).</w:t>
      </w:r>
    </w:p>
    <w:p>
      <w:pPr>
        <w:pStyle w:val="TextBody"/>
        <w:bidi w:val="0"/>
        <w:spacing w:before="0" w:after="240"/>
        <w:jc w:val="both"/>
        <w:rPr/>
      </w:pPr>
      <w:r>
        <w:rPr>
          <w:color w:val="000000"/>
        </w:rPr>
        <w:t>“</w:t>
      </w:r>
      <w:r>
        <w:rPr>
          <w:rFonts w:ascii="Times New Roman" w:hAnsi="Times New Roman"/>
          <w:color w:val="000000"/>
          <w:sz w:val="24"/>
          <w:u w:val="single"/>
        </w:rPr>
        <w:t>Standard Securitization Undertakings</w:t>
      </w:r>
      <w:r>
        <w:rPr>
          <w:rFonts w:ascii="Times New Roman" w:hAnsi="Times New Roman"/>
          <w:color w:val="000000"/>
          <w:sz w:val="20"/>
        </w:rPr>
        <w:t xml:space="preserve">” </w:t>
      </w:r>
      <w:r>
        <w:rPr>
          <w:rFonts w:ascii="Times New Roman" w:hAnsi="Times New Roman"/>
          <w:color w:val="000000"/>
          <w:sz w:val="24"/>
        </w:rPr>
        <w:t>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pStyle w:val="TextBody"/>
        <w:bidi w:val="0"/>
        <w:spacing w:before="0" w:after="240"/>
        <w:jc w:val="both"/>
        <w:rPr/>
      </w:pPr>
      <w:r>
        <w:rPr>
          <w:color w:val="000000"/>
        </w:rPr>
        <w:t>“</w:t>
      </w:r>
      <w:r>
        <w:rPr>
          <w:rFonts w:ascii="Times New Roman" w:hAnsi="Times New Roman"/>
          <w:color w:val="000000"/>
          <w:sz w:val="24"/>
          <w:u w:val="single"/>
        </w:rPr>
        <w:t>Sterling</w:t>
      </w:r>
      <w:r>
        <w:rPr>
          <w:rFonts w:ascii="Times New Roman" w:hAnsi="Times New Roman"/>
          <w:color w:val="000000"/>
          <w:sz w:val="20"/>
        </w:rPr>
        <w:t xml:space="preserve">” </w:t>
      </w:r>
      <w:r>
        <w:rPr>
          <w:rFonts w:ascii="Times New Roman" w:hAnsi="Times New Roman"/>
          <w:color w:val="000000"/>
          <w:sz w:val="24"/>
        </w:rPr>
        <w:t>means the lawful currency of the United Kingdom.</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(the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pStyle w:val="TextBody"/>
        <w:bidi w:val="0"/>
        <w:spacing w:before="0" w:after="240"/>
        <w:jc w:val="both"/>
        <w:rPr/>
      </w:pPr>
      <w:r>
        <w:rPr>
          <w:color w:val="000000"/>
        </w:rPr>
        <w:t>“</w:t>
      </w:r>
      <w:r>
        <w:rPr>
          <w:rFonts w:ascii="Times New Roman" w:hAnsi="Times New Roman"/>
          <w:color w:val="000000"/>
          <w:sz w:val="24"/>
          <w:u w:val="single"/>
        </w:rPr>
        <w:t>Subsidiary Guarantor</w:t>
      </w:r>
      <w:r>
        <w:rPr>
          <w:rFonts w:ascii="Times New Roman" w:hAnsi="Times New Roman"/>
          <w:color w:val="000000"/>
          <w:sz w:val="20"/>
        </w:rPr>
        <w:t xml:space="preserve">” </w:t>
      </w:r>
      <w:r>
        <w:rPr>
          <w:rFonts w:ascii="Times New Roman" w:hAnsi="Times New Roman"/>
          <w:color w:val="000000"/>
          <w:sz w:val="24"/>
        </w:rPr>
        <w:t>means any Subsidiary that is a Guarantor under the Guarantee and Security Agreement. It is understood and agreed that no Financing Subsidiary, Immaterial Subsidiary, Foreign Subsidiary or a Subsidiary of a Foreign Subsidiary shall be a Subsidiary Guarantor.</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Swedish Krona</w:t>
      </w:r>
      <w:r>
        <w:rPr>
          <w:rFonts w:ascii="Times New Roman" w:hAnsi="Times New Roman"/>
          <w:color w:val="000000"/>
          <w:sz w:val="20"/>
        </w:rPr>
        <w:t xml:space="preserve">” </w:t>
      </w:r>
      <w:r>
        <w:rPr>
          <w:rFonts w:ascii="Times New Roman" w:hAnsi="Times New Roman"/>
          <w:color w:val="000000"/>
          <w:sz w:val="24"/>
        </w:rPr>
        <w:t>means the lawful currency of Sweden.</w:t>
      </w:r>
    </w:p>
    <w:p>
      <w:pPr>
        <w:pStyle w:val="TextBody"/>
        <w:bidi w:val="0"/>
        <w:spacing w:before="0" w:after="240"/>
        <w:jc w:val="both"/>
        <w:rPr/>
      </w:pPr>
      <w:r>
        <w:rPr>
          <w:color w:val="000000"/>
        </w:rPr>
        <w:t>“</w:t>
      </w:r>
      <w:r>
        <w:rPr>
          <w:rFonts w:ascii="Times New Roman" w:hAnsi="Times New Roman"/>
          <w:color w:val="000000"/>
          <w:sz w:val="24"/>
          <w:u w:val="single"/>
        </w:rPr>
        <w:t>Swingline Exposure</w:t>
      </w:r>
      <w:r>
        <w:rPr>
          <w:rFonts w:ascii="Times New Roman" w:hAnsi="Times New Roman"/>
          <w:color w:val="000000"/>
          <w:sz w:val="20"/>
        </w:rPr>
        <w:t xml:space="preserve">” </w:t>
      </w:r>
      <w:r>
        <w:rPr>
          <w:rFonts w:ascii="Times New Roman" w:hAnsi="Times New Roman"/>
          <w:color w:val="000000"/>
          <w:sz w:val="24"/>
        </w:rPr>
        <w:t>means, at any time, the aggregate principal amount of all Swingline Loans outstanding at such time. The Swingline Exposure of any Lender at any time 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pStyle w:val="TextBody"/>
        <w:bidi w:val="0"/>
        <w:spacing w:before="0" w:after="240"/>
        <w:jc w:val="both"/>
        <w:rPr/>
      </w:pPr>
      <w:r>
        <w:rPr>
          <w:color w:val="000000"/>
        </w:rPr>
        <w:t>“</w:t>
      </w:r>
      <w:r>
        <w:rPr>
          <w:rFonts w:ascii="Times New Roman" w:hAnsi="Times New Roman"/>
          <w:color w:val="000000"/>
          <w:sz w:val="24"/>
          <w:u w:val="single"/>
        </w:rPr>
        <w:t>Swingline Lender</w:t>
      </w:r>
      <w:r>
        <w:rPr>
          <w:rFonts w:ascii="Times New Roman" w:hAnsi="Times New Roman"/>
          <w:color w:val="000000"/>
          <w:sz w:val="20"/>
        </w:rPr>
        <w:t xml:space="preserve">” </w:t>
      </w:r>
      <w:r>
        <w:rPr>
          <w:rFonts w:ascii="Times New Roman" w:hAnsi="Times New Roman"/>
          <w:color w:val="000000"/>
          <w:sz w:val="24"/>
        </w:rPr>
        <w:t xml:space="preserve">means any of Truist, JPMorgan Chase Bank, N.A., MUFG Bank, Ltd., Sumitomo Mitsui Banking Corporation or State Street Bank and Trust Company, in its capacity as lender of Swingline Loans hereunder, and its successors in such capacity as provided in </w:t>
      </w:r>
      <w:r>
        <w:rPr>
          <w:rFonts w:ascii="Times New Roman" w:hAnsi="Times New Roman"/>
          <w:color w:val="000000"/>
          <w:sz w:val="24"/>
          <w:u w:val="single"/>
        </w:rPr>
        <w:t>Section 2.04(d)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Swingline Loan</w:t>
      </w:r>
      <w:r>
        <w:rPr>
          <w:rFonts w:ascii="Times New Roman" w:hAnsi="Times New Roman"/>
          <w:color w:val="000000"/>
          <w:sz w:val="20"/>
        </w:rPr>
        <w:t xml:space="preserve">” </w:t>
      </w:r>
      <w:r>
        <w:rPr>
          <w:rFonts w:ascii="Times New Roman" w:hAnsi="Times New Roman"/>
          <w:color w:val="000000"/>
          <w:sz w:val="24"/>
        </w:rPr>
        <w:t xml:space="preserve">means a Loan made pursuant to </w:t>
      </w:r>
      <w:r>
        <w:rPr>
          <w:rFonts w:ascii="Times New Roman" w:hAnsi="Times New Roman"/>
          <w:color w:val="000000"/>
          <w:sz w:val="24"/>
          <w:u w:val="single"/>
        </w:rPr>
        <w:t>Section 2.04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Swiss Franc</w:t>
      </w:r>
      <w:r>
        <w:rPr>
          <w:rFonts w:ascii="Times New Roman" w:hAnsi="Times New Roman"/>
          <w:color w:val="000000"/>
          <w:sz w:val="20"/>
        </w:rPr>
        <w:t xml:space="preserve">” </w:t>
      </w:r>
      <w:r>
        <w:rPr>
          <w:rFonts w:ascii="Times New Roman" w:hAnsi="Times New Roman"/>
          <w:color w:val="000000"/>
          <w:sz w:val="24"/>
        </w:rPr>
        <w:t>means the lawful currency of Switzerland.</w:t>
      </w:r>
    </w:p>
    <w:p>
      <w:pPr>
        <w:pStyle w:val="TextBody"/>
        <w:bidi w:val="0"/>
        <w:spacing w:before="0" w:after="240"/>
        <w:jc w:val="both"/>
        <w:rPr/>
      </w:pPr>
      <w:r>
        <w:rPr>
          <w:color w:val="000000"/>
        </w:rPr>
        <w:t>“</w:t>
      </w:r>
      <w:r>
        <w:rPr>
          <w:rFonts w:ascii="Times New Roman" w:hAnsi="Times New Roman"/>
          <w:color w:val="000000"/>
          <w:sz w:val="24"/>
          <w:u w:val="single"/>
        </w:rPr>
        <w:t>Syndicated</w:t>
      </w:r>
      <w:r>
        <w:rPr>
          <w:rFonts w:ascii="Times New Roman" w:hAnsi="Times New Roman"/>
          <w:color w:val="000000"/>
          <w:sz w:val="20"/>
        </w:rPr>
        <w:t>”</w:t>
      </w:r>
      <w:r>
        <w:rPr>
          <w:rFonts w:ascii="Times New Roman" w:hAnsi="Times New Roman"/>
          <w:color w:val="000000"/>
          <w:sz w:val="24"/>
        </w:rPr>
        <w:t xml:space="preserve">, when used in reference to any Loan or Borrowing, refers to whether such Loan is, or the Loans constituting such Borrowing are, made pursuant to </w:t>
      </w:r>
      <w:r>
        <w:rPr>
          <w:rFonts w:ascii="Times New Roman" w:hAnsi="Times New Roman"/>
          <w:color w:val="000000"/>
          <w:sz w:val="24"/>
          <w:u w:val="single"/>
        </w:rPr>
        <w:t>Section 2.01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T2</w:t>
      </w:r>
      <w:r>
        <w:rPr>
          <w:rFonts w:ascii="Times New Roman" w:hAnsi="Times New Roman"/>
          <w:color w:val="000000"/>
          <w:sz w:val="20"/>
        </w:rPr>
        <w:t xml:space="preserve">” </w:t>
      </w:r>
      <w:r>
        <w:rPr>
          <w:rFonts w:ascii="Times New Roman" w:hAnsi="Times New Roman"/>
          <w:color w:val="000000"/>
          <w:sz w:val="24"/>
        </w:rPr>
        <w:t>means the real time gross settlement system operated by the Eurosystem, or any successor system as determined by the Administrative Agent to be a suitable replacement.</w:t>
      </w:r>
    </w:p>
    <w:p>
      <w:pPr>
        <w:pStyle w:val="TextBody"/>
        <w:bidi w:val="0"/>
        <w:spacing w:before="0" w:after="240"/>
        <w:jc w:val="both"/>
        <w:rPr/>
      </w:pPr>
      <w:r>
        <w:rPr>
          <w:color w:val="000000"/>
        </w:rPr>
        <w:t>“</w:t>
      </w:r>
      <w:r>
        <w:rPr>
          <w:rFonts w:ascii="Times New Roman" w:hAnsi="Times New Roman"/>
          <w:color w:val="000000"/>
          <w:sz w:val="24"/>
          <w:u w:val="single"/>
        </w:rPr>
        <w:t>TARGET Day</w:t>
      </w:r>
      <w:r>
        <w:rPr>
          <w:rFonts w:ascii="Times New Roman" w:hAnsi="Times New Roman"/>
          <w:color w:val="000000"/>
          <w:sz w:val="20"/>
        </w:rPr>
        <w:t xml:space="preserve">” </w:t>
      </w:r>
      <w:r>
        <w:rPr>
          <w:rFonts w:ascii="Times New Roman" w:hAnsi="Times New Roman"/>
          <w:color w:val="000000"/>
          <w:sz w:val="24"/>
        </w:rPr>
        <w:t>means any day on which the T2 is open for the settlement of payments in Euros.</w:t>
      </w:r>
    </w:p>
    <w:p>
      <w:pPr>
        <w:pStyle w:val="TextBody"/>
        <w:bidi w:val="0"/>
        <w:spacing w:before="0" w:after="240"/>
        <w:jc w:val="both"/>
        <w:rPr/>
      </w:pPr>
      <w:r>
        <w:rPr>
          <w:color w:val="000000"/>
        </w:rPr>
        <w:t>“</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4"/>
          <w:u w:val="single"/>
        </w:rPr>
        <w:t>Term Benchmark</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bearing interest at a rate determined by reference to the Adjusted Term Benchmark Rate.</w:t>
      </w:r>
    </w:p>
    <w:p>
      <w:pPr>
        <w:pStyle w:val="TextBody"/>
        <w:bidi w:val="0"/>
        <w:spacing w:before="0" w:after="240"/>
        <w:jc w:val="both"/>
        <w:rPr/>
      </w:pPr>
      <w:r>
        <w:rPr>
          <w:color w:val="000000"/>
        </w:rPr>
        <w:t>“</w:t>
      </w:r>
      <w:r>
        <w:rPr>
          <w:rFonts w:ascii="Times New Roman" w:hAnsi="Times New Roman"/>
          <w:color w:val="000000"/>
          <w:sz w:val="24"/>
          <w:u w:val="single"/>
        </w:rPr>
        <w:t>Term Benchmark Banking Day</w:t>
      </w:r>
      <w:r>
        <w:rPr>
          <w:rFonts w:ascii="Times New Roman" w:hAnsi="Times New Roman"/>
          <w:color w:val="000000"/>
          <w:sz w:val="20"/>
        </w:rPr>
        <w:t xml:space="preserve">” </w:t>
      </w:r>
      <w:r>
        <w:rPr>
          <w:rFonts w:ascii="Times New Roman" w:hAnsi="Times New Roman"/>
          <w:color w:val="000000"/>
          <w:sz w:val="24"/>
        </w:rPr>
        <w:t>means for Term Benchmark Loans, Term Benchmark Borrowings, interest, fees, commissions or other amounts denominated in, or calculated with respect to:</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Dollars, a U.S. Government Securities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Euros, a TARGET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Canadian Dollars, any day (other than a Saturday or Sunday) on which banks are open for business in Toronto, Canada;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Australian Dollars, any day (other than a Saturday or Sunday) on which banks are open for business in Melbourne, Australia;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New Zealand Dollars, any day (other than a Saturday or Sunday) on which banks are open for business in Auckland, New Zealand;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Swedish Krona, any day (other than a Saturday or Sunday) on which banks are open for business in Stockholm, Sweden;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Japanese Yen, any day (other than a Saturday or Sunday) on which banks are open for business in Tokyo, Japan.</w:t>
      </w:r>
    </w:p>
    <w:p>
      <w:pPr>
        <w:pStyle w:val="TextBody"/>
        <w:bidi w:val="0"/>
        <w:spacing w:before="0" w:after="240"/>
        <w:jc w:val="both"/>
        <w:rPr/>
      </w:pPr>
      <w:r>
        <w:rPr>
          <w:color w:val="000000"/>
        </w:rPr>
        <w:t>“</w:t>
      </w:r>
      <w:r>
        <w:rPr>
          <w:rFonts w:ascii="Times New Roman" w:hAnsi="Times New Roman"/>
          <w:color w:val="000000"/>
          <w:sz w:val="24"/>
          <w:u w:val="single"/>
        </w:rPr>
        <w:t>Term Benchmark Rate</w:t>
      </w:r>
      <w:r>
        <w:rPr>
          <w:rFonts w:ascii="Times New Roman" w:hAnsi="Times New Roman"/>
          <w:color w:val="000000"/>
          <w:sz w:val="20"/>
        </w:rPr>
        <w:t xml:space="preserve">” </w:t>
      </w:r>
      <w:r>
        <w:rPr>
          <w:rFonts w:ascii="Times New Roman" w:hAnsi="Times New Roman"/>
          <w:color w:val="000000"/>
          <w:sz w:val="24"/>
        </w:rPr>
        <w:t>means, for any Interest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in the case of Term Benchmark Borrowings denominated in Dollars, Term SOFR for such Interest Period;</w:t>
      </w:r>
    </w:p>
    <w:p>
      <w:pPr>
        <w:pStyle w:val="TextBody"/>
        <w:bidi w:val="0"/>
        <w:spacing w:before="0" w:after="240"/>
        <w:jc w:val="left"/>
        <w:rPr>
          <w:rFonts w:ascii="Times New Roman" w:hAnsi="Times New Roman"/>
          <w:sz w:val="20"/>
        </w:rPr>
      </w:pPr>
      <w:r>
        <w:rPr>
          <w:rFonts w:ascii="Times New Roman" w:hAnsi="Times New Roman"/>
          <w:color w:val="000000"/>
          <w:sz w:val="24"/>
        </w:rPr>
        <w:t>(b) 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(2) Term Benchmark Banking Days for Euros prior to the first day of such Interest Period (the “</w:t>
      </w:r>
      <w:r>
        <w:rPr>
          <w:rFonts w:ascii="Times New Roman" w:hAnsi="Times New Roman"/>
          <w:color w:val="000000"/>
          <w:sz w:val="24"/>
          <w:u w:val="single"/>
        </w:rPr>
        <w:t>EURIBOR Screen Rate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in the case of Term Benchmark Borrowings denominated in Canadian Dollars, </w:t>
      </w:r>
      <w:r>
        <w:rPr>
          <w:rFonts w:ascii="Times New Roman" w:hAnsi="Times New Roman"/>
          <w:color w:val="000000"/>
          <w:sz w:val="24"/>
          <w:u w:val="single"/>
        </w:rPr>
        <w:t>Term CORRA for such Interest Period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(d) in the case of Term Benchmark Borrowings denominated in Australian Dollars, the rate per annum equal to the Bank Bill Swap Reference Bid rate or a successor thereto approved by the Administrative Agent (“</w:t>
      </w:r>
      <w:r>
        <w:rPr>
          <w:rFonts w:ascii="Times New Roman" w:hAnsi="Times New Roman"/>
          <w:color w:val="000000"/>
          <w:sz w:val="24"/>
          <w:u w:val="single"/>
        </w:rPr>
        <w:t>BBSY</w:t>
      </w:r>
      <w:r>
        <w:rPr>
          <w:rFonts w:ascii="Times New Roman" w:hAnsi="Times New Roman"/>
          <w:color w:val="000000"/>
          <w:sz w:val="20"/>
        </w:rPr>
        <w:t>”</w:t>
      </w:r>
      <w:r>
        <w:rPr>
          <w:rFonts w:ascii="Times New Roman" w:hAnsi="Times New Roman"/>
          <w:color w:val="000000"/>
          <w:sz w:val="24"/>
        </w:rPr>
        <w:t xml:space="preserve">) as published by Reuters (or such other page or commercially available source providing BBSY (Bid) quotations as may be designated by the Administrative Agent from time to time) at or about 10:30 a.m. (Melbourne, Australia time) on the day that is two (2) </w:t>
      </w:r>
      <w:r>
        <w:rPr>
          <w:rFonts w:ascii="Times New Roman" w:hAnsi="Times New Roman"/>
          <w:color w:val="000000"/>
          <w:sz w:val="24"/>
          <w:u w:val="single"/>
        </w:rPr>
        <w:t>Term Benchmark Banking Days for Australian Dollars</w:t>
      </w:r>
      <w:r>
        <w:rPr>
          <w:rFonts w:ascii="Times New Roman" w:hAnsi="Times New Roman"/>
          <w:color w:val="000000"/>
          <w:sz w:val="20"/>
        </w:rPr>
        <w:t xml:space="preserve"> </w:t>
      </w:r>
      <w:r>
        <w:rPr>
          <w:rFonts w:ascii="Times New Roman" w:hAnsi="Times New Roman"/>
          <w:color w:val="000000"/>
          <w:sz w:val="24"/>
        </w:rPr>
        <w:t xml:space="preserve">prior to the first day of the Interest Period (or if such day is not an </w:t>
      </w:r>
      <w:r>
        <w:rPr>
          <w:rFonts w:ascii="Times New Roman" w:hAnsi="Times New Roman"/>
          <w:color w:val="000000"/>
          <w:sz w:val="24"/>
          <w:u w:val="single"/>
        </w:rPr>
        <w:t>Term Benchmark Banking Day for Australian Dollars</w:t>
      </w:r>
      <w:r>
        <w:rPr>
          <w:rFonts w:ascii="Times New Roman" w:hAnsi="Times New Roman"/>
          <w:color w:val="000000"/>
          <w:sz w:val="24"/>
        </w:rPr>
        <w:t xml:space="preserve">, then on the immediately preceding </w:t>
      </w:r>
      <w:r>
        <w:rPr>
          <w:rFonts w:ascii="Times New Roman" w:hAnsi="Times New Roman"/>
          <w:color w:val="000000"/>
          <w:sz w:val="24"/>
          <w:u w:val="single"/>
        </w:rPr>
        <w:t>Term Benchmark Banking Day for Australian Dollars</w:t>
      </w:r>
      <w:r>
        <w:rPr>
          <w:rFonts w:ascii="Times New Roman" w:hAnsi="Times New Roman"/>
          <w:color w:val="000000"/>
          <w:sz w:val="24"/>
        </w:rPr>
        <w:t>) with a term equivalent to such Interest Period;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(e) in the case of Term Benchmark Borrowings denominated in New Zealand Dollars, the rate per annum equal to the Bank Bill Reference Bid Rate or a successor thereto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approved by the Administrative Agent (“</w:t>
      </w:r>
      <w:r>
        <w:rPr>
          <w:rFonts w:ascii="Times New Roman" w:hAnsi="Times New Roman"/>
          <w:color w:val="000000"/>
          <w:sz w:val="24"/>
          <w:u w:val="single"/>
        </w:rPr>
        <w:t>BKBM</w:t>
      </w:r>
      <w:r>
        <w:rPr>
          <w:rFonts w:ascii="Times New Roman" w:hAnsi="Times New Roman"/>
          <w:color w:val="000000"/>
          <w:sz w:val="20"/>
        </w:rPr>
        <w:t>”</w:t>
      </w:r>
      <w:r>
        <w:rPr>
          <w:rFonts w:ascii="Times New Roman" w:hAnsi="Times New Roman"/>
          <w:color w:val="000000"/>
          <w:sz w:val="24"/>
        </w:rPr>
        <w:t xml:space="preserve">) as published by Reuters (or such other page or commercially available source providing BKBM (Bid) quotations as may be designated by the Administrative Agent from time to time) at or about 10:45 a.m. (Auckland, New Zealand time) on the day that is two (2) </w:t>
      </w:r>
      <w:r>
        <w:rPr>
          <w:rFonts w:ascii="Times New Roman" w:hAnsi="Times New Roman"/>
          <w:color w:val="000000"/>
          <w:sz w:val="24"/>
          <w:u w:val="single"/>
        </w:rPr>
        <w:t>Term Benchmark Banking Day</w:t>
      </w:r>
      <w:r>
        <w:rPr>
          <w:rFonts w:ascii="Times New Roman" w:hAnsi="Times New Roman"/>
          <w:color w:val="000000"/>
          <w:sz w:val="24"/>
        </w:rPr>
        <w:t xml:space="preserve">s for New Zealand Dollars prior to the first day of the Interest Period (or if such day is not an </w:t>
      </w:r>
      <w:r>
        <w:rPr>
          <w:rFonts w:ascii="Times New Roman" w:hAnsi="Times New Roman"/>
          <w:color w:val="000000"/>
          <w:sz w:val="24"/>
          <w:u w:val="single"/>
        </w:rPr>
        <w:t>Term Benchmark Banking Day for New Zealand Dollars</w:t>
      </w:r>
      <w:r>
        <w:rPr>
          <w:rFonts w:ascii="Times New Roman" w:hAnsi="Times New Roman"/>
          <w:color w:val="000000"/>
          <w:sz w:val="24"/>
        </w:rPr>
        <w:t xml:space="preserve">, then on the immediately preceding </w:t>
      </w:r>
      <w:r>
        <w:rPr>
          <w:rFonts w:ascii="Times New Roman" w:hAnsi="Times New Roman"/>
          <w:color w:val="000000"/>
          <w:sz w:val="24"/>
          <w:u w:val="single"/>
        </w:rPr>
        <w:t>Term Benchmark Banking Day for New Zealand Dollars</w:t>
      </w:r>
      <w:r>
        <w:rPr>
          <w:rFonts w:ascii="Times New Roman" w:hAnsi="Times New Roman"/>
          <w:color w:val="000000"/>
          <w:sz w:val="24"/>
        </w:rPr>
        <w:t>) with a term equivalent to such Interest Period;</w:t>
      </w:r>
    </w:p>
    <w:p>
      <w:pPr>
        <w:pStyle w:val="TextBody"/>
        <w:bidi w:val="0"/>
        <w:spacing w:before="0" w:after="240"/>
        <w:jc w:val="left"/>
        <w:rPr>
          <w:rFonts w:ascii="Times New Roman" w:hAnsi="Times New Roman"/>
          <w:sz w:val="20"/>
        </w:rPr>
      </w:pPr>
      <w:r>
        <w:rPr>
          <w:rFonts w:ascii="Times New Roman" w:hAnsi="Times New Roman"/>
          <w:color w:val="000000"/>
          <w:sz w:val="24"/>
        </w:rPr>
        <w:t>(f) in the case of Term Benchmark Borrowings denominated in Swedish Krona, the rate per annum equal to the Stockholm Interbank Offered Rate or a successor thereto approved by the Administrative Agent (“</w:t>
      </w:r>
      <w:r>
        <w:rPr>
          <w:rFonts w:ascii="Times New Roman" w:hAnsi="Times New Roman"/>
          <w:color w:val="000000"/>
          <w:sz w:val="24"/>
          <w:u w:val="single"/>
        </w:rPr>
        <w:t>STIBOR</w:t>
      </w:r>
      <w:r>
        <w:rPr>
          <w:rFonts w:ascii="Times New Roman" w:hAnsi="Times New Roman"/>
          <w:color w:val="000000"/>
          <w:sz w:val="20"/>
        </w:rPr>
        <w:t>”</w:t>
      </w:r>
      <w:r>
        <w:rPr>
          <w:rFonts w:ascii="Times New Roman" w:hAnsi="Times New Roman"/>
          <w:color w:val="000000"/>
          <w:sz w:val="24"/>
        </w:rPr>
        <w:t xml:space="preserve">) as published by Reuters (or such other page or commercially available source providing STIBOR quotations as may be designated by the Administrative Agent from time to time) at or about 11:00 a.m. (Stockholm, Sweden time) on the day that is two (2) </w:t>
      </w:r>
      <w:r>
        <w:rPr>
          <w:rFonts w:ascii="Times New Roman" w:hAnsi="Times New Roman"/>
          <w:color w:val="000000"/>
          <w:sz w:val="24"/>
          <w:u w:val="single"/>
        </w:rPr>
        <w:t>Term Benchmark Banking Day</w:t>
      </w:r>
      <w:r>
        <w:rPr>
          <w:rFonts w:ascii="Times New Roman" w:hAnsi="Times New Roman"/>
          <w:color w:val="000000"/>
          <w:sz w:val="24"/>
        </w:rPr>
        <w:t xml:space="preserve">s for Swedish Krona prior to the first day of the Interest Period (or if such day is not an </w:t>
      </w:r>
      <w:r>
        <w:rPr>
          <w:rFonts w:ascii="Times New Roman" w:hAnsi="Times New Roman"/>
          <w:color w:val="000000"/>
          <w:sz w:val="24"/>
          <w:u w:val="single"/>
        </w:rPr>
        <w:t>Term Benchmark Banking Day for Swedish Krona</w:t>
      </w:r>
      <w:r>
        <w:rPr>
          <w:rFonts w:ascii="Times New Roman" w:hAnsi="Times New Roman"/>
          <w:color w:val="000000"/>
          <w:sz w:val="24"/>
        </w:rPr>
        <w:t xml:space="preserve">, then on the immediately preceding </w:t>
      </w:r>
      <w:r>
        <w:rPr>
          <w:rFonts w:ascii="Times New Roman" w:hAnsi="Times New Roman"/>
          <w:color w:val="000000"/>
          <w:sz w:val="24"/>
          <w:u w:val="single"/>
        </w:rPr>
        <w:t>Term Benchmark Banking Day for Swedish Krona</w:t>
      </w:r>
      <w:r>
        <w:rPr>
          <w:rFonts w:ascii="Times New Roman" w:hAnsi="Times New Roman"/>
          <w:color w:val="000000"/>
          <w:sz w:val="24"/>
        </w:rPr>
        <w:t>) with a term equivalent to such Interest Period; and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(2) </w:t>
      </w:r>
      <w:r>
        <w:rPr>
          <w:rFonts w:ascii="Times New Roman" w:hAnsi="Times New Roman"/>
          <w:color w:val="000000"/>
          <w:sz w:val="24"/>
          <w:u w:val="single"/>
        </w:rPr>
        <w:t>Term Benchmark Banking Day</w:t>
      </w:r>
      <w:r>
        <w:rPr>
          <w:rFonts w:ascii="Times New Roman" w:hAnsi="Times New Roman"/>
          <w:color w:val="000000"/>
          <w:sz w:val="24"/>
        </w:rPr>
        <w:t>s for Japanese Yen prior to the first day of such Interest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in each case, if such rate for any Currency is less than zero, such rate shall be deemed to be zero for purposes of this Agreement.</w:t>
      </w:r>
    </w:p>
    <w:p>
      <w:pPr>
        <w:pStyle w:val="TextBody"/>
        <w:bidi w:val="0"/>
        <w:spacing w:before="0" w:after="240"/>
        <w:jc w:val="left"/>
        <w:rPr/>
      </w:pPr>
      <w:r>
        <w:rPr>
          <w:color w:val="000000"/>
        </w:rPr>
        <w:t>“</w:t>
      </w:r>
      <w:r>
        <w:rPr>
          <w:rFonts w:ascii="Times New Roman" w:hAnsi="Times New Roman"/>
          <w:color w:val="000000"/>
          <w:sz w:val="24"/>
          <w:u w:val="single"/>
        </w:rPr>
        <w:t>Term CORRA</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for any calculation with respect to a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w:t>
      </w:r>
      <w:r>
        <w:rPr>
          <w:rFonts w:ascii="Times New Roman" w:hAnsi="Times New Roman"/>
          <w:color w:val="000000"/>
          <w:sz w:val="24"/>
          <w:u w:val="single"/>
        </w:rPr>
        <w:t>Periodic Term CORRA Determination Day</w:t>
      </w:r>
      <w:r>
        <w:rPr>
          <w:rFonts w:ascii="Times New Roman" w:hAnsi="Times New Roman"/>
          <w:color w:val="000000"/>
          <w:sz w:val="20"/>
        </w:rPr>
        <w:t>”</w:t>
      </w:r>
      <w:r>
        <w:rPr>
          <w:rFonts w:ascii="Times New Roman" w:hAnsi="Times New Roman"/>
          <w:color w:val="000000"/>
          <w:sz w:val="24"/>
        </w:rPr>
        <w:t>) that is two (2) Term Benchmark Banking Days prior to the first day of such Interest Period, as such rate is published by the Term CORRA Administrator and is displayed on a screen or other information service, as identified or selected by the Administrative Agent;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preceding Term Benchmark Banking Day is not more than three (3) Business Days prior to such Periodic Term CORRA Determination Day;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for any calculation with respect to the Canadian Prime Rate for any day, the sum of (i) the Term CORRA Credit Adjustment Spread for Term Benchmark Loans for an Interest Period of one month and (ii) the Term CORRA Reference Rate for a tenor of one month on the day (such day, the “</w:t>
      </w:r>
      <w:r>
        <w:rPr>
          <w:rFonts w:ascii="Times New Roman" w:hAnsi="Times New Roman"/>
          <w:color w:val="000000"/>
          <w:sz w:val="24"/>
          <w:u w:val="single"/>
        </w:rPr>
        <w:t>Canadian Prime Rate Term CORRA Determination Day</w:t>
      </w:r>
      <w:r>
        <w:rPr>
          <w:rFonts w:ascii="Times New Roman" w:hAnsi="Times New Roman"/>
          <w:color w:val="000000"/>
          <w:sz w:val="20"/>
        </w:rPr>
        <w:t>”</w:t>
      </w:r>
      <w:r>
        <w:rPr>
          <w:rFonts w:ascii="Times New Roman" w:hAnsi="Times New Roman"/>
          <w:color w:val="000000"/>
          <w:sz w:val="24"/>
        </w:rPr>
        <w:t>) that is two (2)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clause (b)(ii)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Canadian Prime Rate Term CORRA Determination Day.</w:t>
      </w:r>
    </w:p>
    <w:p>
      <w:pPr>
        <w:pStyle w:val="TextBody"/>
        <w:bidi w:val="0"/>
        <w:spacing w:before="0" w:after="240"/>
        <w:jc w:val="left"/>
        <w:rPr/>
      </w:pPr>
      <w:r>
        <w:rPr>
          <w:color w:val="000000"/>
        </w:rPr>
        <w:t>“</w:t>
      </w:r>
      <w:r>
        <w:rPr>
          <w:rFonts w:ascii="Times New Roman" w:hAnsi="Times New Roman"/>
          <w:color w:val="000000"/>
          <w:sz w:val="24"/>
          <w:u w:val="single"/>
        </w:rPr>
        <w:t>Term CORRA Administrator</w:t>
      </w:r>
      <w:r>
        <w:rPr>
          <w:rFonts w:ascii="Times New Roman" w:hAnsi="Times New Roman"/>
          <w:color w:val="000000"/>
          <w:sz w:val="20"/>
        </w:rPr>
        <w:t xml:space="preserve">” </w:t>
      </w:r>
      <w:r>
        <w:rPr>
          <w:rFonts w:ascii="Times New Roman" w:hAnsi="Times New Roman"/>
          <w:color w:val="000000"/>
          <w:sz w:val="24"/>
        </w:rPr>
        <w:t>means Candeal Benchmark Administration Services Inc., TSX Inc., or any successor administrator of the Term CORRA Reference Rate selected by the Administrative Agent in its reasonable discretion.</w:t>
      </w:r>
    </w:p>
    <w:p>
      <w:pPr>
        <w:pStyle w:val="TextBody"/>
        <w:bidi w:val="0"/>
        <w:spacing w:before="0" w:after="240"/>
        <w:jc w:val="left"/>
        <w:rPr/>
      </w:pPr>
      <w:r>
        <w:rPr>
          <w:color w:val="000000"/>
        </w:rPr>
        <w:t>“</w:t>
      </w:r>
      <w:r>
        <w:rPr>
          <w:rFonts w:ascii="Times New Roman" w:hAnsi="Times New Roman"/>
          <w:color w:val="000000"/>
          <w:sz w:val="24"/>
          <w:u w:val="single"/>
        </w:rPr>
        <w:t>Term CORRA Credit Adjustment Spread</w:t>
      </w:r>
      <w:r>
        <w:rPr>
          <w:rFonts w:ascii="Times New Roman" w:hAnsi="Times New Roman"/>
          <w:color w:val="000000"/>
          <w:sz w:val="20"/>
        </w:rPr>
        <w:t xml:space="preserve">” </w:t>
      </w:r>
      <w:r>
        <w:rPr>
          <w:rFonts w:ascii="Times New Roman" w:hAnsi="Times New Roman"/>
          <w:color w:val="000000"/>
          <w:sz w:val="24"/>
        </w:rPr>
        <w:t>means, with respect to Term Benchmark Loans denominated in Canadian Dollars, (a) with an Interest Period of one month, 0.29547% and (b) with an Interest Period of three months, 0.32138%.</w:t>
      </w:r>
    </w:p>
    <w:p>
      <w:pPr>
        <w:pStyle w:val="TextBody"/>
        <w:bidi w:val="0"/>
        <w:spacing w:before="0" w:after="240"/>
        <w:jc w:val="both"/>
        <w:rPr/>
      </w:pPr>
      <w:r>
        <w:rPr>
          <w:color w:val="000000"/>
        </w:rPr>
        <w:t>“</w:t>
      </w:r>
      <w:r>
        <w:rPr>
          <w:rFonts w:ascii="Times New Roman" w:hAnsi="Times New Roman"/>
          <w:color w:val="000000"/>
          <w:sz w:val="24"/>
          <w:u w:val="single"/>
        </w:rPr>
        <w:t>Term CORRA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CORRA.</w:t>
      </w:r>
    </w:p>
    <w:p>
      <w:pPr>
        <w:pStyle w:val="TextBody"/>
        <w:bidi w:val="0"/>
        <w:spacing w:before="0" w:after="240"/>
        <w:jc w:val="both"/>
        <w:rPr/>
      </w:pPr>
      <w:r>
        <w:rPr>
          <w:color w:val="000000"/>
        </w:rPr>
        <w:t>“</w:t>
      </w:r>
      <w:r>
        <w:rPr>
          <w:rFonts w:ascii="Times New Roman" w:hAnsi="Times New Roman"/>
          <w:color w:val="000000"/>
          <w:sz w:val="24"/>
          <w:u w:val="single"/>
        </w:rPr>
        <w:t>Term SOFR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for any calculation with respect to a Term Benchmark Loan denominated in Dollars for any Interest Period, the sum of (i) the Term SOFR Credit Adjustment Spread and (ii) the Term SOFR Reference Rate for a tenor comparable to the applicable Interest Period on the day (such day, the “</w:t>
      </w:r>
      <w:r>
        <w:rPr>
          <w:rFonts w:ascii="Times New Roman" w:hAnsi="Times New Roman"/>
          <w:color w:val="000000"/>
          <w:sz w:val="24"/>
          <w:u w:val="single"/>
        </w:rPr>
        <w:t>Periodic Term SOFR Determination Day</w:t>
      </w:r>
      <w:r>
        <w:rPr>
          <w:rFonts w:ascii="Times New Roman" w:hAnsi="Times New Roman"/>
          <w:color w:val="000000"/>
          <w:sz w:val="20"/>
        </w:rPr>
        <w:t>”</w:t>
      </w:r>
      <w:r>
        <w:rPr>
          <w:rFonts w:ascii="Times New Roman" w:hAnsi="Times New Roman"/>
          <w:color w:val="000000"/>
          <w:sz w:val="24"/>
        </w:rPr>
        <w:t xml:space="preserve">) that is two (2) U.S. Government Securities Business Days prior to the first day of such Interest Period, as such rate is published by the Term SOFR Administrator; </w:t>
      </w:r>
      <w:r>
        <w:rPr>
          <w:rFonts w:ascii="Times New Roman" w:hAnsi="Times New Roman"/>
          <w:color w:val="000000"/>
          <w:sz w:val="24"/>
          <w:u w:val="single"/>
        </w:rPr>
        <w:t>provided</w:t>
      </w:r>
      <w:r>
        <w:rPr>
          <w:rFonts w:ascii="Times New Roman" w:hAnsi="Times New Roman"/>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clause (a)(ii)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for any calculation with respect to an ABR Loan on any day, the sum of (i) the Term SOFR Credit Adjustment Spread and (ii) the Term SOFR Reference Rate for a tenor of one month on the day (such day, the “</w:t>
      </w:r>
      <w:r>
        <w:rPr>
          <w:rFonts w:ascii="Times New Roman" w:hAnsi="Times New Roman"/>
          <w:color w:val="000000"/>
          <w:sz w:val="24"/>
          <w:u w:val="single"/>
        </w:rPr>
        <w:t>Base Rate Term SOFR Determination Day</w:t>
      </w:r>
      <w:r>
        <w:rPr>
          <w:rFonts w:ascii="Times New Roman" w:hAnsi="Times New Roman"/>
          <w:color w:val="000000"/>
          <w:sz w:val="20"/>
        </w:rPr>
        <w:t>”</w:t>
      </w:r>
      <w:r>
        <w:rPr>
          <w:rFonts w:ascii="Times New Roman" w:hAnsi="Times New Roman"/>
          <w:color w:val="000000"/>
          <w:sz w:val="24"/>
        </w:rPr>
        <w:t xml:space="preserve">) that is two (2) U.S. Government Securities Business Days prior to such day, as such rate is published by the Term SOFR Administrator;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clause (b)(ii)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240"/>
        <w:jc w:val="both"/>
        <w:rPr/>
      </w:pPr>
      <w:r>
        <w:rPr>
          <w:color w:val="000000"/>
        </w:rPr>
        <w:t>“</w:t>
      </w:r>
      <w:r>
        <w:rPr>
          <w:rFonts w:ascii="Times New Roman" w:hAnsi="Times New Roman"/>
          <w:color w:val="000000"/>
          <w:sz w:val="24"/>
          <w:u w:val="single"/>
        </w:rPr>
        <w:t>Term SOFR Administrator</w:t>
      </w:r>
      <w:r>
        <w:rPr>
          <w:rFonts w:ascii="Times New Roman" w:hAnsi="Times New Roman"/>
          <w:color w:val="000000"/>
          <w:sz w:val="20"/>
        </w:rPr>
        <w:t xml:space="preserve">” </w:t>
      </w:r>
      <w:r>
        <w:rPr>
          <w:rFonts w:ascii="Times New Roman" w:hAnsi="Times New Roman"/>
          <w:color w:val="000000"/>
          <w:sz w:val="24"/>
        </w:rPr>
        <w:t>means the CME Group Benchmark Administration Limited (CBA) (or a successor administrator of the Term SOFR Reference Rate selected by the Administrative Agent in its reasonable discretion).</w:t>
      </w:r>
    </w:p>
    <w:p>
      <w:pPr>
        <w:pStyle w:val="TextBody"/>
        <w:bidi w:val="0"/>
        <w:spacing w:before="0" w:after="240"/>
        <w:jc w:val="both"/>
        <w:rPr/>
      </w:pPr>
      <w:r>
        <w:rPr>
          <w:color w:val="000000"/>
        </w:rPr>
        <w:t>“</w:t>
      </w:r>
      <w:r>
        <w:rPr>
          <w:rFonts w:ascii="Times New Roman" w:hAnsi="Times New Roman"/>
          <w:color w:val="000000"/>
          <w:sz w:val="24"/>
          <w:u w:val="single"/>
        </w:rPr>
        <w:t>Term SOFR Credit Adjustment Spread</w:t>
      </w:r>
      <w:r>
        <w:rPr>
          <w:rFonts w:ascii="Times New Roman" w:hAnsi="Times New Roman"/>
          <w:color w:val="000000"/>
          <w:sz w:val="20"/>
        </w:rPr>
        <w:t xml:space="preserve">” </w:t>
      </w:r>
      <w:r>
        <w:rPr>
          <w:rFonts w:ascii="Times New Roman" w:hAnsi="Times New Roman"/>
          <w:color w:val="000000"/>
          <w:sz w:val="24"/>
        </w:rPr>
        <w:t>means 0.10%.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Term SOFR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SOFR.</w:t>
      </w:r>
    </w:p>
    <w:p>
      <w:pPr>
        <w:pStyle w:val="TextBody"/>
        <w:bidi w:val="0"/>
        <w:spacing w:before="0" w:after="240"/>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 xml:space="preserve">means the earliest to occur of (i) the Extended Final Maturity Date, (ii) the date of the termination of the Commitments in full pursuant to </w:t>
      </w:r>
      <w:r>
        <w:rPr>
          <w:rFonts w:ascii="Times New Roman" w:hAnsi="Times New Roman"/>
          <w:color w:val="000000"/>
          <w:sz w:val="24"/>
          <w:u w:val="single"/>
        </w:rPr>
        <w:t>Section 2.08(c)</w:t>
      </w:r>
      <w:r>
        <w:rPr>
          <w:rFonts w:ascii="Times New Roman" w:hAnsi="Times New Roman"/>
          <w:color w:val="000000"/>
          <w:sz w:val="24"/>
        </w:rPr>
        <w:t xml:space="preserve">, or (iii) the date on which the Commitments are terminated pursuant to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Testing Period</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5.12(b)(ii)(E)(x)</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Testing Quarter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Total Assets</w:t>
      </w:r>
      <w:r>
        <w:rPr>
          <w:rFonts w:ascii="Times New Roman" w:hAnsi="Times New Roman"/>
          <w:color w:val="000000"/>
          <w:sz w:val="20"/>
        </w:rPr>
        <w:t xml:space="preserve">” </w:t>
      </w:r>
      <w:r>
        <w:rPr>
          <w:rFonts w:ascii="Times New Roman" w:hAnsi="Times New Roman"/>
          <w:color w:val="000000"/>
          <w:sz w:val="24"/>
        </w:rPr>
        <w:t>means, as of any date of determination, the value of the total assets of the Obligors, less all liabilities and indebtedness not represented by senior securities, in each case, as of such date of determination.</w:t>
      </w:r>
    </w:p>
    <w:p>
      <w:pPr>
        <w:pStyle w:val="TextBody"/>
        <w:bidi w:val="0"/>
        <w:spacing w:before="0" w:after="240"/>
        <w:jc w:val="both"/>
        <w:rPr/>
      </w:pPr>
      <w:r>
        <w:rPr>
          <w:color w:val="000000"/>
        </w:rPr>
        <w:t>“</w:t>
      </w:r>
      <w:r>
        <w:rPr>
          <w:rFonts w:ascii="Times New Roman" w:hAnsi="Times New Roman"/>
          <w:color w:val="000000"/>
          <w:sz w:val="24"/>
          <w:u w:val="single"/>
        </w:rPr>
        <w:t>Total Assets Concentration Limitation</w:t>
      </w:r>
      <w:r>
        <w:rPr>
          <w:rFonts w:ascii="Times New Roman" w:hAnsi="Times New Roman"/>
          <w:color w:val="000000"/>
          <w:sz w:val="20"/>
        </w:rPr>
        <w:t xml:space="preserve">” </w:t>
      </w:r>
      <w:r>
        <w:rPr>
          <w:rFonts w:ascii="Times New Roman" w:hAnsi="Times New Roman"/>
          <w:color w:val="000000"/>
          <w:sz w:val="24"/>
        </w:rPr>
        <w:t>means, as of any date of determination, the amount by which the aggregate value of Equity Interests in Financing Subsidiaries held by the Obligors as of such date of determination exceeds 15% of the Total Assets as of such date of determination.</w:t>
      </w:r>
    </w:p>
    <w:p>
      <w:pPr>
        <w:pStyle w:val="TextBody"/>
        <w:bidi w:val="0"/>
        <w:spacing w:before="0" w:after="240"/>
        <w:jc w:val="both"/>
        <w:rPr/>
      </w:pPr>
      <w:r>
        <w:rPr>
          <w:color w:val="000000"/>
        </w:rPr>
        <w:t>“</w:t>
      </w:r>
      <w:r>
        <w:rPr>
          <w:rFonts w:ascii="Times New Roman" w:hAnsi="Times New Roman"/>
          <w:color w:val="000000"/>
          <w:sz w:val="24"/>
          <w:u w:val="single"/>
        </w:rPr>
        <w:t>Total Secured Debt</w:t>
      </w:r>
      <w:r>
        <w:rPr>
          <w:rFonts w:ascii="Times New Roman" w:hAnsi="Times New Roman"/>
          <w:color w:val="000000"/>
          <w:sz w:val="20"/>
        </w:rPr>
        <w:t xml:space="preserve">” </w:t>
      </w:r>
      <w:r>
        <w:rPr>
          <w:rFonts w:ascii="Times New Roman" w:hAnsi="Times New Roman"/>
          <w:color w:val="000000"/>
          <w:sz w:val="24"/>
        </w:rPr>
        <w:t>means, as of any date of determination, the aggregate amount of senior securities representing secured indebtedness of the Obligors as of such date of determination.</w:t>
      </w:r>
    </w:p>
    <w:p>
      <w:pPr>
        <w:pStyle w:val="TextBody"/>
        <w:bidi w:val="0"/>
        <w:spacing w:before="0" w:after="240"/>
        <w:jc w:val="both"/>
        <w:rPr/>
      </w:pPr>
      <w:r>
        <w:rPr>
          <w:color w:val="000000"/>
        </w:rPr>
        <w:t>“</w:t>
      </w:r>
      <w:r>
        <w:rPr>
          <w:rFonts w:ascii="Times New Roman" w:hAnsi="Times New Roman"/>
          <w:color w:val="000000"/>
          <w:sz w:val="24"/>
          <w:u w:val="single"/>
        </w:rPr>
        <w:t>Transactions</w:t>
      </w:r>
      <w:r>
        <w:rPr>
          <w:rFonts w:ascii="Times New Roman" w:hAnsi="Times New Roman"/>
          <w:color w:val="000000"/>
          <w:sz w:val="20"/>
        </w:rPr>
        <w:t xml:space="preserve">” </w:t>
      </w:r>
      <w:r>
        <w:rPr>
          <w:rFonts w:ascii="Times New Roman" w:hAnsi="Times New Roman"/>
          <w:color w:val="000000"/>
          <w:sz w:val="24"/>
        </w:rPr>
        <w:t>means the execution, delivery and performance by the Borrower of this Agreement and the other Loan Documents, the borrowing of Loans, the use of the proceeds thereof and the issuance of Letters of Credit hereunder.</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Truist</w:t>
      </w:r>
      <w:r>
        <w:rPr>
          <w:rFonts w:ascii="Times New Roman" w:hAnsi="Times New Roman"/>
          <w:color w:val="000000"/>
          <w:sz w:val="20"/>
        </w:rPr>
        <w:t xml:space="preserve">” </w:t>
      </w:r>
      <w:r>
        <w:rPr>
          <w:rFonts w:ascii="Times New Roman" w:hAnsi="Times New Roman"/>
          <w:color w:val="000000"/>
          <w:sz w:val="24"/>
        </w:rPr>
        <w:t>means Truist Bank.</w:t>
      </w:r>
    </w:p>
    <w:p>
      <w:pPr>
        <w:pStyle w:val="TextBody"/>
        <w:bidi w:val="0"/>
        <w:spacing w:before="0" w:after="240"/>
        <w:jc w:val="both"/>
        <w:rPr/>
      </w:pPr>
      <w:r>
        <w:rPr>
          <w:color w:val="000000"/>
        </w:rPr>
        <w:t>“</w:t>
      </w:r>
      <w:r>
        <w:rPr>
          <w:rFonts w:ascii="Times New Roman" w:hAnsi="Times New Roman"/>
          <w:color w:val="000000"/>
          <w:sz w:val="24"/>
          <w:u w:val="single"/>
        </w:rPr>
        <w:t>Type</w:t>
      </w:r>
      <w:r>
        <w:rPr>
          <w:rFonts w:ascii="Times New Roman" w:hAnsi="Times New Roman"/>
          <w:color w:val="000000"/>
          <w:sz w:val="20"/>
        </w:rPr>
        <w:t>”</w:t>
      </w:r>
      <w:r>
        <w:rPr>
          <w:rFonts w:ascii="Times New Roman" w:hAnsi="Times New Roman"/>
          <w:color w:val="000000"/>
          <w:sz w:val="24"/>
        </w:rPr>
        <w:t>, when used in reference to any Loan or Borrowing, refers to whether the rate of interest on such Loan, or on the Loans constituting such Borrowing, is determined by reference to the Adjusted Term Benchmark Rate, the Daily Simple RFR or the Alternate Base Rate.</w:t>
      </w:r>
    </w:p>
    <w:p>
      <w:pPr>
        <w:pStyle w:val="TextBody"/>
        <w:bidi w:val="0"/>
        <w:spacing w:before="0" w:after="240"/>
        <w:jc w:val="both"/>
        <w:rPr/>
      </w:pPr>
      <w:r>
        <w:rPr>
          <w:color w:val="000000"/>
        </w:rPr>
        <w:t>“</w:t>
      </w:r>
      <w:r>
        <w:rPr>
          <w:rFonts w:ascii="Times New Roman" w:hAnsi="Times New Roman"/>
          <w:color w:val="000000"/>
          <w:sz w:val="24"/>
          <w:u w:val="single"/>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4"/>
          <w:u w:val="single"/>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4"/>
          <w:u w:val="single"/>
        </w:rPr>
        <w:t>Unasserted Contingent Obligations</w:t>
      </w:r>
      <w:r>
        <w:rPr>
          <w:rFonts w:ascii="Times New Roman" w:hAnsi="Times New Roman"/>
          <w:color w:val="000000"/>
          <w:sz w:val="20"/>
        </w:rPr>
        <w:t xml:space="preserve">” </w:t>
      </w:r>
      <w:r>
        <w:rPr>
          <w:rFonts w:ascii="Times New Roman" w:hAnsi="Times New Roman"/>
          <w:color w:val="000000"/>
          <w:sz w:val="24"/>
        </w:rPr>
        <w:t>means all (i) unasserted contingent indemnification obligations not then due and payable and (ii) unasserted expense reimbursement obligations not then due and payable. For the avoidance of doubt, “Unasserted Contingent Obligations” shall not include any reimbursement obligations in respect of any Letter of Credit.</w:t>
      </w:r>
    </w:p>
    <w:p>
      <w:pPr>
        <w:pStyle w:val="TextBody"/>
        <w:bidi w:val="0"/>
        <w:spacing w:before="0" w:after="240"/>
        <w:jc w:val="both"/>
        <w:rPr/>
      </w:pPr>
      <w:r>
        <w:rPr>
          <w:color w:val="000000"/>
        </w:rPr>
        <w:t>“</w:t>
      </w:r>
      <w:r>
        <w:rPr>
          <w:rFonts w:ascii="Times New Roman" w:hAnsi="Times New Roman"/>
          <w:color w:val="000000"/>
          <w:sz w:val="24"/>
          <w:u w:val="single"/>
        </w:rPr>
        <w:t>Undisclosed Administration</w:t>
      </w:r>
      <w:r>
        <w:rPr>
          <w:rFonts w:ascii="Times New Roman" w:hAnsi="Times New Roman"/>
          <w:color w:val="000000"/>
          <w:sz w:val="20"/>
        </w:rPr>
        <w:t xml:space="preserve">” </w:t>
      </w:r>
      <w:r>
        <w:rPr>
          <w:rFonts w:ascii="Times New Roman" w:hAnsi="Times New Roman"/>
          <w:color w:val="000000"/>
          <w:sz w:val="24"/>
        </w:rPr>
        <w:t>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pStyle w:val="TextBody"/>
        <w:bidi w:val="0"/>
        <w:spacing w:before="0" w:after="240"/>
        <w:jc w:val="both"/>
        <w:rPr/>
      </w:pPr>
      <w:r>
        <w:rPr>
          <w:color w:val="000000"/>
        </w:rPr>
        <w:t>“</w:t>
      </w:r>
      <w:r>
        <w:rPr>
          <w:rFonts w:ascii="Times New Roman" w:hAnsi="Times New Roman"/>
          <w:color w:val="000000"/>
          <w:sz w:val="24"/>
          <w:u w:val="single"/>
        </w:rPr>
        <w:t>Uniform Commercial Code</w:t>
      </w:r>
      <w:r>
        <w:rPr>
          <w:rFonts w:ascii="Times New Roman" w:hAnsi="Times New Roman"/>
          <w:color w:val="000000"/>
          <w:sz w:val="20"/>
        </w:rPr>
        <w:t xml:space="preserve">” </w:t>
      </w:r>
      <w:r>
        <w:rPr>
          <w:rFonts w:ascii="Times New Roman" w:hAnsi="Times New Roman"/>
          <w:color w:val="000000"/>
          <w:sz w:val="24"/>
        </w:rPr>
        <w:t>means the Uniform Commercial Code as in effect from time to time in the State of New York.</w:t>
      </w:r>
    </w:p>
    <w:p>
      <w:pPr>
        <w:pStyle w:val="TextBody"/>
        <w:bidi w:val="0"/>
        <w:spacing w:before="0" w:after="240"/>
        <w:jc w:val="both"/>
        <w:rPr/>
      </w:pPr>
      <w:r>
        <w:rPr>
          <w:color w:val="000000"/>
        </w:rPr>
        <w:t>“</w:t>
      </w:r>
      <w:r>
        <w:rPr>
          <w:rFonts w:ascii="Times New Roman" w:hAnsi="Times New Roman"/>
          <w:color w:val="000000"/>
          <w:sz w:val="24"/>
          <w:u w:val="single"/>
        </w:rPr>
        <w:t>Unquoted Investments</w:t>
      </w:r>
      <w:r>
        <w:rPr>
          <w:rFonts w:ascii="Times New Roman" w:hAnsi="Times New Roman"/>
          <w:color w:val="000000"/>
          <w:sz w:val="20"/>
        </w:rPr>
        <w:t xml:space="preserve">” </w:t>
      </w:r>
      <w:r>
        <w:rPr>
          <w:rFonts w:ascii="Times New Roman" w:hAnsi="Times New Roman"/>
          <w:color w:val="000000"/>
          <w:sz w:val="24"/>
        </w:rPr>
        <w:t xml:space="preserve">means a Portfolio Investment with a value assigned by the Borrower pursuant to </w:t>
      </w:r>
      <w:r>
        <w:rPr>
          <w:rFonts w:ascii="Times New Roman" w:hAnsi="Times New Roman"/>
          <w:color w:val="000000"/>
          <w:sz w:val="24"/>
          <w:u w:val="single"/>
        </w:rPr>
        <w:t>Section 5.12(b)(ii)(B)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Unsecured Longer-Term Indebtedness</w:t>
      </w:r>
      <w:r>
        <w:rPr>
          <w:rFonts w:ascii="Times New Roman" w:hAnsi="Times New Roman"/>
          <w:color w:val="000000"/>
          <w:sz w:val="20"/>
        </w:rPr>
        <w:t xml:space="preserve">” </w:t>
      </w:r>
      <w:r>
        <w:rPr>
          <w:rFonts w:ascii="Times New Roman" w:hAnsi="Times New Roman"/>
          <w:color w:val="000000"/>
          <w:sz w:val="24"/>
        </w:rPr>
        <w:t xml:space="preserve">means any Indebtedness of an Obligor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hAnsi="Times New Roman"/>
          <w:color w:val="000000"/>
          <w:sz w:val="24"/>
          <w:u w:val="single"/>
        </w:rPr>
        <w:t>Section 6.01(m)</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6.01(o</w:t>
      </w:r>
      <w:r>
        <w:rPr>
          <w:rFonts w:ascii="Times New Roman" w:hAnsi="Times New Roman"/>
          <w:color w:val="000000"/>
          <w:sz w:val="24"/>
        </w:rPr>
        <w:t>)) prior to, and a final maturity date not earlier than, six months after the Extended Final Maturity Date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pStyle w:val="TextBody"/>
        <w:bidi w:val="0"/>
        <w:spacing w:before="0" w:after="240"/>
        <w:jc w:val="both"/>
        <w:rPr/>
      </w:pPr>
      <w:r>
        <w:rPr>
          <w:color w:val="000000"/>
        </w:rPr>
        <w:t>“</w:t>
      </w:r>
      <w:r>
        <w:rPr>
          <w:rFonts w:ascii="Times New Roman" w:hAnsi="Times New Roman"/>
          <w:color w:val="000000"/>
          <w:sz w:val="24"/>
          <w:u w:val="single"/>
        </w:rPr>
        <w:t>Unsecured Shorter-Term Indebtedness</w:t>
      </w:r>
      <w:r>
        <w:rPr>
          <w:rFonts w:ascii="Times New Roman" w:hAnsi="Times New Roman"/>
          <w:color w:val="000000"/>
          <w:sz w:val="20"/>
        </w:rPr>
        <w:t xml:space="preserve">” </w:t>
      </w:r>
      <w:r>
        <w:rPr>
          <w:rFonts w:ascii="Times New Roman" w:hAnsi="Times New Roman"/>
          <w:color w:val="000000"/>
          <w:sz w:val="24"/>
        </w:rPr>
        <w:t xml:space="preserve">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 w:hAnsi="Times New Roman"/>
          <w:color w:val="000000"/>
          <w:sz w:val="24"/>
          <w:u w:val="single"/>
        </w:rPr>
        <w:t>Section 6.11(a)</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Unsecured Shorter-Term Indebtedness shall not include any Indebtedness permitted pursuant to </w:t>
      </w:r>
      <w:r>
        <w:rPr>
          <w:rFonts w:ascii="Times New Roman" w:hAnsi="Times New Roman"/>
          <w:color w:val="000000"/>
          <w:sz w:val="24"/>
          <w:u w:val="single"/>
        </w:rPr>
        <w:t>Section 6.01(l)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U.S. Government Securities</w:t>
      </w:r>
      <w:r>
        <w:rPr>
          <w:rFonts w:ascii="Times New Roman" w:hAnsi="Times New Roman"/>
          <w:color w:val="000000"/>
          <w:sz w:val="20"/>
        </w:rPr>
        <w:t xml:space="preserve">” </w:t>
      </w:r>
      <w:r>
        <w:rPr>
          <w:rFonts w:ascii="Times New Roman" w:hAnsi="Times New Roman"/>
          <w:color w:val="000000"/>
          <w:sz w:val="24"/>
        </w:rPr>
        <w:t>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pStyle w:val="TextBody"/>
        <w:bidi w:val="0"/>
        <w:spacing w:before="0" w:after="240"/>
        <w:jc w:val="both"/>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4"/>
          <w:u w:val="single"/>
        </w:rPr>
        <w:t>U.S. Person</w:t>
      </w:r>
      <w:r>
        <w:rPr>
          <w:rFonts w:ascii="Times New Roman" w:hAnsi="Times New Roman"/>
          <w:color w:val="000000"/>
          <w:sz w:val="20"/>
        </w:rPr>
        <w:t xml:space="preserve">” </w:t>
      </w:r>
      <w:r>
        <w:rPr>
          <w:rFonts w:ascii="Times New Roman" w:hAnsi="Times New Roman"/>
          <w:color w:val="000000"/>
          <w:sz w:val="24"/>
        </w:rPr>
        <w:t>means any Person that is a “United States Person” as defined in Section 7701(a)(30) of the Code.</w:t>
      </w:r>
    </w:p>
    <w:p>
      <w:pPr>
        <w:pStyle w:val="TextBody"/>
        <w:bidi w:val="0"/>
        <w:spacing w:before="0" w:after="240"/>
        <w:jc w:val="both"/>
        <w:rPr/>
      </w:pPr>
      <w:r>
        <w:rPr>
          <w:color w:val="000000"/>
        </w:rPr>
        <w:t>“</w:t>
      </w:r>
      <w:r>
        <w:rPr>
          <w:rFonts w:ascii="Times New Roman" w:hAnsi="Times New Roman"/>
          <w:color w:val="000000"/>
          <w:sz w:val="24"/>
          <w:u w:val="single"/>
        </w:rPr>
        <w:t>Value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Withdrawal Liability</w:t>
      </w:r>
      <w:r>
        <w:rPr>
          <w:rFonts w:ascii="Times New Roman" w:hAnsi="Times New Roman"/>
          <w:color w:val="000000"/>
          <w:sz w:val="20"/>
        </w:rPr>
        <w:t xml:space="preserve">” </w:t>
      </w:r>
      <w:r>
        <w:rPr>
          <w:rFonts w:ascii="Times New Roman" w:hAnsi="Times New Roman"/>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color w:val="000000"/>
          <w:sz w:val="24"/>
          <w:u w:val="single"/>
        </w:rPr>
        <w:t>Write-Down and Conversion 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1.02.</w:t>
      </w:r>
      <w:r>
        <w:rPr>
          <w:rFonts w:ascii="Times New Roman" w:hAnsi="Times New Roman"/>
          <w:color w:val="000000"/>
          <w:sz w:val="20"/>
        </w:rPr>
        <w:t xml:space="preserve"> </w:t>
      </w:r>
      <w:r>
        <w:rPr>
          <w:rFonts w:ascii="Times New Roman" w:hAnsi="Times New Roman"/>
          <w:color w:val="000000"/>
          <w:sz w:val="24"/>
          <w:u w:val="single"/>
        </w:rPr>
        <w:t>Classification of Loans and Borrowings</w:t>
      </w:r>
      <w:r>
        <w:rPr>
          <w:rFonts w:ascii="Times New Roman" w:hAnsi="Times New Roman"/>
          <w:color w:val="000000"/>
          <w:sz w:val="24"/>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Type (e.g., an “ABR Borrowing”) or by Class and Type (e.g., a “Syndicated ABR Borrowing” or “Syndicated Multicurrency Term Benchmark Borrowing”). Loans and Borrowings may also be identified by Currency.</w:t>
      </w:r>
    </w:p>
    <w:p>
      <w:pPr>
        <w:pStyle w:val="TextBody"/>
        <w:bidi w:val="0"/>
        <w:spacing w:before="0" w:after="240"/>
        <w:jc w:val="both"/>
        <w:rPr>
          <w:rFonts w:ascii="Times New Roman" w:hAnsi="Times New Roman"/>
          <w:sz w:val="20"/>
        </w:rPr>
      </w:pPr>
      <w:r>
        <w:rPr>
          <w:rFonts w:ascii="Times New Roman" w:hAnsi="Times New Roman"/>
          <w:caps/>
          <w:color w:val="000000"/>
          <w:sz w:val="24"/>
        </w:rPr>
        <w:t>SECTION 1.03.</w:t>
      </w:r>
      <w:r>
        <w:rPr>
          <w:rFonts w:ascii="Times New Roman" w:hAnsi="Times New Roman"/>
          <w:color w:val="000000"/>
          <w:sz w:val="20"/>
        </w:rPr>
        <w:t xml:space="preserve"> </w:t>
      </w:r>
      <w:r>
        <w:rPr>
          <w:rFonts w:ascii="Times New Roman" w:hAnsi="Times New Roman"/>
          <w:color w:val="000000"/>
          <w:sz w:val="24"/>
          <w:u w:val="single"/>
        </w:rPr>
        <w:t>Terms Generally</w:t>
      </w:r>
      <w:r>
        <w:rPr>
          <w:rFonts w:ascii="Times New Roman" w:hAnsi="Times New Roman"/>
          <w:color w:val="000000"/>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240"/>
        <w:jc w:val="both"/>
        <w:rPr>
          <w:rFonts w:ascii="Times New Roman" w:hAnsi="Times New Roman"/>
          <w:sz w:val="20"/>
        </w:rPr>
      </w:pPr>
      <w:r>
        <w:rPr>
          <w:rFonts w:ascii="Times New Roman" w:hAnsi="Times New Roman"/>
          <w:caps/>
          <w:color w:val="000000"/>
          <w:sz w:val="24"/>
        </w:rPr>
        <w:t>SECTION 1.04.</w:t>
      </w:r>
      <w:r>
        <w:rPr>
          <w:rFonts w:ascii="Times New Roman" w:hAnsi="Times New Roman"/>
          <w:color w:val="000000"/>
          <w:sz w:val="20"/>
        </w:rPr>
        <w:t xml:space="preserve"> </w:t>
      </w:r>
      <w:r>
        <w:rPr>
          <w:rFonts w:ascii="Times New Roman" w:hAnsi="Times New Roman"/>
          <w:color w:val="000000"/>
          <w:sz w:val="24"/>
          <w:u w:val="single"/>
        </w:rPr>
        <w:t>Accounting Terms; GAAP</w:t>
      </w:r>
      <w:r>
        <w:rPr>
          <w:rFonts w:ascii="Times New Roman" w:hAnsi="Times New Roman"/>
          <w:color w:val="000000"/>
          <w:sz w:val="24"/>
        </w:rPr>
        <w:t xml:space="preserve">. Except as otherwise expressly provided herein, all terms of an accounting or financial nature shall be construed in accordance with GAAP, as in effect from time to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Times New Roman" w:hAnsi="Times New Roman"/>
          <w:color w:val="000000"/>
          <w:sz w:val="24"/>
          <w:u w:val="single"/>
        </w:rPr>
        <w:t>ASU</w:t>
      </w:r>
      <w:r>
        <w:rPr>
          <w:rFonts w:ascii="Times New Roman" w:hAnsi="Times New Roman"/>
          <w:color w:val="000000"/>
          <w:sz w:val="20"/>
        </w:rPr>
        <w:t>”</w:t>
      </w:r>
      <w:r>
        <w:rPr>
          <w:rFonts w:ascii="Times New Roman" w:hAnsi="Times New Roman"/>
          <w:color w:val="000000"/>
          <w:sz w:val="24"/>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1.05.</w:t>
      </w:r>
      <w:r>
        <w:rPr>
          <w:rFonts w:ascii="Times New Roman" w:hAnsi="Times New Roman"/>
          <w:color w:val="000000"/>
          <w:sz w:val="20"/>
        </w:rPr>
        <w:t xml:space="preserve"> </w:t>
      </w:r>
      <w:r>
        <w:rPr>
          <w:rFonts w:ascii="Times New Roman" w:hAnsi="Times New Roman"/>
          <w:color w:val="000000"/>
          <w:sz w:val="24"/>
          <w:u w:val="single"/>
        </w:rPr>
        <w:t>Currencies; Currency Equivalents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Currencies Generally</w:t>
      </w:r>
      <w:r>
        <w:rPr>
          <w:rFonts w:ascii="Times New Roman" w:hAnsi="Times New Roman"/>
          <w:color w:val="000000"/>
          <w:sz w:val="24"/>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hAnsi="Times New Roman"/>
          <w:color w:val="000000"/>
          <w:sz w:val="24"/>
          <w:u w:val="single"/>
        </w:rPr>
        <w:t>Section 2.10(b)</w:t>
      </w:r>
      <w:r>
        <w:rPr>
          <w:rFonts w:ascii="Times New Roman" w:hAnsi="Times New Roman"/>
          <w:color w:val="000000"/>
          <w:sz w:val="20"/>
        </w:rPr>
        <w:t xml:space="preserve"> </w:t>
      </w:r>
      <w:r>
        <w:rPr>
          <w:rFonts w:ascii="Times New Roman" w:hAnsi="Times New Roman"/>
          <w:color w:val="000000"/>
          <w:sz w:val="24"/>
        </w:rPr>
        <w:t xml:space="preserve">and the last sentence of </w:t>
      </w:r>
      <w:r>
        <w:rPr>
          <w:rFonts w:ascii="Times New Roman" w:hAnsi="Times New Roman"/>
          <w:color w:val="000000"/>
          <w:sz w:val="24"/>
          <w:u w:val="single"/>
        </w:rPr>
        <w:t>Section 2.17(a)</w:t>
      </w:r>
      <w:r>
        <w:rPr>
          <w:rFonts w:ascii="Times New Roman" w:hAnsi="Times New Roman"/>
          <w:color w:val="000000"/>
          <w:sz w:val="24"/>
        </w:rPr>
        <w:t xml:space="preserve">,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 w:hAnsi="Times New Roman"/>
          <w:color w:val="000000"/>
          <w:sz w:val="24"/>
          <w:u w:val="single"/>
        </w:rPr>
        <w:t>Section 6.01(i), 6.01(m), 6.01(n), 6.01(o), 6.02(e), 6.02(i), 6.03(g), 6.04(e)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6.04(f)</w:t>
      </w:r>
      <w:r>
        <w:rPr>
          <w:rFonts w:ascii="Times New Roman" w:hAnsi="Times New Roman"/>
          <w:color w:val="000000"/>
          <w:sz w:val="24"/>
        </w:rPr>
        <w:t>, in no event shall the Borrower or any Obligor be deemed to not be in compliance with any such basket solely as a result of a change in exchange rates.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Special Provisions Relating to Euro</w:t>
      </w:r>
      <w:r>
        <w:rPr>
          <w:rFonts w:ascii="Times New Roman" w:hAnsi="Times New Roman"/>
          <w:color w:val="000000"/>
          <w:sz w:val="24"/>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any Borrowing denominated in such currency that is outstanding immediately prior to such date, such replacement shall take effect at the end of the Interest Period therefor.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Administrative Agent shall provide the Borrower and the Lenders with prior notice of the proposed change with an explanation of such change in sufficient time to permit the Borrower and the Lenders an opportunity to respond to such proposed change.</w:t>
      </w:r>
    </w:p>
    <w:p>
      <w:pPr>
        <w:pStyle w:val="TextBody"/>
        <w:bidi w:val="0"/>
        <w:spacing w:before="0" w:after="240"/>
        <w:jc w:val="both"/>
        <w:rPr>
          <w:rFonts w:ascii="Times New Roman" w:hAnsi="Times New Roman"/>
          <w:sz w:val="20"/>
        </w:rPr>
      </w:pPr>
      <w:r>
        <w:rPr>
          <w:rFonts w:ascii="Times New Roman" w:hAnsi="Times New Roman"/>
          <w:caps/>
          <w:color w:val="000000"/>
          <w:sz w:val="24"/>
        </w:rPr>
        <w:t>SECTION 1.06.</w:t>
      </w:r>
      <w:r>
        <w:rPr>
          <w:rFonts w:ascii="Times New Roman" w:hAnsi="Times New Roman"/>
          <w:color w:val="000000"/>
          <w:sz w:val="20"/>
        </w:rPr>
        <w:t xml:space="preserve"> </w:t>
      </w:r>
      <w:r>
        <w:rPr>
          <w:rFonts w:ascii="Times New Roman" w:hAnsi="Times New Roman"/>
          <w:color w:val="000000"/>
          <w:sz w:val="24"/>
          <w:u w:val="single"/>
        </w:rPr>
        <w:t>Letter of Credit Amounts</w:t>
      </w:r>
      <w:r>
        <w:rPr>
          <w:rFonts w:ascii="Times New Roman" w:hAnsi="Times New Roman"/>
          <w:color w:val="000000"/>
          <w:sz w:val="24"/>
        </w:rPr>
        <w:t>. Unless otherwise specified herein, the amount of a Letter of Credit at any time shall be the stated amount of such Letter of Credit available to be drawn at such time. Notwithstanding anything herein to the contrary, no Letter of Credit shall, by its terms, provide for any automatic increase in the available amount thereof.</w:t>
      </w:r>
    </w:p>
    <w:p>
      <w:pPr>
        <w:pStyle w:val="TextBody"/>
        <w:bidi w:val="0"/>
        <w:spacing w:before="0" w:after="240"/>
        <w:jc w:val="both"/>
        <w:rPr>
          <w:rFonts w:ascii="Times New Roman" w:hAnsi="Times New Roman"/>
          <w:sz w:val="20"/>
        </w:rPr>
      </w:pPr>
      <w:r>
        <w:rPr>
          <w:rFonts w:ascii="Times New Roman" w:hAnsi="Times New Roman"/>
          <w:caps/>
          <w:color w:val="000000"/>
          <w:sz w:val="24"/>
        </w:rPr>
        <w:t>SECTION 1.07.</w:t>
      </w:r>
      <w:r>
        <w:rPr>
          <w:rFonts w:ascii="Times New Roman" w:hAnsi="Times New Roman"/>
          <w:color w:val="000000"/>
          <w:sz w:val="20"/>
        </w:rPr>
        <w:t xml:space="preserve"> </w:t>
      </w:r>
      <w:r>
        <w:rPr>
          <w:rFonts w:ascii="Times New Roman" w:hAnsi="Times New Roman"/>
          <w:color w:val="000000"/>
          <w:sz w:val="24"/>
          <w:u w:val="single"/>
        </w:rPr>
        <w:t>Rates</w:t>
      </w:r>
      <w:r>
        <w:rPr>
          <w:rFonts w:ascii="Times New Roman" w:hAnsi="Times New Roman"/>
          <w:color w:val="000000"/>
          <w:sz w:val="24"/>
        </w:rPr>
        <w:t>. The Administrative Agent does not warrant or accept responsibility for, and shall not have 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II</w:t>
        <w:br/>
        <w:br/>
      </w:r>
      <w:r>
        <w:rPr>
          <w:rFonts w:ascii="Times New Roman" w:hAnsi="Times New Roman"/>
          <w:caps/>
          <w:color w:val="000000"/>
          <w:sz w:val="24"/>
          <w:u w:val="single"/>
        </w:rPr>
        <w:t>THE CREDITS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2.01.</w:t>
      </w:r>
      <w:r>
        <w:rPr>
          <w:rFonts w:ascii="Times New Roman" w:hAnsi="Times New Roman"/>
          <w:color w:val="000000"/>
          <w:sz w:val="20"/>
        </w:rPr>
        <w:t xml:space="preserve"> </w:t>
      </w:r>
      <w:r>
        <w:rPr>
          <w:rFonts w:ascii="Times New Roman" w:hAnsi="Times New Roman"/>
          <w:color w:val="000000"/>
          <w:sz w:val="24"/>
          <w:u w:val="single"/>
        </w:rPr>
        <w:t>The Commitments</w:t>
      </w:r>
      <w:r>
        <w:rPr>
          <w:rFonts w:ascii="Times New Roman" w:hAnsi="Times New Roman"/>
          <w:color w:val="000000"/>
          <w:sz w:val="24"/>
        </w:rPr>
        <w:t>. Subject to the terms and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the foregoing limits and subject to the terms and conditions set forth herein, the Borrower may borrow, prepay and reborrow Syndicated Loans.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2.02.</w:t>
      </w:r>
      <w:r>
        <w:rPr>
          <w:rFonts w:ascii="Times New Roman" w:hAnsi="Times New Roman"/>
          <w:color w:val="000000"/>
          <w:sz w:val="20"/>
        </w:rPr>
        <w:t xml:space="preserve"> </w:t>
      </w:r>
      <w:r>
        <w:rPr>
          <w:rFonts w:ascii="Times New Roman" w:hAnsi="Times New Roman"/>
          <w:color w:val="000000"/>
          <w:sz w:val="24"/>
          <w:u w:val="single"/>
        </w:rPr>
        <w:t>Loans and Borrowings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Obligations of Lenders</w:t>
      </w:r>
      <w:r>
        <w:rPr>
          <w:rFonts w:ascii="Times New Roman" w:hAnsi="Times New Roman"/>
          <w:color w:val="000000"/>
          <w:sz w:val="24"/>
        </w:rPr>
        <w:t xml:space="preserve">. Each Syndicated Loan shall be made as part of a Borrowing consisting of Loans of the same Class of Commitments (other than with respect to any Syndicated Loan requested pursuant to </w:t>
      </w:r>
      <w:r>
        <w:rPr>
          <w:rFonts w:ascii="Times New Roman" w:hAnsi="Times New Roman"/>
          <w:color w:val="000000"/>
          <w:sz w:val="24"/>
          <w:u w:val="single"/>
        </w:rPr>
        <w:t>Section 2.20</w:t>
      </w:r>
      <w:r>
        <w:rPr>
          <w:rFonts w:ascii="Times New Roman" w:hAnsi="Times New Roman"/>
          <w:color w:val="000000"/>
          <w:sz w:val="24"/>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Commitments of the Lenders are several and no Lender shall be responsible for any other Lender’s failure to make Loans as required.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Type of Loans</w:t>
      </w:r>
      <w:r>
        <w:rPr>
          <w:rFonts w:ascii="Times New Roman" w:hAnsi="Times New Roman"/>
          <w:color w:val="000000"/>
          <w:sz w:val="24"/>
        </w:rPr>
        <w:t xml:space="preserve">. Subject to </w:t>
      </w:r>
      <w:r>
        <w:rPr>
          <w:rFonts w:ascii="Times New Roman" w:hAnsi="Times New Roman"/>
          <w:color w:val="000000"/>
          <w:sz w:val="24"/>
          <w:u w:val="single"/>
        </w:rPr>
        <w:t>Section 2.13</w:t>
      </w:r>
      <w:r>
        <w:rPr>
          <w:rFonts w:ascii="Times New Roman" w:hAnsi="Times New Roman"/>
          <w:color w:val="000000"/>
          <w:sz w:val="24"/>
        </w:rPr>
        <w:t xml:space="preserve">,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exercise of such option shall not affect the obligation of the Borrower to repay such Loan in accordance with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Minimum Amounts</w:t>
      </w:r>
      <w:r>
        <w:rPr>
          <w:rFonts w:ascii="Times New Roman" w:hAnsi="Times New Roman"/>
          <w:color w:val="000000"/>
          <w:sz w:val="24"/>
        </w:rPr>
        <w:t>. Each Term Benchmark Borrowing and RFR Borrowing shall be in an aggregate amount of $1,000,000 or a larger multiple of $1,000,000, and each ABR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Borrowing (whether a Syndicated Loan or a Swingline Loan) shall be in an aggregate amount of $1,000,000 or a larger multiple of $100,000 (or, in each case, such smaller amounts as may be agreed by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hAnsi="Times New Roman"/>
          <w:color w:val="000000"/>
          <w:sz w:val="24"/>
          <w:u w:val="single"/>
        </w:rPr>
        <w:t>Section 2.05(f)</w:t>
      </w:r>
      <w:r>
        <w:rPr>
          <w:rFonts w:ascii="Times New Roman" w:hAnsi="Times New Roman"/>
          <w:color w:val="000000"/>
          <w:sz w:val="24"/>
        </w:rPr>
        <w:t>. Borrowings of more than one Class, Currency and Type may be outstanding at the same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Limitations on Interest Periods</w:t>
      </w:r>
      <w:r>
        <w:rPr>
          <w:rFonts w:ascii="Times New Roman" w:hAnsi="Times New Roman"/>
          <w:color w:val="000000"/>
          <w:sz w:val="24"/>
        </w:rPr>
        <w:t>. Notwithstanding any other provision of this Agreement, the Borrower shall not be entitled to request (or to elect to convert to or continue as a Term Benchmark Borrowing or RFR Borrowing) any Borrowing if the Interest Period requested therefor would end after the Final Maturity Date with respect to such Borrowing.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Treatment of Classes</w:t>
      </w:r>
      <w:r>
        <w:rPr>
          <w:rFonts w:ascii="Times New Roman" w:hAnsi="Times New Roman"/>
          <w:color w:val="000000"/>
          <w:sz w:val="24"/>
        </w:rPr>
        <w:t xml:space="preserve">.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ratable share of such Syndicated Loan, Swingline Loan or Letter of Credit that would be applied to the Multicurrency Commitments pursuant to this </w:t>
      </w:r>
      <w:r>
        <w:rPr>
          <w:rFonts w:ascii="Times New Roman" w:hAnsi="Times New Roman"/>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exceeds the unused Multicurrency Commitments, such excess shall be allocated to the Dollar Commitments (rather than the Multicurrency Commitments) up to an amount not to exceed the unused Dollar Commitments.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2.03.</w:t>
      </w:r>
      <w:r>
        <w:rPr>
          <w:rFonts w:ascii="Times New Roman" w:hAnsi="Times New Roman"/>
          <w:color w:val="000000"/>
          <w:sz w:val="20"/>
        </w:rPr>
        <w:t xml:space="preserve"> </w:t>
      </w:r>
      <w:r>
        <w:rPr>
          <w:rFonts w:ascii="Times New Roman" w:hAnsi="Times New Roman"/>
          <w:color w:val="000000"/>
          <w:sz w:val="24"/>
          <w:u w:val="single"/>
        </w:rPr>
        <w:t>Requests for Syndicated Borrowings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Notice by the Borrower</w:t>
      </w:r>
      <w:r>
        <w:rPr>
          <w:rFonts w:ascii="Times New Roman" w:hAnsi="Times New Roman"/>
          <w:color w:val="000000"/>
          <w:sz w:val="24"/>
        </w:rPr>
        <w:t>. To request a Syndicated Borrowing, the Borrower shall notify the Administrative Agent of such request by telephone or electronic communication (i) in the case of a Term Benchmark Borrowing denominated in Dollars, not later than 11:00 a.m., New York City time, three (3) Business Days before the date of the proposed Borrowing, (ii) in the case of a Term Benchmark Borrowing denominated in a Foreign Currency, not later than 11:00 a.m., New York City time, four (4) Business Days before the date of the proposed Borrowing, (iii) in the case of an RFR Borrowing, not later than 11:00 a.m., New York City time, four (4)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Content of Borrowing Requests</w:t>
      </w:r>
      <w:r>
        <w:rPr>
          <w:rFonts w:ascii="Times New Roman" w:hAnsi="Times New Roman"/>
          <w:color w:val="000000"/>
          <w:sz w:val="24"/>
        </w:rPr>
        <w:t xml:space="preserve">. Each telephonic and written Borrowing Request shall specify the following information in compliance with </w:t>
      </w:r>
      <w:r>
        <w:rPr>
          <w:rFonts w:ascii="Times New Roman" w:hAnsi="Times New Roman"/>
          <w:color w:val="000000"/>
          <w:sz w:val="24"/>
          <w:u w:val="single"/>
        </w:rPr>
        <w:t>Section 2.02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whether such Borrowing is to be made under the Dollar Commitments or the Multicurrency Commitments;</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aggregate amount and Currency of the requested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date of such Borrowing, which shall be a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in the case of a Syndicated Borrowing denominated in Dollars, whether such Borrowing is to be an ABR Borrowing or a Term Benchmark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in the case of a Borrowing denominated in an Agreed Foreign Currency, whether such Borrowing is to be a Term Benchmark Borrowing or an RFR Borrowing;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in the case of a Term Benchmark Borrowing or RFR Borrowing, the Interest Period therefor, which shall be a period contemplated by the definition of the term “Interest Period” and permitted under </w:t>
      </w:r>
      <w:r>
        <w:rPr>
          <w:rFonts w:ascii="Times New Roman" w:hAnsi="Times New Roman"/>
          <w:color w:val="000000"/>
          <w:sz w:val="24"/>
          <w:u w:val="single"/>
        </w:rPr>
        <w:t>Section 2.02(d)</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the location and number of the Borrower’s account to which funds are to be disbursed.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 by the Administrative Agent to the Lenders</w:t>
      </w:r>
      <w:r>
        <w:rPr>
          <w:rFonts w:ascii="Times New Roman" w:hAnsi="Times New Roman"/>
          <w:color w:val="000000"/>
          <w:sz w:val="24"/>
        </w:rPr>
        <w:t>. Promptly following receipt of a Borrowing Request in accordance with this Section, the Administrative Agent shall advise each applicable Lender of the details thereof and of the amounts of such Lender’s Loan to be made as part of the requested Borrowing.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Failure to Elect</w:t>
      </w:r>
      <w:r>
        <w:rPr>
          <w:rFonts w:ascii="Times New Roman" w:hAnsi="Times New Roman"/>
          <w:color w:val="000000"/>
          <w:sz w:val="24"/>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Term Benchmark Borrowing having an Interest Period of one month and, if an Agreed Foreign Currency has been specified, the requested Syndicated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2.04.</w:t>
      </w:r>
      <w:r>
        <w:rPr>
          <w:rFonts w:ascii="Times New Roman" w:hAnsi="Times New Roman"/>
          <w:color w:val="000000"/>
          <w:sz w:val="20"/>
        </w:rPr>
        <w:t xml:space="preserve"> </w:t>
      </w:r>
      <w:r>
        <w:rPr>
          <w:rFonts w:ascii="Times New Roman" w:hAnsi="Times New Roman"/>
          <w:color w:val="000000"/>
          <w:sz w:val="24"/>
          <w:u w:val="single"/>
        </w:rPr>
        <w:t>Swingline Loans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Agreement to Make Swingline Loans</w:t>
      </w:r>
      <w:r>
        <w:rPr>
          <w:rFonts w:ascii="Times New Roman" w:hAnsi="Times New Roman"/>
          <w:color w:val="000000"/>
          <w:sz w:val="24"/>
        </w:rPr>
        <w:t xml:space="preserve">.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$150,000,000 or the aggregate principal amount of outstanding Swingline Loans of any Swingline Lender exceeding the amount set forth opposite the name of such Swingline Lender on </w:t>
      </w:r>
      <w:r>
        <w:rPr>
          <w:rFonts w:ascii="Times New Roman" w:hAnsi="Times New Roman"/>
          <w:color w:val="000000"/>
          <w:sz w:val="24"/>
          <w:u w:val="single"/>
        </w:rPr>
        <w:t>Schedule 2.04</w:t>
      </w:r>
      <w:r>
        <w:rPr>
          <w:rFonts w:ascii="Times New Roman" w:hAnsi="Times New Roman"/>
          <w:color w:val="000000"/>
          <w:sz w:val="24"/>
        </w:rPr>
        <w:t>, (ii)(A) in the case of any Swingline Lender with a Dollar Commitment, the sum of such Swingline Lender’s outstanding Dollar Loans, its LC Exposure, its outstanding Swingline Loans and (without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duplication) its other Swingline Exposure exceeding its Dollar Commitment and (B) in the case of any Swingline Lender with a Multicurrency Commitment, the sum of such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Swingline Lender shall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Notice of Swingline Loans by the Borrower</w:t>
      </w:r>
      <w:r>
        <w:rPr>
          <w:rFonts w:ascii="Times New Roman" w:hAnsi="Times New Roman"/>
          <w:color w:val="000000"/>
          <w:sz w:val="24"/>
        </w:rPr>
        <w:t xml:space="preserve">. To request a Swingline Loan, the 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by wire transfer of immediately available funds to the account of the Administrative Agent most recently designated by it for such purpose by notice to the Lenders by 4:00 p.m., New York City time, on the requested date of such Swingline Loan. The Administrative Agent will make such Swingline Loans available to the Borrower by promptly crediting the amounts so received, in like funds, to an account of the Borrower designated by the Borrower;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Swingline Loans made to finance the reimbursement of an LC Disbursement as provided in </w:t>
      </w:r>
      <w:r>
        <w:rPr>
          <w:rFonts w:ascii="Times New Roman" w:hAnsi="Times New Roman"/>
          <w:color w:val="000000"/>
          <w:sz w:val="24"/>
          <w:u w:val="single"/>
        </w:rPr>
        <w:t>Section 2.05(f)</w:t>
      </w:r>
      <w:r>
        <w:rPr>
          <w:rFonts w:ascii="Times New Roman" w:hAnsi="Times New Roman"/>
          <w:color w:val="000000"/>
          <w:sz w:val="20"/>
        </w:rPr>
        <w:t xml:space="preserve"> </w:t>
      </w:r>
      <w:r>
        <w:rPr>
          <w:rFonts w:ascii="Times New Roman" w:hAnsi="Times New Roman"/>
          <w:color w:val="000000"/>
          <w:sz w:val="24"/>
        </w:rPr>
        <w:t>shall be remitted by the Administrative Agent to the applicable Issuing Bank.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Participations by Lenders in Swingline Loans</w:t>
      </w:r>
      <w:r>
        <w:rPr>
          <w:rFonts w:ascii="Times New Roman" w:hAnsi="Times New Roman"/>
          <w:color w:val="000000"/>
          <w:sz w:val="24"/>
        </w:rPr>
        <w:t xml:space="preserve">. Subject to </w:t>
      </w:r>
      <w:r>
        <w:rPr>
          <w:rFonts w:ascii="Times New Roman" w:hAnsi="Times New Roman"/>
          <w:color w:val="000000"/>
          <w:sz w:val="24"/>
          <w:u w:val="single"/>
        </w:rPr>
        <w:t>Section 2.20</w:t>
      </w:r>
      <w:r>
        <w:rPr>
          <w:rFonts w:ascii="Times New Roman" w:hAnsi="Times New Roman"/>
          <w:color w:val="000000"/>
          <w:sz w:val="24"/>
        </w:rPr>
        <w:t xml:space="preserve">, any Swingline Lender may by written notice given to the Administrative Agent not later than 10:00 a.m., New York City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as the case may be, of such Swingline Loan or Loans;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Lender shall be required to purchase a participation in a Swingline Loan pursuant to this </w:t>
      </w:r>
      <w:r>
        <w:rPr>
          <w:rFonts w:ascii="Times New Roman" w:hAnsi="Times New Roman"/>
          <w:color w:val="000000"/>
          <w:sz w:val="24"/>
          <w:u w:val="single"/>
        </w:rPr>
        <w:t>Section 2.04(c)</w:t>
      </w:r>
      <w:r>
        <w:rPr>
          <w:rFonts w:ascii="Times New Roman" w:hAnsi="Times New Roman"/>
          <w:color w:val="000000"/>
          <w:sz w:val="20"/>
        </w:rPr>
        <w:t xml:space="preserve"> </w:t>
      </w:r>
      <w:r>
        <w:rPr>
          <w:rFonts w:ascii="Times New Roman" w:hAnsi="Times New Roman"/>
          <w:color w:val="000000"/>
          <w:sz w:val="24"/>
        </w:rPr>
        <w:t xml:space="preserve">if (x)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the foregoing and </w:t>
      </w:r>
      <w:r>
        <w:rPr>
          <w:rFonts w:ascii="Times New Roman" w:hAnsi="Times New Roman"/>
          <w:color w:val="000000"/>
          <w:sz w:val="24"/>
          <w:u w:val="single"/>
        </w:rPr>
        <w:t>Section 2.20</w:t>
      </w:r>
      <w:r>
        <w:rPr>
          <w:rFonts w:ascii="Times New Roman" w:hAnsi="Times New Roman"/>
          <w:color w:val="000000"/>
          <w:sz w:val="24"/>
        </w:rPr>
        <w:t xml:space="preserve">, each Lender acknowledges and agrees that its obligation to acquire participations in Swingline Loans pursuant to this </w:t>
      </w:r>
      <w:r>
        <w:rPr>
          <w:rFonts w:ascii="Times New Roman" w:hAnsi="Times New Roman"/>
          <w:color w:val="000000"/>
          <w:sz w:val="24"/>
          <w:u w:val="single"/>
        </w:rPr>
        <w:t>paragraph (c)</w:t>
      </w:r>
      <w:r>
        <w:rPr>
          <w:rFonts w:ascii="Times New Roman" w:hAnsi="Times New Roman"/>
          <w:color w:val="000000"/>
          <w:sz w:val="20"/>
        </w:rPr>
        <w:t xml:space="preserve"> </w:t>
      </w:r>
      <w:r>
        <w:rPr>
          <w:rFonts w:ascii="Times New Roman" w:hAnsi="Times New Roman"/>
          <w:color w:val="000000"/>
          <w:sz w:val="24"/>
        </w:rPr>
        <w:t xml:space="preserve">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with respect to Loans made by such Lender (and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shall apply, </w:t>
      </w:r>
      <w:r>
        <w:rPr>
          <w:rFonts w:ascii="Times New Roman" w:hAnsi="Times New Roman"/>
          <w:color w:val="000000"/>
          <w:sz w:val="24"/>
          <w:u w:val="single"/>
        </w:rPr>
        <w:t>mutatis</w:t>
      </w:r>
      <w:r>
        <w:rPr>
          <w:rFonts w:ascii="Times New Roman" w:hAnsi="Times New Roman"/>
          <w:color w:val="000000"/>
          <w:sz w:val="20"/>
        </w:rPr>
        <w:t xml:space="preserve"> </w:t>
      </w:r>
      <w:r>
        <w:rPr>
          <w:rFonts w:ascii="Times New Roman" w:hAnsi="Times New Roman"/>
          <w:color w:val="000000"/>
          <w:sz w:val="24"/>
          <w:u w:val="single"/>
        </w:rPr>
        <w:t>mutandis</w:t>
      </w:r>
      <w:r>
        <w:rPr>
          <w:rFonts w:ascii="Times New Roman" w:hAnsi="Times New Roman"/>
          <w:color w:val="000000"/>
          <w:sz w:val="24"/>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Resignation and Replacement of Swingline Lender</w:t>
      </w:r>
      <w:r>
        <w:rPr>
          <w:rFonts w:ascii="Times New Roman" w:hAnsi="Times New Roman"/>
          <w:color w:val="000000"/>
          <w:sz w:val="24"/>
        </w:rPr>
        <w:t>. Any Swingline Lender may resign and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Lender, assigns all of its Loans and Commitments in connection with the terms of this Agreement, such Swingline Lender shall be deemed to have automatically resigned as a Swingline Lender hereunder. The Administrative Agent shall notify the Lenders of any such replacement of any Swingline Lender. At the time any such replacement or resignation shall become effective, the Borrower shall pay all unpaid fees accrued for the account of the replaced or resigning Swingline Lender pursuant Section 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or resignation of the Swingline Lender hereunder, the replaced or resigning Swingline Lender shall have no obligation to make additional Swingline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Designation of Additional Swingline Lenders</w:t>
      </w:r>
      <w:r>
        <w:rPr>
          <w:rFonts w:ascii="Times New Roman" w:hAnsi="Times New Roman"/>
          <w:color w:val="000000"/>
          <w:sz w:val="24"/>
        </w:rPr>
        <w:t>. The Borrower may, at any time and from time to time, with the consent of the Administrative Agent (which consent shall not be unreasonably withheld), designate as additional Swingline Lenders one (1) or more Lenders that agree to serve in such capacity as provided below. The acceptance by a Lender of an appointment as a Swingline Lender hereunder shall be evidenced by an agreement, which shall be in form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substance reasonably satisfactory to the Administrative Agent, executed by the Borrower, the Administrative Agent and such designated Lender and, from and after the effective date of such agreement, (i) such Lender shall have all the rights and obligations of a Swingline Lender under this Agreement and the other Loan Documents and (ii) references herein or therein to the term “Swingline Lender” shall be deemed to include such Lender in its capacity as a maker of Swingline Loans hereunder.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2.05.</w:t>
      </w:r>
      <w:r>
        <w:rPr>
          <w:rFonts w:ascii="Times New Roman" w:hAnsi="Times New Roman"/>
          <w:color w:val="000000"/>
          <w:sz w:val="20"/>
        </w:rPr>
        <w:t xml:space="preserve"> </w:t>
      </w:r>
      <w:r>
        <w:rPr>
          <w:rFonts w:ascii="Times New Roman" w:hAnsi="Times New Roman"/>
          <w:color w:val="000000"/>
          <w:sz w:val="24"/>
          <w:u w:val="single"/>
        </w:rPr>
        <w:t>Letters of Credit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General</w:t>
      </w:r>
      <w:r>
        <w:rPr>
          <w:rFonts w:ascii="Times New Roman" w:hAnsi="Times New Roman"/>
          <w:color w:val="000000"/>
          <w:sz w:val="24"/>
        </w:rPr>
        <w:t xml:space="preserve">. Subject to the terms and conditions set forth herein, in addition to the Loans provided for in </w:t>
      </w:r>
      <w:r>
        <w:rPr>
          <w:rFonts w:ascii="Times New Roman" w:hAnsi="Times New Roman"/>
          <w:color w:val="000000"/>
          <w:sz w:val="24"/>
          <w:u w:val="single"/>
        </w:rPr>
        <w:t>Section 2.01</w:t>
      </w:r>
      <w:r>
        <w:rPr>
          <w:rFonts w:ascii="Times New Roman" w:hAnsi="Times New Roman"/>
          <w:color w:val="000000"/>
          <w:sz w:val="24"/>
        </w:rPr>
        <w:t xml:space="preserve">,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Times New Roman" w:hAnsi="Times New Roman"/>
          <w:color w:val="000000"/>
          <w:sz w:val="24"/>
          <w:u w:val="single"/>
        </w:rPr>
        <w:t>Section 2.05</w:t>
      </w:r>
      <w:r>
        <w:rPr>
          <w:rFonts w:ascii="Times New Roman" w:hAnsi="Times New Roman"/>
          <w:color w:val="000000"/>
          <w:sz w:val="24"/>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Notice of Issuance, Amendment, Renewal or Extension</w:t>
      </w:r>
      <w:r>
        <w:rPr>
          <w:rFonts w:ascii="Times New Roman" w:hAnsi="Times New Roman"/>
          <w:color w:val="000000"/>
          <w:sz w:val="24"/>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hAnsi="Times New Roman"/>
          <w:color w:val="000000"/>
          <w:sz w:val="24"/>
          <w:u w:val="single"/>
        </w:rPr>
        <w:t>paragraph (d)</w:t>
      </w:r>
      <w:r>
        <w:rPr>
          <w:rFonts w:ascii="Times New Roman" w:hAnsi="Times New Roman"/>
          <w:color w:val="000000"/>
          <w:sz w:val="20"/>
        </w:rPr>
        <w:t xml:space="preserve"> </w:t>
      </w:r>
      <w:r>
        <w:rPr>
          <w:rFonts w:ascii="Times New Roman" w:hAnsi="Times New Roman"/>
          <w:color w:val="000000"/>
          <w:sz w:val="24"/>
        </w:rPr>
        <w:t>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Limitations on Amounts</w:t>
      </w:r>
      <w:r>
        <w:rPr>
          <w:rFonts w:ascii="Times New Roman" w:hAnsi="Times New Roman"/>
          <w:color w:val="000000"/>
          <w:sz w:val="24"/>
        </w:rPr>
        <w: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requested to issue such Letter of Credit (determined for these purposes without giving effect to the participations therein of the Lenders pursuant to </w:t>
      </w:r>
      <w:r>
        <w:rPr>
          <w:rFonts w:ascii="Times New Roman" w:hAnsi="Times New Roman"/>
          <w:color w:val="000000"/>
          <w:sz w:val="24"/>
          <w:u w:val="single"/>
        </w:rPr>
        <w:t>paragraph (e)</w:t>
      </w:r>
      <w:r>
        <w:rPr>
          <w:rFonts w:ascii="Times New Roman" w:hAnsi="Times New Roman"/>
          <w:color w:val="000000"/>
          <w:sz w:val="20"/>
        </w:rPr>
        <w:t xml:space="preserve"> </w:t>
      </w:r>
      <w:r>
        <w:rPr>
          <w:rFonts w:ascii="Times New Roman" w:hAnsi="Times New Roman"/>
          <w:color w:val="000000"/>
          <w:sz w:val="24"/>
        </w:rPr>
        <w:t xml:space="preserve">of this Section) shall not exceed the amount set forth opposite the name of such Issuing Bank on </w:t>
      </w:r>
      <w:r>
        <w:rPr>
          <w:rFonts w:ascii="Times New Roman" w:hAnsi="Times New Roman"/>
          <w:color w:val="000000"/>
          <w:sz w:val="24"/>
          <w:u w:val="single"/>
        </w:rPr>
        <w:t>Schedule 2.05</w:t>
      </w:r>
      <w:r>
        <w:rPr>
          <w:rFonts w:ascii="Times New Roman" w:hAnsi="Times New Roman"/>
          <w:color w:val="000000"/>
          <w:sz w:val="20"/>
        </w:rPr>
        <w:t xml:space="preserve"> </w:t>
      </w:r>
      <w:r>
        <w:rPr>
          <w:rFonts w:ascii="Times New Roman" w:hAnsi="Times New Roman"/>
          <w:color w:val="000000"/>
          <w:sz w:val="24"/>
        </w:rPr>
        <w:t>(or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Expiration Date</w:t>
      </w:r>
      <w:r>
        <w:rPr>
          <w:rFonts w:ascii="Times New Roman" w:hAnsi="Times New Roman"/>
          <w:color w:val="000000"/>
          <w:sz w:val="24"/>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Participations</w:t>
      </w:r>
      <w:r>
        <w:rPr>
          <w:rFonts w:ascii="Times New Roman" w:hAnsi="Times New Roman"/>
          <w:color w:val="000000"/>
          <w:sz w:val="24"/>
        </w:rPr>
        <w:t xml:space="preserve">. Subject to </w:t>
      </w:r>
      <w:r>
        <w:rPr>
          <w:rFonts w:ascii="Times New Roman" w:hAnsi="Times New Roman"/>
          <w:color w:val="000000"/>
          <w:sz w:val="24"/>
          <w:u w:val="single"/>
        </w:rPr>
        <w:t>Section 2.20</w:t>
      </w:r>
      <w:r>
        <w:rPr>
          <w:rFonts w:ascii="Times New Roman" w:hAnsi="Times New Roman"/>
          <w:color w:val="000000"/>
          <w:sz w:val="24"/>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Lender shall be required to purchase a participation in a Letter of Credit pursuant to this </w:t>
      </w:r>
      <w:r>
        <w:rPr>
          <w:rFonts w:ascii="Times New Roman" w:hAnsi="Times New Roman"/>
          <w:color w:val="000000"/>
          <w:sz w:val="24"/>
          <w:u w:val="single"/>
        </w:rPr>
        <w:t>Section 2.05(e)</w:t>
      </w:r>
      <w:r>
        <w:rPr>
          <w:rFonts w:ascii="Times New Roman" w:hAnsi="Times New Roman"/>
          <w:color w:val="000000"/>
          <w:sz w:val="20"/>
        </w:rPr>
        <w:t xml:space="preserve"> </w:t>
      </w:r>
      <w:r>
        <w:rPr>
          <w:rFonts w:ascii="Times New Roman" w:hAnsi="Times New Roman"/>
          <w:color w:val="000000"/>
          <w:sz w:val="24"/>
        </w:rPr>
        <w:t xml:space="preserve">if (x)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would not be satisfied in respect of a Borrowing at the time such Letter of Credit was issued and (y) the Administrative Agent or any Lender shall have so notified such Issuing Bank in writing at least two (2)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Administrative Agent or the Borrower, at least two (2)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w:t>
      </w:r>
      <w:r>
        <w:rPr>
          <w:rFonts w:ascii="Times New Roman" w:hAnsi="Times New Roman"/>
          <w:color w:val="000000"/>
          <w:sz w:val="24"/>
          <w:u w:val="single"/>
        </w:rPr>
        <w:t>Section 2.20</w:t>
      </w:r>
      <w:r>
        <w:rPr>
          <w:rFonts w:ascii="Times New Roman" w:hAnsi="Times New Roman"/>
          <w:color w:val="000000"/>
          <w:sz w:val="24"/>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with respect to Loans made by such Lender (and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shall apply, </w:t>
      </w:r>
      <w:r>
        <w:rPr>
          <w:rFonts w:ascii="Times New Roman" w:hAnsi="Times New Roman"/>
          <w:color w:val="000000"/>
          <w:sz w:val="24"/>
          <w:u w:val="single"/>
        </w:rPr>
        <w:t>mutatis</w:t>
      </w:r>
      <w:r>
        <w:rPr>
          <w:rFonts w:ascii="Times New Roman" w:hAnsi="Times New Roman"/>
          <w:color w:val="000000"/>
          <w:sz w:val="20"/>
        </w:rPr>
        <w:t xml:space="preserve"> </w:t>
      </w:r>
      <w:r>
        <w:rPr>
          <w:rFonts w:ascii="Times New Roman" w:hAnsi="Times New Roman"/>
          <w:color w:val="000000"/>
          <w:sz w:val="24"/>
          <w:u w:val="single"/>
        </w:rPr>
        <w:t>mutandis</w:t>
      </w:r>
      <w:r>
        <w:rPr>
          <w:rFonts w:ascii="Times New Roman" w:hAnsi="Times New Roman"/>
          <w:color w:val="000000"/>
          <w:sz w:val="24"/>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Reimbursement</w:t>
      </w:r>
      <w:r>
        <w:rPr>
          <w:rFonts w:ascii="Times New Roman" w:hAnsi="Times New Roman"/>
          <w:color w:val="000000"/>
          <w:sz w:val="24"/>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such LC Disbursement is not less than $1,000,000 (or such smaller amount as may be agreed to by the Administrative Agent) and is denominated in Dollars, the Borrower may, subject to the conditions to borrowing set forth herein, request in accordance with </w:t>
      </w:r>
      <w:r>
        <w:rPr>
          <w:rFonts w:ascii="Times New Roman" w:hAnsi="Times New Roman"/>
          <w:color w:val="000000"/>
          <w:sz w:val="24"/>
          <w:u w:val="single"/>
        </w:rPr>
        <w:t>Section 2.03</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2.04</w:t>
      </w:r>
      <w:r>
        <w:rPr>
          <w:rFonts w:ascii="Times New Roman" w:hAnsi="Times New Roman"/>
          <w:color w:val="000000"/>
          <w:sz w:val="20"/>
        </w:rPr>
        <w:t xml:space="preserve"> </w:t>
      </w:r>
      <w:r>
        <w:rPr>
          <w:rFonts w:ascii="Times New Roman" w:hAnsi="Times New Roman"/>
          <w:color w:val="000000"/>
          <w:sz w:val="24"/>
        </w:rPr>
        <w:t>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Obligations Absolute</w:t>
      </w:r>
      <w:r>
        <w:rPr>
          <w:rFonts w:ascii="Times New Roman" w:hAnsi="Times New Roman"/>
          <w:color w:val="000000"/>
          <w:sz w:val="24"/>
        </w:rPr>
        <w:t xml:space="preserve">. The Borrower’s obligation to reimburse LC Disbursements as provided in </w:t>
      </w:r>
      <w:r>
        <w:rPr>
          <w:rFonts w:ascii="Times New Roman" w:hAnsi="Times New Roman"/>
          <w:color w:val="000000"/>
          <w:sz w:val="24"/>
          <w:u w:val="single"/>
        </w:rPr>
        <w:t>paragraph (f)</w:t>
      </w:r>
      <w:r>
        <w:rPr>
          <w:rFonts w:ascii="Times New Roman" w:hAnsi="Times New Roman"/>
          <w:color w:val="000000"/>
          <w:sz w:val="20"/>
        </w:rPr>
        <w:t xml:space="preserve"> </w:t>
      </w:r>
      <w:r>
        <w:rPr>
          <w:rFonts w:ascii="Times New Roman" w:hAnsi="Times New Roman"/>
          <w:color w:val="000000"/>
          <w:sz w:val="24"/>
        </w:rPr>
        <w:t>of this Section shall be absolute, unconditional and irrevocable, and shall be performed strictly in accordance with the terms of this Agreement under any and 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as finally determined by a court of competent jurisdiction when determining whether drafts and other documents presented under a Letter of Credit comply with the terms thereof. The parties hereto expressly agree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Issuing Banks shall have the right, in their sole discretion, to decline to accept such documents and to make such payment if such documents are not in strict compliance with the terms of such Letter of Credit;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Disbursement Procedures</w:t>
      </w:r>
      <w:r>
        <w:rPr>
          <w:rFonts w:ascii="Times New Roman" w:hAnsi="Times New Roman"/>
          <w:color w:val="000000"/>
          <w:sz w:val="24"/>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failure to give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delay in giving such notice shall not relieve the Borrower of its obligation to reimburse such Issuing Bank and the applicable Lenders with respect to any such LC Disbursement.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Interim Interest</w:t>
      </w:r>
      <w:r>
        <w:rPr>
          <w:rFonts w:ascii="Times New Roman" w:hAnsi="Times New Roman"/>
          <w:color w:val="000000"/>
          <w:sz w:val="24"/>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Borrower fails to reimburse such LC Disbursement within two (2) Business Days following the date when due pursuant to </w:t>
      </w:r>
      <w:r>
        <w:rPr>
          <w:rFonts w:ascii="Times New Roman" w:hAnsi="Times New Roman"/>
          <w:color w:val="000000"/>
          <w:sz w:val="24"/>
          <w:u w:val="single"/>
        </w:rPr>
        <w:t>paragraph (f)</w:t>
      </w:r>
      <w:r>
        <w:rPr>
          <w:rFonts w:ascii="Times New Roman" w:hAnsi="Times New Roman"/>
          <w:color w:val="000000"/>
          <w:sz w:val="20"/>
        </w:rPr>
        <w:t xml:space="preserve"> </w:t>
      </w:r>
      <w:r>
        <w:rPr>
          <w:rFonts w:ascii="Times New Roman" w:hAnsi="Times New Roman"/>
          <w:color w:val="000000"/>
          <w:sz w:val="24"/>
        </w:rPr>
        <w:t xml:space="preserve">of this Section, then the provisions of </w:t>
      </w:r>
      <w:r>
        <w:rPr>
          <w:rFonts w:ascii="Times New Roman" w:hAnsi="Times New Roman"/>
          <w:color w:val="000000"/>
          <w:sz w:val="24"/>
          <w:u w:val="single"/>
        </w:rPr>
        <w:t>Section 2.12(d)</w:t>
      </w:r>
      <w:r>
        <w:rPr>
          <w:rFonts w:ascii="Times New Roman" w:hAnsi="Times New Roman"/>
          <w:color w:val="000000"/>
          <w:sz w:val="20"/>
        </w:rPr>
        <w:t xml:space="preserve"> </w:t>
      </w:r>
      <w:r>
        <w:rPr>
          <w:rFonts w:ascii="Times New Roman" w:hAnsi="Times New Roman"/>
          <w:color w:val="000000"/>
          <w:sz w:val="24"/>
        </w:rPr>
        <w:t xml:space="preserve">shall apply. Interest accrued pursuant to this paragraph shall be for account of the applicable Issuing Bank, except that interest accrued on and after the date of payment by any Lender pursuant to </w:t>
      </w:r>
      <w:r>
        <w:rPr>
          <w:rFonts w:ascii="Times New Roman" w:hAnsi="Times New Roman"/>
          <w:color w:val="000000"/>
          <w:sz w:val="24"/>
          <w:u w:val="single"/>
        </w:rPr>
        <w:t>paragraph (f)</w:t>
      </w:r>
      <w:r>
        <w:rPr>
          <w:rFonts w:ascii="Times New Roman" w:hAnsi="Times New Roman"/>
          <w:color w:val="000000"/>
          <w:sz w:val="20"/>
        </w:rPr>
        <w:t xml:space="preserve"> </w:t>
      </w:r>
      <w:r>
        <w:rPr>
          <w:rFonts w:ascii="Times New Roman" w:hAnsi="Times New Roman"/>
          <w:color w:val="000000"/>
          <w:sz w:val="24"/>
        </w:rPr>
        <w:t>of this Section to reimburse such Issuing Bank shall be for account of such Lender to the extent of such payment.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Resignation and/or Replacement of an Issuing Bank</w:t>
      </w:r>
      <w:r>
        <w:rPr>
          <w:rFonts w:ascii="Times New Roman" w:hAnsi="Times New Roman"/>
          <w:color w:val="000000"/>
          <w:sz w:val="24"/>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consent of the Borrower shall be required if a Specified Event of Default has occurred and is continuing), resign as an Issuing Bank hereunder upon not less than three (3) Business Days prior written notice to the Administrative Agent and the Borrower;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 w:hAnsi="Times New Roman"/>
          <w:color w:val="000000"/>
          <w:sz w:val="24"/>
          <w:u w:val="single"/>
        </w:rPr>
        <w:t>Section 2.11(b)</w:t>
      </w:r>
      <w:r>
        <w:rPr>
          <w:rFonts w:ascii="Times New Roman" w:hAnsi="Times New Roman"/>
          <w:color w:val="000000"/>
          <w:sz w:val="24"/>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Cash Collateralization</w:t>
      </w:r>
      <w:r>
        <w:rPr>
          <w:rFonts w:ascii="Times New Roman" w:hAnsi="Times New Roman"/>
          <w:color w:val="000000"/>
          <w:sz w:val="24"/>
        </w:rPr>
        <w:t xml:space="preserve">. If the Borrower shall be required to provide Cash Collateral for LC Exposure pursuant to </w:t>
      </w:r>
      <w:r>
        <w:rPr>
          <w:rFonts w:ascii="Times New Roman" w:hAnsi="Times New Roman"/>
          <w:color w:val="000000"/>
          <w:sz w:val="24"/>
          <w:u w:val="single"/>
        </w:rPr>
        <w:t>Section 2.05(d)</w:t>
      </w:r>
      <w:r>
        <w:rPr>
          <w:rFonts w:ascii="Times New Roman" w:hAnsi="Times New Roman"/>
          <w:color w:val="000000"/>
          <w:sz w:val="24"/>
        </w:rPr>
        <w:t xml:space="preserve">,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Section 2.10(b)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xml:space="preserve">,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 xml:space="preserve">or the last paragraph of </w:t>
      </w:r>
      <w:r>
        <w:rPr>
          <w:rFonts w:ascii="Times New Roman" w:hAnsi="Times New Roman"/>
          <w:color w:val="000000"/>
          <w:sz w:val="24"/>
          <w:u w:val="single"/>
        </w:rPr>
        <w:t>Article VII</w:t>
      </w:r>
      <w:r>
        <w:rPr>
          <w:rFonts w:ascii="Times New Roman" w:hAnsi="Times New Roman"/>
          <w:color w:val="000000"/>
          <w:sz w:val="24"/>
        </w:rPr>
        <w:t>, the Borrower shall immediately deposit into a segregated collateral account or accounts (herein, collectively, the “</w:t>
      </w:r>
      <w:r>
        <w:rPr>
          <w:rFonts w:ascii="Times New Roman" w:hAnsi="Times New Roman"/>
          <w:color w:val="000000"/>
          <w:sz w:val="24"/>
          <w:u w:val="single"/>
        </w:rPr>
        <w:t>Letter of Credit Collateral Account</w:t>
      </w:r>
      <w:r>
        <w:rPr>
          <w:rFonts w:ascii="Times New Roman" w:hAnsi="Times New Roman"/>
          <w:color w:val="000000"/>
          <w:sz w:val="20"/>
        </w:rPr>
        <w:t>”</w:t>
      </w:r>
      <w:r>
        <w:rPr>
          <w:rFonts w:ascii="Times New Roman" w:hAnsi="Times New Roman"/>
          <w:color w:val="000000"/>
          <w:sz w:val="24"/>
        </w:rPr>
        <w:t>) in the name and under the dominion and control of the Administrative Agent Cash denominated in the Currency of the Letter of Credit under which such LC Exposure arises in an amount equal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amount required under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Section 2.10(b)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xml:space="preserve">, </w:t>
      </w:r>
      <w:r>
        <w:rPr>
          <w:rFonts w:ascii="Times New Roman" w:hAnsi="Times New Roman"/>
          <w:color w:val="000000"/>
          <w:sz w:val="24"/>
          <w:u w:val="single"/>
        </w:rPr>
        <w:t>Section 2.20</w:t>
      </w:r>
      <w:r>
        <w:rPr>
          <w:rFonts w:ascii="Times New Roman" w:hAnsi="Times New Roman"/>
          <w:color w:val="000000"/>
          <w:sz w:val="20"/>
        </w:rPr>
        <w:t xml:space="preserve"> </w:t>
      </w:r>
      <w:r>
        <w:rPr>
          <w:rFonts w:ascii="Times New Roman" w:hAnsi="Times New Roman"/>
          <w:color w:val="000000"/>
          <w:sz w:val="24"/>
        </w:rPr>
        <w:t xml:space="preserve">or the last paragraph of </w:t>
      </w:r>
      <w:r>
        <w:rPr>
          <w:rFonts w:ascii="Times New Roman" w:hAnsi="Times New Roman"/>
          <w:color w:val="000000"/>
          <w:sz w:val="24"/>
          <w:u w:val="single"/>
        </w:rPr>
        <w:t>Article VII</w:t>
      </w:r>
      <w:r>
        <w:rPr>
          <w:rFonts w:ascii="Times New Roman" w:hAnsi="Times New Roman"/>
          <w:color w:val="000000"/>
          <w:sz w:val="24"/>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Additional Issuing Banks</w:t>
      </w:r>
      <w:r>
        <w:rPr>
          <w:rFonts w:ascii="Times New Roman" w:hAnsi="Times New Roman"/>
          <w:color w:val="000000"/>
          <w:sz w:val="24"/>
        </w:rPr>
        <w:t xml:space="preserve">. From time to time, the Borrower may, by notice to the Administrative Agent, designate additional Extending Lenders as Issuing Banks, each of which agrees (in its sole discretion) to act in such capacity and is reasonably satisfactory to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each such notice shall include an updated Schedule 2.05;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2.06.</w:t>
      </w:r>
      <w:r>
        <w:rPr>
          <w:rFonts w:ascii="Times New Roman" w:hAnsi="Times New Roman"/>
          <w:color w:val="000000"/>
          <w:sz w:val="20"/>
        </w:rPr>
        <w:t xml:space="preserve"> </w:t>
      </w:r>
      <w:r>
        <w:rPr>
          <w:rFonts w:ascii="Times New Roman" w:hAnsi="Times New Roman"/>
          <w:color w:val="000000"/>
          <w:sz w:val="24"/>
          <w:u w:val="single"/>
        </w:rPr>
        <w:t>Funding of Borrowings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Funding by Lenders</w:t>
      </w:r>
      <w:r>
        <w:rPr>
          <w:rFonts w:ascii="Times New Roman" w:hAnsi="Times New Roman"/>
          <w:color w:val="000000"/>
          <w:sz w:val="24"/>
        </w:rPr>
        <w:t xml:space="preserve">.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Swingline Loans shall be made as provided in </w:t>
      </w:r>
      <w:r>
        <w:rPr>
          <w:rFonts w:ascii="Times New Roman" w:hAnsi="Times New Roman"/>
          <w:color w:val="000000"/>
          <w:sz w:val="24"/>
          <w:u w:val="single"/>
        </w:rPr>
        <w:t>Section 2.04</w:t>
      </w:r>
      <w:r>
        <w:rPr>
          <w:rFonts w:ascii="Times New Roman" w:hAnsi="Times New Roman"/>
          <w:color w:val="000000"/>
          <w:sz w:val="24"/>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Syndicated ABR Borrowings made to finance the reimbursement of an LC Disbursement as provided in </w:t>
      </w:r>
      <w:r>
        <w:rPr>
          <w:rFonts w:ascii="Times New Roman" w:hAnsi="Times New Roman"/>
          <w:color w:val="000000"/>
          <w:sz w:val="24"/>
          <w:u w:val="single"/>
        </w:rPr>
        <w:t>Section 2.05(f)</w:t>
      </w:r>
      <w:r>
        <w:rPr>
          <w:rFonts w:ascii="Times New Roman" w:hAnsi="Times New Roman"/>
          <w:color w:val="000000"/>
          <w:sz w:val="20"/>
        </w:rPr>
        <w:t xml:space="preserve"> </w:t>
      </w:r>
      <w:r>
        <w:rPr>
          <w:rFonts w:ascii="Times New Roman" w:hAnsi="Times New Roman"/>
          <w:color w:val="000000"/>
          <w:sz w:val="24"/>
        </w:rPr>
        <w:t>shall be remitted by the Administrative Agent to the applicable Issuing Bank.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Presumption by the Administrative Agent</w:t>
      </w:r>
      <w:r>
        <w:rPr>
          <w:rFonts w:ascii="Times New Roman" w:hAnsi="Times New Roman"/>
          <w:color w:val="000000"/>
          <w:sz w:val="24"/>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color w:val="000000"/>
          <w:sz w:val="24"/>
          <w:u w:val="single"/>
        </w:rPr>
        <w:t>paragraph (a)</w:t>
      </w:r>
      <w:r>
        <w:rPr>
          <w:rFonts w:ascii="Times New Roman" w:hAnsi="Times New Roman"/>
          <w:color w:val="000000"/>
          <w:sz w:val="20"/>
        </w:rPr>
        <w:t xml:space="preserve"> </w:t>
      </w:r>
      <w:r>
        <w:rPr>
          <w:rFonts w:ascii="Times New Roman" w:hAnsi="Times New Roman"/>
          <w:color w:val="000000"/>
          <w:sz w:val="24"/>
        </w:rPr>
        <w:t>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may have against a Lender that shall have failed to make such payment to the Administrative Agent.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2.07.</w:t>
      </w:r>
      <w:r>
        <w:rPr>
          <w:rFonts w:ascii="Times New Roman" w:hAnsi="Times New Roman"/>
          <w:color w:val="000000"/>
          <w:sz w:val="20"/>
        </w:rPr>
        <w:t xml:space="preserve"> </w:t>
      </w:r>
      <w:r>
        <w:rPr>
          <w:rFonts w:ascii="Times New Roman" w:hAnsi="Times New Roman"/>
          <w:color w:val="000000"/>
          <w:sz w:val="24"/>
          <w:u w:val="single"/>
        </w:rPr>
        <w:t>Interest Elections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Elections by the Borrower for Syndicated Borrowings</w:t>
      </w:r>
      <w:r>
        <w:rPr>
          <w:rFonts w:ascii="Times New Roman" w:hAnsi="Times New Roman"/>
          <w:color w:val="000000"/>
          <w:sz w:val="24"/>
        </w:rPr>
        <w:t xml:space="preserve">. Subject to </w:t>
      </w:r>
      <w:r>
        <w:rPr>
          <w:rFonts w:ascii="Times New Roman" w:hAnsi="Times New Roman"/>
          <w:color w:val="000000"/>
          <w:sz w:val="24"/>
          <w:u w:val="single"/>
        </w:rPr>
        <w:t>Section 2.03(d)</w:t>
      </w:r>
      <w:r>
        <w:rPr>
          <w:rFonts w:ascii="Times New Roman" w:hAnsi="Times New Roman"/>
          <w:color w:val="000000"/>
          <w:sz w:val="24"/>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 a Syndicated Borrowing of a Class may only be continued or converted into a Syndicated Borrowing of the same Class, (ii) a Syndicated Borrowing denominated in one Currency may not be continued as, or converted to, a Syndicated Borrowing in a different Currency, (iii) prior to the Extended Commitment Termination Date, no Term Benchmark Borrowing denominated in a Foreign Currency or RFR Borrowing may be continued if, after giving effect thereto, the aggregate Revolving Multicurrency Credit Exposures would exceed the aggregate Multicurrency Commitments, and (iv) a Term Benchmark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Notice of Elections</w:t>
      </w:r>
      <w:r>
        <w:rPr>
          <w:rFonts w:ascii="Times New Roman" w:hAnsi="Times New Roman"/>
          <w:color w:val="000000"/>
          <w:sz w:val="24"/>
        </w:rPr>
        <w:t xml:space="preserve">. To make an election pursuant to this Section, the Borrower shall notify the Administrative Agent of such election by telephone, delivery of a signed interest election request or email by the time that a Borrowing Request would be required under </w:t>
      </w:r>
      <w:r>
        <w:rPr>
          <w:rFonts w:ascii="Times New Roman" w:hAnsi="Times New Roman"/>
          <w:color w:val="000000"/>
          <w:sz w:val="24"/>
          <w:u w:val="single"/>
        </w:rPr>
        <w:t>Section 2.03</w:t>
      </w:r>
      <w:r>
        <w:rPr>
          <w:rFonts w:ascii="Times New Roman" w:hAnsi="Times New Roman"/>
          <w:color w:val="000000"/>
          <w:sz w:val="20"/>
        </w:rPr>
        <w:t xml:space="preserve"> </w:t>
      </w:r>
      <w:r>
        <w:rPr>
          <w:rFonts w:ascii="Times New Roman" w:hAnsi="Times New Roman"/>
          <w:color w:val="000000"/>
          <w:sz w:val="24"/>
        </w:rPr>
        <w:t>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Content of Interest Election Requests</w:t>
      </w:r>
      <w:r>
        <w:rPr>
          <w:rFonts w:ascii="Times New Roman" w:hAnsi="Times New Roman"/>
          <w:color w:val="000000"/>
          <w:sz w:val="24"/>
        </w:rPr>
        <w:t xml:space="preserve">. Each telephonic and written Interest Election Request shall specify the following information in compliance with </w:t>
      </w:r>
      <w:r>
        <w:rPr>
          <w:rFonts w:ascii="Times New Roman" w:hAnsi="Times New Roman"/>
          <w:color w:val="000000"/>
          <w:sz w:val="24"/>
          <w:u w:val="single"/>
        </w:rPr>
        <w:t>Section 2.02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hAnsi="Times New Roman"/>
          <w:color w:val="000000"/>
          <w:sz w:val="24"/>
          <w:u w:val="single"/>
        </w:rPr>
        <w:t>clauses (iii)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(iv)</w:t>
      </w:r>
      <w:r>
        <w:rPr>
          <w:rFonts w:ascii="Times New Roman" w:hAnsi="Times New Roman"/>
          <w:color w:val="000000"/>
          <w:sz w:val="20"/>
        </w:rPr>
        <w:t xml:space="preserve"> </w:t>
      </w:r>
      <w:r>
        <w:rPr>
          <w:rFonts w:ascii="Times New Roman" w:hAnsi="Times New Roman"/>
          <w:color w:val="000000"/>
          <w:sz w:val="24"/>
        </w:rPr>
        <w:t>of this paragraph shall be specified for each resulting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effective date of the election made pursuant to such Interest Election Request, which shall be a Business Day;</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whether, in the case of a Borrowing denominated in Dollars, the resulting Borrowing is to be an ABR Borrowing or a Term Benchmark Borrowing;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if the resulting Borrowing is a Term Benchmark Borrowing or RFR Borrowing, the Interest Period therefor after giving effect to such election, which shall be a period contemplated by the definition of the term “Interest Period” and permitted under </w:t>
      </w:r>
      <w:r>
        <w:rPr>
          <w:rFonts w:ascii="Times New Roman" w:hAnsi="Times New Roman"/>
          <w:color w:val="000000"/>
          <w:sz w:val="24"/>
          <w:u w:val="single"/>
        </w:rPr>
        <w:t>Section 2.02(d)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Notice by the Administrative Agent to the Lenders</w:t>
      </w:r>
      <w:r>
        <w:rPr>
          <w:rFonts w:ascii="Times New Roman" w:hAnsi="Times New Roman"/>
          <w:color w:val="000000"/>
          <w:sz w:val="24"/>
        </w:rPr>
        <w:t>. Promptly following receipt of an Interest Election Request, the Administrative Agent shall advise each applicable Lender of the details thereof and of such Lender’s portion of each resulting Borrowing.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Failure to Elect; Events of Default</w:t>
      </w:r>
      <w:r>
        <w:rPr>
          <w:rFonts w:ascii="Times New Roman" w:hAnsi="Times New Roman"/>
          <w:color w:val="000000"/>
          <w:sz w:val="24"/>
        </w:rPr>
        <w:t>. If the Borrower fails to deliver a timely and complete Interest Election Request with respect to a Term Benchmark Borrowing or RFR Borrowing prior to the end of the Interest Period therefor, then, unless such Borrowing is repaid as provided herein, (i) if such Borrowing is denominated in Dollars, at the end of such Interest Period such Borrowing shall be converted to a Syndicated Term Benchmark Borrowing consistent with the existing Loan of the same Class having an Interest Period of one month, and (ii) if such 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2.08.</w:t>
      </w:r>
      <w:r>
        <w:rPr>
          <w:rFonts w:ascii="Times New Roman" w:hAnsi="Times New Roman"/>
          <w:color w:val="000000"/>
          <w:sz w:val="20"/>
        </w:rPr>
        <w:t xml:space="preserve"> </w:t>
      </w:r>
      <w:r>
        <w:rPr>
          <w:rFonts w:ascii="Times New Roman" w:hAnsi="Times New Roman"/>
          <w:color w:val="000000"/>
          <w:sz w:val="24"/>
          <w:u w:val="single"/>
        </w:rPr>
        <w:t>Termination, Reduction or Increase of the Commitments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Scheduled Termination</w:t>
      </w:r>
      <w:r>
        <w:rPr>
          <w:rFonts w:ascii="Times New Roman" w:hAnsi="Times New Roman"/>
          <w:color w:val="000000"/>
          <w:sz w:val="24"/>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Voluntary Termination or Reduction</w:t>
      </w:r>
      <w:r>
        <w:rPr>
          <w:rFonts w:ascii="Times New Roman" w:hAnsi="Times New Roman"/>
          <w:color w:val="000000"/>
          <w:sz w:val="24"/>
        </w:rPr>
        <w:t xml:space="preserve">. The Borrower may at any time without premium or penalty terminate, or from time to time reduce, the Commitments of either Class of Commitment;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each reduction of the Commitments of a Class shall be in an amount that is $10,000,000 (or, if less, the entire amount of the Commitments of such Class) or a larger multiple of $1,000,000 in excess thereof (or, if less, the entire amount of the Commitments of such Class) and (ii) the Borrower shall not terminate or reduce the Commitments of either Class of Commitment if, after giving effect to any concurrent prepayment of the Syndicated Loans of such Class in accordance with </w:t>
      </w:r>
      <w:r>
        <w:rPr>
          <w:rFonts w:ascii="Times New Roman" w:hAnsi="Times New Roman"/>
          <w:color w:val="000000"/>
          <w:sz w:val="24"/>
          <w:u w:val="single"/>
        </w:rPr>
        <w:t>Section 2.10</w:t>
      </w:r>
      <w:r>
        <w:rPr>
          <w:rFonts w:ascii="Times New Roman" w:hAnsi="Times New Roman"/>
          <w:color w:val="000000"/>
          <w:sz w:val="24"/>
        </w:rPr>
        <w:t xml:space="preserve">, the total Revolving Credit Exposures of such Class would exceed the total Commitments of such Class. Any such reduction of the Commitments below the principal amount of the Swingline Loans permitted under </w:t>
      </w:r>
      <w:r>
        <w:rPr>
          <w:rFonts w:ascii="Times New Roman" w:hAnsi="Times New Roman"/>
          <w:color w:val="000000"/>
          <w:sz w:val="24"/>
          <w:u w:val="single"/>
        </w:rPr>
        <w:t>Section 2.04(a)(i)</w:t>
      </w:r>
      <w:r>
        <w:rPr>
          <w:rFonts w:ascii="Times New Roman" w:hAnsi="Times New Roman"/>
          <w:color w:val="000000"/>
          <w:sz w:val="20"/>
        </w:rPr>
        <w:t xml:space="preserve"> </w:t>
      </w:r>
      <w:r>
        <w:rPr>
          <w:rFonts w:ascii="Times New Roman" w:hAnsi="Times New Roman"/>
          <w:color w:val="000000"/>
          <w:sz w:val="24"/>
        </w:rPr>
        <w:t xml:space="preserve">and the Letters of Credit permitted under </w:t>
      </w:r>
      <w:r>
        <w:rPr>
          <w:rFonts w:ascii="Times New Roman" w:hAnsi="Times New Roman"/>
          <w:color w:val="000000"/>
          <w:sz w:val="24"/>
          <w:u w:val="single"/>
        </w:rPr>
        <w:t>Section 2.05(c)(i)</w:t>
      </w:r>
      <w:r>
        <w:rPr>
          <w:rFonts w:ascii="Times New Roman" w:hAnsi="Times New Roman"/>
          <w:color w:val="000000"/>
          <w:sz w:val="20"/>
        </w:rPr>
        <w:t xml:space="preserve"> </w:t>
      </w:r>
      <w:r>
        <w:rPr>
          <w:rFonts w:ascii="Times New Roman" w:hAnsi="Times New Roman"/>
          <w:color w:val="000000"/>
          <w:sz w:val="24"/>
        </w:rPr>
        <w:t>shall result in a dollar-for-dollar reduction of such amounts as applicable.</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 of Voluntary Termination or Reduction</w:t>
      </w:r>
      <w:r>
        <w:rPr>
          <w:rFonts w:ascii="Times New Roman" w:hAnsi="Times New Roman"/>
          <w:color w:val="000000"/>
          <w:sz w:val="24"/>
        </w:rPr>
        <w:t xml:space="preserve">. The Borrower shall notify the Administrative Agent of any election to terminate or reduce the Commitments under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 xml:space="preserve">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notice of termination of the Commitments of a Class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Effect of Termination or Reduction</w:t>
      </w:r>
      <w:r>
        <w:rPr>
          <w:rFonts w:ascii="Times New Roman" w:hAnsi="Times New Roman"/>
          <w:color w:val="000000"/>
          <w:sz w:val="24"/>
        </w:rPr>
        <w:t xml:space="preserve">. Any termination or reduction of the Commitments of a Class of Commitments pursuant to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shall be permanent. Each reduction of the Commitments of a Class of Commitments pursuant to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shall be made ratably among the Lenders of such Class in accordance with their respective Commitments.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Increase of the Commitments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Requests for Increase by Borrower</w:t>
      </w:r>
      <w:r>
        <w:rPr>
          <w:rFonts w:ascii="Times New Roman" w:hAnsi="Times New Roman"/>
          <w:color w:val="000000"/>
          <w:sz w:val="24"/>
        </w:rPr>
        <w:t>. The Borrower may, at any time, request that the Commitments hereunder of a Class of Commitments be increased (each such proposed increase being a “</w:t>
      </w:r>
      <w:r>
        <w:rPr>
          <w:rFonts w:ascii="Times New Roman" w:hAnsi="Times New Roman"/>
          <w:color w:val="000000"/>
          <w:sz w:val="24"/>
          <w:u w:val="single"/>
        </w:rPr>
        <w:t>Commitment Increase</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no event shall a Class of Non-Extended Loans be increased hereunder), upon notice to the Administrative Agent (who shall promptly notify the Lenders), which notice shall specify each existing Lender (each an “</w:t>
      </w:r>
      <w:r>
        <w:rPr>
          <w:rFonts w:ascii="Times New Roman" w:hAnsi="Times New Roman"/>
          <w:color w:val="000000"/>
          <w:sz w:val="24"/>
          <w:u w:val="single"/>
        </w:rPr>
        <w:t>Increasing Lender</w:t>
      </w:r>
      <w:r>
        <w:rPr>
          <w:rFonts w:ascii="Times New Roman" w:hAnsi="Times New Roman"/>
          <w:color w:val="000000"/>
          <w:sz w:val="20"/>
        </w:rPr>
        <w:t>”</w:t>
      </w:r>
      <w:r>
        <w:rPr>
          <w:rFonts w:ascii="Times New Roman" w:hAnsi="Times New Roman"/>
          <w:color w:val="000000"/>
          <w:sz w:val="24"/>
        </w:rPr>
        <w:t>) and/or each additional lender (each an “</w:t>
      </w:r>
      <w:r>
        <w:rPr>
          <w:rFonts w:ascii="Times New Roman" w:hAnsi="Times New Roman"/>
          <w:color w:val="000000"/>
          <w:sz w:val="24"/>
          <w:u w:val="single"/>
        </w:rPr>
        <w:t>Assuming Lender</w:t>
      </w:r>
      <w:r>
        <w:rPr>
          <w:rFonts w:ascii="Times New Roman" w:hAnsi="Times New Roman"/>
          <w:color w:val="000000"/>
          <w:sz w:val="20"/>
        </w:rPr>
        <w:t>”</w:t>
      </w:r>
      <w:r>
        <w:rPr>
          <w:rFonts w:ascii="Times New Roman" w:hAnsi="Times New Roman"/>
          <w:color w:val="000000"/>
          <w:sz w:val="24"/>
        </w:rPr>
        <w:t>) that shall have agreed to an additional Commitment and the date on which such increase is expected to be effective (the date of actual effectiveness, the “</w:t>
      </w:r>
      <w:r>
        <w:rPr>
          <w:rFonts w:ascii="Times New Roman" w:hAnsi="Times New Roman"/>
          <w:color w:val="000000"/>
          <w:sz w:val="24"/>
          <w:u w:val="single"/>
        </w:rPr>
        <w:t>Commitment Increase Date</w:t>
      </w:r>
      <w:r>
        <w:rPr>
          <w:rFonts w:ascii="Times New Roman" w:hAnsi="Times New Roman"/>
          <w:color w:val="000000"/>
          <w:sz w:val="20"/>
        </w:rPr>
        <w:t>”</w:t>
      </w:r>
      <w:r>
        <w:rPr>
          <w:rFonts w:ascii="Times New Roman" w:hAnsi="Times New Roman"/>
          <w:color w:val="000000"/>
          <w:sz w:val="24"/>
        </w:rPr>
        <w:t xml:space="preserve">), which shall be a Business Day at least three (3) Business Days (or such shorter period as the Administrative Agent may reasonably agree) after delivery of such notice and at least 30 days prior to the Extended Commitment Termination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immediately after giving effect to such Commitment Increase (including, if applicable, the substantially concurrent reduction of the Commitments of a Non-Extending Lender in accordance with </w:t>
      </w:r>
      <w:r>
        <w:rPr>
          <w:rFonts w:ascii="Times New Roman" w:hAnsi="Times New Roman"/>
          <w:color w:val="000000"/>
          <w:sz w:val="24"/>
          <w:u w:val="single"/>
        </w:rPr>
        <w:t>Section 2.08(f)</w:t>
      </w:r>
      <w:r>
        <w:rPr>
          <w:rFonts w:ascii="Times New Roman" w:hAnsi="Times New Roman"/>
          <w:color w:val="000000"/>
          <w:sz w:val="24"/>
        </w:rPr>
        <w:t>), the total Commitments of all of the Lenders hereunder shall not exceed $2,500,000,000;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Assuming Lender shall be consented to by the Administrative Agent, each Issuing Bank and each Swingline Lender (such consent not to be unreasonably withheld or delayed);</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 Default shall have occurred and be continuing on such Commitment Increase Date or shall result from the proposed Commitment Increase;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Effectiveness of Commitment Increase by Borrower</w:t>
      </w:r>
      <w:r>
        <w:rPr>
          <w:rFonts w:ascii="Times New Roman" w:hAnsi="Times New Roman"/>
          <w:color w:val="000000"/>
          <w:sz w:val="24"/>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 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Times New Roman" w:hAnsi="Times New Roman"/>
          <w:color w:val="000000"/>
          <w:sz w:val="24"/>
          <w:u w:val="single"/>
        </w:rPr>
        <w:t>paragraph (i)</w:t>
      </w:r>
      <w:r>
        <w:rPr>
          <w:rFonts w:ascii="Times New Roman" w:hAnsi="Times New Roman"/>
          <w:color w:val="000000"/>
          <w:sz w:val="20"/>
        </w:rPr>
        <w:t xml:space="preserve"> </w:t>
      </w:r>
      <w:r>
        <w:rPr>
          <w:rFonts w:ascii="Times New Roman" w:hAnsi="Times New Roman"/>
          <w:color w:val="000000"/>
          <w:sz w:val="24"/>
        </w:rPr>
        <w:t>has been satisfied; and</w:t>
      </w:r>
    </w:p>
    <w:p>
      <w:pPr>
        <w:pStyle w:val="TextBody"/>
        <w:bidi w:val="0"/>
        <w:spacing w:before="0" w:after="240"/>
        <w:jc w:val="left"/>
        <w:rPr>
          <w:rFonts w:ascii="Times New Roman" w:hAnsi="Times New Roman"/>
          <w:sz w:val="20"/>
        </w:rPr>
      </w:pPr>
      <w:r>
        <w:rPr>
          <w:rFonts w:ascii="Times New Roman" w:hAnsi="Times New Roman"/>
          <w:color w:val="000000"/>
          <w:sz w:val="24"/>
        </w:rPr>
        <w:t>(y) 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(each, a “</w:t>
      </w:r>
      <w:r>
        <w:rPr>
          <w:rFonts w:ascii="Times New Roman" w:hAnsi="Times New Roman"/>
          <w:color w:val="000000"/>
          <w:sz w:val="24"/>
          <w:u w:val="single"/>
        </w:rPr>
        <w:t>Commitment Increase Supplement</w:t>
      </w:r>
      <w:r>
        <w:rPr>
          <w:rFonts w:ascii="Times New Roman" w:hAnsi="Times New Roman"/>
          <w:color w:val="000000"/>
          <w:sz w:val="20"/>
        </w:rPr>
        <w:t>”</w:t>
      </w:r>
      <w:r>
        <w:rPr>
          <w:rFonts w:ascii="Times New Roman" w:hAnsi="Times New Roman"/>
          <w:color w:val="000000"/>
          <w:sz w:val="24"/>
        </w:rPr>
        <w: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Recordation into Register</w:t>
      </w:r>
      <w:r>
        <w:rPr>
          <w:rFonts w:ascii="Times New Roman" w:hAnsi="Times New Roman"/>
          <w:color w:val="000000"/>
          <w:sz w:val="24"/>
        </w:rPr>
        <w:t xml:space="preserve">. Upon its receipt of a Commitment Increase Supplement executed by an Assuming Lender or any Increasing Lender, together with the certificate referred to in </w:t>
      </w:r>
      <w:r>
        <w:rPr>
          <w:rFonts w:ascii="Times New Roman" w:hAnsi="Times New Roman"/>
          <w:color w:val="000000"/>
          <w:sz w:val="24"/>
          <w:u w:val="single"/>
        </w:rPr>
        <w:t>clause (ii)(x)</w:t>
      </w:r>
      <w:r>
        <w:rPr>
          <w:rFonts w:ascii="Times New Roman" w:hAnsi="Times New Roman"/>
          <w:color w:val="000000"/>
          <w:sz w:val="20"/>
        </w:rPr>
        <w:t xml:space="preserve"> </w:t>
      </w:r>
      <w:r>
        <w:rPr>
          <w:rFonts w:ascii="Times New Roman" w:hAnsi="Times New Roman"/>
          <w:color w:val="000000"/>
          <w:sz w:val="24"/>
        </w:rPr>
        <w:t>above, the Administrative Agent shall, if such agreement has been completed, (x) accept such agreement, (y) record the information contained therein in the Register and (z) give prompt notice thereof to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Adjustments of Borrowings upon Effectiveness of Increase</w:t>
      </w:r>
      <w:r>
        <w:rPr>
          <w:rFonts w:ascii="Times New Roman" w:hAnsi="Times New Roman"/>
          <w:color w:val="000000"/>
          <w:sz w:val="24"/>
        </w:rPr>
        <w:t>. On the Commitment Increase Date, the Borrower shall (A) prepay the outstanding Loans (if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of the affected Class of Commitments in full, (B) simultaneously borrow new Loans of such Class hereunder in an amount equal to such prepayment (which may also include the amount of any fees, expenses or amounts due by the Borrower on or prior to the Commitment Increase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with respect to </w:t>
      </w:r>
      <w:r>
        <w:rPr>
          <w:rFonts w:ascii="Times New Roman" w:hAnsi="Times New Roman"/>
          <w:color w:val="000000"/>
          <w:sz w:val="24"/>
          <w:u w:val="single"/>
        </w:rPr>
        <w:t>subclauses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as a result of any such prepayment. Concurrently therewith, the Lenders of such Class shall be deemed to have adjusted their participation interests in any outstanding Swingline Loans and Letters of Credit of such Class so that such interests are held ratably in accordance with their commitments of such Class as so increased.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Reduction of Non-Extending Lenders’ Commitment</w:t>
      </w:r>
      <w:r>
        <w:rPr>
          <w:rFonts w:ascii="Times New Roman" w:hAnsi="Times New Roman"/>
          <w:color w:val="000000"/>
          <w:sz w:val="24"/>
        </w:rPr>
        <w:t xml:space="preserve">. Notwithstanding anything to the contrary herein (including </w:t>
      </w:r>
      <w:r>
        <w:rPr>
          <w:rFonts w:ascii="Times New Roman" w:hAnsi="Times New Roman"/>
          <w:color w:val="000000"/>
          <w:sz w:val="24"/>
          <w:u w:val="single"/>
        </w:rPr>
        <w:t>Section 2.08(d)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Borrower may at any time terminate, or from time to time reduce, the Commitment of any Non-Extending Lender without reducing the Commitments of any other Lender of the same Class of Commitments as such Non-Extending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each reduction of the Commitment of a Non-Extending Lender hereunder shall be in an amount that is $10,000,000 or a larger multiple of $5,000,000 in excess thereof (or, in each case, the entire Commitment of such Non-Extending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Borrower shall notify the Administrative Agent of any election to terminate or reduce the Commitment of any Non-Extending Lender under this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 xml:space="preserve">at least three (3)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shall be irrevocable.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Any termination or reduction of the Commitment of any Non-Extending Lender pursuant to this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 xml:space="preserve">shall be permanent and shall be made concurrently with all required reallocation prepayments and cash collateralizations required under </w:t>
      </w:r>
      <w:r>
        <w:rPr>
          <w:rFonts w:ascii="Times New Roman" w:hAnsi="Times New Roman"/>
          <w:color w:val="000000"/>
          <w:sz w:val="24"/>
          <w:u w:val="single"/>
        </w:rPr>
        <w:t>Section 2.20</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2.09.</w:t>
      </w:r>
      <w:r>
        <w:rPr>
          <w:rFonts w:ascii="Times New Roman" w:hAnsi="Times New Roman"/>
          <w:color w:val="000000"/>
          <w:sz w:val="20"/>
        </w:rPr>
        <w:t xml:space="preserve"> </w:t>
      </w:r>
      <w:r>
        <w:rPr>
          <w:rFonts w:ascii="Times New Roman" w:hAnsi="Times New Roman"/>
          <w:color w:val="000000"/>
          <w:sz w:val="24"/>
          <w:u w:val="single"/>
        </w:rPr>
        <w:t>Repayment of Loans; Evidence of Debt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Repayment</w:t>
      </w:r>
      <w:r>
        <w:rPr>
          <w:rFonts w:ascii="Times New Roman" w:hAnsi="Times New Roman"/>
          <w:color w:val="000000"/>
          <w:sz w:val="24"/>
        </w:rPr>
        <w:t>. The Borrower hereby unconditionally promises to pay the Loans of each Class of Final Maturity Date or Commitments, as applicable,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to the Administrative Agent for account of the Lenders of such Class of Final Maturity Date the outstanding principal amount of the Syndicated Loans of the Lenders of such Class of Final Maturity Date on the applicable Final Maturity Date; and</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(10) Business Days after such Swingline Loan is made;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on each date that a Syndicated Borrowing of such Class of Commitment is made, the Borrower shall repay all Swingline Loans of such Class of Commitment then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Manner of Payment</w:t>
      </w:r>
      <w:r>
        <w:rPr>
          <w:rFonts w:ascii="Times New Roman" w:hAnsi="Times New Roman"/>
          <w:color w:val="000000"/>
          <w:sz w:val="24"/>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or electronic communication) of such selection not later than the time set forth in </w:t>
      </w:r>
      <w:r>
        <w:rPr>
          <w:rFonts w:ascii="Times New Roman" w:hAnsi="Times New Roman"/>
          <w:color w:val="000000"/>
          <w:sz w:val="24"/>
          <w:u w:val="single"/>
        </w:rPr>
        <w:t>Section 2.10(e)</w:t>
      </w:r>
      <w:r>
        <w:rPr>
          <w:rFonts w:ascii="Times New Roman" w:hAnsi="Times New Roman"/>
          <w:color w:val="000000"/>
          <w:sz w:val="20"/>
        </w:rPr>
        <w:t xml:space="preserve"> </w:t>
      </w:r>
      <w:r>
        <w:rPr>
          <w:rFonts w:ascii="Times New Roman" w:hAnsi="Times New Roman"/>
          <w:color w:val="000000"/>
          <w:sz w:val="24"/>
        </w:rPr>
        <w:t xml:space="preserve">prior to the scheduled date of such repayment;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Maintenance of Records by Lenders</w:t>
      </w:r>
      <w:r>
        <w:rPr>
          <w:rFonts w:ascii="Times New Roman" w:hAnsi="Times New Roman"/>
          <w:color w:val="000000"/>
          <w:sz w:val="24"/>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Maintenance of Records by the Administrative Agent</w:t>
      </w:r>
      <w:r>
        <w:rPr>
          <w:rFonts w:ascii="Times New Roman" w:hAnsi="Times New Roman"/>
          <w:color w:val="000000"/>
          <w:sz w:val="24"/>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Effect of Entries</w:t>
      </w:r>
      <w:r>
        <w:rPr>
          <w:rFonts w:ascii="Times New Roman" w:hAnsi="Times New Roman"/>
          <w:color w:val="000000"/>
          <w:sz w:val="24"/>
        </w:rPr>
        <w:t xml:space="preserve">. The entries made in the records maintained pursuant to </w:t>
      </w:r>
      <w:r>
        <w:rPr>
          <w:rFonts w:ascii="Times New Roman" w:hAnsi="Times New Roman"/>
          <w:color w:val="000000"/>
          <w:sz w:val="24"/>
          <w:u w:val="single"/>
        </w:rPr>
        <w:t>paragraph (c)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of this Section shall be </w:t>
      </w:r>
      <w:r>
        <w:rPr>
          <w:rFonts w:ascii="Times New Roman" w:hAnsi="Times New Roman"/>
          <w:color w:val="000000"/>
          <w:sz w:val="24"/>
          <w:u w:val="single"/>
        </w:rPr>
        <w:t>prima</w:t>
      </w:r>
      <w:r>
        <w:rPr>
          <w:rFonts w:ascii="Times New Roman" w:hAnsi="Times New Roman"/>
          <w:color w:val="000000"/>
          <w:sz w:val="20"/>
        </w:rPr>
        <w:t xml:space="preserve"> </w:t>
      </w:r>
      <w:r>
        <w:rPr>
          <w:rFonts w:ascii="Times New Roman" w:hAnsi="Times New Roman"/>
          <w:color w:val="000000"/>
          <w:sz w:val="24"/>
          <w:u w:val="single"/>
        </w:rPr>
        <w:t>facie</w:t>
      </w:r>
      <w:r>
        <w:rPr>
          <w:rFonts w:ascii="Times New Roman" w:hAnsi="Times New Roman"/>
          <w:color w:val="000000"/>
          <w:sz w:val="20"/>
        </w:rPr>
        <w:t xml:space="preserve"> </w:t>
      </w:r>
      <w:r>
        <w:rPr>
          <w:rFonts w:ascii="Times New Roman" w:hAnsi="Times New Roman"/>
          <w:color w:val="000000"/>
          <w:sz w:val="24"/>
        </w:rPr>
        <w:t>evidence, absent obvious error, of the existence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amounts of the obligations recorded therein;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failure of any Lender or the Administrative Agent to maintain such records or any error therein shall not in any manner affect the obligation of the Borrower to repay the Loans in accordance with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Promissory Notes</w:t>
      </w:r>
      <w:r>
        <w:rPr>
          <w:rFonts w:ascii="Times New Roman" w:hAnsi="Times New Roman"/>
          <w:color w:val="000000"/>
          <w:sz w:val="24"/>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Thereafter, the Loans evidenced by such promissory note and interest thereon shall at all times (including after assignment pursuant to </w:t>
      </w:r>
      <w:r>
        <w:rPr>
          <w:rFonts w:ascii="Times New Roman" w:hAnsi="Times New Roman"/>
          <w:color w:val="000000"/>
          <w:sz w:val="24"/>
          <w:u w:val="single"/>
        </w:rPr>
        <w:t>Section 9.04</w:t>
      </w:r>
      <w:r>
        <w:rPr>
          <w:rFonts w:ascii="Times New Roman" w:hAnsi="Times New Roman"/>
          <w:color w:val="000000"/>
          <w:sz w:val="24"/>
        </w:rPr>
        <w:t>) be represented by one or more promissory notes in such form payable to the payee named therein (or, if such promissory note is a registered note, to such payee and its registered assigns).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2.10.</w:t>
      </w:r>
      <w:r>
        <w:rPr>
          <w:rFonts w:ascii="Times New Roman" w:hAnsi="Times New Roman"/>
          <w:color w:val="000000"/>
          <w:sz w:val="20"/>
        </w:rPr>
        <w:t xml:space="preserve"> </w:t>
      </w:r>
      <w:r>
        <w:rPr>
          <w:rFonts w:ascii="Times New Roman" w:hAnsi="Times New Roman"/>
          <w:color w:val="000000"/>
          <w:sz w:val="24"/>
          <w:u w:val="single"/>
        </w:rPr>
        <w:t>Prepayment of Loans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Optional Prepayments</w:t>
      </w:r>
      <w:r>
        <w:rPr>
          <w:rFonts w:ascii="Times New Roman" w:hAnsi="Times New Roman"/>
          <w:color w:val="000000"/>
          <w:sz w:val="24"/>
        </w:rPr>
        <w:t xml:space="preserve">. The Borrower shall have the right at any time and from time to time to prepay any Borrowing in whole or in part, without premium or penalty except for payments under </w:t>
      </w:r>
      <w:r>
        <w:rPr>
          <w:rFonts w:ascii="Times New Roman" w:hAnsi="Times New Roman"/>
          <w:color w:val="000000"/>
          <w:sz w:val="24"/>
          <w:u w:val="single"/>
        </w:rPr>
        <w:t>Section 2.15</w:t>
      </w:r>
      <w:r>
        <w:rPr>
          <w:rFonts w:ascii="Times New Roman" w:hAnsi="Times New Roman"/>
          <w:color w:val="000000"/>
          <w:sz w:val="24"/>
        </w:rPr>
        <w:t xml:space="preserve">, subject to the requirements of this Section. Any prepayment of a Borrowing made in accordance with this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shall be applied ratably among the Lenders of a Class of Commitment unless such prepayment is made in connection with the reduction of Commitments in accordance with </w:t>
      </w:r>
      <w:r>
        <w:rPr>
          <w:rFonts w:ascii="Times New Roman" w:hAnsi="Times New Roman"/>
          <w:color w:val="000000"/>
          <w:sz w:val="24"/>
          <w:u w:val="single"/>
        </w:rPr>
        <w:t>Section 2.08(b)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rFonts w:ascii="Times New Roman" w:hAnsi="Times New Roman"/>
          <w:color w:val="000000"/>
          <w:sz w:val="20"/>
        </w:rPr>
        <w:t xml:space="preserve"> </w:t>
      </w:r>
      <w:r>
        <w:rPr>
          <w:rFonts w:ascii="Times New Roman" w:hAnsi="Times New Roman"/>
          <w:color w:val="000000"/>
          <w:sz w:val="24"/>
        </w:rPr>
        <w:t xml:space="preserve">in which case such prepayment shall be applied in accordance with </w:t>
      </w:r>
      <w:r>
        <w:rPr>
          <w:rFonts w:ascii="Times New Roman" w:hAnsi="Times New Roman"/>
          <w:color w:val="000000"/>
          <w:sz w:val="24"/>
          <w:u w:val="single"/>
        </w:rPr>
        <w:t>Section 2.08(d)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rFonts w:ascii="Times New Roman" w:hAnsi="Times New Roman"/>
          <w:color w:val="000000"/>
          <w:sz w:val="24"/>
        </w:rPr>
        <w:t>,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Mandatory Prepayments due to Changes in Exchange Rates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Determination of Amount Outstanding</w:t>
      </w:r>
      <w:r>
        <w:rPr>
          <w:rFonts w:ascii="Times New Roman" w:hAnsi="Times New Roman"/>
          <w:color w:val="000000"/>
          <w:sz w:val="24"/>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Prepayment</w:t>
      </w:r>
      <w:r>
        <w:rPr>
          <w:rFonts w:ascii="Times New Roman" w:hAnsi="Times New Roman"/>
          <w:color w:val="000000"/>
          <w:sz w:val="24"/>
        </w:rPr>
        <w:t xml:space="preserve">. If on the date of such determination the aggregate Revolving Multicurrency Credit Exposure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Loans of the Swingline Lenders with a Multicurrency Commitment (and/or provide Cash Collateral for Multicurrency LC Exposure as specified in </w:t>
      </w:r>
      <w:r>
        <w:rPr>
          <w:rFonts w:ascii="Times New Roman" w:hAnsi="Times New Roman"/>
          <w:color w:val="000000"/>
          <w:sz w:val="24"/>
          <w:u w:val="single"/>
        </w:rPr>
        <w:t>Section 2.05(k)</w:t>
      </w:r>
      <w:r>
        <w:rPr>
          <w:rFonts w:ascii="Times New Roman" w:hAnsi="Times New Roman"/>
          <w:color w:val="000000"/>
          <w:sz w:val="24"/>
        </w:rPr>
        <w:t>) within 15 Business Days following the Borrower’s receipt of such request in such amounts as shall be necessary so that after giving effect thereto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aggregate Revolving Multicurrency Credit Exposure does not exceed the Multicurrency Commitments.</w:t>
      </w:r>
    </w:p>
    <w:p>
      <w:pPr>
        <w:pStyle w:val="TextBody"/>
        <w:bidi w:val="0"/>
        <w:spacing w:before="0" w:after="240"/>
        <w:jc w:val="both"/>
        <w:rPr>
          <w:rFonts w:ascii="Times New Roman" w:hAnsi="Times New Roman"/>
          <w:sz w:val="20"/>
        </w:rPr>
      </w:pPr>
      <w:r>
        <w:rPr>
          <w:rFonts w:ascii="Times New Roman" w:hAnsi="Times New Roman"/>
          <w:color w:val="000000"/>
          <w:sz w:val="24"/>
        </w:rPr>
        <w:t>For purposes hereof “</w:t>
      </w:r>
      <w:r>
        <w:rPr>
          <w:rFonts w:ascii="Times New Roman" w:hAnsi="Times New Roman"/>
          <w:color w:val="000000"/>
          <w:sz w:val="24"/>
          <w:u w:val="single"/>
        </w:rPr>
        <w:t>Currency Valuation Notice</w:t>
      </w:r>
      <w:r>
        <w:rPr>
          <w:rFonts w:ascii="Times New Roman" w:hAnsi="Times New Roman"/>
          <w:color w:val="000000"/>
          <w:sz w:val="20"/>
        </w:rPr>
        <w:t xml:space="preserve">” </w:t>
      </w:r>
      <w:r>
        <w:rPr>
          <w:rFonts w:ascii="Times New Roman" w:hAnsi="Times New Roman"/>
          <w:color w:val="000000"/>
          <w:sz w:val="24"/>
        </w:rPr>
        <w:t>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prepayment pursuant to this paragraph shall be applied, </w:t>
      </w:r>
      <w:r>
        <w:rPr>
          <w:rFonts w:ascii="Times New Roman" w:hAnsi="Times New Roman"/>
          <w:color w:val="000000"/>
          <w:sz w:val="24"/>
          <w:u w:val="single"/>
        </w:rPr>
        <w:t>first</w:t>
      </w:r>
      <w:r>
        <w:rPr>
          <w:rFonts w:ascii="Times New Roman" w:hAnsi="Times New Roman"/>
          <w:color w:val="000000"/>
          <w:sz w:val="20"/>
        </w:rPr>
        <w:t xml:space="preserve"> </w:t>
      </w:r>
      <w:r>
        <w:rPr>
          <w:rFonts w:ascii="Times New Roman" w:hAnsi="Times New Roman"/>
          <w:color w:val="000000"/>
          <w:sz w:val="24"/>
        </w:rPr>
        <w:t xml:space="preserve">to Swingline Multicurrency Loans outstanding, </w:t>
      </w:r>
      <w:r>
        <w:rPr>
          <w:rFonts w:ascii="Times New Roman" w:hAnsi="Times New Roman"/>
          <w:color w:val="000000"/>
          <w:sz w:val="24"/>
          <w:u w:val="single"/>
        </w:rPr>
        <w:t>second</w:t>
      </w:r>
      <w:r>
        <w:rPr>
          <w:rFonts w:ascii="Times New Roman" w:hAnsi="Times New Roman"/>
          <w:color w:val="000000"/>
          <w:sz w:val="24"/>
        </w:rPr>
        <w:t xml:space="preserve">, to Syndicated Multicurrency Loans outstanding and </w:t>
      </w:r>
      <w:r>
        <w:rPr>
          <w:rFonts w:ascii="Times New Roman" w:hAnsi="Times New Roman"/>
          <w:color w:val="000000"/>
          <w:sz w:val="24"/>
          <w:u w:val="single"/>
        </w:rPr>
        <w:t>third</w:t>
      </w:r>
      <w:r>
        <w:rPr>
          <w:rFonts w:ascii="Times New Roman" w:hAnsi="Times New Roman"/>
          <w:color w:val="000000"/>
          <w:sz w:val="24"/>
        </w:rPr>
        <w:t>, as cover for Multicurrency LC Exposure.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Mandatory Prepayments due to Borrowing Base Deficiency</w:t>
      </w:r>
      <w:r>
        <w:rPr>
          <w:rFonts w:ascii="Times New Roman" w:hAnsi="Times New Roman"/>
          <w:color w:val="000000"/>
          <w:sz w:val="24"/>
        </w:rPr>
        <w:t xml:space="preserve">. In the event that at any time any Borrowing Base Deficiency shall exist, the Borrower shall, within five (5) Business Days after delivery of the applicable Borrowing Base Certificate, prepay the Loans (or provide Cash Collateral for Letters of Credit as contemplated by </w:t>
      </w:r>
      <w:r>
        <w:rPr>
          <w:rFonts w:ascii="Times New Roman" w:hAnsi="Times New Roman"/>
          <w:color w:val="000000"/>
          <w:sz w:val="24"/>
          <w:u w:val="single"/>
        </w:rPr>
        <w:t>Section 2.05(k)</w:t>
      </w:r>
      <w:r>
        <w:rPr>
          <w:rFonts w:ascii="Times New Roman" w:hAnsi="Times New Roman"/>
          <w:color w:val="000000"/>
          <w:sz w:val="24"/>
        </w:rPr>
        <w:t xml:space="preserve">) or reduce Other Covered Indebtedness or any other Indebtedness that is included in the Covered Debt Amount at such time in such amounts as shall be necessary so that such Borrowing Base Deficiency is cured;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the aggregate amount of such prepayment of Loans (and Cash Collateral for Letters of Credit) shall be at least equal to the Revolving Percentage times the aggregate prepayment of the Covered Debt Amount, and (ii) if, within five (5) Business Days after delivery of a Borrowing Base Certificate demonstrating such Borrowing Base Deficiency, the Borrower shall present the Administrative Agent with a reasonably feasible plan to enable such Borrowing Base Deficiency to be cured within 30 Business Days (which 30-Business Day period shall include the five (5)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Mandatory Prepayments During Amortization Period</w:t>
      </w:r>
      <w:r>
        <w:rPr>
          <w:rFonts w:ascii="Times New Roman" w:hAnsi="Times New Roman"/>
          <w:color w:val="000000"/>
          <w:sz w:val="24"/>
        </w:rPr>
        <w:t>. During the period commencing on the date immediately following the Commitment Termination Date with respect to any Loans of any Lender or Lenders and ending on the Final Maturity Date with respect to the Loans of such Lender or Lenders: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Asset Disposition</w:t>
      </w:r>
      <w:r>
        <w:rPr>
          <w:rFonts w:ascii="Times New Roman" w:hAnsi="Times New Roman"/>
          <w:color w:val="000000"/>
          <w:sz w:val="24"/>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Equity Issuance</w:t>
      </w:r>
      <w:r>
        <w:rPr>
          <w:rFonts w:ascii="Times New Roman" w:hAnsi="Times New Roman"/>
          <w:color w:val="000000"/>
          <w:sz w:val="24"/>
        </w:rPr>
        <w:t>. Upon the sale or issuance by the Borrower or any of its Subsidiaries (other than a Financing Subsidiary) of any of its Equity Interests (other than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Indebtedness</w:t>
      </w:r>
      <w:r>
        <w:rPr>
          <w:rFonts w:ascii="Times New Roman" w:hAnsi="Times New Roman"/>
          <w:color w:val="000000"/>
          <w:sz w:val="24"/>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Extraordinary Receipt</w:t>
      </w:r>
      <w:r>
        <w:rPr>
          <w:rFonts w:ascii="Times New Roman" w:hAnsi="Times New Roman"/>
          <w:color w:val="000000"/>
          <w:sz w:val="24"/>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Times New Roman" w:hAnsi="Times New Roman"/>
          <w:color w:val="000000"/>
          <w:sz w:val="24"/>
          <w:u w:val="single"/>
        </w:rPr>
        <w:t>clauses (i)</w:t>
      </w:r>
      <w:r>
        <w:rPr>
          <w:rFonts w:ascii="Times New Roman" w:hAnsi="Times New Roman"/>
          <w:color w:val="000000"/>
          <w:sz w:val="24"/>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(iii)</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2.10(d)</w:t>
      </w:r>
      <w:r>
        <w:rPr>
          <w:rFonts w:ascii="Times New Roman" w:hAnsi="Times New Roman"/>
          <w:color w:val="000000"/>
          <w:sz w:val="24"/>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Return of Capital</w:t>
      </w:r>
      <w:r>
        <w:rPr>
          <w:rFonts w:ascii="Times New Roman" w:hAnsi="Times New Roman"/>
          <w:color w:val="000000"/>
          <w:sz w:val="24"/>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 w:hAnsi="Times New Roman"/>
          <w:color w:val="000000"/>
          <w:sz w:val="24"/>
          <w:u w:val="single"/>
        </w:rPr>
        <w:t>Section 2.15</w:t>
      </w:r>
      <w:r>
        <w:rPr>
          <w:rFonts w:ascii="Times New Roman" w:hAnsi="Times New Roman"/>
          <w:color w:val="000000"/>
          <w:sz w:val="24"/>
        </w:rPr>
        <w:t xml:space="preserve">) no later than the fifth Business Day following the receipt of such Return of Capital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(I) Net Cash Proceeds and Return of Capital required to be applied to the prepayment of the Loans pursuant to this </w:t>
      </w:r>
      <w:r>
        <w:rPr>
          <w:rFonts w:ascii="Times New Roman" w:hAnsi="Times New Roman"/>
          <w:color w:val="000000"/>
          <w:sz w:val="24"/>
          <w:u w:val="single"/>
        </w:rPr>
        <w:t>Section 2.10(d)</w:t>
      </w:r>
      <w:r>
        <w:rPr>
          <w:rFonts w:ascii="Times New Roman" w:hAnsi="Times New Roman"/>
          <w:color w:val="000000"/>
          <w:sz w:val="20"/>
        </w:rPr>
        <w:t xml:space="preserve"> </w:t>
      </w:r>
      <w:r>
        <w:rPr>
          <w:rFonts w:ascii="Times New Roman" w:hAnsi="Times New Roman"/>
          <w:color w:val="000000"/>
          <w:sz w:val="24"/>
        </w:rPr>
        <w:t xml:space="preserve">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Times New Roman" w:hAnsi="Times New Roman"/>
          <w:color w:val="000000"/>
          <w:sz w:val="24"/>
          <w:u w:val="single"/>
        </w:rPr>
        <w:t>Section 6.05(b)</w:t>
      </w:r>
      <w:r>
        <w:rPr>
          <w:rFonts w:ascii="Times New Roman" w:hAnsi="Times New Roman"/>
          <w:color w:val="000000"/>
          <w:sz w:val="20"/>
        </w:rPr>
        <w:t xml:space="preserve"> </w:t>
      </w:r>
      <w:r>
        <w:rPr>
          <w:rFonts w:ascii="Times New Roman" w:hAnsi="Times New Roman"/>
          <w:color w:val="000000"/>
          <w:sz w:val="24"/>
        </w:rPr>
        <w:t xml:space="preserve">herein) to maintain the status of a RIC 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(II) if the Loans to be prepaid pursuant to this </w:t>
      </w:r>
      <w:r>
        <w:rPr>
          <w:rFonts w:ascii="Times New Roman" w:hAnsi="Times New Roman"/>
          <w:color w:val="000000"/>
          <w:sz w:val="24"/>
          <w:u w:val="single"/>
        </w:rPr>
        <w:t>Section 2.10(d)</w:t>
      </w:r>
      <w:r>
        <w:rPr>
          <w:rFonts w:ascii="Times New Roman" w:hAnsi="Times New Roman"/>
          <w:color w:val="000000"/>
          <w:sz w:val="20"/>
        </w:rPr>
        <w:t xml:space="preserve"> </w:t>
      </w:r>
      <w:r>
        <w:rPr>
          <w:rFonts w:ascii="Times New Roman" w:hAnsi="Times New Roman"/>
          <w:color w:val="000000"/>
          <w:sz w:val="24"/>
        </w:rPr>
        <w:t>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Cash Proceeds, into a segregated collateral account in the name and under the dominion and control of the Administrative Agent, pending application of such amount to the prepayment of the Loans on the last day of such Interest Period;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Administrative Agent may direct the application of such deposits as set forth in </w:t>
      </w:r>
      <w:r>
        <w:rPr>
          <w:rFonts w:ascii="Times New Roman" w:hAnsi="Times New Roman"/>
          <w:color w:val="000000"/>
          <w:sz w:val="24"/>
          <w:u w:val="single"/>
        </w:rPr>
        <w:t>Section 2.09(b)</w:t>
      </w:r>
      <w:r>
        <w:rPr>
          <w:rFonts w:ascii="Times New Roman" w:hAnsi="Times New Roman"/>
          <w:color w:val="000000"/>
          <w:sz w:val="20"/>
        </w:rPr>
        <w:t xml:space="preserve"> </w:t>
      </w:r>
      <w:r>
        <w:rPr>
          <w:rFonts w:ascii="Times New Roman" w:hAnsi="Times New Roman"/>
          <w:color w:val="000000"/>
          <w:sz w:val="24"/>
        </w:rPr>
        <w:t xml:space="preserve">at any time and if the Administrative Agent does so, no amounts will be payable by the Borrower pursuant to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Notices, Etc</w:t>
      </w:r>
      <w:r>
        <w:rPr>
          <w:rFonts w:ascii="Times New Roman" w:hAnsi="Times New Roman"/>
          <w:color w:val="000000"/>
          <w:sz w:val="24"/>
        </w:rPr>
        <w:t>. The Borrower shall notify the Administrative Agent (and, in the case of prepayment of a Swingline Loan made by a Swingline Lender, such Swingline Lender) by telephone (confirmed by telecopy or electronic communication) of any prepayment hereunder (i) in the case of prepayment of a Term Benchmark Borrowing denominated in Dollars (other than in the case of a prepayment pursuant to Section 2.10(d)), not later than 11:00 a.m., New York City time, three (3) Business Days before the date of prepayment (or such shorter period as may be agreed to by the Administrative Agent), (ii) in the case of prepayment of a Term Benchmark Borrowing denominated in a Foreign Currency (other than in the case of a prepayment pursuant to Section 2.10(d)), not later than 11:00 a.m., London time, four (4) Business Days before the date of prepayment, (iii) in the case of prepayment of a RFR Borrowing (other than in the case of a prepayment pursuant to Section 2.10(d)), not later than 11:00 a.m., London time, four (4) Business Days before the date of prepayment, (iv) in the case of prepayment of a Syndicated ABR Borrowing (other than in the case of a prepayment pursuant to Section 2.10(d)), not later than 11:00 a.m., New York City time on the date of prepayment, (v) in the case of prepayment of a Swingline Loan, not later than 11:00 a.m., New York City time, on the date of prepayment, and (vi)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reduction or termination of the Commitments of a Class as contemplated by Section 2.08, then such notice of prepayment may be revoked if such notice of reduction or termination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Section 2.12 and shall be made in the manner specified in Section 2.09(b) unless such prepayment is made in connection with the reduction of Commitments in accordance with Section 2.08(b) or (f) in which case such prepayment shall be applied in accordance with Section 2.08(d) or (f), as applicable.</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2.11.</w:t>
      </w:r>
      <w:r>
        <w:rPr>
          <w:rFonts w:ascii="Times New Roman" w:hAnsi="Times New Roman"/>
          <w:color w:val="000000"/>
          <w:sz w:val="20"/>
        </w:rPr>
        <w:t xml:space="preserve"> </w:t>
      </w:r>
      <w:r>
        <w:rPr>
          <w:rFonts w:ascii="Times New Roman" w:hAnsi="Times New Roman"/>
          <w:color w:val="000000"/>
          <w:sz w:val="24"/>
          <w:u w:val="single"/>
        </w:rPr>
        <w:t>Fees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Commitment Fee</w:t>
      </w:r>
      <w:r>
        <w:rPr>
          <w:rFonts w:ascii="Times New Roman" w:hAnsi="Times New Roman"/>
          <w:color w:val="000000"/>
          <w:sz w:val="24"/>
        </w:rPr>
        <w:t>. The Borrower agrees to pay to the Administrative Agent for account of each Lender a commitment fee, which shall accrue at a rate per annum equal to 0.325%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Letter of Credit Fees</w:t>
      </w:r>
      <w:r>
        <w:rPr>
          <w:rFonts w:ascii="Times New Roman" w:hAnsi="Times New Roman"/>
          <w:color w:val="000000"/>
          <w:sz w:val="24"/>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the Non-Extended Applicable Margin, in each case, applicable to interest on Term Benchmark Loans (or, if such Letter of Credit is denominated in Sterling or Swiss Francs,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(2)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Administrative Agent Fees</w:t>
      </w:r>
      <w:r>
        <w:rPr>
          <w:rFonts w:ascii="Times New Roman" w:hAnsi="Times New Roman"/>
          <w:color w:val="000000"/>
          <w:sz w:val="24"/>
        </w:rPr>
        <w:t>. The Borrower agrees to pay to the Administrative Agent, for its own account, fees payable in the amounts and at the times separately agreed upon between the Borrower and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Payment of Fees</w:t>
      </w:r>
      <w:r>
        <w:rPr>
          <w:rFonts w:ascii="Times New Roman" w:hAnsi="Times New Roman"/>
          <w:color w:val="000000"/>
          <w:sz w:val="24"/>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2.12.</w:t>
      </w:r>
      <w:r>
        <w:rPr>
          <w:rFonts w:ascii="Times New Roman" w:hAnsi="Times New Roman"/>
          <w:color w:val="000000"/>
          <w:sz w:val="20"/>
        </w:rPr>
        <w:t xml:space="preserve"> </w:t>
      </w:r>
      <w:r>
        <w:rPr>
          <w:rFonts w:ascii="Times New Roman" w:hAnsi="Times New Roman"/>
          <w:color w:val="000000"/>
          <w:sz w:val="24"/>
          <w:u w:val="single"/>
        </w:rPr>
        <w:t>Interest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ABR Loans</w:t>
      </w:r>
      <w:r>
        <w:rPr>
          <w:rFonts w:ascii="Times New Roman" w:hAnsi="Times New Roman"/>
          <w:color w:val="000000"/>
          <w:sz w:val="24"/>
        </w:rPr>
        <w:t xml:space="preserve">. The Loans constituting each ABR Borrowing (including each Swingline Loan) that are made by the Extending Lenders shall bear interest at a rate per annum equal to the Alternate Base Rate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Extended Applicable Margin. The Loans constituting each ABR Borrowing (including each Swingline Loan) that are made by the Non-Extending Lenders shall bear interest at a rate per annum equal to the Alternate Base Rate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Non-Extended Applicable Margin.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Term Benchmark Loans</w:t>
      </w:r>
      <w:r>
        <w:rPr>
          <w:rFonts w:ascii="Times New Roman" w:hAnsi="Times New Roman"/>
          <w:color w:val="000000"/>
          <w:sz w:val="24"/>
        </w:rPr>
        <w:t xml:space="preserve">. The Loans constituting each Term Benchmark Borrowing that are made by the Extending Lenders shall bear interest at a rate per annum equal to the Adjusted Term Benchmark Rate for the related Interest Period for such Borrowing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Extended Applicable Margin. The Loans constituting each Term Benchmark Borrowing that are made by the Non-Extending Lenders shall bear interest at a rate per annum equal to the Term Benchmark Rate for the related Interest Period for such Borrowing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Non-Extended Applicable Margin.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RFR Loans</w:t>
      </w:r>
      <w:r>
        <w:rPr>
          <w:rFonts w:ascii="Times New Roman" w:hAnsi="Times New Roman"/>
          <w:color w:val="000000"/>
          <w:sz w:val="24"/>
        </w:rPr>
        <w:t xml:space="preserve">. The Loans constituting each RFR Borrowing that are made by the Extending Lenders shall bear interest at a rate per annum equal to the RFR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Extended Applicable Margin. The Loans constituting each RFR Borrowing that are made by the Non-Extending Lenders shall bear interest at a rate per annum equal to the Daily Simple RFR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Non-Extended Applicable Margin.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Default Interest</w:t>
      </w:r>
      <w:r>
        <w:rPr>
          <w:rFonts w:ascii="Times New Roman" w:hAnsi="Times New Roman"/>
          <w:color w:val="000000"/>
          <w:sz w:val="24"/>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rate otherwise applicable to such Loan as provided above, (ii) in the case of any Letter of Credit, 2%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fee otherwise applicable to such Letter of Credit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provided in </w:t>
      </w:r>
      <w:r>
        <w:rPr>
          <w:rFonts w:ascii="Times New Roman" w:hAnsi="Times New Roman"/>
          <w:color w:val="000000"/>
          <w:sz w:val="24"/>
          <w:u w:val="single"/>
        </w:rPr>
        <w:t>Section 2.11(b)(i)</w:t>
      </w:r>
      <w:r>
        <w:rPr>
          <w:rFonts w:ascii="Times New Roman" w:hAnsi="Times New Roman"/>
          <w:color w:val="000000"/>
          <w:sz w:val="24"/>
        </w:rPr>
        <w:t xml:space="preserve">, or </w:t>
      </w:r>
      <w:r>
        <w:rPr>
          <w:rFonts w:ascii="Times New Roman" w:hAnsi="Times New Roman"/>
          <w:color w:val="000000"/>
          <w:sz w:val="24"/>
          <w:u w:val="single"/>
        </w:rPr>
        <w:t>(iii)</w:t>
      </w:r>
      <w:r>
        <w:rPr>
          <w:rFonts w:ascii="Times New Roman" w:hAnsi="Times New Roman"/>
          <w:color w:val="000000"/>
          <w:sz w:val="20"/>
        </w:rPr>
        <w:t xml:space="preserve"> </w:t>
      </w:r>
      <w:r>
        <w:rPr>
          <w:rFonts w:ascii="Times New Roman" w:hAnsi="Times New Roman"/>
          <w:color w:val="000000"/>
          <w:sz w:val="24"/>
        </w:rPr>
        <w:t xml:space="preserve">in the case of any fee or other amount, 2%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rate applicable to ABR Loans as provided in </w:t>
      </w:r>
      <w:r>
        <w:rPr>
          <w:rFonts w:ascii="Times New Roman" w:hAnsi="Times New Roman"/>
          <w:color w:val="000000"/>
          <w:sz w:val="24"/>
          <w:u w:val="single"/>
        </w:rPr>
        <w:t>paragraph (a)</w:t>
      </w:r>
      <w:r>
        <w:rPr>
          <w:rFonts w:ascii="Times New Roman" w:hAnsi="Times New Roman"/>
          <w:color w:val="000000"/>
          <w:sz w:val="20"/>
        </w:rPr>
        <w:t xml:space="preserve"> </w:t>
      </w:r>
      <w:r>
        <w:rPr>
          <w:rFonts w:ascii="Times New Roman" w:hAnsi="Times New Roman"/>
          <w:color w:val="000000"/>
          <w:sz w:val="24"/>
        </w:rPr>
        <w:t>of this Section.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Payment of Interest</w:t>
      </w:r>
      <w:r>
        <w:rPr>
          <w:rFonts w:ascii="Times New Roman" w:hAnsi="Times New Roman"/>
          <w:color w:val="000000"/>
          <w:sz w:val="24"/>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interest accrued pursuant to </w:t>
      </w:r>
      <w:r>
        <w:rPr>
          <w:rFonts w:ascii="Times New Roman" w:hAnsi="Times New Roman"/>
          <w:color w:val="000000"/>
          <w:sz w:val="24"/>
          <w:u w:val="single"/>
        </w:rPr>
        <w:t>paragraph (d)</w:t>
      </w:r>
      <w:r>
        <w:rPr>
          <w:rFonts w:ascii="Times New Roman" w:hAnsi="Times New Roman"/>
          <w:color w:val="000000"/>
          <w:sz w:val="20"/>
        </w:rPr>
        <w:t xml:space="preserve"> </w:t>
      </w:r>
      <w:r>
        <w:rPr>
          <w:rFonts w:ascii="Times New Roman" w:hAnsi="Times New Roman"/>
          <w:color w:val="000000"/>
          <w:sz w:val="24"/>
        </w:rPr>
        <w:t>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Computation</w:t>
      </w:r>
      <w:r>
        <w:rPr>
          <w:rFonts w:ascii="Times New Roman" w:hAnsi="Times New Roman"/>
          <w:color w:val="000000"/>
          <w:sz w:val="24"/>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Conforming Changes</w:t>
      </w:r>
      <w:r>
        <w:rPr>
          <w:rFonts w:ascii="Times New Roman" w:hAnsi="Times New Roman"/>
          <w:color w:val="000000"/>
          <w:sz w:val="24"/>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2.13.</w:t>
      </w:r>
      <w:r>
        <w:rPr>
          <w:rFonts w:ascii="Times New Roman" w:hAnsi="Times New Roman"/>
          <w:color w:val="000000"/>
          <w:sz w:val="20"/>
        </w:rPr>
        <w:t xml:space="preserve"> </w:t>
      </w:r>
      <w:r>
        <w:rPr>
          <w:rFonts w:ascii="Times New Roman" w:hAnsi="Times New Roman"/>
          <w:color w:val="000000"/>
          <w:sz w:val="24"/>
          <w:u w:val="single"/>
        </w:rPr>
        <w:t>Inability to Determine Interest Rates</w:t>
      </w:r>
      <w:r>
        <w:rPr>
          <w:rFonts w:ascii="Times New Roman" w:hAnsi="Times New Roman"/>
          <w:color w:val="000000"/>
          <w:sz w:val="20"/>
        </w:rPr>
        <w:t xml:space="preserve"> </w:t>
      </w:r>
      <w:r>
        <w:rPr>
          <w:rFonts w:ascii="Times New Roman" w:hAnsi="Times New Roman"/>
          <w:color w:val="000000"/>
          <w:sz w:val="24"/>
        </w:rPr>
        <w:t xml:space="preserve">. Subject to </w:t>
      </w:r>
      <w:r>
        <w:rPr>
          <w:rFonts w:ascii="Times New Roman" w:hAnsi="Times New Roman"/>
          <w:color w:val="000000"/>
          <w:sz w:val="24"/>
          <w:u w:val="single"/>
        </w:rPr>
        <w:t>Section 2.22</w:t>
      </w:r>
      <w:r>
        <w:rPr>
          <w:rFonts w:ascii="Times New Roman" w:hAnsi="Times New Roman"/>
          <w:color w:val="000000"/>
          <w:sz w:val="24"/>
        </w:rPr>
        <w:t>, if, prior to the commencement of any Interest Period for any Term Benchmark Borrowing of a Class or at any time for an RFR Borrowing (the Currency of such Borrowing herein called the “</w:t>
      </w:r>
      <w:r>
        <w:rPr>
          <w:rFonts w:ascii="Times New Roman" w:hAnsi="Times New Roman"/>
          <w:color w:val="000000"/>
          <w:sz w:val="24"/>
          <w:u w:val="single"/>
        </w:rPr>
        <w:t>Affected Currency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 in the case of a Term Benchmark Borrowing, the Administrative Agent shall have determined (which determination shall be conclusive absent manifest error) the Adjusted Term Benchmark Rate for the Affected Currency cannot be determined pursuant to the definition thereof or (B) in the case of an RFR Borrowing, the Administrative Agent shall have determined (which determination shall be conclusive absent manifest error) that the Daily Simple RFR for the Affected Currency cannot be determined pursuant to the definition thereof; or</w:t>
      </w:r>
    </w:p>
    <w:p>
      <w:pPr>
        <w:pStyle w:val="TextBody"/>
        <w:bidi w:val="0"/>
        <w:spacing w:before="0" w:after="240"/>
        <w:jc w:val="both"/>
        <w:rPr>
          <w:rFonts w:ascii="Times New Roman" w:hAnsi="Times New Roman"/>
          <w:sz w:val="20"/>
        </w:rPr>
      </w:pPr>
      <w:r>
        <w:rPr>
          <w:rFonts w:ascii="Times New Roman" w:hAnsi="Times New Roman"/>
          <w:color w:val="000000"/>
          <w:sz w:val="24"/>
        </w:rPr>
        <w:t>(b) (A) in the case of a Term Benchmark Borrowing, the Administrative Agent shall have received notice from the Required Lenders of such Class of Commitments that the Adjusted Term Benchmark Rate for the Affected Currency for such Interest Period will not adequately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Administrative Agent determines (which determination shall be conclusive and binding absent manifest error) that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Canadian Prime Rate cannot be determined, such Borrowing shall be converted into an ABR Borrowing denominated in Dollars (in an amount equal to the Dollar Equivalent of such Affected Currency) at the end of the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hAnsi="Times New Roman"/>
          <w:color w:val="000000"/>
          <w:sz w:val="24"/>
          <w:u w:val="single"/>
        </w:rPr>
        <w:t>clause (iii)(B)(1)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(iv)(B)(1)</w:t>
      </w:r>
      <w:r>
        <w:rPr>
          <w:rFonts w:ascii="Times New Roman" w:hAnsi="Times New Roman"/>
          <w:color w:val="000000"/>
          <w:sz w:val="20"/>
        </w:rPr>
        <w:t xml:space="preserve"> </w:t>
      </w:r>
      <w:r>
        <w:rPr>
          <w:rFonts w:ascii="Times New Roman" w:hAnsi="Times New Roman"/>
          <w:color w:val="000000"/>
          <w:sz w:val="24"/>
        </w:rPr>
        <w:t>above, as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2.14.</w:t>
      </w:r>
      <w:r>
        <w:rPr>
          <w:rFonts w:ascii="Times New Roman" w:hAnsi="Times New Roman"/>
          <w:color w:val="000000"/>
          <w:sz w:val="20"/>
        </w:rPr>
        <w:t xml:space="preserve"> </w:t>
      </w:r>
      <w:r>
        <w:rPr>
          <w:rFonts w:ascii="Times New Roman" w:hAnsi="Times New Roman"/>
          <w:color w:val="000000"/>
          <w:sz w:val="24"/>
          <w:u w:val="single"/>
        </w:rPr>
        <w:t>Increased Costs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Increased Costs Generally</w:t>
      </w:r>
      <w:r>
        <w:rPr>
          <w:rFonts w:ascii="Times New Roman" w:hAnsi="Times New Roman"/>
          <w:color w:val="000000"/>
          <w:sz w:val="24"/>
        </w:rPr>
        <w:t>. If any Change in Law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impose on any Lender or any Issuing Bank any other condition, cost or expense (other than Taxes) affecting this Agreement or Term Benchmark Loans or RFR Loans made by such Lender or any Letter of Credit or participation in any such Loan or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Capital and Liquidity Requirements</w:t>
      </w:r>
      <w:r>
        <w:rPr>
          <w:rFonts w:ascii="Times New Roman" w:hAnsi="Times New Roman"/>
          <w:color w:val="000000"/>
          <w:sz w:val="24"/>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Certificates from Lenders</w:t>
      </w:r>
      <w:r>
        <w:rPr>
          <w:rFonts w:ascii="Times New Roman" w:hAnsi="Times New Roman"/>
          <w:color w:val="000000"/>
          <w:sz w:val="24"/>
        </w:rPr>
        <w:t xml:space="preserve">. A certificate of a Lender or an Issuing Bank (x) setting forth in reasonable detail the basis for and the calculation of the amount or amounts, in Dollars, necessary to compensate such Lender or such Issuing Bank or its holding company, as the case may be, as specified in </w:t>
      </w:r>
      <w:r>
        <w:rPr>
          <w:rFonts w:ascii="Times New Roman" w:hAnsi="Times New Roman"/>
          <w:color w:val="000000"/>
          <w:sz w:val="24"/>
          <w:u w:val="single"/>
        </w:rPr>
        <w:t>paragraph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of this Section, (y) setting forth in reasonable detail the manner of determination of such amount or amounts and (z) certifying that such Lender of such Issuing Bank or its holding company, as the case may be, is generally claiming similar compensation from its other similar customers in similar circumstances, shall be promptly delivered to the Borrower and shall be conclusive absent manifest error. The Borrower shall pay such Lender or such Issuing Bank, as the case may be, the amount shown as due on any such certificate within ten (10) Business Days after receipt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Delay in Requests</w:t>
      </w:r>
      <w:r>
        <w:rPr>
          <w:rFonts w:ascii="Times New Roman" w:hAnsi="Times New Roman"/>
          <w:color w:val="000000"/>
          <w:sz w:val="24"/>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the Change in Law giving rise to such increased costs or reductions is retroactive, then the six-month period referred to above shall be extended to include the period of retroactive effect thereof.</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2.15.</w:t>
      </w:r>
      <w:r>
        <w:rPr>
          <w:rFonts w:ascii="Times New Roman" w:hAnsi="Times New Roman"/>
          <w:color w:val="000000"/>
          <w:sz w:val="20"/>
        </w:rPr>
        <w:t xml:space="preserve"> </w:t>
      </w:r>
      <w:r>
        <w:rPr>
          <w:rFonts w:ascii="Times New Roman" w:hAnsi="Times New Roman"/>
          <w:color w:val="000000"/>
          <w:sz w:val="24"/>
          <w:u w:val="single"/>
        </w:rPr>
        <w:t>Break Funding Payments</w:t>
      </w:r>
      <w:r>
        <w:rPr>
          <w:rFonts w:ascii="Times New Roman" w:hAnsi="Times New Roman"/>
          <w:color w:val="000000"/>
          <w:sz w:val="24"/>
        </w:rPr>
        <w:t xml:space="preserve">. In the event of (a) the payment of any principal of any Term Benchmark Loan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Times New Roman" w:hAnsi="Times New Roman"/>
          <w:color w:val="000000"/>
          <w:sz w:val="24"/>
          <w:u w:val="single"/>
        </w:rPr>
        <w:t>Section 2.10(e)</w:t>
      </w:r>
      <w:r>
        <w:rPr>
          <w:rFonts w:ascii="Times New Roman" w:hAnsi="Times New Roman"/>
          <w:color w:val="000000"/>
          <w:sz w:val="20"/>
        </w:rPr>
        <w:t xml:space="preserve"> </w:t>
      </w:r>
      <w:r>
        <w:rPr>
          <w:rFonts w:ascii="Times New Roman" w:hAnsi="Times New Roman"/>
          <w:color w:val="000000"/>
          <w:sz w:val="24"/>
        </w:rPr>
        <w:t xml:space="preserve">and is revoked in accordance herewith), or (d) the assignment as a result of a request by the Borrower pursuant to </w:t>
      </w:r>
      <w:r>
        <w:rPr>
          <w:rFonts w:ascii="Times New Roman" w:hAnsi="Times New Roman"/>
          <w:color w:val="000000"/>
          <w:sz w:val="24"/>
          <w:u w:val="single"/>
        </w:rPr>
        <w:t>Section 2.18(b)</w:t>
      </w:r>
      <w:r>
        <w:rPr>
          <w:rFonts w:ascii="Times New Roman" w:hAnsi="Times New Roman"/>
          <w:color w:val="000000"/>
          <w:sz w:val="20"/>
        </w:rPr>
        <w:t xml:space="preserve"> </w:t>
      </w:r>
      <w:r>
        <w:rPr>
          <w:rFonts w:ascii="Times New Roman" w:hAnsi="Times New Roman"/>
          <w:color w:val="000000"/>
          <w:sz w:val="24"/>
        </w:rPr>
        <w:t>of any Term Benchmark Loan other than on the last day of an Interest Period therefor, then, in any such event, the Borrower shall compensate each affected Lender for such Lender’s loss, cost and reasonable expense attributable to such event (excluding loss of anticipated profits). In the case of a Term Benchmark Loan, the loss to any Lender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attributable to any such event shall be deemed to include an amount determined by such Lender to be equal to the excess, if any, 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amount of interest that such Lender would pay for a deposit equal to the principal amount of such Loan denominated in the Currency of such Loan for the period from the date of such payment, conversion, failure or assignment to the last day of the then-current Interest Period for such Loan (or, in the case of a failure to borrow, convert or continue, the duration of the Interest Period that would have resulted from such borrowing, conversion or continuation) if the interest rate payable on such deposit were equal to the Term Benchmark Rate for such Currency for such Interest Period, </w:t>
      </w:r>
      <w:r>
        <w:rPr>
          <w:rFonts w:ascii="Times New Roman" w:hAnsi="Times New Roman"/>
          <w:color w:val="000000"/>
          <w:sz w:val="24"/>
          <w:u w:val="single"/>
        </w:rPr>
        <w:t>over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under this Section shall be made upon written request of a Lender delivered to the Borrower not later than five (5) Business Days following the payment, conversion, or failure to borrow, convert, continue or prepay that gives rise to a claim under this Section accompanied by 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ten (10) Business Days after receipt thereof.</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2.16.</w:t>
      </w:r>
      <w:r>
        <w:rPr>
          <w:rFonts w:ascii="Times New Roman" w:hAnsi="Times New Roman"/>
          <w:color w:val="000000"/>
          <w:sz w:val="20"/>
        </w:rPr>
        <w:t xml:space="preserve"> </w:t>
      </w: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Payments Free of Taxes</w:t>
      </w:r>
      <w:r>
        <w:rPr>
          <w:rFonts w:ascii="Times New Roman" w:hAnsi="Times New Roman"/>
          <w:color w:val="000000"/>
          <w:sz w:val="24"/>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Payment of Other Taxes by the Borrower</w:t>
      </w:r>
      <w:r>
        <w:rPr>
          <w:rFonts w:ascii="Times New Roman" w:hAnsi="Times New Roman"/>
          <w:color w:val="000000"/>
          <w:sz w:val="24"/>
        </w:rPr>
        <w:t>. In addition, the Borrower shall pay any Other Taxes to the relevant Governmental Authority in accordance with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Indemnification by the Borrower</w:t>
      </w:r>
      <w:r>
        <w:rPr>
          <w:rFonts w:ascii="Times New Roman" w:hAnsi="Times New Roman"/>
          <w:color w:val="000000"/>
          <w:sz w:val="24"/>
        </w:rPr>
        <w:t>. The Borrower shall indemnify the Administrative Agent, each Lender and each Issuing Bank for and, within ten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Indemnification by the Lenders</w:t>
      </w:r>
      <w:r>
        <w:rPr>
          <w:rFonts w:ascii="Times New Roman" w:hAnsi="Times New Roman"/>
          <w:color w:val="000000"/>
          <w:sz w:val="24"/>
        </w:rPr>
        <w:t xml:space="preserve">. Each Lender shall severally indemnify the Administrative Agent, within ten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hAnsi="Times New Roman"/>
          <w:color w:val="000000"/>
          <w:sz w:val="24"/>
          <w:u w:val="single"/>
        </w:rPr>
        <w:t>Section 9.04(f)</w:t>
      </w:r>
      <w:r>
        <w:rPr>
          <w:rFonts w:ascii="Times New Roman" w:hAnsi="Times New Roman"/>
          <w:color w:val="000000"/>
          <w:sz w:val="20"/>
        </w:rPr>
        <w:t xml:space="preserve"> </w:t>
      </w:r>
      <w:r>
        <w:rPr>
          <w:rFonts w:ascii="Times New Roman" w:hAnsi="Times New Roman"/>
          <w:color w:val="000000"/>
          <w:sz w:val="24"/>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olor w:val="000000"/>
          <w:sz w:val="24"/>
          <w:u w:val="single"/>
        </w:rPr>
        <w:t>paragraph (d)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Evidence of Payments</w:t>
      </w:r>
      <w:r>
        <w:rPr>
          <w:rFonts w:ascii="Times New Roman" w:hAnsi="Times New Roman"/>
          <w:color w:val="000000"/>
          <w:sz w:val="24"/>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Tax Documentation</w:t>
      </w:r>
      <w:r>
        <w:rPr>
          <w:rFonts w:ascii="Times New Roman" w:hAnsi="Times New Roman"/>
          <w:color w:val="000000"/>
          <w:sz w:val="24"/>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4"/>
          <w:u w:val="single"/>
        </w:rPr>
        <w:t>Section 2.16(f)(ii)</w:t>
      </w:r>
      <w:r>
        <w:rPr>
          <w:rFonts w:ascii="Times New Roman" w:hAnsi="Times New Roman"/>
          <w:color w:val="000000"/>
          <w:sz w:val="20"/>
        </w:rPr>
        <w:t xml:space="preserve"> </w:t>
      </w:r>
      <w:r>
        <w:rPr>
          <w:rFonts w:ascii="Times New Roman" w:hAnsi="Times New Roman"/>
          <w:color w:val="000000"/>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Without limiting the generality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duly completed and executed copies of Internal Revenue Service Form W-8BEN or W-8BEN-E or any successor form claiming eligibility for benefits of an income tax treaty to which the United States is a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duly completed copies of Internal Revenue Service Form W-8ECI or any successor form certifying that the income receivable pursuant to this Agreement is effectively connected with the conduct of a trade or business in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pStyle w:val="TextBody"/>
        <w:bidi w:val="0"/>
        <w:spacing w:before="0" w:after="240"/>
        <w:jc w:val="both"/>
        <w:rPr>
          <w:rFonts w:ascii="Times New Roman" w:hAnsi="Times New Roman"/>
          <w:sz w:val="20"/>
        </w:rPr>
      </w:pPr>
      <w:r>
        <w:rPr>
          <w:rFonts w:ascii="Times New Roman" w:hAnsi="Times New Roman"/>
          <w:color w:val="000000"/>
          <w:sz w:val="24"/>
        </w:rPr>
        <w:t>(iii) In addition, each Lender shall deliver such forms promptly upon the obsolescence, expiration or invalidity of any form previously delivered by such Lender; provided it is legally able to do so at the time. Each Lender shall promptly notify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Documentation Required by FATCA</w:t>
      </w:r>
      <w:r>
        <w:rPr>
          <w:rFonts w:ascii="Times New Roman" w:hAnsi="Times New Roman"/>
          <w:color w:val="000000"/>
          <w:sz w:val="24"/>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Times New Roman" w:hAnsi="Times New Roman"/>
          <w:color w:val="000000"/>
          <w:sz w:val="24"/>
          <w:u w:val="single"/>
        </w:rPr>
        <w:t>Section 2.16(g)</w:t>
      </w:r>
      <w:r>
        <w:rPr>
          <w:rFonts w:ascii="Times New Roman" w:hAnsi="Times New Roman"/>
          <w:color w:val="000000"/>
          <w:sz w:val="24"/>
        </w:rPr>
        <w:t>, “FATCA” shall include any amendments made to FATCA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Treatment of Certain Refunds</w:t>
      </w:r>
      <w:r>
        <w:rPr>
          <w:rFonts w:ascii="Times New Roman" w:hAnsi="Times New Roman"/>
          <w:color w:val="000000"/>
          <w:sz w:val="24"/>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 w:hAnsi="Times New Roman"/>
          <w:color w:val="000000"/>
          <w:sz w:val="24"/>
          <w:u w:val="single"/>
        </w:rPr>
        <w:t>clause (h)</w:t>
      </w:r>
      <w:r>
        <w:rPr>
          <w:rFonts w:ascii="Times New Roman" w:hAnsi="Times New Roman"/>
          <w:color w:val="000000"/>
          <w:sz w:val="24"/>
        </w:rPr>
        <w:t xml:space="preserve">, in no event will the Administrative Agent, any Lender or an Issuing Bank be required to pay any amount to the Borrower pursuant to this </w:t>
      </w:r>
      <w:r>
        <w:rPr>
          <w:rFonts w:ascii="Times New Roman" w:hAnsi="Times New Roman"/>
          <w:color w:val="000000"/>
          <w:sz w:val="24"/>
          <w:u w:val="single"/>
        </w:rPr>
        <w:t>clause (h)</w:t>
      </w:r>
      <w:r>
        <w:rPr>
          <w:rFonts w:ascii="Times New Roman" w:hAnsi="Times New Roman"/>
          <w:color w:val="000000"/>
          <w:sz w:val="24"/>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Each party’s obligations under this Section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2.17.</w:t>
      </w:r>
      <w:r>
        <w:rPr>
          <w:rFonts w:ascii="Times New Roman" w:hAnsi="Times New Roman"/>
          <w:color w:val="000000"/>
          <w:sz w:val="20"/>
        </w:rPr>
        <w:t xml:space="preserve"> </w:t>
      </w:r>
      <w:r>
        <w:rPr>
          <w:rFonts w:ascii="Times New Roman" w:hAnsi="Times New Roman"/>
          <w:color w:val="000000"/>
          <w:sz w:val="24"/>
          <w:u w:val="single"/>
        </w:rPr>
        <w:t>Payments Generally; Pro Rata Treatment: Sharing of Set-offs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Payments by the Borrower</w:t>
      </w:r>
      <w:r>
        <w:rPr>
          <w:rFonts w:ascii="Times New Roman" w:hAnsi="Times New Roman"/>
          <w:color w:val="000000"/>
          <w:sz w:val="24"/>
        </w:rPr>
        <w:t xml:space="preserve">. The Borrower shall make each payment required to be made by it hereunder (whether of principal, interest, fees or reimbursement of LC Disbursements, or under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xml:space="preserve">, or otherwise) or under any other Loan Document (except to the extent otherwise provided therein)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4"/>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amounts owing under this Agreement (including commitment fees, payments required under </w:t>
      </w:r>
      <w:r>
        <w:rPr>
          <w:rFonts w:ascii="Times New Roman" w:hAnsi="Times New Roman"/>
          <w:color w:val="000000"/>
          <w:sz w:val="24"/>
          <w:u w:val="single"/>
        </w:rPr>
        <w:t>Section 2.14</w:t>
      </w:r>
      <w:r>
        <w:rPr>
          <w:rFonts w:ascii="Times New Roman" w:hAnsi="Times New Roman"/>
          <w:color w:val="000000"/>
          <w:sz w:val="24"/>
        </w:rPr>
        <w:t xml:space="preserve">, and payments required 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relating to any Loan denominated in Dollars, but not including principal of and interest on any Loan denominated in any Foreign Currency or payments relating to any such Loan required under </w:t>
      </w:r>
      <w:r>
        <w:rPr>
          <w:rFonts w:ascii="Times New Roman" w:hAnsi="Times New Roman"/>
          <w:color w:val="000000"/>
          <w:sz w:val="24"/>
          <w:u w:val="single"/>
        </w:rPr>
        <w:t>Section 2.15</w:t>
      </w:r>
      <w:r>
        <w:rPr>
          <w:rFonts w:ascii="Times New Roman" w:hAnsi="Times New Roman"/>
          <w:color w:val="000000"/>
          <w:sz w:val="24"/>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hAnsi="Times New Roman"/>
          <w:color w:val="000000"/>
          <w:sz w:val="24"/>
          <w:u w:val="single"/>
        </w:rPr>
        <w:t>Original Currency</w:t>
      </w:r>
      <w:r>
        <w:rPr>
          <w:rFonts w:ascii="Times New Roman" w:hAnsi="Times New Roman"/>
          <w:color w:val="000000"/>
          <w:sz w:val="20"/>
        </w:rPr>
        <w:t>”</w:t>
      </w:r>
      <w:r>
        <w:rPr>
          <w:rFonts w:ascii="Times New Roman" w:hAnsi="Times New Roman"/>
          <w:color w:val="000000"/>
          <w:sz w:val="24"/>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Application of Insufficient Payments</w:t>
      </w:r>
      <w:r>
        <w:rPr>
          <w:rFonts w:ascii="Times New Roman" w:hAnsi="Times New Roman"/>
          <w:color w:val="000000"/>
          <w:sz w:val="24"/>
        </w:rPr>
        <w:t>. If at any time insufficient funds are received by and available to the Administrative Agent to pay fully all amounts of principal, unreimbursed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Pro Rata Treatment</w:t>
      </w:r>
      <w:r>
        <w:rPr>
          <w:rFonts w:ascii="Times New Roman" w:hAnsi="Times New Roman"/>
          <w:color w:val="000000"/>
          <w:sz w:val="24"/>
        </w:rPr>
        <w:t xml:space="preserve">. Except to the extent otherwise provided herein: (i) other than with respect any Syndicated Borrowing requested pursuant to </w:t>
      </w:r>
      <w:r>
        <w:rPr>
          <w:rFonts w:ascii="Times New Roman" w:hAnsi="Times New Roman"/>
          <w:color w:val="000000"/>
          <w:sz w:val="24"/>
          <w:u w:val="single"/>
        </w:rPr>
        <w:t>Section 2.20</w:t>
      </w:r>
      <w:r>
        <w:rPr>
          <w:rFonts w:ascii="Times New Roman" w:hAnsi="Times New Roman"/>
          <w:color w:val="000000"/>
          <w:sz w:val="24"/>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Times New Roman" w:hAnsi="Times New Roman"/>
          <w:color w:val="000000"/>
          <w:sz w:val="24"/>
          <w:u w:val="single"/>
        </w:rPr>
        <w:t>Section 2.11</w:t>
      </w:r>
      <w:r>
        <w:rPr>
          <w:rFonts w:ascii="Times New Roman" w:hAnsi="Times New Roman"/>
          <w:color w:val="000000"/>
          <w:sz w:val="20"/>
        </w:rPr>
        <w:t xml:space="preserve"> </w:t>
      </w:r>
      <w:r>
        <w:rPr>
          <w:rFonts w:ascii="Times New Roman" w:hAnsi="Times New Roman"/>
          <w:color w:val="000000"/>
          <w:sz w:val="24"/>
        </w:rPr>
        <w:t xml:space="preserve">shall be made for account of the Lenders of the applicable Class, and each termination or reduction of the amount of the Commitments of a Class of Commitments or Final Maturity Date under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Sharing of Payments by Lenders</w:t>
      </w:r>
      <w:r>
        <w:rPr>
          <w:rFonts w:ascii="Times New Roman" w:hAnsi="Times New Roman"/>
          <w:color w:val="000000"/>
          <w:sz w:val="24"/>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Presumptions of Payment</w:t>
      </w:r>
      <w:r>
        <w:rPr>
          <w:rFonts w:ascii="Times New Roman" w:hAnsi="Times New Roman"/>
          <w:color w:val="000000"/>
          <w:sz w:val="24"/>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Certain Deductions by the Administrative Agent</w:t>
      </w:r>
      <w:r>
        <w:rPr>
          <w:rFonts w:ascii="Times New Roman" w:hAnsi="Times New Roman"/>
          <w:color w:val="000000"/>
          <w:sz w:val="24"/>
        </w:rPr>
        <w:t xml:space="preserve">. If any Lender shall fail to make any payment required to be made by it pursuant to </w:t>
      </w:r>
      <w:r>
        <w:rPr>
          <w:rFonts w:ascii="Times New Roman" w:hAnsi="Times New Roman"/>
          <w:color w:val="000000"/>
          <w:sz w:val="24"/>
          <w:u w:val="single"/>
        </w:rPr>
        <w:t>Section 2.04(c)</w:t>
      </w:r>
      <w:r>
        <w:rPr>
          <w:rFonts w:ascii="Times New Roman" w:hAnsi="Times New Roman"/>
          <w:color w:val="000000"/>
          <w:sz w:val="24"/>
        </w:rPr>
        <w:t xml:space="preserve">, </w:t>
      </w:r>
      <w:r>
        <w:rPr>
          <w:rFonts w:ascii="Times New Roman" w:hAnsi="Times New Roman"/>
          <w:color w:val="000000"/>
          <w:sz w:val="24"/>
          <w:u w:val="single"/>
        </w:rPr>
        <w:t>2.05(e)</w:t>
      </w:r>
      <w:r>
        <w:rPr>
          <w:rFonts w:ascii="Times New Roman" w:hAnsi="Times New Roman"/>
          <w:color w:val="000000"/>
          <w:sz w:val="24"/>
        </w:rPr>
        <w:t xml:space="preserve">, </w:t>
      </w:r>
      <w:r>
        <w:rPr>
          <w:rFonts w:ascii="Times New Roman" w:hAnsi="Times New Roman"/>
          <w:color w:val="000000"/>
          <w:sz w:val="24"/>
          <w:u w:val="single"/>
        </w:rPr>
        <w:t>2.06(a)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2.17(e)</w:t>
      </w:r>
      <w:r>
        <w:rPr>
          <w:rFonts w:ascii="Times New Roman" w:hAnsi="Times New Roman"/>
          <w:color w:val="000000"/>
          <w:sz w:val="24"/>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2.18.</w:t>
      </w:r>
      <w:r>
        <w:rPr>
          <w:rFonts w:ascii="Times New Roman" w:hAnsi="Times New Roman"/>
          <w:color w:val="000000"/>
          <w:sz w:val="20"/>
        </w:rPr>
        <w:t xml:space="preserve"> </w:t>
      </w:r>
      <w:r>
        <w:rPr>
          <w:rFonts w:ascii="Times New Roman" w:hAnsi="Times New Roman"/>
          <w:color w:val="000000"/>
          <w:sz w:val="24"/>
          <w:u w:val="single"/>
        </w:rPr>
        <w:t>Mitigation Obligations; Replacement of Lenders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Designation of a Different Lending Office</w:t>
      </w:r>
      <w:r>
        <w:rPr>
          <w:rFonts w:ascii="Times New Roman" w:hAnsi="Times New Roman"/>
          <w:color w:val="000000"/>
          <w:sz w:val="24"/>
        </w:rPr>
        <w:t xml:space="preserve">. If any Lender requests compensation under </w:t>
      </w:r>
      <w:r>
        <w:rPr>
          <w:rFonts w:ascii="Times New Roman" w:hAnsi="Times New Roman"/>
          <w:color w:val="000000"/>
          <w:sz w:val="24"/>
          <w:u w:val="single"/>
        </w:rPr>
        <w:t>Section 2.14</w:t>
      </w:r>
      <w:r>
        <w:rPr>
          <w:rFonts w:ascii="Times New Roman" w:hAnsi="Times New Roman"/>
          <w:color w:val="000000"/>
          <w:sz w:val="24"/>
        </w:rPr>
        <w:t xml:space="preserve">, or if the Borrower is required to pay any additional amount to any Lender or any Governmental Authority for the account of any Lender pursuant to </w:t>
      </w:r>
      <w:r>
        <w:rPr>
          <w:rFonts w:ascii="Times New Roman" w:hAnsi="Times New Roman"/>
          <w:color w:val="000000"/>
          <w:sz w:val="24"/>
          <w:u w:val="single"/>
        </w:rPr>
        <w:t>Section 2.16</w:t>
      </w:r>
      <w:r>
        <w:rPr>
          <w:rFonts w:ascii="Times New Roman" w:hAnsi="Times New Roman"/>
          <w:color w:val="000000"/>
          <w:sz w:val="24"/>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hAnsi="Times New Roman"/>
          <w:color w:val="000000"/>
          <w:sz w:val="24"/>
          <w:u w:val="single"/>
        </w:rPr>
        <w:t>Section 2.14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Replacement of Lenders</w:t>
      </w:r>
      <w:r>
        <w:rPr>
          <w:rFonts w:ascii="Times New Roman" w:hAnsi="Times New Roman"/>
          <w:color w:val="000000"/>
          <w:sz w:val="24"/>
        </w:rPr>
        <w:t xml:space="preserve">. If any Lender requests compensation under </w:t>
      </w:r>
      <w:r>
        <w:rPr>
          <w:rFonts w:ascii="Times New Roman" w:hAnsi="Times New Roman"/>
          <w:color w:val="000000"/>
          <w:sz w:val="24"/>
          <w:u w:val="single"/>
        </w:rPr>
        <w:t>Section 2.14</w:t>
      </w:r>
      <w:r>
        <w:rPr>
          <w:rFonts w:ascii="Times New Roman" w:hAnsi="Times New Roman"/>
          <w:color w:val="000000"/>
          <w:sz w:val="24"/>
        </w:rPr>
        <w:t xml:space="preserve">, or if the Borrower is required to pay any additional amount to any Lender or any Governmental Authority for account of any Lender pursuant to </w:t>
      </w:r>
      <w:r>
        <w:rPr>
          <w:rFonts w:ascii="Times New Roman" w:hAnsi="Times New Roman"/>
          <w:color w:val="000000"/>
          <w:sz w:val="24"/>
          <w:u w:val="single"/>
        </w:rPr>
        <w:t>Section 2.16</w:t>
      </w:r>
      <w:r>
        <w:rPr>
          <w:rFonts w:ascii="Times New Roman" w:hAnsi="Times New Roman"/>
          <w:color w:val="000000"/>
          <w:sz w:val="24"/>
        </w:rPr>
        <w:t xml:space="preserve">, or if any Lender becomes a Defaulting Lender or is a Non-Consenting Lender (as provided in </w:t>
      </w:r>
      <w:r>
        <w:rPr>
          <w:rFonts w:ascii="Times New Roman" w:hAnsi="Times New Roman"/>
          <w:color w:val="000000"/>
          <w:sz w:val="24"/>
          <w:u w:val="single"/>
        </w:rPr>
        <w:t>Section 9.02(d)</w:t>
      </w:r>
      <w:r>
        <w:rPr>
          <w:rFonts w:ascii="Times New Roman" w:hAnsi="Times New Roman"/>
          <w:color w:val="000000"/>
          <w:sz w:val="24"/>
        </w:rPr>
        <w:t>), then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Borrower may, at its sole expense and effort, upon notice to such Lender and the Administrative Agent, require such Lender to assign and delegate, without recourse (in accordance with and subject to the restrictions contained in </w:t>
      </w:r>
      <w:r>
        <w:rPr>
          <w:rFonts w:ascii="Times New Roman" w:hAnsi="Times New Roman"/>
          <w:color w:val="000000"/>
          <w:sz w:val="24"/>
          <w:u w:val="single"/>
        </w:rPr>
        <w:t>Section 9.04</w:t>
      </w:r>
      <w:r>
        <w:rPr>
          <w:rFonts w:ascii="Times New Roman" w:hAnsi="Times New Roman"/>
          <w:color w:val="000000"/>
          <w:sz w:val="24"/>
        </w:rPr>
        <w:t xml:space="preserve">), all its interests, rights and obligations under this Agreement to an assignee that shall assume such obligations (which assignee may be another Lender, if a Lender accepts such assignment);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the Borrower shall have received the prior written consent of the Administrative Agent (and, if a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w:t>
      </w:r>
      <w:r>
        <w:rPr>
          <w:rFonts w:ascii="Times New Roman" w:hAnsi="Times New Roman"/>
          <w:color w:val="000000"/>
          <w:sz w:val="24"/>
          <w:u w:val="single"/>
        </w:rPr>
        <w:t>Section 2.14</w:t>
      </w:r>
      <w:r>
        <w:rPr>
          <w:rFonts w:ascii="Times New Roman" w:hAnsi="Times New Roman"/>
          <w:color w:val="000000"/>
          <w:sz w:val="20"/>
        </w:rPr>
        <w:t xml:space="preserve"> </w:t>
      </w:r>
      <w:r>
        <w:rPr>
          <w:rFonts w:ascii="Times New Roman" w:hAnsi="Times New Roman"/>
          <w:color w:val="000000"/>
          <w:sz w:val="24"/>
        </w:rPr>
        <w:t xml:space="preserve">or payments required to be made pursuant to </w:t>
      </w:r>
      <w:r>
        <w:rPr>
          <w:rFonts w:ascii="Times New Roman" w:hAnsi="Times New Roman"/>
          <w:color w:val="000000"/>
          <w:sz w:val="24"/>
          <w:u w:val="single"/>
        </w:rPr>
        <w:t>Section 2.16</w:t>
      </w:r>
      <w:r>
        <w:rPr>
          <w:rFonts w:ascii="Times New Roman" w:hAnsi="Times New Roman"/>
          <w:color w:val="000000"/>
          <w:sz w:val="24"/>
        </w:rPr>
        <w:t>,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2.19.</w:t>
      </w:r>
      <w:r>
        <w:rPr>
          <w:rFonts w:ascii="Times New Roman" w:hAnsi="Times New Roman"/>
          <w:color w:val="000000"/>
          <w:sz w:val="20"/>
        </w:rPr>
        <w:t xml:space="preserve"> </w:t>
      </w:r>
      <w:r>
        <w:rPr>
          <w:rFonts w:ascii="Times New Roman" w:hAnsi="Times New Roman"/>
          <w:color w:val="000000"/>
          <w:sz w:val="24"/>
          <w:u w:val="single"/>
        </w:rPr>
        <w:t>Defaulting Lenders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Defaulting Lender Adjustments</w:t>
      </w:r>
      <w:r>
        <w:rPr>
          <w:rFonts w:ascii="Times New Roman" w:hAnsi="Times New Roman"/>
          <w:color w:val="000000"/>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Defaulting Lender Waterfall</w:t>
      </w:r>
      <w:r>
        <w:rPr>
          <w:rFonts w:ascii="Times New Roman" w:hAnsi="Times New Roman"/>
          <w:color w:val="000000"/>
          <w:sz w:val="24"/>
        </w:rPr>
        <w:t xml:space="preserve">. Any payment of principal, interest, fees or other amounts received by Administrative Agent for the account of such Defaulting Lender (whether voluntary or mandatory, at maturity, pursuant to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 xml:space="preserve">or otherwise) or received by Administrative Agent from a Defaulting Lender pursuant to </w:t>
      </w:r>
      <w:r>
        <w:rPr>
          <w:rFonts w:ascii="Times New Roman" w:hAnsi="Times New Roman"/>
          <w:color w:val="000000"/>
          <w:sz w:val="24"/>
          <w:u w:val="single"/>
        </w:rPr>
        <w:t>Section 9.08</w:t>
      </w:r>
      <w:r>
        <w:rPr>
          <w:rFonts w:ascii="Times New Roman" w:hAnsi="Times New Roman"/>
          <w:color w:val="000000"/>
          <w:sz w:val="20"/>
        </w:rPr>
        <w:t xml:space="preserve"> </w:t>
      </w:r>
      <w:r>
        <w:rPr>
          <w:rFonts w:ascii="Times New Roman" w:hAnsi="Times New Roman"/>
          <w:color w:val="000000"/>
          <w:sz w:val="24"/>
        </w:rPr>
        <w:t xml:space="preserve">shall be applied at such time or times as may be determined by Administrative Agent as follows: </w:t>
      </w:r>
      <w:r>
        <w:rPr>
          <w:rFonts w:ascii="Times New Roman" w:hAnsi="Times New Roman"/>
          <w:i/>
          <w:color w:val="000000"/>
          <w:sz w:val="24"/>
        </w:rPr>
        <w:t>first</w:t>
      </w:r>
      <w:r>
        <w:rPr>
          <w:rFonts w:ascii="Times New Roman" w:hAnsi="Times New Roman"/>
          <w:color w:val="000000"/>
          <w:sz w:val="24"/>
        </w:rPr>
        <w:t xml:space="preserve">, to the payment of any amounts owing by such Defaulting Lender to Administrative Agent hereunder; </w:t>
      </w:r>
      <w:r>
        <w:rPr>
          <w:rFonts w:ascii="Times New Roman" w:hAnsi="Times New Roman"/>
          <w:i/>
          <w:color w:val="000000"/>
          <w:sz w:val="24"/>
        </w:rPr>
        <w:t>second</w:t>
      </w:r>
      <w:r>
        <w:rPr>
          <w:rFonts w:ascii="Times New Roman" w:hAnsi="Times New Roman"/>
          <w:color w:val="000000"/>
          <w:sz w:val="24"/>
        </w:rPr>
        <w:t xml:space="preserve">, to the payment on a pro rata basis of any amounts owing by such Defaulting Lender to any Issuing Bank or any Swingline Lender hereunder; </w:t>
      </w:r>
      <w:r>
        <w:rPr>
          <w:rFonts w:ascii="Times New Roman" w:hAnsi="Times New Roman"/>
          <w:i/>
          <w:color w:val="000000"/>
          <w:sz w:val="24"/>
        </w:rPr>
        <w:t>third</w:t>
      </w:r>
      <w:r>
        <w:rPr>
          <w:rFonts w:ascii="Times New Roman" w:hAnsi="Times New Roman"/>
          <w:color w:val="000000"/>
          <w:sz w:val="24"/>
        </w:rPr>
        <w:t xml:space="preserve">, to Cash Collateralize each Issuing Bank’s Fronting Exposure with respect to such Defaulting Lender in the manner described in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i/>
          <w:color w:val="000000"/>
          <w:sz w:val="24"/>
        </w:rPr>
        <w:t>fourth</w:t>
      </w:r>
      <w:r>
        <w:rPr>
          <w:rFonts w:ascii="Times New Roman" w:hAnsi="Times New Roman"/>
          <w:color w:val="000000"/>
          <w:sz w:val="24"/>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 w:hAnsi="Times New Roman"/>
          <w:i/>
          <w:color w:val="000000"/>
          <w:sz w:val="24"/>
        </w:rPr>
        <w:t>fifth</w:t>
      </w:r>
      <w:r>
        <w:rPr>
          <w:rFonts w:ascii="Times New Roman" w:hAnsi="Times New Roman"/>
          <w:color w:val="000000"/>
          <w:sz w:val="24"/>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i/>
          <w:color w:val="000000"/>
          <w:sz w:val="24"/>
        </w:rPr>
        <w:t>sixth</w:t>
      </w:r>
      <w:r>
        <w:rPr>
          <w:rFonts w:ascii="Times New Roman" w:hAnsi="Times New Roman"/>
          <w:color w:val="000000"/>
          <w:sz w:val="24"/>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hAnsi="Times New Roman"/>
          <w:i/>
          <w:color w:val="000000"/>
          <w:sz w:val="24"/>
        </w:rPr>
        <w:t>seventh</w:t>
      </w:r>
      <w:r>
        <w:rPr>
          <w:rFonts w:ascii="Times New Roman" w:hAnsi="Times New Roman"/>
          <w:color w:val="000000"/>
          <w:sz w:val="24"/>
        </w:rPr>
        <w:t>, to the payment 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amounts owing to Borrower as a result of any judgment of a court of competent jurisdiction obtained by Borrower against such Defaulting Lender as a result of such Defaulting Lender’s breach of its obligations under this Agreement; and </w:t>
      </w:r>
      <w:r>
        <w:rPr>
          <w:rFonts w:ascii="Times New Roman" w:hAnsi="Times New Roman"/>
          <w:i/>
          <w:color w:val="000000"/>
          <w:sz w:val="24"/>
        </w:rPr>
        <w:t>eighth</w:t>
      </w:r>
      <w:r>
        <w:rPr>
          <w:rFonts w:ascii="Times New Roman" w:hAnsi="Times New Roman"/>
          <w:color w:val="000000"/>
          <w:sz w:val="24"/>
        </w:rPr>
        <w:t xml:space="preserve">, to such Defaulting Lender or as otherwise directed by a court of competent jurisdiction;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hAnsi="Times New Roman"/>
          <w:color w:val="000000"/>
          <w:sz w:val="24"/>
          <w:u w:val="single"/>
        </w:rPr>
        <w:t>Section 2.19(a)(iii)</w:t>
      </w:r>
      <w:r>
        <w:rPr>
          <w:rFonts w:ascii="Times New Roman" w:hAnsi="Times New Roman"/>
          <w:color w:val="000000"/>
          <w:sz w:val="24"/>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4"/>
          <w:u w:val="single"/>
        </w:rPr>
        <w:t>Section 2.19(a)(i)</w:t>
      </w:r>
      <w:r>
        <w:rPr>
          <w:rFonts w:ascii="Times New Roman" w:hAnsi="Times New Roman"/>
          <w:color w:val="000000"/>
          <w:sz w:val="20"/>
        </w:rPr>
        <w:t xml:space="preserve"> </w:t>
      </w:r>
      <w:r>
        <w:rPr>
          <w:rFonts w:ascii="Times New Roman" w:hAnsi="Times New Roman"/>
          <w:color w:val="000000"/>
          <w:sz w:val="24"/>
        </w:rPr>
        <w:t>shall be deemed paid to and redirected by such Defaulting Lender, and each Lender irrevocably consents 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Certain Fees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 Defaulting Lender shall be entitled to receive any fee pursuant to </w:t>
      </w:r>
      <w:r>
        <w:rPr>
          <w:rFonts w:ascii="Times New Roman" w:hAnsi="Times New Roman"/>
          <w:color w:val="000000"/>
          <w:sz w:val="24"/>
          <w:u w:val="single"/>
        </w:rPr>
        <w:t>Sections 2.11(a)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for any period during which that Lender is a Defaulting Lender (and Borrower shall not be required to pay any such fee that otherwise would have been required to have been paid to that Defaulting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Defaulting Lender shall be entitled to receive fees pursuant to </w:t>
      </w:r>
      <w:r>
        <w:rPr>
          <w:rFonts w:ascii="Times New Roman" w:hAnsi="Times New Roman"/>
          <w:color w:val="000000"/>
          <w:sz w:val="24"/>
          <w:u w:val="single"/>
        </w:rPr>
        <w:t>Section 2.11(b)</w:t>
      </w:r>
      <w:r>
        <w:rPr>
          <w:rFonts w:ascii="Times New Roman" w:hAnsi="Times New Roman"/>
          <w:color w:val="000000"/>
          <w:sz w:val="20"/>
        </w:rPr>
        <w:t xml:space="preserve"> </w:t>
      </w:r>
      <w:r>
        <w:rPr>
          <w:rFonts w:ascii="Times New Roman" w:hAnsi="Times New Roman"/>
          <w:color w:val="000000"/>
          <w:sz w:val="24"/>
        </w:rPr>
        <w:t xml:space="preserve">for any period during which that Lender is a Defaulting Lender only to extent allocable to its Applicable Percentage of the stated amount of Letters of Credit for which it has provided Cash Collateral pursuant to </w:t>
      </w:r>
      <w:r>
        <w:rPr>
          <w:rFonts w:ascii="Times New Roman" w:hAnsi="Times New Roman"/>
          <w:color w:val="000000"/>
          <w:sz w:val="24"/>
          <w:u w:val="single"/>
        </w:rPr>
        <w:t>Section 2.19(d)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any </w:t>
      </w:r>
      <w:r>
        <w:rPr>
          <w:rFonts w:ascii="Times New Roman" w:hAnsi="Times New Roman"/>
          <w:color w:val="000000"/>
          <w:sz w:val="24"/>
          <w:u w:val="single"/>
        </w:rPr>
        <w:t>Section 2.11(b)</w:t>
      </w:r>
      <w:r>
        <w:rPr>
          <w:rFonts w:ascii="Times New Roman" w:hAnsi="Times New Roman"/>
          <w:color w:val="000000"/>
          <w:sz w:val="20"/>
        </w:rPr>
        <w:t xml:space="preserve"> </w:t>
      </w:r>
      <w:r>
        <w:rPr>
          <w:rFonts w:ascii="Times New Roman" w:hAnsi="Times New Roman"/>
          <w:color w:val="000000"/>
          <w:sz w:val="24"/>
        </w:rPr>
        <w:t xml:space="preserve">fees not required to be paid to any Defaulting Lender pursuant to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hAnsi="Times New Roman"/>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below, (y) pay to each Issuing Bank the amount of any such fee otherwise payable to such Defaulting Lender to the extent allocable to such Issuing Bank’s Fronting Exposure to such Defaulting Lender, and (z) not be required to pay the remaining amount of any such fee.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Reallocation of Participations to Reduce Fronting Exposure</w:t>
      </w:r>
      <w:r>
        <w:rPr>
          <w:rFonts w:ascii="Times New Roman" w:hAnsi="Times New Roman"/>
          <w:color w:val="000000"/>
          <w:sz w:val="24"/>
        </w:rPr>
        <w:t>.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regard to such Defaulting Lender’s Commitment), but only to the extent that (x)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hAnsi="Times New Roman"/>
          <w:color w:val="000000"/>
          <w:sz w:val="24"/>
          <w:u w:val="single"/>
        </w:rPr>
        <w:t>Section 9.17</w:t>
      </w:r>
      <w:r>
        <w:rPr>
          <w:rFonts w:ascii="Times New Roman" w:hAnsi="Times New Roman"/>
          <w:color w:val="000000"/>
          <w:sz w:val="24"/>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Cash Collateral; Repayment of Swingline Loans</w:t>
      </w:r>
      <w:r>
        <w:rPr>
          <w:rFonts w:ascii="Times New Roman" w:hAnsi="Times New Roman"/>
          <w:color w:val="000000"/>
          <w:sz w:val="24"/>
        </w:rPr>
        <w:t xml:space="preserve">. If the reallocation described in </w:t>
      </w:r>
      <w:r>
        <w:rPr>
          <w:rFonts w:ascii="Times New Roman" w:hAnsi="Times New Roman"/>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 xml:space="preserve">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Times New Roman" w:hAnsi="Times New Roman"/>
          <w:color w:val="000000"/>
          <w:sz w:val="24"/>
          <w:u w:val="single"/>
        </w:rPr>
        <w:t>Section 2.19(d)</w:t>
      </w:r>
      <w:r>
        <w:rPr>
          <w:rFonts w:ascii="Times New Roman" w:hAnsi="Times New Roman"/>
          <w:color w:val="000000"/>
          <w:sz w:val="20"/>
        </w:rPr>
        <w:t xml:space="preserve"> </w:t>
      </w:r>
      <w:r>
        <w:rPr>
          <w:rFonts w:ascii="Times New Roman" w:hAnsi="Times New Roman"/>
          <w:color w:val="000000"/>
          <w:sz w:val="24"/>
        </w:rPr>
        <w:t>or (z) make other arrangements reasonably satisfactory to the Administrative Agent, the Issuing Banks and the Swingline Lenders in their sole discretion to protect them against the risk of non-payment by such Defaulting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Amendments Etc.</w:t>
      </w:r>
      <w:r>
        <w:rPr>
          <w:rFonts w:ascii="Times New Roman" w:hAnsi="Times New Roman"/>
          <w:color w:val="000000"/>
          <w:sz w:val="20"/>
        </w:rPr>
        <w:t xml:space="preserve"> </w:t>
      </w:r>
      <w:r>
        <w:rPr>
          <w:rFonts w:ascii="Times New Roman" w:hAnsi="Times New Roman"/>
          <w:color w:val="000000"/>
          <w:sz w:val="24"/>
        </w:rPr>
        <w:t xml:space="preserve">No Defaulting Lender shall have any right to approve or disapprove any amendment, waiver or consent hereunder or any other Loan Documents and the Commitments and Revolving Credit Exposure of such Defaulting Lender shall not be included in determining whether two-thirds (2/3rds) of the Lenders, two-thirds (2/3rds) of the Lenders of a Class, the Required Lenders or the Required Lenders of a Class have taken or may take any action hereunder or any other Loan Documents, except that the Commitments of such Lender may not be increased or extended, and, except as otherwise set forth herein, amounts payable to such Defaulting Lender hereunder may not be permanently reduced, without the consent of such Defaulting Lender (other than reductions in fees and interest in which such reduction does not disproportionately affect such Defaulting Lender); provided, for the avoidance of doubt, </w:t>
      </w:r>
      <w:r>
        <w:rPr>
          <w:rFonts w:ascii="Times New Roman" w:hAnsi="Times New Roman"/>
          <w:color w:val="000000"/>
          <w:sz w:val="24"/>
          <w:u w:val="single"/>
        </w:rPr>
        <w:t>Section 2.19(a)(ii)</w:t>
      </w:r>
      <w:r>
        <w:rPr>
          <w:rFonts w:ascii="Times New Roman" w:hAnsi="Times New Roman"/>
          <w:color w:val="000000"/>
          <w:sz w:val="20"/>
        </w:rPr>
        <w:t xml:space="preserve"> </w:t>
      </w:r>
      <w:r>
        <w:rPr>
          <w:rFonts w:ascii="Times New Roman" w:hAnsi="Times New Roman"/>
          <w:color w:val="000000"/>
          <w:sz w:val="24"/>
        </w:rPr>
        <w:t>shall apply in all respects.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Defaulting Lender Cure</w:t>
      </w:r>
      <w:r>
        <w:rPr>
          <w:rFonts w:ascii="Times New Roman" w:hAnsi="Times New Roman"/>
          <w:color w:val="000000"/>
          <w:sz w:val="24"/>
        </w:rPr>
        <w:t>.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by the Lenders in accordance with the applicable Commitments (without giving effect to </w:t>
      </w:r>
      <w:r>
        <w:rPr>
          <w:rFonts w:ascii="Times New Roman" w:hAnsi="Times New Roman"/>
          <w:color w:val="000000"/>
          <w:sz w:val="24"/>
          <w:u w:val="single"/>
        </w:rPr>
        <w:t>Section 2.19(a)(iii)</w:t>
      </w:r>
      <w:r>
        <w:rPr>
          <w:rFonts w:ascii="Times New Roman" w:hAnsi="Times New Roman"/>
          <w:color w:val="000000"/>
          <w:sz w:val="24"/>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adjustments will be made retroactively with respect to fees accrued or payments made by or on behalf of Borrower while that Lender was a Defaulting Lender;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New Swingline Loans/Letters of Credit</w:t>
      </w:r>
      <w:r>
        <w:rPr>
          <w:rFonts w:ascii="Times New Roman" w:hAnsi="Times New Roman"/>
          <w:color w:val="000000"/>
          <w:sz w:val="24"/>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hAnsi="Times New Roman"/>
          <w:color w:val="000000"/>
          <w:sz w:val="24"/>
          <w:u w:val="single"/>
        </w:rPr>
        <w:t>clause (a)(iii)</w:t>
      </w:r>
      <w:r>
        <w:rPr>
          <w:rFonts w:ascii="Times New Roman" w:hAnsi="Times New Roman"/>
          <w:color w:val="000000"/>
          <w:sz w:val="20"/>
        </w:rPr>
        <w:t xml:space="preserve"> </w:t>
      </w:r>
      <w:r>
        <w:rPr>
          <w:rFonts w:ascii="Times New Roman" w:hAnsi="Times New Roman"/>
          <w:color w:val="000000"/>
          <w:sz w:val="24"/>
        </w:rPr>
        <w:t xml:space="preserve">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hAnsi="Times New Roman"/>
          <w:color w:val="000000"/>
          <w:sz w:val="24"/>
          <w:u w:val="single"/>
        </w:rPr>
        <w:t>clause (a)(iii)</w:t>
      </w:r>
      <w:r>
        <w:rPr>
          <w:rFonts w:ascii="Times New Roman" w:hAnsi="Times New Roman"/>
          <w:color w:val="000000"/>
          <w:sz w:val="20"/>
        </w:rPr>
        <w:t xml:space="preserve"> </w:t>
      </w:r>
      <w:r>
        <w:rPr>
          <w:rFonts w:ascii="Times New Roman" w:hAnsi="Times New Roman"/>
          <w:color w:val="000000"/>
          <w:sz w:val="24"/>
        </w:rPr>
        <w:t xml:space="preserve">above and such Defaulting Lender shall not participate therein except to the extent such Defaulting Lender’s participation has been or will be fully Cash Collateralized in accordance with </w:t>
      </w:r>
      <w:r>
        <w:rPr>
          <w:rFonts w:ascii="Times New Roman" w:hAnsi="Times New Roman"/>
          <w:color w:val="000000"/>
          <w:sz w:val="24"/>
          <w:u w:val="single"/>
        </w:rPr>
        <w:t>Section 2.19(d)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Cash Collateral</w:t>
      </w:r>
      <w:r>
        <w:rPr>
          <w:rFonts w:ascii="Times New Roman" w:hAnsi="Times New Roman"/>
          <w:color w:val="000000"/>
          <w:sz w:val="24"/>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hAnsi="Times New Roman"/>
          <w:color w:val="000000"/>
          <w:sz w:val="24"/>
          <w:u w:val="single"/>
        </w:rPr>
        <w:t>Section 2.19(a)(iii)</w:t>
      </w:r>
      <w:r>
        <w:rPr>
          <w:rFonts w:ascii="Times New Roman" w:hAnsi="Times New Roman"/>
          <w:color w:val="000000"/>
          <w:sz w:val="20"/>
        </w:rPr>
        <w:t xml:space="preserve"> </w:t>
      </w:r>
      <w:r>
        <w:rPr>
          <w:rFonts w:ascii="Times New Roman" w:hAnsi="Times New Roman"/>
          <w:color w:val="000000"/>
          <w:sz w:val="24"/>
        </w:rPr>
        <w:t>and any Cash Collateral provided by such Defaulting Lender) in an amount not less than the Minimum Collateral Amount.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Grant of Security Interest</w:t>
      </w:r>
      <w:r>
        <w:rPr>
          <w:rFonts w:ascii="Times New Roman" w:hAnsi="Times New Roman"/>
          <w:color w:val="000000"/>
          <w:sz w:val="24"/>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Application</w:t>
      </w:r>
      <w:r>
        <w:rPr>
          <w:rFonts w:ascii="Times New Roman" w:hAnsi="Times New Roman"/>
          <w:color w:val="000000"/>
          <w:sz w:val="24"/>
        </w:rPr>
        <w:t xml:space="preserve">. Notwithstanding anything to the contrary contained in this Agreement, Cash Collateral provided under this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Termination of Requirement</w:t>
      </w:r>
      <w:r>
        <w:rPr>
          <w:rFonts w:ascii="Times New Roman" w:hAnsi="Times New Roman"/>
          <w:color w:val="000000"/>
          <w:sz w:val="24"/>
        </w:rPr>
        <w:t xml:space="preserve">. Cash Collateral (or the appropriate portion thereof) provided to reduce Issuing Bank’s Fronting Exposure shall no longer be required to be held as Cash Collateral pursuant to this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 xml:space="preserve">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subject to the other provisions of this </w:t>
      </w:r>
      <w:r>
        <w:rPr>
          <w:rFonts w:ascii="Times New Roman" w:hAnsi="Times New Roman"/>
          <w:color w:val="000000"/>
          <w:sz w:val="24"/>
          <w:u w:val="single"/>
        </w:rPr>
        <w:t>Section 2.19</w:t>
      </w:r>
      <w:r>
        <w:rPr>
          <w:rFonts w:ascii="Times New Roman" w:hAnsi="Times New Roman"/>
          <w:color w:val="000000"/>
          <w:sz w:val="24"/>
        </w:rPr>
        <w:t xml:space="preserve">, the Person providing Cash Collateral and each Issuing Bank may agree that Cash Collateral shall be held to support future anticipated Fronting Exposure;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to the extent that such Cash Collateral was provided by Borrower, such Cash Collateral shall remain subject to the security interest granted pursuant to the Loan Documents.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2.20.</w:t>
      </w:r>
      <w:r>
        <w:rPr>
          <w:rFonts w:ascii="Times New Roman" w:hAnsi="Times New Roman"/>
          <w:color w:val="000000"/>
          <w:sz w:val="20"/>
        </w:rPr>
        <w:t xml:space="preserve"> </w:t>
      </w:r>
      <w:r>
        <w:rPr>
          <w:rFonts w:ascii="Times New Roman" w:hAnsi="Times New Roman"/>
          <w:color w:val="000000"/>
          <w:sz w:val="24"/>
          <w:u w:val="single"/>
        </w:rPr>
        <w:t>Reallocation Following a Non-Extended Commitment Termination Date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Reallocation of Participations and Loans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Notwithstanding anything to the contrary herein, (a) in connection with the reduction or termination of any Non-Extending Lender’s Commitments in accordance with </w:t>
      </w:r>
      <w:r>
        <w:rPr>
          <w:rFonts w:ascii="Times New Roman" w:hAnsi="Times New Roman"/>
          <w:color w:val="000000"/>
          <w:sz w:val="24"/>
          <w:u w:val="single"/>
        </w:rPr>
        <w:t>Section 2.08(f)</w:t>
      </w:r>
      <w:r>
        <w:rPr>
          <w:rFonts w:ascii="Times New Roman" w:hAnsi="Times New Roman"/>
          <w:color w:val="000000"/>
          <w:sz w:val="20"/>
        </w:rPr>
        <w:t xml:space="preserve"> </w:t>
      </w:r>
      <w:r>
        <w:rPr>
          <w:rFonts w:ascii="Times New Roman" w:hAnsi="Times New Roman"/>
          <w:color w:val="000000"/>
          <w:sz w:val="24"/>
        </w:rPr>
        <w:t xml:space="preserve">on any date prior to the Non-Extended Commitment Termination Date for such Non-Extending Lender, the Borrower shall be permitted to request a Loan be made ratably among the Extending Lenders and Non-Extending Lenders for which the Non-Extended Commitment Termination Date shall not have occurred in accordance with the provisions of </w:t>
      </w:r>
      <w:r>
        <w:rPr>
          <w:rFonts w:ascii="Times New Roman" w:hAnsi="Times New Roman"/>
          <w:color w:val="000000"/>
          <w:sz w:val="24"/>
          <w:u w:val="single"/>
        </w:rPr>
        <w:t>Sections 2.02</w:t>
      </w:r>
      <w:r>
        <w:rPr>
          <w:rFonts w:ascii="Times New Roman" w:hAnsi="Times New Roman"/>
          <w:color w:val="000000"/>
          <w:sz w:val="24"/>
        </w:rPr>
        <w:t xml:space="preserve">, </w:t>
      </w:r>
      <w:r>
        <w:rPr>
          <w:rFonts w:ascii="Times New Roman" w:hAnsi="Times New Roman"/>
          <w:color w:val="000000"/>
          <w:sz w:val="24"/>
          <w:u w:val="single"/>
        </w:rPr>
        <w:t>2.03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2.17(c)</w:t>
      </w:r>
      <w:r>
        <w:rPr>
          <w:rFonts w:ascii="Times New Roman" w:hAnsi="Times New Roman"/>
          <w:color w:val="000000"/>
          <w:sz w:val="20"/>
        </w:rPr>
        <w:t xml:space="preserve"> </w:t>
      </w:r>
      <w:r>
        <w:rPr>
          <w:rFonts w:ascii="Times New Roman" w:hAnsi="Times New Roman"/>
          <w:color w:val="000000"/>
          <w:sz w:val="24"/>
        </w:rPr>
        <w:t xml:space="preserve">in an amount up to the amount by which such Non-Extending Lender’s Revolving Credit Exposure exceeds such Non-Extending Lender’s Commitments after giving effect to such Commitment reduction and (b) on any date following the Non-Extended Commitment Termination Date for any Non-Extending Lender until the Extended Commitment Termination Date, the Borrower shall be permitted to request a Loan to be made ratably among the Extending Lenders and Non-Extending Lenders for which the Non-Extended Commitment Termination Date shall not have occurred in accordance with </w:t>
      </w:r>
      <w:r>
        <w:rPr>
          <w:rFonts w:ascii="Times New Roman" w:hAnsi="Times New Roman"/>
          <w:color w:val="000000"/>
          <w:sz w:val="24"/>
          <w:u w:val="single"/>
        </w:rPr>
        <w:t>Sections 2.02</w:t>
      </w:r>
      <w:r>
        <w:rPr>
          <w:rFonts w:ascii="Times New Roman" w:hAnsi="Times New Roman"/>
          <w:color w:val="000000"/>
          <w:sz w:val="24"/>
        </w:rPr>
        <w:t xml:space="preserve">, </w:t>
      </w:r>
      <w:r>
        <w:rPr>
          <w:rFonts w:ascii="Times New Roman" w:hAnsi="Times New Roman"/>
          <w:color w:val="000000"/>
          <w:sz w:val="24"/>
          <w:u w:val="single"/>
        </w:rPr>
        <w:t>2.03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2.17(c)</w:t>
      </w:r>
      <w:r>
        <w:rPr>
          <w:rFonts w:ascii="Times New Roman" w:hAnsi="Times New Roman"/>
          <w:color w:val="000000"/>
          <w:sz w:val="20"/>
        </w:rPr>
        <w:t xml:space="preserve"> </w:t>
      </w:r>
      <w:r>
        <w:rPr>
          <w:rFonts w:ascii="Times New Roman" w:hAnsi="Times New Roman"/>
          <w:color w:val="000000"/>
          <w:sz w:val="24"/>
        </w:rPr>
        <w:t xml:space="preserve">in an amount up to the Revolving Credit Exposure of each Non-Extending Lender for which the Non-Extended Commitment Termination Date shall have occurred, in each case, so long as (x)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All or any part of each Non-Extending Lender’s participation in Letters of Credit and Swingline Loans shall be reallocated on (A) any date on which the Commitment of such Non-Extending Lender is reduced or terminated pursuant to </w:t>
      </w:r>
      <w:r>
        <w:rPr>
          <w:rFonts w:ascii="Times New Roman" w:hAnsi="Times New Roman"/>
          <w:color w:val="000000"/>
          <w:sz w:val="24"/>
          <w:u w:val="single"/>
        </w:rPr>
        <w:t>Section 2.08(f)</w:t>
      </w:r>
      <w:r>
        <w:rPr>
          <w:rFonts w:ascii="Times New Roman" w:hAnsi="Times New Roman"/>
          <w:color w:val="000000"/>
          <w:sz w:val="20"/>
        </w:rPr>
        <w:t xml:space="preserve"> </w:t>
      </w:r>
      <w:r>
        <w:rPr>
          <w:rFonts w:ascii="Times New Roman" w:hAnsi="Times New Roman"/>
          <w:color w:val="000000"/>
          <w:sz w:val="24"/>
        </w:rPr>
        <w:t xml:space="preserve">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Cash Collateral; Repayment of Swingline Loans</w:t>
      </w:r>
      <w:r>
        <w:rPr>
          <w:rFonts w:ascii="Times New Roman" w:hAnsi="Times New Roman"/>
          <w:color w:val="000000"/>
          <w:sz w:val="24"/>
        </w:rPr>
        <w:t xml:space="preserve">. If any Loan related to the reduction or termination of a Non-Extending Lender’s Commitment prior to the Non-Extended Commitment Termination Date described in </w:t>
      </w:r>
      <w:r>
        <w:rPr>
          <w:rFonts w:ascii="Times New Roman" w:hAnsi="Times New Roman"/>
          <w:color w:val="000000"/>
          <w:sz w:val="24"/>
          <w:u w:val="single"/>
        </w:rPr>
        <w:t>clause (a)(i)</w:t>
      </w:r>
      <w:r>
        <w:rPr>
          <w:rFonts w:ascii="Times New Roman" w:hAnsi="Times New Roman"/>
          <w:color w:val="000000"/>
          <w:sz w:val="20"/>
        </w:rPr>
        <w:t xml:space="preserve"> </w:t>
      </w:r>
      <w:r>
        <w:rPr>
          <w:rFonts w:ascii="Times New Roman" w:hAnsi="Times New Roman"/>
          <w:color w:val="000000"/>
          <w:sz w:val="24"/>
        </w:rPr>
        <w:t xml:space="preserve">above or any reallocation described in </w:t>
      </w:r>
      <w:r>
        <w:rPr>
          <w:rFonts w:ascii="Times New Roman" w:hAnsi="Times New Roman"/>
          <w:color w:val="000000"/>
          <w:sz w:val="24"/>
          <w:u w:val="single"/>
        </w:rPr>
        <w:t>clause (a)(ii)</w:t>
      </w:r>
      <w:r>
        <w:rPr>
          <w:rFonts w:ascii="Times New Roman" w:hAnsi="Times New Roman"/>
          <w:color w:val="000000"/>
          <w:sz w:val="20"/>
        </w:rPr>
        <w:t xml:space="preserve"> </w:t>
      </w:r>
      <w:r>
        <w:rPr>
          <w:rFonts w:ascii="Times New Roman" w:hAnsi="Times New Roman"/>
          <w:color w:val="000000"/>
          <w:sz w:val="24"/>
        </w:rPr>
        <w:t xml:space="preserve">above cannot, or can only partially, be effected, the Borrower shall, not later than (i) with respect to any reduction or termination of a Non-Extending Lender’s Commitment pursuant to </w:t>
      </w:r>
      <w:r>
        <w:rPr>
          <w:rFonts w:ascii="Times New Roman" w:hAnsi="Times New Roman"/>
          <w:color w:val="000000"/>
          <w:sz w:val="24"/>
          <w:u w:val="single"/>
        </w:rPr>
        <w:t>Section 2.08(f)</w:t>
      </w:r>
      <w:r>
        <w:rPr>
          <w:rFonts w:ascii="Times New Roman" w:hAnsi="Times New Roman"/>
          <w:color w:val="000000"/>
          <w:sz w:val="24"/>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Times New Roman" w:hAnsi="Times New Roman"/>
          <w:color w:val="000000"/>
          <w:sz w:val="24"/>
          <w:u w:val="single"/>
        </w:rPr>
        <w:t>clause (a)(ii)</w:t>
      </w:r>
      <w:r>
        <w:rPr>
          <w:rFonts w:ascii="Times New Roman" w:hAnsi="Times New Roman"/>
          <w:color w:val="000000"/>
          <w:sz w:val="20"/>
        </w:rPr>
        <w:t xml:space="preserve"> </w:t>
      </w:r>
      <w:r>
        <w:rPr>
          <w:rFonts w:ascii="Times New Roman" w:hAnsi="Times New Roman"/>
          <w:color w:val="000000"/>
          <w:sz w:val="24"/>
        </w:rPr>
        <w:t xml:space="preserve">above, (y) provide Cash Collateral in an amount equal to the amount by which the participation obligations of such Non-Extending Lenders in Letters of Credit have not been reallocated pursuant to </w:t>
      </w:r>
      <w:r>
        <w:rPr>
          <w:rFonts w:ascii="Times New Roman" w:hAnsi="Times New Roman"/>
          <w:color w:val="000000"/>
          <w:sz w:val="24"/>
          <w:u w:val="single"/>
        </w:rPr>
        <w:t>clause (a)(ii)</w:t>
      </w:r>
      <w:r>
        <w:rPr>
          <w:rFonts w:ascii="Times New Roman" w:hAnsi="Times New Roman"/>
          <w:color w:val="000000"/>
          <w:sz w:val="20"/>
        </w:rPr>
        <w:t xml:space="preserve"> </w:t>
      </w:r>
      <w:r>
        <w:rPr>
          <w:rFonts w:ascii="Times New Roman" w:hAnsi="Times New Roman"/>
          <w:color w:val="000000"/>
          <w:sz w:val="24"/>
        </w:rPr>
        <w:t xml:space="preserve">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 w:hAnsi="Times New Roman"/>
          <w:color w:val="000000"/>
          <w:sz w:val="24"/>
          <w:u w:val="single"/>
        </w:rPr>
        <w:t>clause (a)(i)(z) above</w:t>
      </w:r>
      <w:r>
        <w:rPr>
          <w:rFonts w:ascii="Times New Roman" w:hAnsi="Times New Roman"/>
          <w:color w:val="000000"/>
          <w:sz w:val="20"/>
        </w:rPr>
        <w:t xml:space="preserve"> </w:t>
      </w:r>
      <w:r>
        <w:rPr>
          <w:rFonts w:ascii="Times New Roman" w:hAnsi="Times New Roman"/>
          <w:color w:val="000000"/>
          <w:sz w:val="24"/>
        </w:rPr>
        <w:t>exceeds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Non-Extending Lender’s Commitment after giving effect to any reduction in such Non-Extending Lender’s Commitment.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2.21.</w:t>
      </w:r>
      <w:r>
        <w:rPr>
          <w:rFonts w:ascii="Times New Roman" w:hAnsi="Times New Roman"/>
          <w:color w:val="000000"/>
          <w:sz w:val="20"/>
        </w:rPr>
        <w:t xml:space="preserve"> </w:t>
      </w:r>
      <w:r>
        <w:rPr>
          <w:rFonts w:ascii="Times New Roman" w:hAnsi="Times New Roman"/>
          <w:color w:val="000000"/>
          <w:sz w:val="24"/>
          <w:u w:val="single"/>
        </w:rPr>
        <w:t>Illegality</w:t>
      </w:r>
      <w:r>
        <w:rPr>
          <w:rFonts w:ascii="Times New Roman" w:hAnsi="Times New Roman"/>
          <w:color w:val="000000"/>
          <w:sz w:val="24"/>
        </w:rPr>
        <w:t xml:space="preserve">. If any Change in Law shall make it unlawful or impossible for any Lender to perform any of its obligations hereunder, to make, maintain or fund any RFR Loan or Term Benchmark Loan or to determine or charge interest rates based upon any applicable Daily Simple RFR or Term Benchmark Rate and such Lender shall so notify the Administrative Agent, the Administrative Agent shall give written notice thereof (or telephonic notice, promptly confirmed in writing) to the Borrower and the other Lenders as promptly as practicable thereafter, whereupon until such Lender notifies the Administrative Agent and the Borrower that the circumstances giving rise to such notice no longer exist, (i) the Alternate Base Rate shall, if necessary to avoid such illegality, be determined by the Administrative Agent without reference to clause (iii) thereof, (ii)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either (A) at the end of the applicable Interest Period if such Lender may lawfully continue to maintain such Loan to such date or (B) immediately if such Lender shall determine that it may not lawfully continue to maintain such Term Benchmark Loan to such date, (iii) if the affected Currency is Dollars and any Borrowing Request requests a Term Benchmark Borrowing denominated in Dollars, such Borrowing shall be made as an ABR Borrowing, (iv)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such date, and (v)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at the end of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hAnsi="Times New Roman"/>
          <w:color w:val="000000"/>
          <w:sz w:val="24"/>
          <w:u w:val="single"/>
        </w:rPr>
        <w:t>clause (iv)(B)(1)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(v)(B)(1)</w:t>
      </w:r>
      <w:r>
        <w:rPr>
          <w:rFonts w:ascii="Times New Roman" w:hAnsi="Times New Roman"/>
          <w:color w:val="000000"/>
          <w:sz w:val="20"/>
        </w:rPr>
        <w:t xml:space="preserve"> </w:t>
      </w:r>
      <w:r>
        <w:rPr>
          <w:rFonts w:ascii="Times New Roman" w:hAnsi="Times New Roman"/>
          <w:color w:val="000000"/>
          <w:sz w:val="24"/>
        </w:rPr>
        <w:t xml:space="preserve">above, as applicable. Notwithstanding the foregoing, the affected Lender shall, prior to giving such notice to the Administrative Agent, use reasonable efforts to designate a different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2.22.</w:t>
      </w:r>
      <w:r>
        <w:rPr>
          <w:rFonts w:ascii="Times New Roman" w:hAnsi="Times New Roman"/>
          <w:color w:val="000000"/>
          <w:sz w:val="20"/>
        </w:rPr>
        <w:t xml:space="preserve"> </w:t>
      </w:r>
      <w:r>
        <w:rPr>
          <w:rFonts w:ascii="Times New Roman" w:hAnsi="Times New Roman"/>
          <w:color w:val="000000"/>
          <w:sz w:val="24"/>
          <w:u w:val="single"/>
        </w:rPr>
        <w:t>Effect of Benchmark Transition Event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Notices; Standards for Decisions and Determinations</w:t>
      </w:r>
      <w:r>
        <w:rPr>
          <w:rFonts w:ascii="Times New Roman" w:hAnsi="Times New Roman"/>
          <w:color w:val="000000"/>
          <w:sz w:val="24"/>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hAnsi="Times New Roman"/>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 xml:space="preserve">below and (y) the commencement of any Benchmark Unavailability Period. Any determination, decision or election that may be made by the Administrative Agent or, if applicable, any Lender (or group of Lenders) pursuant to this </w:t>
      </w:r>
      <w:r>
        <w:rPr>
          <w:rFonts w:ascii="Times New Roman" w:hAnsi="Times New Roman"/>
          <w:color w:val="000000"/>
          <w:sz w:val="24"/>
          <w:u w:val="single"/>
        </w:rPr>
        <w:t>Section 2.22</w:t>
      </w:r>
      <w:r>
        <w:rPr>
          <w:rFonts w:ascii="Times New Roman" w:hAnsi="Times New Roman"/>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4"/>
          <w:u w:val="single"/>
        </w:rPr>
        <w:t>Section 2.22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Unavailability of Tenor of Benchmark</w:t>
      </w:r>
      <w:r>
        <w:rPr>
          <w:rFonts w:ascii="Times New Roman" w:hAnsi="Times New Roman"/>
          <w:color w:val="000000"/>
          <w:sz w:val="24"/>
        </w:rPr>
        <w:t>. Notwithstanding anything to the contrary herein or in any other Loan Document, at any time (including in connection with the implementation of a Benchmark Replacement), (i) if the then-current Benchmark for a Currency is a term rate (including the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Administrative Agent may modify the definition of “Interest Period” (or any similar or analogous definition) for all Benchmark settings for such Currency at or after such time to reinstate such previously removed tenor.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Benchmark Unavailability Period</w:t>
      </w:r>
      <w:r>
        <w:rPr>
          <w:rFonts w:ascii="Times New Roman" w:hAnsi="Times New Roman"/>
          <w:color w:val="000000"/>
          <w:sz w:val="24"/>
        </w:rPr>
        <w:t>.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be converted into an ABR Borrowing denominated in Dollars (in an amount equal to the Dollar Equivalent of such affected Currency) at the end of the applicable Interest Period, or (3) be prepaid in full at the end of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III</w:t>
      </w:r>
      <w:r>
        <w:rPr>
          <w:rFonts w:ascii="Times New Roman" w:hAnsi="Times New Roman"/>
          <w:color w:val="000000"/>
          <w:sz w:val="24"/>
        </w:rPr>
        <w:br/>
        <w:b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represents and warrants to the Lenders that: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3.01.</w:t>
      </w:r>
      <w:r>
        <w:rPr>
          <w:rFonts w:ascii="Times New Roman" w:hAnsi="Times New Roman"/>
          <w:color w:val="000000"/>
          <w:sz w:val="20"/>
        </w:rPr>
        <w:t xml:space="preserve"> </w:t>
      </w:r>
      <w:r>
        <w:rPr>
          <w:rFonts w:ascii="Times New Roman" w:hAnsi="Times New Roman"/>
          <w:color w:val="000000"/>
          <w:sz w:val="24"/>
          <w:u w:val="single"/>
        </w:rPr>
        <w:t>Organization; Powers</w:t>
      </w:r>
      <w:r>
        <w:rPr>
          <w:rFonts w:ascii="Times New Roman" w:hAnsi="Times New Roman"/>
          <w:color w:val="000000"/>
          <w:sz w:val="24"/>
        </w:rPr>
        <w:t>. Each of the Borrower and its Subsidiaries is (a) duly organized, validly existing and in good standing under the laws of the jurisdiction of its organization, (b) has all requisite power and authority to carry on its business as now conducted and, (c) 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3.02.</w:t>
      </w:r>
      <w:r>
        <w:rPr>
          <w:rFonts w:ascii="Times New Roman" w:hAnsi="Times New Roman"/>
          <w:color w:val="000000"/>
          <w:sz w:val="20"/>
        </w:rPr>
        <w:t xml:space="preserve"> </w:t>
      </w:r>
      <w:r>
        <w:rPr>
          <w:rFonts w:ascii="Times New Roman" w:hAnsi="Times New Roman"/>
          <w:color w:val="000000"/>
          <w:sz w:val="24"/>
          <w:u w:val="single"/>
        </w:rPr>
        <w:t>Authorization; Enforceability</w:t>
      </w:r>
      <w:r>
        <w:rPr>
          <w:rFonts w:ascii="Times New Roman" w:hAnsi="Times New Roman"/>
          <w:color w:val="000000"/>
          <w:sz w:val="24"/>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3.03.</w:t>
      </w:r>
      <w:r>
        <w:rPr>
          <w:rFonts w:ascii="Times New Roman" w:hAnsi="Times New Roman"/>
          <w:color w:val="000000"/>
          <w:sz w:val="20"/>
        </w:rPr>
        <w:t xml:space="preserve"> </w:t>
      </w:r>
      <w:r>
        <w:rPr>
          <w:rFonts w:ascii="Times New Roman" w:hAnsi="Times New Roman"/>
          <w:color w:val="000000"/>
          <w:sz w:val="24"/>
          <w:u w:val="single"/>
        </w:rPr>
        <w:t>Governmental Approvals; No Conflicts.</w:t>
      </w:r>
      <w:r>
        <w:rPr>
          <w:rFonts w:ascii="Times New Roman" w:hAnsi="Times New Roman"/>
          <w:color w:val="000000"/>
          <w:sz w:val="20"/>
        </w:rPr>
        <w:t xml:space="preserve"> </w:t>
      </w:r>
      <w:r>
        <w:rPr>
          <w:rFonts w:ascii="Times New Roman" w:hAnsi="Times New Roman"/>
          <w:color w:val="000000"/>
          <w:sz w:val="24"/>
        </w:rPr>
        <w:t>The Transactions (a) do not require any consent or approval of, registration or filing with, or any other action by, any 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except for the Liens created pursuant to this Agreement or the Security Documents, will not result in the creation or imposition of any Lien on any asset of the Borrower or any Obligor.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3.04.</w:t>
      </w:r>
      <w:r>
        <w:rPr>
          <w:rFonts w:ascii="Times New Roman" w:hAnsi="Times New Roman"/>
          <w:color w:val="000000"/>
          <w:sz w:val="20"/>
        </w:rPr>
        <w:t xml:space="preserve"> </w:t>
      </w:r>
      <w:r>
        <w:rPr>
          <w:rFonts w:ascii="Times New Roman" w:hAnsi="Times New Roman"/>
          <w:color w:val="000000"/>
          <w:sz w:val="24"/>
          <w:u w:val="single"/>
        </w:rPr>
        <w:t>Financial Condition; No Material Adverse Change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Financial Statements</w:t>
      </w:r>
      <w:r>
        <w:rPr>
          <w:rFonts w:ascii="Times New Roman" w:hAnsi="Times New Roman"/>
          <w:color w:val="000000"/>
          <w:sz w:val="24"/>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 Material Adverse Change</w:t>
      </w:r>
      <w:r>
        <w:rPr>
          <w:rFonts w:ascii="Times New Roman" w:hAnsi="Times New Roman"/>
          <w:color w:val="000000"/>
          <w:sz w:val="24"/>
        </w:rPr>
        <w:t>. Since the date of the most recent Applicable Financial Statements, there has not been any event, development or circumstance (herein, a “</w:t>
      </w:r>
      <w:r>
        <w:rPr>
          <w:rFonts w:ascii="Times New Roman" w:hAnsi="Times New Roman"/>
          <w:color w:val="000000"/>
          <w:sz w:val="24"/>
          <w:u w:val="single"/>
        </w:rPr>
        <w:t>Material Adverse Change</w:t>
      </w:r>
      <w:r>
        <w:rPr>
          <w:rFonts w:ascii="Times New Roman" w:hAnsi="Times New Roman"/>
          <w:color w:val="000000"/>
          <w:sz w:val="20"/>
        </w:rPr>
        <w:t>”</w:t>
      </w:r>
      <w:r>
        <w:rPr>
          <w:rFonts w:ascii="Times New Roman" w:hAnsi="Times New Roman"/>
          <w:color w:val="000000"/>
          <w:sz w:val="24"/>
        </w:rPr>
        <w:t>) that has had or would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3.05.</w:t>
      </w:r>
      <w:r>
        <w:rPr>
          <w:rFonts w:ascii="Times New Roman" w:hAnsi="Times New Roman"/>
          <w:color w:val="000000"/>
          <w:sz w:val="20"/>
        </w:rPr>
        <w:t xml:space="preserve"> </w:t>
      </w:r>
      <w:r>
        <w:rPr>
          <w:rFonts w:ascii="Times New Roman" w:hAnsi="Times New Roman"/>
          <w:color w:val="000000"/>
          <w:sz w:val="24"/>
          <w:u w:val="single"/>
        </w:rPr>
        <w:t>Litigation</w:t>
      </w:r>
      <w:r>
        <w:rPr>
          <w:rFonts w:ascii="Times New Roman" w:hAnsi="Times New Roman"/>
          <w:color w:val="000000"/>
          <w:sz w:val="24"/>
        </w:rPr>
        <w:t>. There are no actions, suits, investigations or proceedings by or before any arbitrator or Governmental Authority now pending against or, to the knowledge of the Borrower, threatened in writing against or affecting the Borrower or any of its Subsidiaries (i) 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3.06.</w:t>
      </w:r>
      <w:r>
        <w:rPr>
          <w:rFonts w:ascii="Times New Roman" w:hAnsi="Times New Roman"/>
          <w:color w:val="000000"/>
          <w:sz w:val="20"/>
        </w:rPr>
        <w:t xml:space="preserve"> </w:t>
      </w:r>
      <w:r>
        <w:rPr>
          <w:rFonts w:ascii="Times New Roman" w:hAnsi="Times New Roman"/>
          <w:color w:val="000000"/>
          <w:sz w:val="24"/>
          <w:u w:val="single"/>
        </w:rPr>
        <w:t>Compliance with Laws and Agreements</w:t>
      </w:r>
      <w:r>
        <w:rPr>
          <w:rFonts w:ascii="Times New Roman" w:hAnsi="Times New Roman"/>
          <w:color w:val="000000"/>
          <w:sz w:val="24"/>
        </w:rPr>
        <w:t>. Each of the Borrower and its Subsidiaries is in compliance with all laws, regulations, including the Outbound Investment Rules,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3.07.</w:t>
      </w:r>
      <w:r>
        <w:rPr>
          <w:rFonts w:ascii="Times New Roman" w:hAnsi="Times New Roman"/>
          <w:color w:val="000000"/>
          <w:sz w:val="20"/>
        </w:rPr>
        <w:t xml:space="preserve"> </w:t>
      </w:r>
      <w:r>
        <w:rPr>
          <w:rFonts w:ascii="Times New Roman" w:hAnsi="Times New Roman"/>
          <w:color w:val="000000"/>
          <w:sz w:val="24"/>
          <w:u w:val="single"/>
        </w:rPr>
        <w:t>Taxes</w:t>
      </w:r>
      <w:r>
        <w:rPr>
          <w:rFonts w:ascii="Times New Roman" w:hAnsi="Times New Roman"/>
          <w:color w:val="000000"/>
          <w:sz w:val="24"/>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3.08.</w:t>
      </w:r>
      <w:r>
        <w:rPr>
          <w:rFonts w:ascii="Times New Roman" w:hAnsi="Times New Roman"/>
          <w:color w:val="000000"/>
          <w:sz w:val="20"/>
        </w:rPr>
        <w:t xml:space="preserve"> </w:t>
      </w:r>
      <w:r>
        <w:rPr>
          <w:rFonts w:ascii="Times New Roman" w:hAnsi="Times New Roman"/>
          <w:color w:val="000000"/>
          <w:sz w:val="24"/>
          <w:u w:val="single"/>
        </w:rPr>
        <w:t>ERISA</w:t>
      </w:r>
      <w:r>
        <w:rPr>
          <w:rFonts w:ascii="Times New Roman" w:hAnsi="Times New Roman"/>
          <w:color w:val="000000"/>
          <w:sz w:val="24"/>
        </w:rPr>
        <w:t>. No ERISA Event has occurred or is reasonably expected to occur that, when taken together with all other such ERISA Events for which liability is reasonably expected to occur, would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3.09.</w:t>
      </w:r>
      <w:r>
        <w:rPr>
          <w:rFonts w:ascii="Times New Roman" w:hAnsi="Times New Roman"/>
          <w:color w:val="000000"/>
          <w:sz w:val="20"/>
        </w:rPr>
        <w:t xml:space="preserve"> </w:t>
      </w:r>
      <w:r>
        <w:rPr>
          <w:rFonts w:ascii="Times New Roman" w:hAnsi="Times New Roman"/>
          <w:color w:val="000000"/>
          <w:sz w:val="24"/>
          <w:u w:val="single"/>
        </w:rPr>
        <w:t>Disclosure</w:t>
      </w:r>
      <w:r>
        <w:rPr>
          <w:rFonts w:ascii="Times New Roman" w:hAnsi="Times New Roman"/>
          <w:color w:val="000000"/>
          <w:sz w:val="20"/>
        </w:rPr>
        <w:t xml:space="preserve"> </w:t>
      </w:r>
      <w:r>
        <w:rPr>
          <w:rFonts w:ascii="Times New Roman" w:hAnsi="Times New Roman"/>
          <w:color w:val="000000"/>
          <w:sz w:val="24"/>
        </w:rPr>
        <w:t xml:space="preserve">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projected financial information, the Borrower represents only that such information was prepared in good faith based upon assumptions believed to be reasonable at the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3.10.</w:t>
      </w:r>
      <w:r>
        <w:rPr>
          <w:rFonts w:ascii="Times New Roman" w:hAnsi="Times New Roman"/>
          <w:color w:val="000000"/>
          <w:sz w:val="20"/>
        </w:rPr>
        <w:t xml:space="preserve"> </w:t>
      </w:r>
      <w:r>
        <w:rPr>
          <w:rFonts w:ascii="Times New Roman" w:hAnsi="Times New Roman"/>
          <w:color w:val="000000"/>
          <w:sz w:val="24"/>
          <w:u w:val="single"/>
        </w:rPr>
        <w:t>Investment Company Act; Margin Regulations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Status as Business Development Company</w:t>
      </w:r>
      <w:r>
        <w:rPr>
          <w:rFonts w:ascii="Times New Roman" w:hAnsi="Times New Roman"/>
          <w:color w:val="000000"/>
          <w:sz w:val="24"/>
        </w:rPr>
        <w:t>. The Borrower has elected to be regulated as a “business development company” within the meaning of the Investment Company Act and qualifies as a RIC.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Compliance with Investment Company Act</w:t>
      </w:r>
      <w:r>
        <w:rPr>
          <w:rFonts w:ascii="Times New Roman" w:hAnsi="Times New Roman"/>
          <w:color w:val="000000"/>
          <w:sz w:val="24"/>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Investment Policies</w:t>
      </w:r>
      <w:r>
        <w:rPr>
          <w:rFonts w:ascii="Times New Roman" w:hAnsi="Times New Roman"/>
          <w:color w:val="000000"/>
          <w:sz w:val="24"/>
        </w:rPr>
        <w:t>. The Borrower is in compliance in all respects with the Investment Policies (after giving effect to any Permitted Policy Amendments), except to the extent that the failure to so comply would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Use of Credit</w:t>
      </w:r>
      <w:r>
        <w:rPr>
          <w:rFonts w:ascii="Times New Roman" w:hAnsi="Times New Roman"/>
          <w:color w:val="000000"/>
          <w:sz w:val="24"/>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3.11.</w:t>
      </w:r>
      <w:r>
        <w:rPr>
          <w:rFonts w:ascii="Times New Roman" w:hAnsi="Times New Roman"/>
          <w:color w:val="000000"/>
          <w:sz w:val="20"/>
        </w:rPr>
        <w:t xml:space="preserve"> </w:t>
      </w:r>
      <w:r>
        <w:rPr>
          <w:rFonts w:ascii="Times New Roman" w:hAnsi="Times New Roman"/>
          <w:color w:val="000000"/>
          <w:sz w:val="24"/>
          <w:u w:val="single"/>
        </w:rPr>
        <w:t>Material Agreements and Liens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Material Agreements</w:t>
      </w:r>
      <w:r>
        <w:rPr>
          <w:rFonts w:ascii="Times New Roman" w:hAnsi="Times New Roman"/>
          <w:color w:val="000000"/>
          <w:sz w:val="24"/>
        </w:rPr>
        <w:t xml:space="preserve">. </w:t>
      </w:r>
      <w:r>
        <w:rPr>
          <w:rFonts w:ascii="Times New Roman" w:hAnsi="Times New Roman"/>
          <w:color w:val="000000"/>
          <w:sz w:val="24"/>
          <w:u w:val="single"/>
        </w:rPr>
        <w:t>Part A</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0"/>
        </w:rPr>
        <w:t xml:space="preserve"> </w:t>
      </w:r>
      <w:r>
        <w:rPr>
          <w:rFonts w:ascii="Times New Roman" w:hAnsi="Times New Roman"/>
          <w:color w:val="000000"/>
          <w:sz w:val="24"/>
        </w:rPr>
        <w:t xml:space="preserve">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Times New Roman" w:hAnsi="Times New Roman"/>
          <w:color w:val="000000"/>
          <w:sz w:val="24"/>
          <w:u w:val="single"/>
        </w:rPr>
        <w:t>Part A</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Liens</w:t>
      </w:r>
      <w:r>
        <w:rPr>
          <w:rFonts w:ascii="Times New Roman" w:hAnsi="Times New Roman"/>
          <w:color w:val="000000"/>
          <w:sz w:val="24"/>
        </w:rPr>
        <w:t xml:space="preserve">. </w:t>
      </w:r>
      <w:r>
        <w:rPr>
          <w:rFonts w:ascii="Times New Roman" w:hAnsi="Times New Roman"/>
          <w:color w:val="000000"/>
          <w:sz w:val="24"/>
          <w:u w:val="single"/>
        </w:rPr>
        <w:t>Part B</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0"/>
        </w:rPr>
        <w:t xml:space="preserve"> </w:t>
      </w:r>
      <w:r>
        <w:rPr>
          <w:rFonts w:ascii="Times New Roman" w:hAnsi="Times New Roman"/>
          <w:color w:val="000000"/>
          <w:sz w:val="24"/>
        </w:rPr>
        <w:t xml:space="preserve">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Times New Roman" w:hAnsi="Times New Roman"/>
          <w:color w:val="000000"/>
          <w:sz w:val="24"/>
          <w:u w:val="single"/>
        </w:rPr>
        <w:t>Part B</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3.12.</w:t>
      </w:r>
      <w:r>
        <w:rPr>
          <w:rFonts w:ascii="Times New Roman" w:hAnsi="Times New Roman"/>
          <w:color w:val="000000"/>
          <w:sz w:val="20"/>
        </w:rPr>
        <w:t xml:space="preserve"> </w:t>
      </w:r>
      <w:r>
        <w:rPr>
          <w:rFonts w:ascii="Times New Roman" w:hAnsi="Times New Roman"/>
          <w:color w:val="000000"/>
          <w:sz w:val="24"/>
          <w:u w:val="single"/>
        </w:rPr>
        <w:t>Subsidiaries and Investments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Subsidiaries</w:t>
      </w:r>
      <w:r>
        <w:rPr>
          <w:rFonts w:ascii="Times New Roman" w:hAnsi="Times New Roman"/>
          <w:color w:val="000000"/>
          <w:sz w:val="24"/>
        </w:rPr>
        <w:t xml:space="preserve">. Set forth on </w:t>
      </w:r>
      <w:r>
        <w:rPr>
          <w:rFonts w:ascii="Times New Roman" w:hAnsi="Times New Roman"/>
          <w:color w:val="000000"/>
          <w:sz w:val="24"/>
          <w:u w:val="single"/>
        </w:rPr>
        <w:t>Schedule 3.12(a)</w:t>
      </w:r>
      <w:r>
        <w:rPr>
          <w:rFonts w:ascii="Times New Roman" w:hAnsi="Times New Roman"/>
          <w:color w:val="000000"/>
          <w:sz w:val="20"/>
        </w:rPr>
        <w:t xml:space="preserve"> </w:t>
      </w:r>
      <w:r>
        <w:rPr>
          <w:rFonts w:ascii="Times New Roman" w:hAnsi="Times New Roman"/>
          <w:color w:val="000000"/>
          <w:sz w:val="24"/>
        </w:rPr>
        <w:t>is a list of the Borrower’s Subsidiaries as of the Original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Investments</w:t>
      </w:r>
      <w:r>
        <w:rPr>
          <w:rFonts w:ascii="Times New Roman" w:hAnsi="Times New Roman"/>
          <w:color w:val="000000"/>
          <w:sz w:val="24"/>
        </w:rPr>
        <w:t xml:space="preserve">. Set forth on </w:t>
      </w:r>
      <w:r>
        <w:rPr>
          <w:rFonts w:ascii="Times New Roman" w:hAnsi="Times New Roman"/>
          <w:color w:val="000000"/>
          <w:sz w:val="24"/>
          <w:u w:val="single"/>
        </w:rPr>
        <w:t>Schedule 3.12(b)</w:t>
      </w:r>
      <w:r>
        <w:rPr>
          <w:rFonts w:ascii="Times New Roman" w:hAnsi="Times New Roman"/>
          <w:color w:val="000000"/>
          <w:sz w:val="20"/>
        </w:rPr>
        <w:t xml:space="preserve"> </w:t>
      </w:r>
      <w:r>
        <w:rPr>
          <w:rFonts w:ascii="Times New Roman" w:hAnsi="Times New Roman"/>
          <w:color w:val="000000"/>
          <w:sz w:val="24"/>
        </w:rPr>
        <w:t xml:space="preserve">is a complete and correct list, as of the Original Effective Date, of all Investments (other than Investments of the types referred to in </w:t>
      </w:r>
      <w:r>
        <w:rPr>
          <w:rFonts w:ascii="Times New Roman" w:hAnsi="Times New Roman"/>
          <w:color w:val="000000"/>
          <w:sz w:val="24"/>
          <w:u w:val="single"/>
        </w:rPr>
        <w:t>clauses (b)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6.04</w:t>
      </w:r>
      <w:r>
        <w:rPr>
          <w:rFonts w:ascii="Times New Roman" w:hAnsi="Times New Roman"/>
          <w:color w:val="000000"/>
          <w:sz w:val="24"/>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Times New Roman" w:hAnsi="Times New Roman"/>
          <w:color w:val="000000"/>
          <w:sz w:val="24"/>
          <w:u w:val="single"/>
        </w:rPr>
        <w:t>Schedule 3.12</w:t>
      </w:r>
      <w:r>
        <w:rPr>
          <w:rFonts w:ascii="Times New Roman" w:hAnsi="Times New Roman"/>
          <w:color w:val="000000"/>
          <w:sz w:val="24"/>
        </w:rPr>
        <w:t>, each of the Borrower and any of the Subsidiary Guarantors owned, free and clear of all Liens (other than Liens created pursuant to this Agreement or the Security Documents and Permitted Liens), all such Investments as of such date.</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3.13.</w:t>
      </w:r>
      <w:r>
        <w:rPr>
          <w:rFonts w:ascii="Times New Roman" w:hAnsi="Times New Roman"/>
          <w:color w:val="000000"/>
          <w:sz w:val="20"/>
        </w:rPr>
        <w:t xml:space="preserve"> </w:t>
      </w:r>
      <w:r>
        <w:rPr>
          <w:rFonts w:ascii="Times New Roman" w:hAnsi="Times New Roman"/>
          <w:color w:val="000000"/>
          <w:sz w:val="24"/>
          <w:u w:val="single"/>
        </w:rPr>
        <w:t>Properties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Title Generally</w:t>
      </w:r>
      <w:r>
        <w:rPr>
          <w:rFonts w:ascii="Times New Roman" w:hAnsi="Times New Roman"/>
          <w:color w:val="000000"/>
          <w:sz w:val="24"/>
        </w:rPr>
        <w:t>.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Intellectual Property</w:t>
      </w:r>
      <w:r>
        <w:rPr>
          <w:rFonts w:ascii="Times New Roman" w:hAnsi="Times New Roman"/>
          <w:color w:val="000000"/>
          <w:sz w:val="24"/>
        </w:rPr>
        <w:t>.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3.14.</w:t>
      </w:r>
      <w:r>
        <w:rPr>
          <w:rFonts w:ascii="Times New Roman" w:hAnsi="Times New Roman"/>
          <w:color w:val="000000"/>
          <w:sz w:val="20"/>
        </w:rPr>
        <w:t xml:space="preserve"> </w:t>
      </w:r>
      <w:r>
        <w:rPr>
          <w:rFonts w:ascii="Times New Roman" w:hAnsi="Times New Roman"/>
          <w:color w:val="000000"/>
          <w:sz w:val="24"/>
          <w:u w:val="single"/>
        </w:rPr>
        <w:t>Affiliate Agreements</w:t>
      </w:r>
      <w:r>
        <w:rPr>
          <w:rFonts w:ascii="Times New Roman" w:hAnsi="Times New Roman"/>
          <w:color w:val="000000"/>
          <w:sz w:val="24"/>
        </w:rPr>
        <w:t>. As of the Original Effective Date, the Borrower has heretofore delivered to the Administrative Agent true and complete copies of each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 Agreements (including and schedules and exhibits thereto, and any amendments, supplements or waivers executed and delivered thereunder). As of the Original Effective Date, each of the Affiliate Agreements was in full force and effect.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3.15.</w:t>
      </w:r>
      <w:r>
        <w:rPr>
          <w:rFonts w:ascii="Times New Roman" w:hAnsi="Times New Roman"/>
          <w:color w:val="000000"/>
          <w:sz w:val="20"/>
        </w:rPr>
        <w:t xml:space="preserve"> </w:t>
      </w:r>
      <w:r>
        <w:rPr>
          <w:rFonts w:ascii="Times New Roman" w:hAnsi="Times New Roman"/>
          <w:color w:val="000000"/>
          <w:sz w:val="24"/>
          <w:u w:val="single"/>
        </w:rPr>
        <w:t>Sanctions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None of the Borrower or any of its Subsidiaries, nor, to the knowledge of the Borrower, any of their respective directors, officers or authorized signors (i) is a person on the list of Specially Designated Nationals and Blocked Persons or the subject or target of, the limitations or prohibitions (collectively, “</w:t>
      </w:r>
      <w:r>
        <w:rPr>
          <w:rFonts w:ascii="Times New Roman" w:hAnsi="Times New Roman"/>
          <w:color w:val="000000"/>
          <w:sz w:val="24"/>
          <w:u w:val="single"/>
        </w:rPr>
        <w:t>Sanctions</w:t>
      </w:r>
      <w:r>
        <w:rPr>
          <w:rFonts w:ascii="Times New Roman" w:hAnsi="Times New Roman"/>
          <w:color w:val="000000"/>
          <w:sz w:val="20"/>
        </w:rPr>
        <w:t>”</w:t>
      </w:r>
      <w:r>
        <w:rPr>
          <w:rFonts w:ascii="Times New Roman" w:hAnsi="Times New Roman"/>
          <w:color w:val="000000"/>
          <w:sz w:val="24"/>
        </w:rPr>
        <w:t>)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in a Sanctioned Country.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3.16.</w:t>
      </w:r>
      <w:r>
        <w:rPr>
          <w:rFonts w:ascii="Times New Roman" w:hAnsi="Times New Roman"/>
          <w:color w:val="000000"/>
          <w:sz w:val="20"/>
        </w:rPr>
        <w:t xml:space="preserve"> </w:t>
      </w:r>
      <w:r>
        <w:rPr>
          <w:rFonts w:ascii="Times New Roman" w:hAnsi="Times New Roman"/>
          <w:color w:val="000000"/>
          <w:sz w:val="24"/>
          <w:u w:val="single"/>
        </w:rPr>
        <w:t>Patriot Act</w:t>
      </w:r>
      <w:r>
        <w:rPr>
          <w:rFonts w:ascii="Times New Roman" w:hAnsi="Times New Roman"/>
          <w:color w:val="000000"/>
          <w:sz w:val="24"/>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 w:hAnsi="Times New Roman"/>
          <w:color w:val="000000"/>
          <w:sz w:val="24"/>
          <w:u w:val="single"/>
        </w:rPr>
        <w:t>Anti-Corruption Laws</w:t>
      </w:r>
      <w:r>
        <w:rPr>
          <w:rFonts w:ascii="Times New Roman" w:hAnsi="Times New Roman"/>
          <w:color w:val="000000"/>
          <w:sz w:val="20"/>
        </w:rPr>
        <w:t>”</w:t>
      </w:r>
      <w:r>
        <w:rPr>
          <w:rFonts w:ascii="Times New Roman" w:hAnsi="Times New Roman"/>
          <w:color w:val="000000"/>
          <w:sz w:val="24"/>
        </w:rPr>
        <w:t>) or (ii) for the purpose of financing the activities in or with any Sanctioned Country, or of any Person, at the time of such financing (A) the subject or target of any Sanctions or (B) located, organized or resident in a Sanctioned Country, in each case as would result in a violation of Sanctions.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3.17.</w:t>
      </w:r>
      <w:r>
        <w:rPr>
          <w:rFonts w:ascii="Times New Roman" w:hAnsi="Times New Roman"/>
          <w:color w:val="000000"/>
          <w:sz w:val="20"/>
        </w:rPr>
        <w:t xml:space="preserve"> </w:t>
      </w:r>
      <w:r>
        <w:rPr>
          <w:rFonts w:ascii="Times New Roman" w:hAnsi="Times New Roman"/>
          <w:color w:val="000000"/>
          <w:sz w:val="24"/>
          <w:u w:val="single"/>
        </w:rPr>
        <w:t>Collateral Documents</w:t>
      </w:r>
      <w:r>
        <w:rPr>
          <w:rFonts w:ascii="Times New Roman" w:hAnsi="Times New Roman"/>
          <w:color w:val="000000"/>
          <w:sz w:val="24"/>
        </w:rPr>
        <w:t xml:space="preserve">. The provisions of the Security Documents are effective to create in favor of the Collateral Agent a legal, valid and enforceable first priority Lien (subject to Liens permitted by </w:t>
      </w:r>
      <w:r>
        <w:rPr>
          <w:rFonts w:ascii="Times New Roman" w:hAnsi="Times New Roman"/>
          <w:color w:val="000000"/>
          <w:sz w:val="24"/>
          <w:u w:val="single"/>
        </w:rPr>
        <w:t>Section 6.02</w:t>
      </w:r>
      <w:r>
        <w:rPr>
          <w:rFonts w:ascii="Times New Roman" w:hAnsi="Times New Roman"/>
          <w:color w:val="000000"/>
          <w:sz w:val="24"/>
        </w:rPr>
        <w:t>) on all right, title and interest of the Borrower and each Subsidiary Guarantor in the Collateral described therein except for any failure that would not constitute an Event of Default under clause (q) of Article VII. Except for filings completed on or prior to the 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any filing or take any other action that would not constitute an Event of Default under clause (q) of Article VII.</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3.18.</w:t>
      </w:r>
      <w:r>
        <w:rPr>
          <w:rFonts w:ascii="Times New Roman" w:hAnsi="Times New Roman"/>
          <w:color w:val="000000"/>
          <w:sz w:val="20"/>
        </w:rPr>
        <w:t xml:space="preserve"> </w:t>
      </w:r>
      <w:r>
        <w:rPr>
          <w:rFonts w:ascii="Times New Roman" w:hAnsi="Times New Roman"/>
          <w:color w:val="000000"/>
          <w:sz w:val="24"/>
          <w:u w:val="single"/>
        </w:rPr>
        <w:t>EEA Financial Institutions</w:t>
      </w:r>
      <w:r>
        <w:rPr>
          <w:rFonts w:ascii="Times New Roman" w:hAnsi="Times New Roman"/>
          <w:color w:val="000000"/>
          <w:sz w:val="24"/>
        </w:rPr>
        <w:t>. Neither the Borrower nor any Subsidiary is an EEA Financial Institution.</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IV</w:t>
        <w:br/>
        <w:br/>
      </w:r>
      <w:r>
        <w:rPr>
          <w:rFonts w:ascii="Times New Roman" w:hAnsi="Times New Roman"/>
          <w:caps/>
          <w:color w:val="000000"/>
          <w:sz w:val="24"/>
          <w:u w:val="single"/>
        </w:rPr>
        <w:t>CONDITIONS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4.01.</w:t>
      </w:r>
      <w:r>
        <w:rPr>
          <w:rFonts w:ascii="Times New Roman" w:hAnsi="Times New Roman"/>
          <w:color w:val="000000"/>
          <w:sz w:val="20"/>
        </w:rPr>
        <w:t xml:space="preserve"> </w:t>
      </w:r>
      <w:r>
        <w:rPr>
          <w:rFonts w:ascii="Times New Roman" w:hAnsi="Times New Roman"/>
          <w:color w:val="000000"/>
          <w:sz w:val="24"/>
          <w:u w:val="single"/>
        </w:rPr>
        <w:t>Effective Date</w:t>
      </w:r>
      <w:r>
        <w:rPr>
          <w:rFonts w:ascii="Times New Roman" w:hAnsi="Times New Roman"/>
          <w:color w:val="000000"/>
          <w:sz w:val="24"/>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hAnsi="Times New Roman"/>
          <w:color w:val="000000"/>
          <w:sz w:val="24"/>
          <w:u w:val="single"/>
        </w:rPr>
        <w:t>Section 9.02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Documents</w:t>
      </w:r>
      <w:r>
        <w:rPr>
          <w:rFonts w:ascii="Times New Roman" w:hAnsi="Times New Roman"/>
          <w:color w:val="000000"/>
          <w:sz w:val="24"/>
        </w:rPr>
        <w:t>. Administrative Agent shall have received each of the following documents, each of which shall be satisfactory to the Administrative Agent (and to the extent specified below to each Lender) in form and substance: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Executed Counterparts</w:t>
      </w:r>
      <w:r>
        <w:rPr>
          <w:rFonts w:ascii="Times New Roman" w:hAnsi="Times New Roman"/>
          <w:color w:val="000000"/>
          <w:sz w:val="24"/>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Opinion of Counsel to the Borrower</w:t>
      </w:r>
      <w:r>
        <w:rPr>
          <w:rFonts w:ascii="Times New Roman" w:hAnsi="Times New Roman"/>
          <w:color w:val="000000"/>
          <w:sz w:val="24"/>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Corporate Documents</w:t>
      </w:r>
      <w:r>
        <w:rPr>
          <w:rFonts w:ascii="Times New Roman" w:hAnsi="Times New Roman"/>
          <w:color w:val="000000"/>
          <w:sz w:val="24"/>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Officer’s Certificate</w:t>
      </w:r>
      <w:r>
        <w:rPr>
          <w:rFonts w:ascii="Times New Roman" w:hAnsi="Times New Roman"/>
          <w:color w:val="000000"/>
          <w:sz w:val="24"/>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hAnsi="Times New Roman"/>
          <w:color w:val="000000"/>
          <w:sz w:val="24"/>
          <w:u w:val="single"/>
        </w:rPr>
        <w:t>Section 4.02</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Fees and Expenses</w:t>
      </w:r>
      <w:r>
        <w:rPr>
          <w:rFonts w:ascii="Times New Roman" w:hAnsi="Times New Roman"/>
          <w:color w:val="000000"/>
          <w:sz w:val="24"/>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4.02.</w:t>
      </w:r>
      <w:r>
        <w:rPr>
          <w:rFonts w:ascii="Times New Roman" w:hAnsi="Times New Roman"/>
          <w:color w:val="000000"/>
          <w:sz w:val="20"/>
        </w:rPr>
        <w:t xml:space="preserve"> </w:t>
      </w:r>
      <w:r>
        <w:rPr>
          <w:rFonts w:ascii="Times New Roman" w:hAnsi="Times New Roman"/>
          <w:color w:val="000000"/>
          <w:sz w:val="24"/>
          <w:u w:val="single"/>
        </w:rPr>
        <w:t>Each Credit Event</w:t>
      </w:r>
      <w:r>
        <w:rPr>
          <w:rFonts w:ascii="Times New Roman" w:hAnsi="Times New Roman"/>
          <w:color w:val="000000"/>
          <w:sz w:val="24"/>
        </w:rPr>
        <w:t>. The obligation of each Lender to make any Loan, and of each Issuing Bank to issue, amend, renew or extend any Letter of Credit, is additionally subject to the satisfaction of the following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pStyle w:val="TextBody"/>
        <w:bidi w:val="0"/>
        <w:spacing w:before="0" w:after="240"/>
        <w:jc w:val="both"/>
        <w:rPr>
          <w:rFonts w:ascii="Times New Roman" w:hAnsi="Times New Roman"/>
          <w:sz w:val="20"/>
        </w:rPr>
      </w:pPr>
      <w:r>
        <w:rPr>
          <w:rFonts w:ascii="Times New Roman" w:hAnsi="Times New Roman"/>
          <w:color w:val="000000"/>
          <w:sz w:val="24"/>
        </w:rPr>
        <w:t>(b) at the time of and immediately after giving effect to such Loan or the issuance, amendment, renewal or extension of such Letter of Credit, as applicable, no Default shall have occurred and be continuing;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V</w:t>
        <w:br/>
        <w:br/>
      </w:r>
      <w:r>
        <w:rPr>
          <w:rFonts w:ascii="Times New Roman" w:hAnsi="Times New Roman"/>
          <w:caps/>
          <w:color w:val="000000"/>
          <w:sz w:val="24"/>
          <w:u w:val="single"/>
        </w:rPr>
        <w:t>AFFIRMATIVE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Commitments have expired or been terminated and the principal of and accrued interest on each Loan and all fees payable hereunder (other than Unasserted Contingent Obligations) shall have been paid in full and all Letters of Credit shall have expired, been terminated, Cash Collateralized or backstopped and all LC Disbursements shall have been reimbursed, the Borrower covenants and agrees with the Lenders that: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5.01.</w:t>
      </w:r>
      <w:r>
        <w:rPr>
          <w:rFonts w:ascii="Times New Roman" w:hAnsi="Times New Roman"/>
          <w:color w:val="000000"/>
          <w:sz w:val="20"/>
        </w:rPr>
        <w:t xml:space="preserve"> </w:t>
      </w:r>
      <w:r>
        <w:rPr>
          <w:rFonts w:ascii="Times New Roman" w:hAnsi="Times New Roman"/>
          <w:color w:val="000000"/>
          <w:sz w:val="24"/>
          <w:u w:val="single"/>
        </w:rPr>
        <w:t>Financial Statements and Other Information</w:t>
      </w:r>
      <w:r>
        <w:rPr>
          <w:rFonts w:ascii="Times New Roman" w:hAnsi="Times New Roman"/>
          <w:color w:val="000000"/>
          <w:sz w:val="24"/>
        </w:rPr>
        <w:t>. The Borrower will furnish to the Administrative Agent (for distribution to each Lender):</w:t>
      </w:r>
    </w:p>
    <w:p>
      <w:pPr>
        <w:pStyle w:val="TextBody"/>
        <w:bidi w:val="0"/>
        <w:spacing w:before="0" w:after="240"/>
        <w:jc w:val="both"/>
        <w:rPr>
          <w:rFonts w:ascii="Times New Roman" w:hAnsi="Times New Roman"/>
          <w:sz w:val="20"/>
        </w:rPr>
      </w:pPr>
      <w:r>
        <w:rPr>
          <w:rFonts w:ascii="Times New Roman" w:hAnsi="Times New Roman"/>
          <w:color w:val="000000"/>
          <w:sz w:val="24"/>
        </w:rPr>
        <w:t>(a) 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the audited consolidated balance sheet and statement of operations, changes in net assets and cash flows of the Borrower and its Subsidiaries as of the end of and for such year, setting forth in each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(except as disclosed therein) consistently applied;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requirements set forth in this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may be fulfilled by providing to the Administrative Agent the report of the Borrower to the SEC on Form 10-K for the applicable fiscal year;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(except as disclosed therein) consistently applied, subject to normal year-end audit adjustments and the absence of footnotes;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requirements set forth in this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may be fulfilled by providing to the Administrative Agent the report of the Borrower to the SEC on Form 10-Q for the applicable quarterly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concurrently with any delivery of financial statements under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 proposed to be taken with respect thereto, (ii) setting forth reasonably detailed calculations demonstrating compliance with </w:t>
      </w:r>
      <w:r>
        <w:rPr>
          <w:rFonts w:ascii="Times New Roman" w:hAnsi="Times New Roman"/>
          <w:color w:val="000000"/>
          <w:sz w:val="24"/>
          <w:u w:val="single"/>
        </w:rPr>
        <w:t>Sections 6.01</w:t>
      </w:r>
      <w:r>
        <w:rPr>
          <w:rFonts w:ascii="Times New Roman" w:hAnsi="Times New Roman"/>
          <w:color w:val="000000"/>
          <w:sz w:val="24"/>
        </w:rPr>
        <w:t xml:space="preserve">, </w:t>
      </w:r>
      <w:r>
        <w:rPr>
          <w:rFonts w:ascii="Times New Roman" w:hAnsi="Times New Roman"/>
          <w:color w:val="000000"/>
          <w:sz w:val="24"/>
          <w:u w:val="single"/>
        </w:rPr>
        <w:t>6.02</w:t>
      </w:r>
      <w:r>
        <w:rPr>
          <w:rFonts w:ascii="Times New Roman" w:hAnsi="Times New Roman"/>
          <w:color w:val="000000"/>
          <w:sz w:val="24"/>
        </w:rPr>
        <w:t xml:space="preserve">, </w:t>
      </w:r>
      <w:r>
        <w:rPr>
          <w:rFonts w:ascii="Times New Roman" w:hAnsi="Times New Roman"/>
          <w:color w:val="000000"/>
          <w:sz w:val="24"/>
          <w:u w:val="single"/>
        </w:rPr>
        <w:t>6.04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6.07</w:t>
      </w:r>
      <w:r>
        <w:rPr>
          <w:rFonts w:ascii="Times New Roman" w:hAnsi="Times New Roman"/>
          <w:color w:val="000000"/>
          <w:sz w:val="20"/>
        </w:rPr>
        <w:t xml:space="preserve"> </w:t>
      </w:r>
      <w:r>
        <w:rPr>
          <w:rFonts w:ascii="Times New Roman" w:hAnsi="Times New Roman"/>
          <w:color w:val="000000"/>
          <w:sz w:val="24"/>
        </w:rPr>
        <w:t xml:space="preserve">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 and, if any such change has occurred, specifying the effect (unless such effect has been previously reported) as determined by the Borrower of such change on the financial statements accompanying such certificate;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requirements set forth in this clause (c)(iii) may be fulfilled by providing to the Administrative Agent the report of the Borrower to the SEC on Form 10-Q for the applicable quarterly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Times New Roman" w:hAnsi="Times New Roman"/>
          <w:color w:val="000000"/>
          <w:sz w:val="24"/>
          <w:u w:val="single"/>
        </w:rPr>
        <w:t>Section 6.05(d)</w:t>
      </w:r>
      <w:r>
        <w:rPr>
          <w:rFonts w:ascii="Times New Roman" w:hAnsi="Times New Roman"/>
          <w:color w:val="000000"/>
          <w:sz w:val="24"/>
        </w:rPr>
        <w:t xml:space="preserve">, such Borrowing Base Certificate shall certify that the condition set forth in </w:t>
      </w:r>
      <w:r>
        <w:rPr>
          <w:rFonts w:ascii="Times New Roman" w:hAnsi="Times New Roman"/>
          <w:color w:val="000000"/>
          <w:sz w:val="24"/>
          <w:u w:val="single"/>
        </w:rPr>
        <w:t>Section 6.05(d)(x)</w:t>
      </w:r>
      <w:r>
        <w:rPr>
          <w:rFonts w:ascii="Times New Roman" w:hAnsi="Times New Roman"/>
          <w:color w:val="000000"/>
          <w:sz w:val="20"/>
        </w:rPr>
        <w:t xml:space="preserve"> </w:t>
      </w:r>
      <w:r>
        <w:rPr>
          <w:rFonts w:ascii="Times New Roman" w:hAnsi="Times New Roman"/>
          <w:color w:val="000000"/>
          <w:sz w:val="24"/>
        </w:rPr>
        <w:t>was satisfied on the date of each such Restricted Payment;</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promptly but no later than five (5)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(other than the periodic reports that the Borrower’s independent auditors provide, in the ordinary course, to the audit committee of the Borrower’s 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Borrower and each Lender acknowledge that certain of the Lenders may be Public Lenders and, if documents or notices required to be delivered pursuant to this </w:t>
      </w:r>
      <w:r>
        <w:rPr>
          <w:rFonts w:ascii="Times New Roman" w:hAnsi="Times New Roman"/>
          <w:color w:val="000000"/>
          <w:sz w:val="24"/>
          <w:u w:val="single"/>
        </w:rPr>
        <w:t>Section 5.01</w:t>
      </w:r>
      <w:r>
        <w:rPr>
          <w:rFonts w:ascii="Times New Roman" w:hAnsi="Times New Roman"/>
          <w:color w:val="000000"/>
          <w:sz w:val="20"/>
        </w:rPr>
        <w:t xml:space="preserve"> </w:t>
      </w:r>
      <w:r>
        <w:rPr>
          <w:rFonts w:ascii="Times New Roman" w:hAnsi="Times New Roman"/>
          <w:color w:val="000000"/>
          <w:sz w:val="24"/>
        </w:rPr>
        <w:t>or otherwise are being distributed through IntraLinks/IntraAgency, SyndTrak or another relevant website or other information platform (the “</w:t>
      </w:r>
      <w:r>
        <w:rPr>
          <w:rFonts w:ascii="Times New Roman" w:hAnsi="Times New Roman"/>
          <w:color w:val="000000"/>
          <w:sz w:val="24"/>
          <w:u w:val="single"/>
        </w:rPr>
        <w:t>Platform</w:t>
      </w:r>
      <w:r>
        <w:rPr>
          <w:rFonts w:ascii="Times New Roman" w:hAnsi="Times New Roman"/>
          <w:color w:val="000000"/>
          <w:sz w:val="20"/>
        </w:rPr>
        <w:t>”</w:t>
      </w:r>
      <w:r>
        <w:rPr>
          <w:rFonts w:ascii="Times New Roman" w:hAnsi="Times New Roman"/>
          <w:color w:val="000000"/>
          <w:sz w:val="24"/>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hAnsi="Times New Roman"/>
          <w:color w:val="000000"/>
          <w:sz w:val="24"/>
          <w:u w:val="single"/>
        </w:rPr>
        <w:t>Section 5.01</w:t>
      </w:r>
      <w:r>
        <w:rPr>
          <w:rFonts w:ascii="Times New Roman" w:hAnsi="Times New Roman"/>
          <w:color w:val="000000"/>
          <w:sz w:val="20"/>
        </w:rPr>
        <w:t xml:space="preserve"> </w:t>
      </w:r>
      <w:r>
        <w:rPr>
          <w:rFonts w:ascii="Times New Roman" w:hAnsi="Times New Roman"/>
          <w:color w:val="000000"/>
          <w:sz w:val="24"/>
        </w:rPr>
        <w:t xml:space="preserve">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hAnsi="Times New Roman"/>
          <w:color w:val="000000"/>
          <w:sz w:val="24"/>
          <w:u w:val="single"/>
        </w:rPr>
        <w:t>Section 5.13</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Notwithstanding anything to the contrary herein, the requirements to deliver documents set forth in </w:t>
      </w:r>
      <w:r>
        <w:rPr>
          <w:rFonts w:ascii="Times New Roman" w:hAnsi="Times New Roman"/>
          <w:color w:val="000000"/>
          <w:sz w:val="24"/>
          <w:u w:val="single"/>
        </w:rPr>
        <w:t>Section 5.01(a)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(g)</w:t>
      </w:r>
      <w:r>
        <w:rPr>
          <w:rFonts w:ascii="Times New Roman" w:hAnsi="Times New Roman"/>
          <w:color w:val="000000"/>
          <w:sz w:val="20"/>
        </w:rPr>
        <w:t xml:space="preserve"> </w:t>
      </w:r>
      <w:r>
        <w:rPr>
          <w:rFonts w:ascii="Times New Roman" w:hAnsi="Times New Roman"/>
          <w:color w:val="000000"/>
          <w:sz w:val="24"/>
        </w:rPr>
        <w:t xml:space="preserve">will be fulfilled by filing by the Borrower of the applicable documents for public availability on the SEC’s Electronic Data Gathering and Retrieval system; </w:t>
      </w:r>
      <w:r>
        <w:rPr>
          <w:rFonts w:ascii="Times New Roman" w:hAnsi="Times New Roman"/>
          <w:color w:val="000000"/>
          <w:sz w:val="24"/>
          <w:u w:val="single"/>
        </w:rPr>
        <w:t>provided</w:t>
      </w:r>
      <w:r>
        <w:rPr>
          <w:rFonts w:ascii="Times New Roman" w:hAnsi="Times New Roman"/>
          <w:color w:val="000000"/>
          <w:sz w:val="24"/>
        </w:rPr>
        <w:t>, that the Borrower shall notify the Administrative Agent (by telecopier or electronic mail) of the posting of any such documents.</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5.02.</w:t>
      </w:r>
      <w:r>
        <w:rPr>
          <w:rFonts w:ascii="Times New Roman" w:hAnsi="Times New Roman"/>
          <w:color w:val="000000"/>
          <w:sz w:val="20"/>
        </w:rPr>
        <w:t xml:space="preserve"> </w:t>
      </w:r>
      <w:r>
        <w:rPr>
          <w:rFonts w:ascii="Times New Roman" w:hAnsi="Times New Roman"/>
          <w:color w:val="000000"/>
          <w:sz w:val="24"/>
          <w:u w:val="single"/>
        </w:rPr>
        <w:t>Notices of Material Events</w:t>
      </w:r>
      <w:r>
        <w:rPr>
          <w:rFonts w:ascii="Times New Roman" w:hAnsi="Times New Roman"/>
          <w:color w:val="000000"/>
          <w:sz w:val="24"/>
        </w:rPr>
        <w:t>. The Borrower will furnish to the Administrative Agent (for distribution to each Lender) prompt written notice upon any Responsible Officer obtaining knowledge of the following: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occurrence of any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filing or commencement of any action, suit or proceeding by or before any arbitrator or Governmental Authority against the Borrower or any of its Subsidiaries that, if adversely determined, would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5.03.</w:t>
      </w:r>
      <w:r>
        <w:rPr>
          <w:rFonts w:ascii="Times New Roman" w:hAnsi="Times New Roman"/>
          <w:color w:val="000000"/>
          <w:sz w:val="20"/>
        </w:rPr>
        <w:t xml:space="preserve"> </w:t>
      </w:r>
      <w:r>
        <w:rPr>
          <w:rFonts w:ascii="Times New Roman" w:hAnsi="Times New Roman"/>
          <w:color w:val="000000"/>
          <w:sz w:val="24"/>
          <w:u w:val="single"/>
        </w:rPr>
        <w:t>Existence: Conduct of Business</w:t>
      </w:r>
      <w:r>
        <w:rPr>
          <w:rFonts w:ascii="Times New Roman" w:hAnsi="Times New Roman"/>
          <w:color w:val="000000"/>
          <w:sz w:val="24"/>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foregoing shall not prohibit any merger, consolidation, liquidation or dissolution not prohibited under </w:t>
      </w:r>
      <w:r>
        <w:rPr>
          <w:rFonts w:ascii="Times New Roman" w:hAnsi="Times New Roman"/>
          <w:color w:val="000000"/>
          <w:sz w:val="24"/>
          <w:u w:val="single"/>
        </w:rPr>
        <w:t>Section 6.03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5.04.</w:t>
      </w:r>
      <w:r>
        <w:rPr>
          <w:rFonts w:ascii="Times New Roman" w:hAnsi="Times New Roman"/>
          <w:color w:val="000000"/>
          <w:sz w:val="20"/>
        </w:rPr>
        <w:t xml:space="preserve"> </w:t>
      </w:r>
      <w:r>
        <w:rPr>
          <w:rFonts w:ascii="Times New Roman" w:hAnsi="Times New Roman"/>
          <w:color w:val="000000"/>
          <w:sz w:val="24"/>
          <w:u w:val="single"/>
        </w:rPr>
        <w:t>Payment of Obligations</w:t>
      </w:r>
      <w:r>
        <w:rPr>
          <w:rFonts w:ascii="Times New Roman" w:hAnsi="Times New Roman"/>
          <w:color w:val="000000"/>
          <w:sz w:val="24"/>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5.05.</w:t>
      </w:r>
      <w:r>
        <w:rPr>
          <w:rFonts w:ascii="Times New Roman" w:hAnsi="Times New Roman"/>
          <w:color w:val="000000"/>
          <w:sz w:val="20"/>
        </w:rPr>
        <w:t xml:space="preserve"> </w:t>
      </w:r>
      <w:r>
        <w:rPr>
          <w:rFonts w:ascii="Times New Roman" w:hAnsi="Times New Roman"/>
          <w:color w:val="000000"/>
          <w:sz w:val="24"/>
          <w:u w:val="single"/>
        </w:rPr>
        <w:t>Maintenance of Properties; Insurance</w:t>
      </w:r>
      <w:r>
        <w:rPr>
          <w:rFonts w:ascii="Times New Roman" w:hAnsi="Times New Roman"/>
          <w:color w:val="000000"/>
          <w:sz w:val="24"/>
        </w:rPr>
        <w:t>. The Borrower will, and will cause each of its Subsidiaries (other than Immaterial Subsidiaries) to, (a) keep and maintain all property material to the conduct of its business in good working order and condition, ordinary wear and tear excepted except where failure to keep or maintain would not reasonably be expected to result in a Material Adverse Effect; provided that the foregoing shall not prohibit any merger, consolidation, liquidation or dissolution not prohibited under Section 6.03, and (b) maintain, with financially sound and reputable insurance companies, insurance in such amounts and against such risks as are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customarily maintained by companies engaged in the same or similar businesses operating in the same or similar locations.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5.06.</w:t>
      </w:r>
      <w:r>
        <w:rPr>
          <w:rFonts w:ascii="Times New Roman" w:hAnsi="Times New Roman"/>
          <w:color w:val="000000"/>
          <w:sz w:val="20"/>
        </w:rPr>
        <w:t xml:space="preserve"> </w:t>
      </w:r>
      <w:r>
        <w:rPr>
          <w:rFonts w:ascii="Times New Roman" w:hAnsi="Times New Roman"/>
          <w:color w:val="000000"/>
          <w:sz w:val="24"/>
          <w:u w:val="single"/>
        </w:rPr>
        <w:t>Books and Records; Inspection and Audit Rights</w:t>
      </w:r>
      <w:r>
        <w:rPr>
          <w:rFonts w:ascii="Times New Roman" w:hAnsi="Times New Roman"/>
          <w:color w:val="000000"/>
          <w:sz w:val="24"/>
        </w:rPr>
        <w:t xml:space="preserve">. The Borrower will, and will cause each of its Subsidiaries to, keep books of record and account in accordance with GAAP in all material respects. The Borrower will, and will cause each other Obligor to, permit any representatives designated by the Administrative Agent or any Lender, upon reasonable prior 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5.07.</w:t>
      </w:r>
      <w:r>
        <w:rPr>
          <w:rFonts w:ascii="Times New Roman" w:hAnsi="Times New Roman"/>
          <w:color w:val="000000"/>
          <w:sz w:val="20"/>
        </w:rPr>
        <w:t xml:space="preserve"> </w:t>
      </w:r>
      <w:r>
        <w:rPr>
          <w:rFonts w:ascii="Times New Roman" w:hAnsi="Times New Roman"/>
          <w:color w:val="000000"/>
          <w:sz w:val="24"/>
          <w:u w:val="single"/>
        </w:rPr>
        <w:t>Compliance with Laws</w:t>
      </w:r>
      <w:r>
        <w:rPr>
          <w:rFonts w:ascii="Times New Roman" w:hAnsi="Times New Roman"/>
          <w:color w:val="000000"/>
          <w:sz w:val="24"/>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5.08.</w:t>
      </w:r>
      <w:r>
        <w:rPr>
          <w:rFonts w:ascii="Times New Roman" w:hAnsi="Times New Roman"/>
          <w:color w:val="000000"/>
          <w:sz w:val="20"/>
        </w:rPr>
        <w:t xml:space="preserve"> </w:t>
      </w:r>
      <w:r>
        <w:rPr>
          <w:rFonts w:ascii="Times New Roman" w:hAnsi="Times New Roman"/>
          <w:color w:val="000000"/>
          <w:sz w:val="24"/>
        </w:rPr>
        <w:t>Certain Obligations Respecting Subsidiaries; Further Assurances.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Subsidiary Guarantors</w:t>
      </w:r>
      <w:r>
        <w:rPr>
          <w:rFonts w:ascii="Times New Roman" w:hAnsi="Times New Roman"/>
          <w:color w:val="000000"/>
          <w:sz w:val="24"/>
        </w:rPr>
        <w:t xml:space="preserve">. In the event that (i) the Borrower or any the Subsidiary Guarantors shall form or acquire any new Subsidiary (other than a Financing Subsidiary, a Foreign Subsidiary, an Immaterial Subsidiary or a Subsidiary of a Foreign Subsidiary) or (ii) any Financing Subsidiary, Foreign Subsidiary, Immaterial Subsidiary or Subsidiary of a Foreign Subsidiary shall no longer constitute a “Financing Subsidiary”, “Foreign Subsidiary”, “Immaterial Subsidiary” or “Subsidiary of a Foreign Subsidiary”, as applicable, pursuant to the definition thereof (in which case such Person shall be deemed to be a “new” Subsidiary for purposes of Section 5.08 as of such date),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 Borrower pursuant to </w:t>
      </w:r>
      <w:r>
        <w:rPr>
          <w:rFonts w:ascii="Times New Roman" w:hAnsi="Times New Roman"/>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upon the Effective Date or as the Administrative Agent shall have reasonably requested.</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Ownership of Subsidiaries</w:t>
      </w:r>
      <w:r>
        <w:rPr>
          <w:rFonts w:ascii="Times New Roman" w:hAnsi="Times New Roman"/>
          <w:color w:val="000000"/>
          <w:sz w:val="24"/>
        </w:rPr>
        <w:t>. The Borrower will, and will cause each of its Subsidiaries to, take such action from time to time as shall be necessary to ensure that each of its Subsidiaries is a wholly owned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Further Assurances</w:t>
      </w:r>
      <w:r>
        <w:rPr>
          <w:rFonts w:ascii="Times New Roman" w:hAnsi="Times New Roman"/>
          <w:color w:val="000000"/>
          <w:sz w:val="24"/>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such security interest or Lien shall be subject to the relevant requirements of the Security Documents;</w:t>
      </w:r>
    </w:p>
    <w:p>
      <w:pPr>
        <w:pStyle w:val="TextBody"/>
        <w:bidi w:val="0"/>
        <w:spacing w:before="0" w:after="240"/>
        <w:jc w:val="both"/>
        <w:rPr>
          <w:rFonts w:ascii="Times New Roman" w:hAnsi="Times New Roman"/>
          <w:sz w:val="20"/>
        </w:rPr>
      </w:pPr>
      <w:r>
        <w:rPr>
          <w:rFonts w:ascii="Times New Roman" w:hAnsi="Times New Roman"/>
          <w:color w:val="000000"/>
          <w:sz w:val="24"/>
        </w:rPr>
        <w:t>(ii) in the case of any portfolio investment held by a Financing Subsidiary or an Immaterial Subsidiary, including any cash collection related thereto, ensure that such portfolio investment shall not be held in the account of any Obligor subject to a control agreement among the Obligor, the Collateral Agent and the Custodian delivered in connection with this Agreement or any other Loan Document;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in the case of any Portfolio Investment consisting of a Bank Loan (as defined in </w:t>
      </w:r>
      <w:r>
        <w:rPr>
          <w:rFonts w:ascii="Times New Roman" w:hAnsi="Times New Roman"/>
          <w:color w:val="000000"/>
          <w:sz w:val="24"/>
          <w:u w:val="single"/>
        </w:rPr>
        <w:t>Section 5.13</w:t>
      </w:r>
      <w:r>
        <w:rPr>
          <w:rFonts w:ascii="Times New Roman" w:hAnsi="Times New Roman"/>
          <w:color w:val="000000"/>
          <w:sz w:val="24"/>
        </w:rPr>
        <w:t>) that does not constitute all of the credit extended to the underlying borrower under the relevant underlying loan documents and a Financing Subsidiary or Immaterial Subsidiary holds any interest in the loans or other extensions of credit under such loan documents, (x) to cause such Financing Subsidiary or Immaterial Subsidiary to be party to such underlying loan documents as a “lender” having a direct interest (or a participation not acquired from an Obligor) in such underlying loan documents and the extensions of credit thereunder and (y) to ensure that all amounts owing to such Obligor, Immaterial Subsidiary or Financing Subsidiary by the underlying borrower or other obligated party are remitted by such borrower or obligated party directly to separate accounts of such Obligor, such Immaterial Subsidiary and such Financing Subsidiary;</w:t>
      </w:r>
    </w:p>
    <w:p>
      <w:pPr>
        <w:pStyle w:val="TextBody"/>
        <w:bidi w:val="0"/>
        <w:spacing w:before="0" w:after="240"/>
        <w:jc w:val="both"/>
        <w:rPr>
          <w:rFonts w:ascii="Times New Roman" w:hAnsi="Times New Roman"/>
          <w:sz w:val="20"/>
        </w:rPr>
      </w:pPr>
      <w:r>
        <w:rPr>
          <w:rFonts w:ascii="Times New Roman" w:hAnsi="Times New Roman"/>
          <w:color w:val="000000"/>
          <w:sz w:val="24"/>
        </w:rPr>
        <w:t>(iv)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if an Event of Default has occurred and is continuing, to cause the closing sets and all executed amendments, consents, forbearances and other modifications and assignment agreements relating to any Portfolio Investment and any other documents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relating to any Portfolio Investment requested by the Collateral Agent, in each case, to be held by the Collateral Agent or a custodian pursuant to the terms of a custodian agreement reasonably satisfactory to the Collateral Agent.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5.09.</w:t>
      </w:r>
      <w:r>
        <w:rPr>
          <w:rFonts w:ascii="Times New Roman" w:hAnsi="Times New Roman"/>
          <w:color w:val="000000"/>
          <w:sz w:val="20"/>
        </w:rPr>
        <w:t xml:space="preserve"> </w:t>
      </w:r>
      <w:r>
        <w:rPr>
          <w:rFonts w:ascii="Times New Roman" w:hAnsi="Times New Roman"/>
          <w:color w:val="000000"/>
          <w:sz w:val="24"/>
          <w:u w:val="single"/>
        </w:rPr>
        <w:t>Use of Proceeds</w:t>
      </w:r>
      <w:r>
        <w:rPr>
          <w:rFonts w:ascii="Times New Roman" w:hAnsi="Times New Roman"/>
          <w:color w:val="000000"/>
          <w:sz w:val="24"/>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Times New Roman" w:hAnsi="Times New Roman"/>
          <w:color w:val="000000"/>
          <w:sz w:val="24"/>
          <w:u w:val="single"/>
        </w:rPr>
        <w:t>Section 3.16</w:t>
      </w:r>
      <w:r>
        <w:rPr>
          <w:rFonts w:ascii="Times New Roman" w:hAnsi="Times New Roman"/>
          <w:color w:val="000000"/>
          <w:sz w:val="24"/>
        </w:rPr>
        <w:t>. Margin Stock shall be purchased by the Obligors only with the proceeds of Indebtedness not directly or indirectly secured by Margin Stock, or with the proceeds of equity capital of the Borrower.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5.10.</w:t>
      </w:r>
      <w:r>
        <w:rPr>
          <w:rFonts w:ascii="Times New Roman" w:hAnsi="Times New Roman"/>
          <w:color w:val="000000"/>
          <w:sz w:val="20"/>
        </w:rPr>
        <w:t xml:space="preserve"> </w:t>
      </w:r>
      <w:r>
        <w:rPr>
          <w:rFonts w:ascii="Times New Roman" w:hAnsi="Times New Roman"/>
          <w:color w:val="000000"/>
          <w:sz w:val="24"/>
          <w:u w:val="single"/>
        </w:rPr>
        <w:t>Status of RIC and BDC</w:t>
      </w:r>
      <w:r>
        <w:rPr>
          <w:rFonts w:ascii="Times New Roman" w:hAnsi="Times New Roman"/>
          <w:color w:val="000000"/>
          <w:sz w:val="24"/>
        </w:rPr>
        <w:t>. The Borrower shall at all times, subject to applicable grace periods set forth in the Code, maintain its status as a RIC under the Code, and as a “business development company” under the Investment Company Act.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5.11.</w:t>
      </w:r>
      <w:r>
        <w:rPr>
          <w:rFonts w:ascii="Times New Roman" w:hAnsi="Times New Roman"/>
          <w:color w:val="000000"/>
          <w:sz w:val="20"/>
        </w:rPr>
        <w:t xml:space="preserve"> </w:t>
      </w:r>
      <w:r>
        <w:rPr>
          <w:rFonts w:ascii="Times New Roman" w:hAnsi="Times New Roman"/>
          <w:color w:val="000000"/>
          <w:sz w:val="24"/>
          <w:u w:val="single"/>
        </w:rPr>
        <w:t>Investment Policies</w:t>
      </w:r>
      <w:r>
        <w:rPr>
          <w:rFonts w:ascii="Times New Roman" w:hAnsi="Times New Roman"/>
          <w:color w:val="000000"/>
          <w:sz w:val="24"/>
        </w:rPr>
        <w:t>. The Borrower shall at all times be in compliance in all material respects with its Investment Policies (after giving effect to any Permitted Policy Amendments).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5.12.</w:t>
      </w:r>
      <w:r>
        <w:rPr>
          <w:rFonts w:ascii="Times New Roman" w:hAnsi="Times New Roman"/>
          <w:color w:val="000000"/>
          <w:sz w:val="20"/>
        </w:rPr>
        <w:t xml:space="preserve"> </w:t>
      </w:r>
      <w:r>
        <w:rPr>
          <w:rFonts w:ascii="Times New Roman" w:hAnsi="Times New Roman"/>
          <w:color w:val="000000"/>
          <w:sz w:val="24"/>
          <w:u w:val="single"/>
        </w:rPr>
        <w:t>Portfolio Valuation and Diversification Etc</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Industry Classification Groups</w:t>
      </w:r>
      <w:r>
        <w:rPr>
          <w:rFonts w:ascii="Times New Roman" w:hAnsi="Times New Roman"/>
          <w:color w:val="000000"/>
          <w:sz w:val="24"/>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Portfolio Valuation Etc</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Settlement Date Basis</w:t>
      </w:r>
      <w:r>
        <w:rPr>
          <w:rFonts w:ascii="Times New Roman" w:hAnsi="Times New Roman"/>
          <w:color w:val="000000"/>
          <w:sz w:val="24"/>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such investment shall be included as a Portfolio Investment to the extent it has not been paid for in full.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Determination of Values</w:t>
      </w:r>
      <w:r>
        <w:rPr>
          <w:rFonts w:ascii="Times New Roman" w:hAnsi="Times New Roman"/>
          <w:color w:val="000000"/>
          <w:sz w:val="24"/>
        </w:rPr>
        <w:t>. The Borrower will conduct reviews of the value to be assigned to each of its Portfolio Investments as follows:</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Quoted Investments - External Review</w:t>
      </w:r>
      <w:r>
        <w:rPr>
          <w:rFonts w:ascii="Times New Roman" w:hAnsi="Times New Roman"/>
          <w:color w:val="000000"/>
          <w:sz w:val="24"/>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 in the case of public and 144A securities, the average of the bid prices as determined by two Approved Dealers selected by the Borrower,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in the case of Bank Loans, the bid price as determined by one Approved Dealer selected by the Borrower,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 in the case of any Portfolio Investment traded on an exchange, the closing price for such Portfolio Investment most recently posted on such exchange,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(z) in the case of any other Portfolio Investment, the fair market value thereof as determined by an Approved Pricing Service selected by the Borrower;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Unquoted Investments- External Review</w:t>
      </w:r>
      <w:r>
        <w:rPr>
          <w:rFonts w:ascii="Times New Roman" w:hAnsi="Times New Roman"/>
          <w:color w:val="000000"/>
          <w:sz w:val="24"/>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hAnsi="Times New Roman"/>
          <w:color w:val="000000"/>
          <w:sz w:val="24"/>
          <w:u w:val="single"/>
        </w:rPr>
        <w:t>Testing Quarter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 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hAnsi="Times New Roman"/>
          <w:color w:val="000000"/>
          <w:sz w:val="24"/>
          <w:u w:val="single"/>
        </w:rPr>
        <w:t>sub-clause (B)</w:t>
      </w:r>
      <w:r>
        <w:rPr>
          <w:rFonts w:ascii="Times New Roman" w:hAnsi="Times New Roman"/>
          <w:color w:val="000000"/>
          <w:sz w:val="20"/>
        </w:rPr>
        <w:t xml:space="preserve"> </w:t>
      </w:r>
      <w:r>
        <w:rPr>
          <w:rFonts w:ascii="Times New Roman" w:hAnsi="Times New Roman"/>
          <w:color w:val="000000"/>
          <w:sz w:val="24"/>
        </w:rPr>
        <w:t>as at the last day of the next succeeding Testing Quarter with respect to such Portfolio Investment;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(y) 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(z) no Testing Quarter with respect to any Portfolio Investment for which market quotations are not readily available shall end more than six months following the end of the immediately preceding Testing Quarter for such Portfolio Investment.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Internal Review</w:t>
      </w:r>
      <w:r>
        <w:rPr>
          <w:rFonts w:ascii="Times New Roman" w:hAnsi="Times New Roman"/>
          <w:color w:val="000000"/>
          <w:sz w:val="24"/>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hAnsi="Times New Roman"/>
          <w:color w:val="000000"/>
          <w:sz w:val="24"/>
          <w:u w:val="single"/>
        </w:rPr>
        <w:t>Section 5.12(b)(ii)(C)</w:t>
      </w:r>
      <w:r>
        <w:rPr>
          <w:rFonts w:ascii="Times New Roman" w:hAnsi="Times New Roman"/>
          <w:color w:val="000000"/>
          <w:sz w:val="20"/>
        </w:rPr>
        <w:t xml:space="preserve"> </w:t>
      </w:r>
      <w:r>
        <w:rPr>
          <w:rFonts w:ascii="Times New Roman" w:hAnsi="Times New Roman"/>
          <w:color w:val="000000"/>
          <w:sz w:val="24"/>
        </w:rPr>
        <w:t xml:space="preserve">is lower than the value of such Portfolio Investment as most recently determined pursuant to </w:t>
      </w:r>
      <w:r>
        <w:rPr>
          <w:rFonts w:ascii="Times New Roman" w:hAnsi="Times New Roman"/>
          <w:color w:val="000000"/>
          <w:sz w:val="24"/>
          <w:u w:val="single"/>
        </w:rPr>
        <w:t>Section 5.12(b)(ii)(A)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xml:space="preserve">, such lower value shall be deemed to be the “Value” of such Portfolio Investment for purposes 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Failure to Determine Values</w:t>
      </w:r>
      <w:r>
        <w:rPr>
          <w:rFonts w:ascii="Times New Roman" w:hAnsi="Times New Roman"/>
          <w:color w:val="000000"/>
          <w:sz w:val="24"/>
        </w:rPr>
        <w:t xml:space="preserve">. If the Borrower shall fail to determine the value of any Portfolio Investment as at any date pursuant to the requirements of the foregoing </w:t>
      </w:r>
      <w:r>
        <w:rPr>
          <w:rFonts w:ascii="Times New Roman" w:hAnsi="Times New Roman"/>
          <w:color w:val="000000"/>
          <w:sz w:val="24"/>
          <w:u w:val="single"/>
        </w:rPr>
        <w:t>sub-clauses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then the “Value” of such Portfolio Investment as at such date shall be deemed to be zero.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Testing of Values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(x) For the second calendar month immediately following the end of each fiscal quarter (the last such fiscal quarter is referred to herein as, the “</w:t>
      </w:r>
      <w:r>
        <w:rPr>
          <w:rFonts w:ascii="Times New Roman" w:hAnsi="Times New Roman"/>
          <w:color w:val="000000"/>
          <w:sz w:val="24"/>
          <w:u w:val="single"/>
        </w:rPr>
        <w:t>Testing Period</w:t>
      </w:r>
      <w:r>
        <w:rPr>
          <w:rFonts w:ascii="Times New Roman" w:hAnsi="Times New Roman"/>
          <w:color w:val="000000"/>
          <w:sz w:val="20"/>
        </w:rPr>
        <w:t>”</w:t>
      </w:r>
      <w:r>
        <w:rPr>
          <w:rFonts w:ascii="Times New Roman" w:hAnsi="Times New Roman"/>
          <w:color w:val="000000"/>
          <w:sz w:val="24"/>
        </w:rPr>
        <w:t>),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such Unquoted Investment for Borrowing Base purposes shall be established as set forth in </w:t>
      </w:r>
      <w:r>
        <w:rPr>
          <w:rFonts w:ascii="Times New Roman" w:hAnsi="Times New Roman"/>
          <w:color w:val="000000"/>
          <w:sz w:val="24"/>
          <w:u w:val="single"/>
        </w:rPr>
        <w:t>sub-clause (F)</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0" w:after="240"/>
        <w:jc w:val="left"/>
        <w:rPr>
          <w:rFonts w:ascii="Times New Roman" w:hAnsi="Times New Roman"/>
          <w:sz w:val="20"/>
        </w:rPr>
      </w:pPr>
      <w:r>
        <w:rPr>
          <w:rFonts w:ascii="Times New Roman" w:hAnsi="Times New Roman"/>
          <w:color w:val="000000"/>
          <w:sz w:val="24"/>
        </w:rPr>
        <w:t>(y) 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hAnsi="Times New Roman"/>
          <w:color w:val="000000"/>
          <w:sz w:val="24"/>
          <w:u w:val="single"/>
        </w:rPr>
        <w:t>Administrative Agent Appraisal Testing Period</w:t>
      </w:r>
      <w:r>
        <w:rPr>
          <w:rFonts w:ascii="Times New Roman" w:hAnsi="Times New Roman"/>
          <w:color w:val="000000"/>
          <w:sz w:val="20"/>
        </w:rPr>
        <w:t>”</w:t>
      </w:r>
      <w:r>
        <w:rPr>
          <w:rFonts w:ascii="Times New Roman" w:hAnsi="Times New Roman"/>
          <w:color w:val="000000"/>
          <w:sz w:val="24"/>
        </w:rPr>
        <w:t>) and would be reflected in the Borrowing Base Certificate for such month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Approved Third-Party Appraiser delivers such valuation at least seven (7) Business Days before the 20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all calculations of value pursuant to this </w:t>
      </w:r>
      <w:r>
        <w:rPr>
          <w:rFonts w:ascii="Times New Roman" w:hAnsi="Times New Roman"/>
          <w:color w:val="000000"/>
          <w:sz w:val="24"/>
          <w:u w:val="single"/>
        </w:rPr>
        <w:t>Section 5.12(b)(ii)(E)</w:t>
      </w:r>
      <w:r>
        <w:rPr>
          <w:rFonts w:ascii="Times New Roman" w:hAnsi="Times New Roman"/>
          <w:color w:val="000000"/>
          <w:sz w:val="20"/>
        </w:rPr>
        <w:t xml:space="preserve"> </w:t>
      </w:r>
      <w:r>
        <w:rPr>
          <w:rFonts w:ascii="Times New Roman" w:hAnsi="Times New Roman"/>
          <w:color w:val="000000"/>
          <w:sz w:val="24"/>
        </w:rPr>
        <w:t>shall be determined without application of the Advance Rates.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Valuation Dispute Resolution</w:t>
      </w:r>
      <w:r>
        <w:rPr>
          <w:rFonts w:ascii="Times New Roman" w:hAnsi="Times New Roman"/>
          <w:color w:val="000000"/>
          <w:sz w:val="24"/>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hAnsi="Times New Roman"/>
          <w:color w:val="000000"/>
          <w:sz w:val="24"/>
          <w:u w:val="single"/>
        </w:rPr>
        <w:t>Section 5.12(b)(ii)(B)</w:t>
      </w:r>
      <w:r>
        <w:rPr>
          <w:rFonts w:ascii="Times New Roman" w:hAnsi="Times New Roman"/>
          <w:color w:val="000000"/>
          <w:sz w:val="20"/>
        </w:rPr>
        <w:t xml:space="preserve"> </w:t>
      </w:r>
      <w:r>
        <w:rPr>
          <w:rFonts w:ascii="Times New Roman" w:hAnsi="Times New Roman"/>
          <w:color w:val="000000"/>
          <w:sz w:val="24"/>
        </w:rPr>
        <w:t xml:space="preserve">and the valuation of any Approved Third-Party Appraiser selected by the Administrative Agent pursuant to </w:t>
      </w:r>
      <w:r>
        <w:rPr>
          <w:rFonts w:ascii="Times New Roman" w:hAnsi="Times New Roman"/>
          <w:color w:val="000000"/>
          <w:sz w:val="24"/>
          <w:u w:val="single"/>
        </w:rPr>
        <w:t>Section 5.12(b)(ii)(E)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rFonts w:ascii="Times New Roman" w:hAnsi="Times New Roman"/>
          <w:color w:val="000000"/>
          <w:sz w:val="20"/>
        </w:rPr>
        <w:t xml:space="preserve"> </w:t>
      </w:r>
      <w:r>
        <w:rPr>
          <w:rFonts w:ascii="Times New Roman" w:hAnsi="Times New Roman"/>
          <w:color w:val="000000"/>
          <w:sz w:val="24"/>
        </w:rPr>
        <w:t>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 shall be the average of the three valuations (with the Administrative Agent’s Approved Third-Party Appraiser’s valuation to be used until the third valuation is obtained).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RIC Diversification Requirements</w:t>
      </w:r>
      <w:r>
        <w:rPr>
          <w:rFonts w:ascii="Times New Roman" w:hAnsi="Times New Roman"/>
          <w:color w:val="000000"/>
          <w:sz w:val="24"/>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Participation Interests</w:t>
      </w:r>
      <w:r>
        <w:rPr>
          <w:rFonts w:ascii="Times New Roman" w:hAnsi="Times New Roman"/>
          <w:color w:val="000000"/>
          <w:sz w:val="24"/>
        </w:rPr>
        <w:t>. The Value attributable to any Participation Interest shall be the Value determined with respect to the underlying portfolio investment related to such Participation Interest in accordance with this Section 5.12, provided any participation interest that does not satisfy the definition of Participation Interest shall have a Value of zero (0) for purposes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5.13.</w:t>
      </w:r>
      <w:r>
        <w:rPr>
          <w:rFonts w:ascii="Times New Roman" w:hAnsi="Times New Roman"/>
          <w:color w:val="000000"/>
          <w:sz w:val="20"/>
        </w:rPr>
        <w:t xml:space="preserve"> </w:t>
      </w:r>
      <w:r>
        <w:rPr>
          <w:rFonts w:ascii="Times New Roman" w:hAnsi="Times New Roman"/>
          <w:color w:val="000000"/>
          <w:sz w:val="24"/>
          <w:u w:val="single"/>
        </w:rPr>
        <w:t>Calculation of Borrowing Base</w:t>
      </w:r>
      <w:r>
        <w:rPr>
          <w:rFonts w:ascii="Times New Roman" w:hAnsi="Times New Roman"/>
          <w:color w:val="000000"/>
          <w:sz w:val="24"/>
        </w:rPr>
        <w:t>. For purposes of this Agreement, the “</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 xml:space="preserve">shall be determined, as at any date of determination, as the sum of the Advance Rates of the Value of each Portfolio Investment (excluding any Cash Collateral held by the Administrative Agent pursuant to </w:t>
      </w:r>
      <w:r>
        <w:rPr>
          <w:rFonts w:ascii="Times New Roman" w:hAnsi="Times New Roman"/>
          <w:color w:val="000000"/>
          <w:sz w:val="24"/>
          <w:u w:val="single"/>
        </w:rPr>
        <w:t>Section 2.05(k)</w:t>
      </w:r>
      <w:r>
        <w:rPr>
          <w:rFonts w:ascii="Times New Roman" w:hAnsi="Times New Roman"/>
          <w:color w:val="000000"/>
          <w:sz w:val="20"/>
        </w:rPr>
        <w:t xml:space="preserve"> </w:t>
      </w:r>
      <w:r>
        <w:rPr>
          <w:rFonts w:ascii="Times New Roman" w:hAnsi="Times New Roman"/>
          <w:color w:val="000000"/>
          <w:sz w:val="24"/>
        </w:rPr>
        <w:t xml:space="preserve">or the last paragraph of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(a) the Advance Rate applicable to that portion of the aggregate Value of the Portfolio Investments of all issuers in a consolidated group of corporations or other entities (collectively, a “</w:t>
      </w:r>
      <w:r>
        <w:rPr>
          <w:rFonts w:ascii="Times New Roman" w:hAnsi="Times New Roman"/>
          <w:color w:val="000000"/>
          <w:sz w:val="24"/>
          <w:u w:val="single"/>
        </w:rPr>
        <w:t>Consolidated Group</w:t>
      </w:r>
      <w:r>
        <w:rPr>
          <w:rFonts w:ascii="Times New Roman" w:hAnsi="Times New Roman"/>
          <w:color w:val="000000"/>
          <w:sz w:val="20"/>
        </w:rPr>
        <w:t>”</w:t>
      </w:r>
      <w:r>
        <w:rPr>
          <w:rFonts w:ascii="Times New Roman" w:hAnsi="Times New Roman"/>
          <w:color w:val="000000"/>
          <w:sz w:val="24"/>
        </w:rPr>
        <w:t>), in accordance with GAAP, that exceeds 6% of the aggregate Value of all Portfolio Investments in the Collateral Pool as of the end of the most recent quarter shall be 50% of the Advance Rate otherwise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portion of the Borrowing Base attributable to Performing Non-Cash Pay High Yield Securities, Performing Non-Cash Pay Mezzanine Investments, Equity Interests and Non-Performing Portfolio Investments shall not exceed 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portion of the Borrowing Base attributable to Equity Interests shall not exceed 10% (it being understood that in no event shall Equity Interests of Financing Subsidiaries be included in the Borrowing Base);</w:t>
      </w:r>
    </w:p>
    <w:p>
      <w:pPr>
        <w:pStyle w:val="TextBody"/>
        <w:bidi w:val="0"/>
        <w:spacing w:before="0" w:after="240"/>
        <w:jc w:val="both"/>
        <w:rPr>
          <w:rFonts w:ascii="Times New Roman" w:hAnsi="Times New Roman"/>
          <w:sz w:val="20"/>
        </w:rPr>
      </w:pPr>
      <w:r>
        <w:rPr>
          <w:rFonts w:ascii="Times New Roman" w:hAnsi="Times New Roman"/>
          <w:color w:val="000000"/>
          <w:sz w:val="24"/>
        </w:rPr>
        <w:t>(g) 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pStyle w:val="TextBody"/>
        <w:bidi w:val="0"/>
        <w:spacing w:before="0" w:after="240"/>
        <w:jc w:val="both"/>
        <w:rPr>
          <w:rFonts w:ascii="Times New Roman" w:hAnsi="Times New Roman"/>
          <w:sz w:val="20"/>
        </w:rPr>
      </w:pPr>
      <w:r>
        <w:rPr>
          <w:rFonts w:ascii="Times New Roman" w:hAnsi="Times New Roman"/>
          <w:color w:val="000000"/>
          <w:sz w:val="24"/>
        </w:rPr>
        <w:t>(i) 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(j) at any time the Borrower Asset Coverage Ratio as of the end of the most recent fiscal quarter is greater than or equal to 2.25 to 1.00, the portion of the Borrowing Base attributable to Portfolio Investments other than Performing First Lien Bank Loans shall not exceed 67.5%;</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no Participation Interest may be included in the Borrowing Base for more than ninety (90) days (or such longer period as the Administrative Agent may agree);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no Portfolio Investment may be included in the Borrowing Base if, to the Borrower’s “knowledge”, the foreclosure by the Collateral Agent in respect of the Collateral Agent’s Lien on such Portfolio Investment would constitute a “covered transaction” (as such terms are defined in the Outbound Investment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herein, the following terms have the following meanings:</w:t>
      </w:r>
    </w:p>
    <w:p>
      <w:pPr>
        <w:pStyle w:val="TextBody"/>
        <w:bidi w:val="0"/>
        <w:spacing w:before="0" w:after="240"/>
        <w:jc w:val="both"/>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 xml:space="preserve">means, as to any Portfolio Investment and subject to adjustment as provided in </w:t>
      </w:r>
      <w:r>
        <w:rPr>
          <w:rFonts w:ascii="Times New Roman" w:hAnsi="Times New Roman"/>
          <w:color w:val="000000"/>
          <w:sz w:val="24"/>
          <w:u w:val="single"/>
        </w:rPr>
        <w:t>Section 5.13(a)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4"/>
        </w:rPr>
        <w:t>, the following percentages with respect to such Portfolio Investment:</w:t>
      </w:r>
    </w:p>
    <w:tbl>
      <w:tblPr>
        <w:tblW w:w="6018" w:type="dxa"/>
        <w:jc w:val="left"/>
        <w:tblInd w:w="0" w:type="dxa"/>
        <w:tblLayout w:type="fixed"/>
        <w:tblCellMar>
          <w:top w:w="28" w:type="dxa"/>
          <w:left w:w="28" w:type="dxa"/>
          <w:bottom w:w="28" w:type="dxa"/>
          <w:right w:w="28" w:type="dxa"/>
        </w:tblCellMar>
      </w:tblPr>
      <w:tblGrid>
        <w:gridCol w:w="4111"/>
        <w:gridCol w:w="811"/>
        <w:gridCol w:w="1096"/>
      </w:tblGrid>
      <w:tr>
        <w:trPr/>
        <w:tc>
          <w:tcPr>
            <w:tcW w:w="41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Portfolio Investment</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Quoted</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Unquoted</w:t>
            </w:r>
          </w:p>
        </w:tc>
      </w:tr>
      <w:tr>
        <w:trPr/>
        <w:tc>
          <w:tcPr>
            <w:tcW w:w="41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Cash, Cash Equivalents and </w:t>
            </w:r>
          </w:p>
          <w:p>
            <w:pPr>
              <w:pStyle w:val="TableContents"/>
              <w:bidi w:val="0"/>
              <w:spacing w:before="0" w:after="283"/>
              <w:jc w:val="left"/>
              <w:rPr>
                <w:color w:val="000000"/>
              </w:rPr>
            </w:pPr>
            <w:r>
              <w:rPr>
                <w:color w:val="000000"/>
              </w:rPr>
              <w:t>   </w:t>
            </w:r>
            <w:r>
              <w:rPr>
                <w:rFonts w:ascii="Times New Roman" w:hAnsi="Times New Roman"/>
                <w:color w:val="000000"/>
                <w:sz w:val="24"/>
              </w:rPr>
              <w:t>Short-Term U.S. Government Securities</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br/>
              <w:t>100%</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br/>
              <w:t>0%</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Long-Term U.S. Government Securities</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95%</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Performing First Lien Bank Loans</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85%</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75%</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Performing Unitranche Loans</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80%</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70%</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Performing Second Lien Bank Loans</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75%</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65%</w:t>
            </w:r>
          </w:p>
        </w:tc>
      </w:tr>
    </w:tbl>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08" w:type="dxa"/>
        <w:jc w:val="left"/>
        <w:tblInd w:w="0" w:type="dxa"/>
        <w:tblLayout w:type="fixed"/>
        <w:tblCellMar>
          <w:top w:w="28" w:type="dxa"/>
          <w:left w:w="28" w:type="dxa"/>
          <w:bottom w:w="28" w:type="dxa"/>
          <w:right w:w="28" w:type="dxa"/>
        </w:tblCellMar>
      </w:tblPr>
      <w:tblGrid>
        <w:gridCol w:w="4981"/>
        <w:gridCol w:w="541"/>
        <w:gridCol w:w="586"/>
      </w:tblGrid>
      <w:tr>
        <w:trPr/>
        <w:tc>
          <w:tcPr>
            <w:tcW w:w="49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Performing Cash Pay High Yield Securities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60%</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Performing Cash Pay Mezzanine Investments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65%</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55%</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Performing Non-Cash Pay High Yield Securities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50%</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Performing Non-Cash Pay Mezzanine Investments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55%</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45%</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Non-Performing First Lien Bank Loans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45%</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45%</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Non-Performing Unitranche Loans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40%</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Non-Performing Second Lien Bank Loans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30%</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Non-Performing High Yield Securities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30%</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Non-Performing Cash Pay Mezzanine Investments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25%</w:t>
            </w:r>
          </w:p>
        </w:tc>
      </w:tr>
      <w:tr>
        <w:trPr/>
        <w:tc>
          <w:tcPr>
            <w:tcW w:w="49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Performing Common Equity (and zero cost or </w:t>
            </w:r>
          </w:p>
          <w:p>
            <w:pPr>
              <w:pStyle w:val="TableContents"/>
              <w:bidi w:val="0"/>
              <w:spacing w:before="0" w:after="283"/>
              <w:jc w:val="left"/>
              <w:rPr>
                <w:color w:val="000000"/>
              </w:rPr>
            </w:pPr>
            <w:r>
              <w:rPr>
                <w:color w:val="000000"/>
              </w:rPr>
              <w:t>   </w:t>
            </w:r>
            <w:r>
              <w:rPr>
                <w:rFonts w:ascii="Times New Roman" w:hAnsi="Times New Roman"/>
                <w:color w:val="000000"/>
                <w:sz w:val="24"/>
              </w:rPr>
              <w:t>penny warrants with performing debt)</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Non-Performing Common Equity</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w:t>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Structured Finance Obligations and Finance Leases</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w:t>
            </w:r>
          </w:p>
        </w:tc>
      </w:tr>
    </w:tbl>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Bank Loans</w:t>
      </w:r>
      <w:r>
        <w:rPr>
          <w:rFonts w:ascii="Times New Roman" w:hAnsi="Times New Roman"/>
          <w:color w:val="000000"/>
          <w:sz w:val="20"/>
        </w:rPr>
        <w:t xml:space="preserve">” </w:t>
      </w:r>
      <w:r>
        <w:rPr>
          <w:rFonts w:ascii="Times New Roman" w:hAnsi="Times New Roman"/>
          <w:color w:val="000000"/>
          <w:sz w:val="24"/>
        </w:rPr>
        <w:t>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Capital Stock</w:t>
      </w:r>
      <w:r>
        <w:rPr>
          <w:rFonts w:ascii="Times New Roman" w:hAnsi="Times New Roman"/>
          <w:color w:val="000000"/>
          <w:sz w:val="20"/>
        </w:rPr>
        <w:t xml:space="preserve">” </w:t>
      </w:r>
      <w:r>
        <w:rPr>
          <w:rFonts w:ascii="Times New Roman" w:hAnsi="Times New Roman"/>
          <w:color w:val="000000"/>
          <w:sz w:val="24"/>
        </w:rPr>
        <w:t>of any Person means any and all shares of corporate stock (however designated) of and any and all other Equity Interests and participations representing ownership interests (including membership interests and limited liability company interests) in, such Person.</w:t>
      </w:r>
    </w:p>
    <w:p>
      <w:pPr>
        <w:pStyle w:val="TextBody"/>
        <w:bidi w:val="0"/>
        <w:spacing w:before="0" w:after="240"/>
        <w:jc w:val="both"/>
        <w:rPr/>
      </w:pPr>
      <w:r>
        <w:rPr>
          <w:color w:val="000000"/>
        </w:rPr>
        <w:t>“</w:t>
      </w:r>
      <w:r>
        <w:rPr>
          <w:rFonts w:ascii="Times New Roman" w:hAnsi="Times New Roman"/>
          <w:color w:val="000000"/>
          <w:sz w:val="24"/>
          <w:u w:val="single"/>
        </w:rPr>
        <w:t>Cash</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0" w:after="240"/>
        <w:jc w:val="both"/>
        <w:rPr/>
      </w:pPr>
      <w:r>
        <w:rPr>
          <w:color w:val="000000"/>
        </w:rPr>
        <w:t>“</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0" w:after="240"/>
        <w:jc w:val="both"/>
        <w:rPr/>
      </w:pPr>
      <w:r>
        <w:rPr>
          <w:color w:val="000000"/>
        </w:rPr>
        <w:t>“</w:t>
      </w:r>
      <w:r>
        <w:rPr>
          <w:rFonts w:ascii="Times New Roman" w:hAnsi="Times New Roman"/>
          <w:color w:val="000000"/>
          <w:sz w:val="24"/>
          <w:u w:val="single"/>
        </w:rPr>
        <w:t>Finance Lease</w:t>
      </w:r>
      <w:r>
        <w:rPr>
          <w:rFonts w:ascii="Times New Roman" w:hAnsi="Times New Roman"/>
          <w:color w:val="000000"/>
          <w:sz w:val="20"/>
        </w:rPr>
        <w:t xml:space="preserve">” </w:t>
      </w:r>
      <w:r>
        <w:rPr>
          <w:rFonts w:ascii="Times New Roman" w:hAnsi="Times New Roman"/>
          <w:color w:val="000000"/>
          <w:sz w:val="24"/>
        </w:rPr>
        <w:t>means any transaction representing the obligation of a lessee to pay rent or other amounts under a lease which is required to be classified and accounted for as a capital lease on the balance sheet of such lessee under GAAP.</w:t>
      </w:r>
    </w:p>
    <w:p>
      <w:pPr>
        <w:pStyle w:val="TextBody"/>
        <w:bidi w:val="0"/>
        <w:spacing w:before="0" w:after="240"/>
        <w:jc w:val="both"/>
        <w:rPr/>
      </w:pPr>
      <w:r>
        <w:rPr>
          <w:color w:val="000000"/>
        </w:rPr>
        <w:t>“</w:t>
      </w:r>
      <w:r>
        <w:rPr>
          <w:rFonts w:ascii="Times New Roman" w:hAnsi="Times New Roman"/>
          <w:color w:val="000000"/>
          <w:sz w:val="24"/>
          <w:u w:val="single"/>
        </w:rPr>
        <w:t>First Lien Bank Loan</w:t>
      </w:r>
      <w:r>
        <w:rPr>
          <w:rFonts w:ascii="Times New Roman" w:hAnsi="Times New Roman"/>
          <w:color w:val="000000"/>
          <w:sz w:val="20"/>
        </w:rPr>
        <w:t xml:space="preserve">” </w:t>
      </w:r>
      <w:r>
        <w:rPr>
          <w:rFonts w:ascii="Times New Roman" w:hAnsi="Times New Roman"/>
          <w:color w:val="000000"/>
          <w:sz w:val="24"/>
        </w:rPr>
        <w:t>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pStyle w:val="TextBody"/>
        <w:bidi w:val="0"/>
        <w:spacing w:before="0" w:after="240"/>
        <w:jc w:val="both"/>
        <w:rPr/>
      </w:pPr>
      <w:r>
        <w:rPr>
          <w:color w:val="000000"/>
        </w:rPr>
        <w:t>“</w:t>
      </w:r>
      <w:r>
        <w:rPr>
          <w:rFonts w:ascii="Times New Roman" w:hAnsi="Times New Roman"/>
          <w:color w:val="000000"/>
          <w:sz w:val="24"/>
          <w:u w:val="single"/>
        </w:rPr>
        <w:t>High Yield Securities</w:t>
      </w:r>
      <w:r>
        <w:rPr>
          <w:rFonts w:ascii="Times New Roman" w:hAnsi="Times New Roman"/>
          <w:color w:val="000000"/>
          <w:sz w:val="20"/>
        </w:rPr>
        <w:t xml:space="preserve">” </w:t>
      </w:r>
      <w:r>
        <w:rPr>
          <w:rFonts w:ascii="Times New Roman" w:hAnsi="Times New Roman"/>
          <w:color w:val="000000"/>
          <w:sz w:val="24"/>
        </w:rPr>
        <w:t>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pStyle w:val="TextBody"/>
        <w:bidi w:val="0"/>
        <w:spacing w:before="0" w:after="240"/>
        <w:jc w:val="both"/>
        <w:rPr/>
      </w:pPr>
      <w:r>
        <w:rPr>
          <w:color w:val="000000"/>
        </w:rPr>
        <w:t>“</w:t>
      </w:r>
      <w:r>
        <w:rPr>
          <w:rFonts w:ascii="Times New Roman" w:hAnsi="Times New Roman"/>
          <w:color w:val="000000"/>
          <w:sz w:val="24"/>
          <w:u w:val="single"/>
        </w:rPr>
        <w:t>Long-Term U.S. Government Securities</w:t>
      </w:r>
      <w:r>
        <w:rPr>
          <w:rFonts w:ascii="Times New Roman" w:hAnsi="Times New Roman"/>
          <w:color w:val="000000"/>
          <w:sz w:val="20"/>
        </w:rPr>
        <w:t xml:space="preserve">” </w:t>
      </w:r>
      <w:r>
        <w:rPr>
          <w:rFonts w:ascii="Times New Roman" w:hAnsi="Times New Roman"/>
          <w:color w:val="000000"/>
          <w:sz w:val="24"/>
        </w:rPr>
        <w:t>means U.S. Government Securities maturing more than one year from the applicable date of determination.</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Mezzanine Investments</w:t>
      </w:r>
      <w:r>
        <w:rPr>
          <w:rFonts w:ascii="Times New Roman" w:hAnsi="Times New Roman"/>
          <w:color w:val="000000"/>
          <w:sz w:val="20"/>
        </w:rPr>
        <w:t xml:space="preserve">” </w:t>
      </w:r>
      <w:r>
        <w:rPr>
          <w:rFonts w:ascii="Times New Roman" w:hAnsi="Times New Roman"/>
          <w:color w:val="000000"/>
          <w:sz w:val="24"/>
        </w:rPr>
        <w:t>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pStyle w:val="TextBody"/>
        <w:bidi w:val="0"/>
        <w:spacing w:before="0" w:after="240"/>
        <w:jc w:val="both"/>
        <w:rPr/>
      </w:pPr>
      <w:r>
        <w:rPr>
          <w:color w:val="000000"/>
        </w:rPr>
        <w:t>“</w:t>
      </w:r>
      <w:r>
        <w:rPr>
          <w:rFonts w:ascii="Times New Roman" w:hAnsi="Times New Roman"/>
          <w:color w:val="000000"/>
          <w:sz w:val="24"/>
          <w:u w:val="single"/>
        </w:rPr>
        <w:t>Non-Performing Common Equity</w:t>
      </w:r>
      <w:r>
        <w:rPr>
          <w:rFonts w:ascii="Times New Roman" w:hAnsi="Times New Roman"/>
          <w:color w:val="000000"/>
          <w:sz w:val="20"/>
        </w:rPr>
        <w:t xml:space="preserve">” </w:t>
      </w:r>
      <w:r>
        <w:rPr>
          <w:rFonts w:ascii="Times New Roman" w:hAnsi="Times New Roman"/>
          <w:color w:val="000000"/>
          <w:sz w:val="24"/>
        </w:rPr>
        <w:t>means Capital Stock (other than Preferred Stock) and warrants of an issuer having any debt outstanding that is non-Performing.</w:t>
      </w:r>
    </w:p>
    <w:p>
      <w:pPr>
        <w:pStyle w:val="TextBody"/>
        <w:bidi w:val="0"/>
        <w:spacing w:before="0" w:after="240"/>
        <w:jc w:val="both"/>
        <w:rPr/>
      </w:pPr>
      <w:r>
        <w:rPr>
          <w:color w:val="000000"/>
        </w:rPr>
        <w:t>“</w:t>
      </w:r>
      <w:r>
        <w:rPr>
          <w:rFonts w:ascii="Times New Roman" w:hAnsi="Times New Roman"/>
          <w:color w:val="000000"/>
          <w:sz w:val="24"/>
          <w:u w:val="single"/>
        </w:rPr>
        <w:t>Non-Performing First Lien Bank Loans</w:t>
      </w:r>
      <w:r>
        <w:rPr>
          <w:rFonts w:ascii="Times New Roman" w:hAnsi="Times New Roman"/>
          <w:color w:val="000000"/>
          <w:sz w:val="20"/>
        </w:rPr>
        <w:t xml:space="preserve">” </w:t>
      </w:r>
      <w:r>
        <w:rPr>
          <w:rFonts w:ascii="Times New Roman" w:hAnsi="Times New Roman"/>
          <w:color w:val="000000"/>
          <w:sz w:val="24"/>
        </w:rPr>
        <w:t>means First Lien Bank Loans other than Performing First Lien Bank Loans.</w:t>
      </w:r>
    </w:p>
    <w:p>
      <w:pPr>
        <w:pStyle w:val="TextBody"/>
        <w:bidi w:val="0"/>
        <w:spacing w:before="0" w:after="240"/>
        <w:jc w:val="both"/>
        <w:rPr/>
      </w:pPr>
      <w:r>
        <w:rPr>
          <w:color w:val="000000"/>
        </w:rPr>
        <w:t>“</w:t>
      </w:r>
      <w:r>
        <w:rPr>
          <w:rFonts w:ascii="Times New Roman" w:hAnsi="Times New Roman"/>
          <w:color w:val="000000"/>
          <w:sz w:val="24"/>
          <w:u w:val="single"/>
        </w:rPr>
        <w:t>Non-Performing High Yield Securities</w:t>
      </w:r>
      <w:r>
        <w:rPr>
          <w:rFonts w:ascii="Times New Roman" w:hAnsi="Times New Roman"/>
          <w:color w:val="000000"/>
          <w:sz w:val="20"/>
        </w:rPr>
        <w:t xml:space="preserve">” </w:t>
      </w:r>
      <w:r>
        <w:rPr>
          <w:rFonts w:ascii="Times New Roman" w:hAnsi="Times New Roman"/>
          <w:color w:val="000000"/>
          <w:sz w:val="24"/>
        </w:rPr>
        <w:t>means High Yield Securities other than Performing High Yield Securities.</w:t>
      </w:r>
    </w:p>
    <w:p>
      <w:pPr>
        <w:pStyle w:val="TextBody"/>
        <w:bidi w:val="0"/>
        <w:spacing w:before="0" w:after="240"/>
        <w:jc w:val="both"/>
        <w:rPr/>
      </w:pPr>
      <w:r>
        <w:rPr>
          <w:color w:val="000000"/>
        </w:rPr>
        <w:t>“</w:t>
      </w:r>
      <w:r>
        <w:rPr>
          <w:rFonts w:ascii="Times New Roman" w:hAnsi="Times New Roman"/>
          <w:color w:val="000000"/>
          <w:sz w:val="24"/>
          <w:u w:val="single"/>
        </w:rPr>
        <w:t>Non-Performing Mezzanine Investments</w:t>
      </w:r>
      <w:r>
        <w:rPr>
          <w:rFonts w:ascii="Times New Roman" w:hAnsi="Times New Roman"/>
          <w:color w:val="000000"/>
          <w:sz w:val="20"/>
        </w:rPr>
        <w:t xml:space="preserve">” </w:t>
      </w:r>
      <w:r>
        <w:rPr>
          <w:rFonts w:ascii="Times New Roman" w:hAnsi="Times New Roman"/>
          <w:color w:val="000000"/>
          <w:sz w:val="24"/>
        </w:rPr>
        <w:t>means Mezzanine Investments other than Performing Mezzanine Investments.</w:t>
      </w:r>
    </w:p>
    <w:p>
      <w:pPr>
        <w:pStyle w:val="TextBody"/>
        <w:bidi w:val="0"/>
        <w:spacing w:before="0" w:after="240"/>
        <w:jc w:val="both"/>
        <w:rPr/>
      </w:pPr>
      <w:r>
        <w:rPr>
          <w:color w:val="000000"/>
        </w:rPr>
        <w:t>“</w:t>
      </w:r>
      <w:r>
        <w:rPr>
          <w:rFonts w:ascii="Times New Roman" w:hAnsi="Times New Roman"/>
          <w:color w:val="000000"/>
          <w:sz w:val="24"/>
          <w:u w:val="single"/>
        </w:rPr>
        <w:t>Non-Performing Portfolio Investment</w:t>
      </w:r>
      <w:r>
        <w:rPr>
          <w:rFonts w:ascii="Times New Roman" w:hAnsi="Times New Roman"/>
          <w:color w:val="000000"/>
          <w:sz w:val="20"/>
        </w:rPr>
        <w:t xml:space="preserve">” </w:t>
      </w:r>
      <w:r>
        <w:rPr>
          <w:rFonts w:ascii="Times New Roman" w:hAnsi="Times New Roman"/>
          <w:color w:val="000000"/>
          <w:sz w:val="24"/>
        </w:rPr>
        <w:t>means Portfolio Investments for which the issuer is in default of any payment obligations of principal or interest in respect thereof after the expiration of any applicable grace period.</w:t>
      </w:r>
    </w:p>
    <w:p>
      <w:pPr>
        <w:pStyle w:val="TextBody"/>
        <w:bidi w:val="0"/>
        <w:spacing w:before="0" w:after="240"/>
        <w:jc w:val="both"/>
        <w:rPr/>
      </w:pPr>
      <w:r>
        <w:rPr>
          <w:color w:val="000000"/>
        </w:rPr>
        <w:t>“</w:t>
      </w:r>
      <w:r>
        <w:rPr>
          <w:rFonts w:ascii="Times New Roman" w:hAnsi="Times New Roman"/>
          <w:color w:val="000000"/>
          <w:sz w:val="24"/>
          <w:u w:val="single"/>
        </w:rPr>
        <w:t>Non-Performing Second Lien Bank Loans</w:t>
      </w:r>
      <w:r>
        <w:rPr>
          <w:rFonts w:ascii="Times New Roman" w:hAnsi="Times New Roman"/>
          <w:color w:val="000000"/>
          <w:sz w:val="20"/>
        </w:rPr>
        <w:t xml:space="preserve">” </w:t>
      </w:r>
      <w:r>
        <w:rPr>
          <w:rFonts w:ascii="Times New Roman" w:hAnsi="Times New Roman"/>
          <w:color w:val="000000"/>
          <w:sz w:val="24"/>
        </w:rPr>
        <w:t>means Second Lien Bank Loans other than Performing Second Lien Bank Loans.</w:t>
      </w:r>
    </w:p>
    <w:p>
      <w:pPr>
        <w:pStyle w:val="TextBody"/>
        <w:bidi w:val="0"/>
        <w:spacing w:before="0" w:after="240"/>
        <w:jc w:val="both"/>
        <w:rPr/>
      </w:pPr>
      <w:r>
        <w:rPr>
          <w:color w:val="000000"/>
        </w:rPr>
        <w:t>“</w:t>
      </w:r>
      <w:r>
        <w:rPr>
          <w:rFonts w:ascii="Times New Roman" w:hAnsi="Times New Roman"/>
          <w:color w:val="000000"/>
          <w:sz w:val="24"/>
          <w:u w:val="single"/>
        </w:rPr>
        <w:t>Non-Performing Unitranche Loans</w:t>
      </w:r>
      <w:r>
        <w:rPr>
          <w:rFonts w:ascii="Times New Roman" w:hAnsi="Times New Roman"/>
          <w:color w:val="000000"/>
          <w:sz w:val="20"/>
        </w:rPr>
        <w:t xml:space="preserve">” </w:t>
      </w:r>
      <w:r>
        <w:rPr>
          <w:rFonts w:ascii="Times New Roman" w:hAnsi="Times New Roman"/>
          <w:color w:val="000000"/>
          <w:sz w:val="24"/>
        </w:rPr>
        <w:t>means Unitranche Loans other than Performing Unitranche Loans.</w:t>
      </w:r>
    </w:p>
    <w:p>
      <w:pPr>
        <w:pStyle w:val="TextBody"/>
        <w:bidi w:val="0"/>
        <w:spacing w:before="0" w:after="240"/>
        <w:jc w:val="both"/>
        <w:rPr/>
      </w:pPr>
      <w:r>
        <w:rPr>
          <w:color w:val="000000"/>
        </w:rPr>
        <w:t>“</w:t>
      </w:r>
      <w:r>
        <w:rPr>
          <w:rFonts w:ascii="Times New Roman" w:hAnsi="Times New Roman"/>
          <w:color w:val="000000"/>
          <w:sz w:val="24"/>
          <w:u w:val="single"/>
        </w:rPr>
        <w:t>Participation Interest</w:t>
      </w:r>
      <w:r>
        <w:rPr>
          <w:rFonts w:ascii="Times New Roman" w:hAnsi="Times New Roman"/>
          <w:color w:val="000000"/>
          <w:sz w:val="20"/>
        </w:rPr>
        <w:t xml:space="preserve">” </w:t>
      </w:r>
      <w:r>
        <w:rPr>
          <w:rFonts w:ascii="Times New Roman" w:hAnsi="Times New Roman"/>
          <w:color w:val="000000"/>
          <w:sz w:val="24"/>
        </w:rPr>
        <w:t>means a participation interest (excluding any sub-participation interests) in an investment that at the time of acquisition by an Obligor satisfies each of the following criteria: (a) the underlying investment would constitute a Portfolio Investment were it acquired directly by such Obligor, (b) the seller of the participation is a Financing Subsidiary, (c) the entire purchase price for such participation is paid in full at the time of its acquisition and (d) the participation provides the participant all of the economic benefit and risk of the whole or part of such portfolio investment that is the subject of such participation.</w:t>
      </w:r>
    </w:p>
    <w:p>
      <w:pPr>
        <w:pStyle w:val="TextBody"/>
        <w:bidi w:val="0"/>
        <w:spacing w:before="0" w:after="240"/>
        <w:jc w:val="both"/>
        <w:rPr/>
      </w:pPr>
      <w:r>
        <w:rPr>
          <w:color w:val="000000"/>
        </w:rPr>
        <w:t>“</w:t>
      </w:r>
      <w:r>
        <w:rPr>
          <w:rFonts w:ascii="Times New Roman" w:hAnsi="Times New Roman"/>
          <w:color w:val="000000"/>
          <w:sz w:val="24"/>
          <w:u w:val="single"/>
        </w:rPr>
        <w:t>Performing</w:t>
      </w:r>
      <w:r>
        <w:rPr>
          <w:rFonts w:ascii="Times New Roman" w:hAnsi="Times New Roman"/>
          <w:color w:val="000000"/>
          <w:sz w:val="20"/>
        </w:rPr>
        <w:t xml:space="preserve">” </w:t>
      </w:r>
      <w:r>
        <w:rPr>
          <w:rFonts w:ascii="Times New Roman" w:hAnsi="Times New Roman"/>
          <w:color w:val="000000"/>
          <w:sz w:val="24"/>
        </w:rPr>
        <w:t>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pStyle w:val="TextBody"/>
        <w:bidi w:val="0"/>
        <w:spacing w:before="0" w:after="240"/>
        <w:jc w:val="both"/>
        <w:rPr/>
      </w:pPr>
      <w:r>
        <w:rPr>
          <w:color w:val="000000"/>
        </w:rPr>
        <w:t>“</w:t>
      </w:r>
      <w:r>
        <w:rPr>
          <w:rFonts w:ascii="Times New Roman" w:hAnsi="Times New Roman"/>
          <w:color w:val="000000"/>
          <w:sz w:val="24"/>
          <w:u w:val="single"/>
        </w:rPr>
        <w:t>Performing Cash Pay High Yield Securities</w:t>
      </w:r>
      <w:r>
        <w:rPr>
          <w:rFonts w:ascii="Times New Roman" w:hAnsi="Times New Roman"/>
          <w:color w:val="000000"/>
          <w:sz w:val="20"/>
        </w:rPr>
        <w:t xml:space="preserve">” </w:t>
      </w:r>
      <w:r>
        <w:rPr>
          <w:rFonts w:ascii="Times New Roman" w:hAnsi="Times New Roman"/>
          <w:color w:val="000000"/>
          <w:sz w:val="24"/>
        </w:rPr>
        <w:t>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Performing Cash Pay Mezzanine Investments</w:t>
      </w:r>
      <w:r>
        <w:rPr>
          <w:rFonts w:ascii="Times New Roman" w:hAnsi="Times New Roman"/>
          <w:color w:val="000000"/>
          <w:sz w:val="20"/>
        </w:rPr>
        <w:t xml:space="preserve">” </w:t>
      </w:r>
      <w:r>
        <w:rPr>
          <w:rFonts w:ascii="Times New Roman" w:hAnsi="Times New Roman"/>
          <w:color w:val="000000"/>
          <w:sz w:val="24"/>
        </w:rPr>
        <w:t>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pStyle w:val="TextBody"/>
        <w:bidi w:val="0"/>
        <w:spacing w:before="0" w:after="240"/>
        <w:jc w:val="both"/>
        <w:rPr/>
      </w:pPr>
      <w:r>
        <w:rPr>
          <w:color w:val="000000"/>
        </w:rPr>
        <w:t>“</w:t>
      </w:r>
      <w:r>
        <w:rPr>
          <w:rFonts w:ascii="Times New Roman" w:hAnsi="Times New Roman"/>
          <w:color w:val="000000"/>
          <w:sz w:val="24"/>
          <w:u w:val="single"/>
        </w:rPr>
        <w:t>Performing Common Equity</w:t>
      </w:r>
      <w:r>
        <w:rPr>
          <w:rFonts w:ascii="Times New Roman" w:hAnsi="Times New Roman"/>
          <w:color w:val="000000"/>
          <w:sz w:val="20"/>
        </w:rPr>
        <w:t xml:space="preserve">” </w:t>
      </w:r>
      <w:r>
        <w:rPr>
          <w:rFonts w:ascii="Times New Roman" w:hAnsi="Times New Roman"/>
          <w:color w:val="000000"/>
          <w:sz w:val="24"/>
        </w:rPr>
        <w:t>means Capital Stock (other than Preferred Stock) and warrants of an issuer all of whose outstanding debt is Performing.</w:t>
      </w:r>
    </w:p>
    <w:p>
      <w:pPr>
        <w:pStyle w:val="TextBody"/>
        <w:bidi w:val="0"/>
        <w:spacing w:before="0" w:after="240"/>
        <w:jc w:val="both"/>
        <w:rPr/>
      </w:pPr>
      <w:r>
        <w:rPr>
          <w:color w:val="000000"/>
        </w:rPr>
        <w:t>“</w:t>
      </w:r>
      <w:r>
        <w:rPr>
          <w:rFonts w:ascii="Times New Roman" w:hAnsi="Times New Roman"/>
          <w:color w:val="000000"/>
          <w:sz w:val="24"/>
          <w:u w:val="single"/>
        </w:rPr>
        <w:t>Performing First Lien Bank Loans</w:t>
      </w:r>
      <w:r>
        <w:rPr>
          <w:rFonts w:ascii="Times New Roman" w:hAnsi="Times New Roman"/>
          <w:color w:val="000000"/>
          <w:sz w:val="20"/>
        </w:rPr>
        <w:t xml:space="preserve">” </w:t>
      </w:r>
      <w:r>
        <w:rPr>
          <w:rFonts w:ascii="Times New Roman" w:hAnsi="Times New Roman"/>
          <w:color w:val="000000"/>
          <w:sz w:val="24"/>
        </w:rPr>
        <w:t>means First Lien Bank Loans which are Performing.</w:t>
      </w:r>
    </w:p>
    <w:p>
      <w:pPr>
        <w:pStyle w:val="TextBody"/>
        <w:bidi w:val="0"/>
        <w:spacing w:before="0" w:after="240"/>
        <w:jc w:val="both"/>
        <w:rPr/>
      </w:pPr>
      <w:r>
        <w:rPr>
          <w:color w:val="000000"/>
        </w:rPr>
        <w:t>“</w:t>
      </w:r>
      <w:r>
        <w:rPr>
          <w:rFonts w:ascii="Times New Roman" w:hAnsi="Times New Roman"/>
          <w:color w:val="000000"/>
          <w:sz w:val="24"/>
          <w:u w:val="single"/>
        </w:rPr>
        <w:t>Performing Non-Cash Pay High Yield Securities</w:t>
      </w:r>
      <w:r>
        <w:rPr>
          <w:rFonts w:ascii="Times New Roman" w:hAnsi="Times New Roman"/>
          <w:color w:val="000000"/>
          <w:sz w:val="20"/>
        </w:rPr>
        <w:t xml:space="preserve">” </w:t>
      </w:r>
      <w:r>
        <w:rPr>
          <w:rFonts w:ascii="Times New Roman" w:hAnsi="Times New Roman"/>
          <w:color w:val="000000"/>
          <w:sz w:val="24"/>
        </w:rPr>
        <w:t>means Performing High Yield Securities other than Performing Cash Pay High Yield Securities.</w:t>
      </w:r>
    </w:p>
    <w:p>
      <w:pPr>
        <w:pStyle w:val="TextBody"/>
        <w:bidi w:val="0"/>
        <w:spacing w:before="0" w:after="240"/>
        <w:jc w:val="both"/>
        <w:rPr/>
      </w:pPr>
      <w:r>
        <w:rPr>
          <w:color w:val="000000"/>
        </w:rPr>
        <w:t>“</w:t>
      </w:r>
      <w:r>
        <w:rPr>
          <w:rFonts w:ascii="Times New Roman" w:hAnsi="Times New Roman"/>
          <w:color w:val="000000"/>
          <w:sz w:val="24"/>
          <w:u w:val="single"/>
        </w:rPr>
        <w:t>Performing Non-Cash Pay Mezzanine Investments</w:t>
      </w:r>
      <w:r>
        <w:rPr>
          <w:rFonts w:ascii="Times New Roman" w:hAnsi="Times New Roman"/>
          <w:color w:val="000000"/>
          <w:sz w:val="20"/>
        </w:rPr>
        <w:t xml:space="preserve">” </w:t>
      </w:r>
      <w:r>
        <w:rPr>
          <w:rFonts w:ascii="Times New Roman" w:hAnsi="Times New Roman"/>
          <w:color w:val="000000"/>
          <w:sz w:val="24"/>
        </w:rPr>
        <w:t>means Performing Mezzanine Investments other than Performing Cash Pay Mezzanine Investments.</w:t>
      </w:r>
    </w:p>
    <w:p>
      <w:pPr>
        <w:pStyle w:val="TextBody"/>
        <w:bidi w:val="0"/>
        <w:spacing w:before="0" w:after="240"/>
        <w:jc w:val="both"/>
        <w:rPr/>
      </w:pPr>
      <w:r>
        <w:rPr>
          <w:color w:val="000000"/>
        </w:rPr>
        <w:t>“</w:t>
      </w:r>
      <w:r>
        <w:rPr>
          <w:rFonts w:ascii="Times New Roman" w:hAnsi="Times New Roman"/>
          <w:color w:val="000000"/>
          <w:sz w:val="24"/>
          <w:u w:val="single"/>
        </w:rPr>
        <w:t>Performing Second Lien Bank Loans</w:t>
      </w:r>
      <w:r>
        <w:rPr>
          <w:rFonts w:ascii="Times New Roman" w:hAnsi="Times New Roman"/>
          <w:color w:val="000000"/>
          <w:sz w:val="20"/>
        </w:rPr>
        <w:t xml:space="preserve">” </w:t>
      </w:r>
      <w:r>
        <w:rPr>
          <w:rFonts w:ascii="Times New Roman" w:hAnsi="Times New Roman"/>
          <w:color w:val="000000"/>
          <w:sz w:val="24"/>
        </w:rPr>
        <w:t>means Second Lien Bank Loans which are Performing.</w:t>
      </w:r>
    </w:p>
    <w:p>
      <w:pPr>
        <w:pStyle w:val="TextBody"/>
        <w:bidi w:val="0"/>
        <w:spacing w:before="0" w:after="240"/>
        <w:jc w:val="both"/>
        <w:rPr/>
      </w:pPr>
      <w:r>
        <w:rPr>
          <w:color w:val="000000"/>
        </w:rPr>
        <w:t>“</w:t>
      </w:r>
      <w:r>
        <w:rPr>
          <w:rFonts w:ascii="Times New Roman" w:hAnsi="Times New Roman"/>
          <w:color w:val="000000"/>
          <w:sz w:val="24"/>
          <w:u w:val="single"/>
        </w:rPr>
        <w:t>Preferred Stock</w:t>
      </w:r>
      <w:r>
        <w:rPr>
          <w:rFonts w:ascii="Times New Roman" w:hAnsi="Times New Roman"/>
          <w:color w:val="000000"/>
          <w:sz w:val="24"/>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pStyle w:val="TextBody"/>
        <w:bidi w:val="0"/>
        <w:spacing w:before="0" w:after="240"/>
        <w:jc w:val="both"/>
        <w:rPr/>
      </w:pPr>
      <w:r>
        <w:rPr>
          <w:color w:val="000000"/>
        </w:rPr>
        <w:t>“</w:t>
      </w:r>
      <w:r>
        <w:rPr>
          <w:rFonts w:ascii="Times New Roman" w:hAnsi="Times New Roman"/>
          <w:color w:val="000000"/>
          <w:sz w:val="24"/>
          <w:u w:val="single"/>
        </w:rPr>
        <w:t>Second Lien Bank Loan</w:t>
      </w:r>
      <w:r>
        <w:rPr>
          <w:rFonts w:ascii="Times New Roman" w:hAnsi="Times New Roman"/>
          <w:color w:val="000000"/>
          <w:sz w:val="20"/>
        </w:rPr>
        <w:t xml:space="preserve">” </w:t>
      </w:r>
      <w:r>
        <w:rPr>
          <w:rFonts w:ascii="Times New Roman" w:hAnsi="Times New Roman"/>
          <w:color w:val="000000"/>
          <w:sz w:val="24"/>
        </w:rPr>
        <w:t>means a Bank Loan that is entitled to the benefit of a second lien and second priority perfected security interest (subject to customary encumbrances) on specified assets of the respective borrower and guarantors obligated in respect thereof.</w:t>
      </w:r>
    </w:p>
    <w:p>
      <w:pPr>
        <w:pStyle w:val="TextBody"/>
        <w:bidi w:val="0"/>
        <w:spacing w:before="0" w:after="240"/>
        <w:jc w:val="both"/>
        <w:rPr/>
      </w:pPr>
      <w:r>
        <w:rPr>
          <w:color w:val="000000"/>
        </w:rPr>
        <w:t>“</w:t>
      </w:r>
      <w:r>
        <w:rPr>
          <w:rFonts w:ascii="Times New Roman" w:hAnsi="Times New Roman"/>
          <w:color w:val="000000"/>
          <w:sz w:val="24"/>
          <w:u w:val="single"/>
        </w:rPr>
        <w:t>Securities</w:t>
      </w:r>
      <w:r>
        <w:rPr>
          <w:rFonts w:ascii="Times New Roman" w:hAnsi="Times New Roman"/>
          <w:color w:val="000000"/>
          <w:sz w:val="20"/>
        </w:rPr>
        <w:t xml:space="preserve">” </w:t>
      </w:r>
      <w:r>
        <w:rPr>
          <w:rFonts w:ascii="Times New Roman" w:hAnsi="Times New Roman"/>
          <w:color w:val="000000"/>
          <w:sz w:val="24"/>
        </w:rPr>
        <w:t>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United States Securities Act of 1933, as amended.</w:t>
      </w:r>
    </w:p>
    <w:p>
      <w:pPr>
        <w:pStyle w:val="TextBody"/>
        <w:bidi w:val="0"/>
        <w:spacing w:before="0" w:after="240"/>
        <w:jc w:val="both"/>
        <w:rPr/>
      </w:pPr>
      <w:r>
        <w:rPr>
          <w:color w:val="000000"/>
        </w:rPr>
        <w:t>“</w:t>
      </w:r>
      <w:r>
        <w:rPr>
          <w:rFonts w:ascii="Times New Roman" w:hAnsi="Times New Roman"/>
          <w:color w:val="000000"/>
          <w:sz w:val="24"/>
          <w:u w:val="single"/>
        </w:rPr>
        <w:t>Short-Term U.S. Government Securities</w:t>
      </w:r>
      <w:r>
        <w:rPr>
          <w:rFonts w:ascii="Times New Roman" w:hAnsi="Times New Roman"/>
          <w:color w:val="000000"/>
          <w:sz w:val="20"/>
        </w:rPr>
        <w:t xml:space="preserve">” </w:t>
      </w:r>
      <w:r>
        <w:rPr>
          <w:rFonts w:ascii="Times New Roman" w:hAnsi="Times New Roman"/>
          <w:color w:val="000000"/>
          <w:sz w:val="24"/>
        </w:rPr>
        <w:t>means U.S. Government Securities maturing within one year of the applicable date of determination.</w:t>
      </w:r>
    </w:p>
    <w:p>
      <w:pPr>
        <w:pStyle w:val="TextBody"/>
        <w:bidi w:val="0"/>
        <w:spacing w:before="0" w:after="240"/>
        <w:jc w:val="both"/>
        <w:rPr/>
      </w:pPr>
      <w:r>
        <w:rPr>
          <w:color w:val="000000"/>
        </w:rPr>
        <w:t>“</w:t>
      </w:r>
      <w:r>
        <w:rPr>
          <w:rFonts w:ascii="Times New Roman" w:hAnsi="Times New Roman"/>
          <w:color w:val="000000"/>
          <w:sz w:val="24"/>
          <w:u w:val="single"/>
        </w:rPr>
        <w:t>Structured Finance Obligation</w:t>
      </w:r>
      <w:r>
        <w:rPr>
          <w:rFonts w:ascii="Times New Roman" w:hAnsi="Times New Roman"/>
          <w:color w:val="000000"/>
          <w:sz w:val="20"/>
        </w:rPr>
        <w:t xml:space="preserve">” </w:t>
      </w:r>
      <w:r>
        <w:rPr>
          <w:rFonts w:ascii="Times New Roman" w:hAnsi="Times New Roman"/>
          <w:color w:val="000000"/>
          <w:sz w:val="24"/>
        </w:rPr>
        <w:t>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Structured Finance Obligation”, such obligation shall not (a) qualify as any other category of Portfolio Investment and (b) be included in the Borrowing Base.</w:t>
      </w:r>
    </w:p>
    <w:p>
      <w:pPr>
        <w:pStyle w:val="TextBody"/>
        <w:bidi w:val="0"/>
        <w:spacing w:before="0" w:after="240"/>
        <w:jc w:val="both"/>
        <w:rPr/>
      </w:pPr>
      <w:r>
        <w:rPr>
          <w:color w:val="000000"/>
        </w:rPr>
        <w:t>“</w:t>
      </w:r>
      <w:r>
        <w:rPr>
          <w:rFonts w:ascii="Times New Roman" w:hAnsi="Times New Roman"/>
          <w:color w:val="000000"/>
          <w:sz w:val="24"/>
          <w:u w:val="single"/>
        </w:rPr>
        <w:t>U.S. Government Securities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Unitranche Loan</w:t>
      </w:r>
      <w:r>
        <w:rPr>
          <w:rFonts w:ascii="Times New Roman" w:hAnsi="Times New Roman"/>
          <w:color w:val="000000"/>
          <w:sz w:val="20"/>
        </w:rPr>
        <w:t xml:space="preserve">” </w:t>
      </w:r>
      <w:r>
        <w:rPr>
          <w:rFonts w:ascii="Times New Roman" w:hAnsi="Times New Roman"/>
          <w:color w:val="000000"/>
          <w:sz w:val="24"/>
        </w:rPr>
        <w:t>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this Agreement.</w:t>
      </w:r>
    </w:p>
    <w:p>
      <w:pPr>
        <w:pStyle w:val="TextBody"/>
        <w:bidi w:val="0"/>
        <w:spacing w:before="0" w:after="240"/>
        <w:jc w:val="both"/>
        <w:rPr/>
      </w:pPr>
      <w:r>
        <w:rPr>
          <w:color w:val="000000"/>
        </w:rPr>
        <w:t>“</w:t>
      </w:r>
      <w:r>
        <w:rPr>
          <w:rFonts w:ascii="Times New Roman" w:hAnsi="Times New Roman"/>
          <w:color w:val="000000"/>
          <w:sz w:val="24"/>
          <w:u w:val="single"/>
        </w:rPr>
        <w:t>Value</w:t>
      </w:r>
      <w:r>
        <w:rPr>
          <w:rFonts w:ascii="Times New Roman" w:hAnsi="Times New Roman"/>
          <w:color w:val="000000"/>
          <w:sz w:val="20"/>
        </w:rPr>
        <w:t xml:space="preserve">” </w:t>
      </w:r>
      <w:r>
        <w:rPr>
          <w:rFonts w:ascii="Times New Roman" w:hAnsi="Times New Roman"/>
          <w:color w:val="000000"/>
          <w:sz w:val="24"/>
        </w:rPr>
        <w:t>means, with respect to any Portfolio Investment, the lower 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the most recent internal market value as determined pursuant to </w:t>
      </w:r>
      <w:r>
        <w:rPr>
          <w:rFonts w:ascii="Times New Roman" w:hAnsi="Times New Roman"/>
          <w:color w:val="000000"/>
          <w:sz w:val="24"/>
          <w:u w:val="single"/>
        </w:rPr>
        <w:t>Section 5.12(b)(ii)(C)</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the most recent external market value as determined pursuant to </w:t>
      </w:r>
      <w:r>
        <w:rPr>
          <w:rFonts w:ascii="Times New Roman" w:hAnsi="Times New Roman"/>
          <w:color w:val="000000"/>
          <w:sz w:val="24"/>
          <w:u w:val="single"/>
        </w:rPr>
        <w:t>Section 5.12(b)(ii)(A)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VI</w:t>
        <w:br/>
        <w:br/>
      </w:r>
      <w:r>
        <w:rPr>
          <w:rFonts w:ascii="Times New Roman" w:hAnsi="Times New Roman"/>
          <w:caps/>
          <w:color w:val="000000"/>
          <w:sz w:val="24"/>
          <w:u w:val="single"/>
        </w:rPr>
        <w:t>NEGATIVE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Commitments have expired or terminated and the principal of and accrued 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6.01.</w:t>
      </w:r>
      <w:r>
        <w:rPr>
          <w:rFonts w:ascii="Times New Roman" w:hAnsi="Times New Roman"/>
          <w:color w:val="000000"/>
          <w:sz w:val="20"/>
        </w:rPr>
        <w:t xml:space="preserve"> </w:t>
      </w:r>
      <w:r>
        <w:rPr>
          <w:rFonts w:ascii="Times New Roman" w:hAnsi="Times New Roman"/>
          <w:color w:val="000000"/>
          <w:sz w:val="24"/>
          <w:u w:val="single"/>
        </w:rPr>
        <w:t>Indebtedness</w:t>
      </w:r>
      <w:r>
        <w:rPr>
          <w:rFonts w:ascii="Times New Roman" w:hAnsi="Times New Roman"/>
          <w:color w:val="000000"/>
          <w:sz w:val="24"/>
        </w:rPr>
        <w:t xml:space="preserve">. Subject to the last sentence of this </w:t>
      </w:r>
      <w:r>
        <w:rPr>
          <w:rFonts w:ascii="Times New Roman" w:hAnsi="Times New Roman"/>
          <w:color w:val="000000"/>
          <w:sz w:val="24"/>
          <w:u w:val="single"/>
        </w:rPr>
        <w:t>Section 6.01</w:t>
      </w:r>
      <w:r>
        <w:rPr>
          <w:rFonts w:ascii="Times New Roman" w:hAnsi="Times New Roman"/>
          <w:color w:val="000000"/>
          <w:sz w:val="24"/>
        </w:rPr>
        <w:t>, the Borrower will not, nor will it permit any of the Subsidiary Guarantors to, create, incur, assume or permit to exist any Indebtedness,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Indebtedness created hereunder or under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(iii) prior to and immediately after giving effect to the incurrence of any Secured Longer-Term Indebtedness, the Covered Debt Amount does not or would not exceed the Borrowing Base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Other Permitted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Guarantees of Indebtedness otherwise permitted hereunder;</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Indebtedness of any Obligor owing to any other Obligor or, if such Indebtedness is subject to subordination terms and conditions that are satisfactory to the Administrative Agent, any other Subsidiary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Indebtedness of Financing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repurchase obligations arising in the ordinary course of business with respect to U.S. Government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obligations payable to clearing agencies, brokers or dealers in connection with the purchase or sale of securities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(iv) prior to and immediately after giving effect to the incurrence of any such Indebtedness, the Covered Debt Amount does not or would not exceed the Borrowing Base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obligations (including Guarantees) in respect of Standard Securitization Undertakings;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Permitted SBIC Guarantees;</w:t>
      </w:r>
    </w:p>
    <w:p>
      <w:pPr>
        <w:pStyle w:val="TextBody"/>
        <w:bidi w:val="0"/>
        <w:spacing w:before="0" w:after="240"/>
        <w:jc w:val="both"/>
        <w:rPr>
          <w:rFonts w:ascii="Times New Roman" w:hAnsi="Times New Roman"/>
          <w:sz w:val="20"/>
        </w:rPr>
      </w:pPr>
      <w:r>
        <w:rPr>
          <w:rFonts w:ascii="Times New Roman" w:hAnsi="Times New Roman"/>
          <w:color w:val="000000"/>
          <w:sz w:val="24"/>
        </w:rPr>
        <w:t>(l) Indebtedness incurred pursuant to the 2024 Notes, the 2026 Notes, the 2028 Notes or the 2029 Notes;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$500,000,000, (iii) the aggregate amount (determined at the time of the incurrence of such Indebtedness) of such Indebtedness, taken together with then-outstanding Special Unsecured Indebtedness incurred pursuant to </w:t>
      </w:r>
      <w:r>
        <w:rPr>
          <w:rFonts w:ascii="Times New Roman" w:hAnsi="Times New Roman"/>
          <w:color w:val="000000"/>
          <w:sz w:val="24"/>
          <w:u w:val="single"/>
        </w:rPr>
        <w:t>Section 6.01(n)</w:t>
      </w:r>
      <w:r>
        <w:rPr>
          <w:rFonts w:ascii="Times New Roman" w:hAnsi="Times New Roman"/>
          <w:color w:val="000000"/>
          <w:sz w:val="24"/>
        </w:rPr>
        <w:t xml:space="preserve">, does not exceed $1,000,000,000, (iv) the aggregate amount of such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(v) prior to and immediately after giving effect to the incurrence of any such Indebtedness, the Covered Debt Amount does not or would not exceed the Borrowing Base then in effect;</w:t>
      </w:r>
    </w:p>
    <w:p>
      <w:pPr>
        <w:pStyle w:val="TextBody"/>
        <w:bidi w:val="0"/>
        <w:spacing w:before="0" w:after="240"/>
        <w:jc w:val="both"/>
        <w:rPr>
          <w:rFonts w:ascii="Times New Roman" w:hAnsi="Times New Roman"/>
          <w:sz w:val="20"/>
        </w:rPr>
      </w:pPr>
      <w:r>
        <w:rPr>
          <w:rFonts w:ascii="Times New Roman" w:hAnsi="Times New Roman"/>
          <w:color w:val="000000"/>
          <w:sz w:val="24"/>
        </w:rPr>
        <w:t>(n) Special Unsecured Indebtedness so long as (i) no Default exists at the time of the incurrence thereof, (ii) the aggregate amount (determined at the time of the incurrence of such Indebtedness) of such Indebtedness does not exceed $1,000,000,000, (iii) the aggregate amount (determined at the time of the incurrence of such Indebtedness) of such Indebtedness, taken together with then-outstanding Unsecured Shorter-Term Indebtedness incurred pursuant to</w:t>
      </w:r>
      <w:r>
        <w:rPr>
          <w:rFonts w:ascii="Times New Roman" w:hAnsi="Times New Roman"/>
          <w:color w:val="000000"/>
          <w:sz w:val="20"/>
          <w:u w:val="single"/>
        </w:rPr>
        <w:t xml:space="preserve"> </w:t>
      </w:r>
      <w:r>
        <w:rPr>
          <w:rFonts w:ascii="Times New Roman" w:hAnsi="Times New Roman"/>
          <w:color w:val="000000"/>
          <w:sz w:val="24"/>
          <w:u w:val="single"/>
        </w:rPr>
        <w:t>Section 6.01(m)</w:t>
      </w:r>
      <w:r>
        <w:rPr>
          <w:rFonts w:ascii="Times New Roman" w:hAnsi="Times New Roman"/>
          <w:color w:val="000000"/>
          <w:sz w:val="24"/>
        </w:rPr>
        <w:t>, does not exceed $1,000,000,000, (iv) the aggregate amount of such Indebtedness, taken together with other then-outstanding Indebtedness, does not exceed the amount required to comply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 the provisions of </w:t>
      </w:r>
      <w:r>
        <w:rPr>
          <w:rFonts w:ascii="Times New Roman" w:hAnsi="Times New Roman"/>
          <w:color w:val="000000"/>
          <w:sz w:val="24"/>
          <w:u w:val="single"/>
        </w:rPr>
        <w:t>Sections 6.07(c)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(v) prior to and immediately after giving effect to the incurrence of any such Indebtedness, the Covered Debt Amount does not or would not exceed the Borrowing Base then in effect;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other Indebtedness not to exceed the greater of (i) $25,000,000 and (ii) 5% of Shareholders’ Equity at any time outstanding.</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6.02.</w:t>
      </w:r>
      <w:r>
        <w:rPr>
          <w:rFonts w:ascii="Times New Roman" w:hAnsi="Times New Roman"/>
          <w:color w:val="000000"/>
          <w:sz w:val="20"/>
        </w:rPr>
        <w:t xml:space="preserve"> </w:t>
      </w:r>
      <w:r>
        <w:rPr>
          <w:rFonts w:ascii="Times New Roman" w:hAnsi="Times New Roman"/>
          <w:color w:val="000000"/>
          <w:sz w:val="24"/>
          <w:u w:val="single"/>
        </w:rPr>
        <w:t>Liens</w:t>
      </w:r>
      <w:r>
        <w:rPr>
          <w:rFonts w:ascii="Times New Roman" w:hAnsi="Times New Roman"/>
          <w:color w:val="000000"/>
          <w:sz w:val="24"/>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any Lien on any property or asset of the Borrower existing on the Original Effective Date and set forth in </w:t>
      </w:r>
      <w:r>
        <w:rPr>
          <w:rFonts w:ascii="Times New Roman" w:hAnsi="Times New Roman"/>
          <w:color w:val="000000"/>
          <w:sz w:val="24"/>
          <w:u w:val="single"/>
        </w:rPr>
        <w:t>Part B</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no such Lien shall extend to any other property or asset of the Borrower or any of the Subsidiary Guarantors (other than proceeds thereof of accessions thereto), and (ii) any such Lien shall secure only those obligations which it secures on the Original Effective Date and extensions, renewals and replacements thereof that do not increase the outstanding principal amount thereof except to the extent not prohibited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Liens created pursuant to this Agreement (including </w:t>
      </w:r>
      <w:r>
        <w:rPr>
          <w:rFonts w:ascii="Times New Roman" w:hAnsi="Times New Roman"/>
          <w:color w:val="000000"/>
          <w:sz w:val="24"/>
          <w:u w:val="single"/>
        </w:rPr>
        <w:t>Section 2.19</w:t>
      </w:r>
      <w:r>
        <w:rPr>
          <w:rFonts w:ascii="Times New Roman" w:hAnsi="Times New Roman"/>
          <w:color w:val="000000"/>
          <w:sz w:val="24"/>
        </w:rPr>
        <w:t>) or any of the Security Documents (including Liens in favor of the Designated Indebtedness Holders (as defined in the Guarantee and Security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Liens on the assets of a Financing Subsidiary securing obligations of such Financing Subsidiary;</w:t>
      </w:r>
    </w:p>
    <w:p>
      <w:pPr>
        <w:pStyle w:val="TextBody"/>
        <w:bidi w:val="0"/>
        <w:spacing w:before="0" w:after="240"/>
        <w:jc w:val="both"/>
        <w:rPr>
          <w:rFonts w:ascii="Times New Roman" w:hAnsi="Times New Roman"/>
          <w:sz w:val="20"/>
        </w:rPr>
      </w:pPr>
      <w:r>
        <w:rPr>
          <w:rFonts w:ascii="Times New Roman" w:hAnsi="Times New Roman"/>
          <w:color w:val="000000"/>
          <w:sz w:val="24"/>
        </w:rPr>
        <w:t>(d) Liens on Special Equity Interests included in the Portfolio Investments of the Borrower but only to the extent securing obligations in the manner provided in the definition of “</w:t>
      </w:r>
      <w:r>
        <w:rPr>
          <w:rFonts w:ascii="Times New Roman" w:hAnsi="Times New Roman"/>
          <w:color w:val="000000"/>
          <w:sz w:val="24"/>
          <w:u w:val="single"/>
        </w:rPr>
        <w:t>Special Equity Interests</w:t>
      </w:r>
      <w:r>
        <w:rPr>
          <w:rFonts w:ascii="Times New Roman" w:hAnsi="Times New Roman"/>
          <w:color w:val="000000"/>
          <w:sz w:val="20"/>
        </w:rPr>
        <w:t xml:space="preserve">” </w:t>
      </w:r>
      <w:r>
        <w:rPr>
          <w:rFonts w:ascii="Times New Roman" w:hAnsi="Times New Roman"/>
          <w:color w:val="000000"/>
          <w:sz w:val="24"/>
        </w:rPr>
        <w:t xml:space="preserve">in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Liens securing Indebtedness or other obligations in an aggregate principal amount not exceeding the greater of (i) $25,000,000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(i)</w:t>
      </w:r>
      <w:r>
        <w:rPr>
          <w:rFonts w:ascii="Times New Roman" w:hAnsi="Times New Roman"/>
          <w:color w:val="000000"/>
          <w:sz w:val="24"/>
        </w:rPr>
        <w:t xml:space="preserve">, </w:t>
      </w:r>
      <w:r>
        <w:rPr>
          <w:rFonts w:ascii="Times New Roman" w:hAnsi="Times New Roman"/>
          <w:color w:val="000000"/>
          <w:sz w:val="24"/>
          <w:u w:val="single"/>
        </w:rPr>
        <w:t>(m)</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(n)</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6.01</w:t>
      </w:r>
      <w:r>
        <w:rPr>
          <w:rFonts w:ascii="Times New Roman" w:hAnsi="Times New Roman"/>
          <w:color w:val="000000"/>
          <w:sz w:val="24"/>
        </w:rPr>
        <w:t xml:space="preserve">, does not exceed the lesser of (i) the Borrowing Base and (ii) the amount required to comply with the provisions of </w:t>
      </w:r>
      <w:r>
        <w:rPr>
          <w:rFonts w:ascii="Times New Roman" w:hAnsi="Times New Roman"/>
          <w:color w:val="000000"/>
          <w:sz w:val="24"/>
          <w:u w:val="single"/>
        </w:rPr>
        <w:t>Sections 6.07(c)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(f) Permitted Liens;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Liens on Equity Interests in any SBIC Subsidiary created in favor of the SBA;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(x) Liens securing Hedging Agreements permitted under </w:t>
      </w:r>
      <w:r>
        <w:rPr>
          <w:rFonts w:ascii="Times New Roman" w:hAnsi="Times New Roman"/>
          <w:color w:val="000000"/>
          <w:sz w:val="24"/>
          <w:u w:val="single"/>
        </w:rPr>
        <w:t>Section 6.04(c)</w:t>
      </w:r>
      <w:r>
        <w:rPr>
          <w:rFonts w:ascii="Times New Roman" w:hAnsi="Times New Roman"/>
          <w:color w:val="000000"/>
          <w:sz w:val="20"/>
        </w:rPr>
        <w:t xml:space="preserve"> </w:t>
      </w:r>
      <w:r>
        <w:rPr>
          <w:rFonts w:ascii="Times New Roman" w:hAnsi="Times New Roman"/>
          <w:color w:val="000000"/>
          <w:sz w:val="24"/>
        </w:rPr>
        <w:t xml:space="preserve">and not otherwise permitted under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above in an aggregate amount not to exceed $15,000,000 at any time and (y) Liens incurred in connection with any Hedging Agreement either entered into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hAnsi="Times New Roman"/>
          <w:color w:val="000000"/>
          <w:sz w:val="24"/>
          <w:u w:val="single"/>
        </w:rPr>
        <w:t>sub-clause (y)</w:t>
      </w:r>
      <w:r>
        <w:rPr>
          <w:rFonts w:ascii="Times New Roman" w:hAnsi="Times New Roman"/>
          <w:color w:val="000000"/>
          <w:sz w:val="20"/>
        </w:rPr>
        <w:t xml:space="preserve"> </w:t>
      </w:r>
      <w:r>
        <w:rPr>
          <w:rFonts w:ascii="Times New Roman" w:hAnsi="Times New Roman"/>
          <w:color w:val="000000"/>
          <w:sz w:val="24"/>
        </w:rPr>
        <w:t xml:space="preserve">even if such Lender has assigned all of its Loans and other interests in this Agreement and thus has ceased to be a Lender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no event shall any Obligor be permitted to create, incur or assume any Lien pursuant to this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increase the aggregate amount of collateral securing any Liens previously permitted under this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Liens securing repurchase obligations arising in the ordinary course of business with respect to U.S. Government Securities.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6.03.</w:t>
      </w:r>
      <w:r>
        <w:rPr>
          <w:rFonts w:ascii="Times New Roman" w:hAnsi="Times New Roman"/>
          <w:color w:val="000000"/>
          <w:sz w:val="20"/>
        </w:rPr>
        <w:t xml:space="preserve"> </w:t>
      </w:r>
      <w:r>
        <w:rPr>
          <w:rFonts w:ascii="Times New Roman" w:hAnsi="Times New Roman"/>
          <w:color w:val="000000"/>
          <w:sz w:val="24"/>
          <w:u w:val="single"/>
        </w:rPr>
        <w:t>Fundamental Changes</w:t>
      </w:r>
      <w:r>
        <w:rPr>
          <w:rFonts w:ascii="Times New Roman" w:hAnsi="Times New Roman"/>
          <w:color w:val="000000"/>
          <w:sz w:val="24"/>
        </w:rPr>
        <w:t>.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clauses (d) and (e) below, Portfolio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provisions of this Section: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any Subsidiary Guarantor of the Borrower may be merged or consolidated with or into the Borrower or any other Subsidiary Guarantor;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any such transaction shall be between a Subsidiary Guarantor and a wholly owned Subsidiary Guarantor, the wholly owned Subsidiary Guarantor shall be the continuing or surviving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Subsidiary Guarantor of the Borrower may sell, lease, transfer (including a deemed transfer resulting from a division or plan of division) or otherwise dispose of any or all of its assets (upon voluntary liquidation or otherwise) to the Borrower or any wholly owned Subsidiary Guarantor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capital stock of any Subsidiary of the Borrower may be sold, transferred (including a deemed transfer resulting from a division or plan of division) or otherwise disposed of to the Borrower or any wholly owned Subsidiary Guarantor of the Borrower;</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Obligors may sell, transfer (including a deemed transfer resulting from a division or plan of division) or otherwise dispose of Portfolio Investments (other than to a Subsidiary that is not a Subsidiary Guarantor)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Obligors may sell, transfer (including a deemed transfer resulting from a division or plan of division) or otherwise dispose of Portfolio Investments to a Subsidiary that is not a Subsidiary Guarantor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pStyle w:val="TextBody"/>
        <w:bidi w:val="0"/>
        <w:spacing w:before="0" w:after="240"/>
        <w:jc w:val="both"/>
        <w:rPr>
          <w:rFonts w:ascii="Times New Roman" w:hAnsi="Times New Roman"/>
          <w:sz w:val="20"/>
        </w:rPr>
      </w:pPr>
      <w:r>
        <w:rPr>
          <w:rFonts w:ascii="Times New Roman" w:hAnsi="Times New Roman"/>
          <w:color w:val="000000"/>
          <w:sz w:val="24"/>
        </w:rPr>
        <w:t>(f) the Borrower may merge or consolidate with,</w:t>
      </w:r>
      <w:r>
        <w:rPr>
          <w:rFonts w:ascii="Times New Roman" w:hAnsi="Times New Roman"/>
          <w:color w:val="0000FF"/>
          <w:sz w:val="20"/>
        </w:rPr>
        <w:t xml:space="preserve"> </w:t>
      </w:r>
      <w:r>
        <w:rPr>
          <w:rFonts w:ascii="Times New Roman" w:hAnsi="Times New Roman"/>
          <w:color w:val="000000"/>
          <w:sz w:val="24"/>
        </w:rPr>
        <w:t>or acquire all or substantially all of the assets of, any other Person so long as (i) the Borrower is the continuing or surviving entity in such transaction and (ii) at the time thereof and after giving effect thereto, no Default shall have occurred or be continuing;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Borrower and each of the Subsidiary Guarantors may sell, lease, transfer (including a deemed transfer resulting from a division or plan of division) or otherwise dispose of equipment or other property or assets that do not consist of Portfolio Investments so long as the aggregate amount of all such sales, leases, transfer and dispositions does not exceed $5,000,000 in any fiscal year; and</w:t>
      </w:r>
    </w:p>
    <w:p>
      <w:pPr>
        <w:pStyle w:val="TextBody"/>
        <w:bidi w:val="0"/>
        <w:spacing w:before="0" w:after="240"/>
        <w:jc w:val="both"/>
        <w:rPr>
          <w:rFonts w:ascii="Times New Roman" w:hAnsi="Times New Roman"/>
          <w:sz w:val="20"/>
        </w:rPr>
      </w:pPr>
      <w:r>
        <w:rPr>
          <w:rFonts w:ascii="Times New Roman" w:hAnsi="Times New Roman"/>
          <w:color w:val="000000"/>
          <w:sz w:val="24"/>
        </w:rPr>
        <w:t>(h) the Borrower and</w:t>
      </w:r>
      <w:r>
        <w:rPr>
          <w:rFonts w:ascii="Times New Roman" w:hAnsi="Times New Roman"/>
          <w:color w:val="000000"/>
          <w:sz w:val="20"/>
        </w:rPr>
        <w:t xml:space="preserve"> </w:t>
      </w:r>
      <w:r>
        <w:rPr>
          <w:rFonts w:ascii="Times New Roman" w:hAnsi="Times New Roman"/>
          <w:color w:val="000000"/>
          <w:sz w:val="24"/>
        </w:rPr>
        <w:t>each of the Subsidiary Guarantors may dissolve or</w:t>
      </w:r>
      <w:r>
        <w:rPr>
          <w:rFonts w:ascii="Times New Roman" w:hAnsi="Times New Roman"/>
          <w:color w:val="000000"/>
          <w:sz w:val="20"/>
        </w:rPr>
        <w:t xml:space="preserve"> </w:t>
      </w:r>
      <w:r>
        <w:rPr>
          <w:rFonts w:ascii="Times New Roman" w:hAnsi="Times New Roman"/>
          <w:color w:val="000000"/>
          <w:sz w:val="24"/>
        </w:rPr>
        <w:t>liquidate (i) any Immaterial Subsidiary or (ii) any other Subsidiary so long as, with respect to this</w:t>
      </w:r>
      <w:r>
        <w:rPr>
          <w:rFonts w:ascii="Times New Roman" w:hAnsi="Times New Roman"/>
          <w:color w:val="000000"/>
          <w:sz w:val="20"/>
        </w:rPr>
        <w:t xml:space="preserve"> </w:t>
      </w:r>
      <w:r>
        <w:rPr>
          <w:rFonts w:ascii="Times New Roman" w:hAnsi="Times New Roman"/>
          <w:color w:val="000000"/>
          <w:sz w:val="24"/>
        </w:rPr>
        <w:t>clause (ii), (A) in connection with such dissolution or liquidation, any and all of the assets of</w:t>
      </w:r>
      <w:r>
        <w:rPr>
          <w:rFonts w:ascii="Times New Roman" w:hAnsi="Times New Roman"/>
          <w:color w:val="000000"/>
          <w:sz w:val="20"/>
        </w:rPr>
        <w:t xml:space="preserve"> </w:t>
      </w:r>
      <w:r>
        <w:rPr>
          <w:rFonts w:ascii="Times New Roman" w:hAnsi="Times New Roman"/>
          <w:color w:val="000000"/>
          <w:sz w:val="24"/>
        </w:rPr>
        <w:t>such Subsidiary shall be distributed or otherwise transferred to an Obligor and (B) such</w:t>
      </w:r>
      <w:r>
        <w:rPr>
          <w:rFonts w:ascii="Times New Roman" w:hAnsi="Times New Roman"/>
          <w:color w:val="000000"/>
          <w:sz w:val="20"/>
        </w:rPr>
        <w:t xml:space="preserve"> </w:t>
      </w:r>
      <w:r>
        <w:rPr>
          <w:rFonts w:ascii="Times New Roman" w:hAnsi="Times New Roman"/>
          <w:color w:val="000000"/>
          <w:sz w:val="24"/>
        </w:rPr>
        <w:t>dissolution or liquidation is not materially adverse to the Lenders and the Borrower determines in</w:t>
      </w:r>
      <w:r>
        <w:rPr>
          <w:rFonts w:ascii="Times New Roman" w:hAnsi="Times New Roman"/>
          <w:color w:val="000000"/>
          <w:sz w:val="20"/>
        </w:rPr>
        <w:t xml:space="preserve"> </w:t>
      </w:r>
      <w:r>
        <w:rPr>
          <w:rFonts w:ascii="Times New Roman" w:hAnsi="Times New Roman"/>
          <w:color w:val="000000"/>
          <w:sz w:val="24"/>
        </w:rPr>
        <w:t>good faith that such dissolution or liquidation is in its best interests.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6.04.</w:t>
      </w:r>
      <w:r>
        <w:rPr>
          <w:rFonts w:ascii="Times New Roman" w:hAnsi="Times New Roman"/>
          <w:color w:val="000000"/>
          <w:sz w:val="20"/>
        </w:rPr>
        <w:t xml:space="preserve"> </w:t>
      </w:r>
      <w:r>
        <w:rPr>
          <w:rFonts w:ascii="Times New Roman" w:hAnsi="Times New Roman"/>
          <w:color w:val="000000"/>
          <w:sz w:val="24"/>
          <w:u w:val="single"/>
        </w:rPr>
        <w:t>Investments</w:t>
      </w:r>
      <w:r>
        <w:rPr>
          <w:rFonts w:ascii="Times New Roman" w:hAnsi="Times New Roman"/>
          <w:color w:val="000000"/>
          <w:sz w:val="24"/>
        </w:rPr>
        <w:t>. The Borrower will not, nor will it permit any of the Subsidiary Guarantors to, acquire, make or enter into, or hold, any Investments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operating deposit accounts with banks;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Investments by the Borrower and the Subsidiary Guarantors in the Borrower and the Subsidiary Guarantors;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Hedging Agreements entered into in the ordinary course of the Borrower’s financial planning and not for speculative purposes;</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Portfolio Investments by the Borrower and its Subsidiaries to the extent such Portfolio Investments are permitted under the Investment Company Act and the Borrower’s Investment Policies as in effect as of the date such Portfolio Investments are acquired;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Investments in Financing Subsidiaries so long as, (i) after giving effect to such Investment, the Covered Debt Amount does not exceed the Borrowing Base and (ii) the sum of (x) all Investments under this </w:t>
      </w:r>
      <w:r>
        <w:rPr>
          <w:rFonts w:ascii="Times New Roman" w:hAnsi="Times New Roman"/>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 xml:space="preserve">that occur after the Extended Commitment Termination Date and (y) all Investments under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below that occur after the Extended Commitment Termination Date, shall not exceed $10,000,000 in the aggregate;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additional Investments up to but not exceeding $15,000,000 in the aggregate;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sum of (x) all Investments under this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 xml:space="preserve">that occur after the Extended Commitment Termination Date and (y) all Investments under </w:t>
      </w:r>
      <w:r>
        <w:rPr>
          <w:rFonts w:ascii="Times New Roman" w:hAnsi="Times New Roman"/>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above that occur after the Extended Commitment Termination Date, shall not exceed $10,000,000 in the aggregate;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Investments in Cash and Cash Equivalents;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Investments described on </w:t>
      </w:r>
      <w:r>
        <w:rPr>
          <w:rFonts w:ascii="Times New Roman" w:hAnsi="Times New Roman"/>
          <w:color w:val="000000"/>
          <w:sz w:val="24"/>
          <w:u w:val="single"/>
        </w:rPr>
        <w:t>Schedule 3.12(b)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Investments by a Financing Subsidiary;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Investments in the form of Guarantees permitted pursuant to </w:t>
      </w:r>
      <w:r>
        <w:rPr>
          <w:rFonts w:ascii="Times New Roman" w:hAnsi="Times New Roman"/>
          <w:color w:val="000000"/>
          <w:sz w:val="24"/>
          <w:u w:val="single"/>
        </w:rPr>
        <w:t>Section 6.01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 xml:space="preserve">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the aggregate amount of dividends, distributions or other payments received in cash in respect of such Investment;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6.05.</w:t>
      </w:r>
      <w:r>
        <w:rPr>
          <w:rFonts w:ascii="Times New Roman" w:hAnsi="Times New Roman"/>
          <w:color w:val="000000"/>
          <w:sz w:val="20"/>
        </w:rPr>
        <w:t xml:space="preserve"> </w:t>
      </w:r>
      <w:r>
        <w:rPr>
          <w:rFonts w:ascii="Times New Roman" w:hAnsi="Times New Roman"/>
          <w:color w:val="000000"/>
          <w:sz w:val="24"/>
          <w:u w:val="single"/>
        </w:rPr>
        <w:t>Restricted Payments</w:t>
      </w:r>
      <w:r>
        <w:rPr>
          <w:rFonts w:ascii="Times New Roman" w:hAnsi="Times New Roman"/>
          <w:color w:val="000000"/>
          <w:sz w:val="24"/>
        </w:rPr>
        <w:t>. The Borrower will not, nor will it permit any of the Subsidiary Guarantors to, declare or make, or agree to pay or make, directly or indirectly, any Restricted Payment, except that the Borrower may declare and pay: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dividends with respect to the capital stock of the Borrower payable solely in additional shares of the Borrower’s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pStyle w:val="TextBody"/>
        <w:bidi w:val="0"/>
        <w:spacing w:before="0" w:after="240"/>
        <w:jc w:val="both"/>
        <w:rPr>
          <w:rFonts w:ascii="Times New Roman" w:hAnsi="Times New Roman"/>
          <w:sz w:val="20"/>
        </w:rPr>
      </w:pPr>
      <w:r>
        <w:rPr>
          <w:rFonts w:ascii="Times New Roman" w:hAnsi="Times New Roman"/>
          <w:color w:val="000000"/>
          <w:sz w:val="24"/>
        </w:rPr>
        <w:t>(c) dividends and distributions in each case in cash or other property (excluding for this purpose the Borrower’s common stock) in addition to the dividends and distributions permitted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under the foregoing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so long as on the date of such Restricted Payment and after giving effect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no Default shall have occurred and be continuing or would result therefrom;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aggregate amount of Restricted Payments made during any taxable year of the Borrower after the date hereof under this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shall not exceed the difference of (x) an amount equal to 10% of the taxable income of the Borrower for such taxable year determined under section 852(b)(2) of the Code, but without regard to </w:t>
      </w:r>
      <w:r>
        <w:rPr>
          <w:rFonts w:ascii="Times New Roman" w:hAnsi="Times New Roman"/>
          <w:color w:val="000000"/>
          <w:sz w:val="24"/>
          <w:u w:val="single"/>
        </w:rPr>
        <w:t>subparagraphs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thereof,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(y) the amount, if any, by which dividends and distributions made during such taxable year pursuant to the foregoing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(whether in respect of such taxable year or the previous taxable year) based upon the Borrower’s estimate of taxable income exceeded the actual amounts specified in </w:t>
      </w:r>
      <w:r>
        <w:rPr>
          <w:rFonts w:ascii="Times New Roman" w:hAnsi="Times New Roman"/>
          <w:color w:val="000000"/>
          <w:sz w:val="24"/>
          <w:u w:val="single"/>
        </w:rPr>
        <w:t>subclauses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of such foregoing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for such taxable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other Restricted Payments so long as on the date of such other Restricted Payment and after giving effect thereto (x) the Covered Debt Amount does not exceed 90% of the Borrowing Base and (y) no Default shall have occurred and be continuing or would result therefrom.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herein shall be deemed to prohibit the payment of Restricted Payments by any Subsidiary of the Borrower to the Borrower or to any other Subsidiary Guarantor.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6.06.</w:t>
      </w:r>
      <w:r>
        <w:rPr>
          <w:rFonts w:ascii="Times New Roman" w:hAnsi="Times New Roman"/>
          <w:color w:val="000000"/>
          <w:sz w:val="20"/>
        </w:rPr>
        <w:t xml:space="preserve"> </w:t>
      </w:r>
      <w:r>
        <w:rPr>
          <w:rFonts w:ascii="Times New Roman" w:hAnsi="Times New Roman"/>
          <w:color w:val="000000"/>
          <w:sz w:val="24"/>
          <w:u w:val="single"/>
        </w:rPr>
        <w:t>Certain Restrictions on Subsidiaries</w:t>
      </w:r>
      <w:r>
        <w:rPr>
          <w:rFonts w:ascii="Times New Roman" w:hAnsi="Times New Roman"/>
          <w:color w:val="000000"/>
          <w:sz w:val="24"/>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6.07.</w:t>
      </w:r>
      <w:r>
        <w:rPr>
          <w:rFonts w:ascii="Times New Roman" w:hAnsi="Times New Roman"/>
          <w:color w:val="000000"/>
          <w:sz w:val="20"/>
        </w:rPr>
        <w:t xml:space="preserve"> </w:t>
      </w:r>
      <w:r>
        <w:rPr>
          <w:rFonts w:ascii="Times New Roman" w:hAnsi="Times New Roman"/>
          <w:color w:val="000000"/>
          <w:sz w:val="24"/>
          <w:u w:val="single"/>
        </w:rPr>
        <w:t>Certain Financial Covenants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Minimum Shareholders’ Equity</w:t>
      </w:r>
      <w:r>
        <w:rPr>
          <w:rFonts w:ascii="Times New Roman" w:hAnsi="Times New Roman"/>
          <w:color w:val="000000"/>
          <w:sz w:val="24"/>
        </w:rPr>
        <w:t>. The Borrower will not permit Shareholders’ Equity at the last day of any fiscal quarter of the Borrower to be less than $650,000,000 plus 25% of the net proceeds of the sale of Equity Interests by the Borrower and its Subsidiaries after the Fifteenth Amendment Effective Date (other than proceeds of sales of Equity Interests by and among the Borrower and its Subsidiaries).</w:t>
      </w:r>
    </w:p>
    <w:p>
      <w:pPr>
        <w:pStyle w:val="TextBody"/>
        <w:bidi w:val="0"/>
        <w:spacing w:before="0" w:after="240"/>
        <w:jc w:val="both"/>
        <w:rPr>
          <w:rFonts w:ascii="Times New Roman" w:hAnsi="Times New Roman"/>
          <w:sz w:val="20"/>
        </w:rPr>
      </w:pPr>
      <w:r>
        <w:rPr>
          <w:rFonts w:ascii="Times New Roman" w:hAnsi="Times New Roman"/>
          <w:color w:val="000000"/>
          <w:sz w:val="24"/>
        </w:rPr>
        <w:t>(b) [</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Borrower Asset Coverage Ratio</w:t>
      </w:r>
      <w:r>
        <w:rPr>
          <w:rFonts w:ascii="Times New Roman" w:hAnsi="Times New Roman"/>
          <w:color w:val="000000"/>
          <w:sz w:val="24"/>
        </w:rPr>
        <w:t>. The Borrower will not permit the Borrower Asset Coverage Ratio at the last day of any fiscal quarter of the Borrower to be less than 2.00 to 1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Consolidated Asset Coverage Ratio</w:t>
      </w:r>
      <w:r>
        <w:rPr>
          <w:rFonts w:ascii="Times New Roman" w:hAnsi="Times New Roman"/>
          <w:color w:val="000000"/>
          <w:sz w:val="24"/>
        </w:rPr>
        <w:t>. The Borrower will not permit the Consolidated Asset Coverage Ratio at the last day of any fiscal quarter of the Borrower to be less than 1.50 to 1 at any time.</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6.08.</w:t>
      </w:r>
      <w:r>
        <w:rPr>
          <w:rFonts w:ascii="Times New Roman" w:hAnsi="Times New Roman"/>
          <w:color w:val="000000"/>
          <w:sz w:val="20"/>
        </w:rPr>
        <w:t xml:space="preserve"> </w:t>
      </w:r>
      <w:r>
        <w:rPr>
          <w:rFonts w:ascii="Times New Roman" w:hAnsi="Times New Roman"/>
          <w:color w:val="000000"/>
          <w:sz w:val="24"/>
          <w:u w:val="single"/>
        </w:rPr>
        <w:t>Transactions with Affiliates</w:t>
      </w:r>
      <w:r>
        <w:rPr>
          <w:rFonts w:ascii="Times New Roman" w:hAnsi="Times New Roman"/>
          <w:color w:val="000000"/>
          <w:sz w:val="24"/>
        </w:rPr>
        <w:t xml:space="preserve">. The Borrower will not, and will not permit any of its Subsidiaries to enter into any transactions with any of its Affiliates, even if otherwise permitted under this Agreement, except (a) transactions at prices and on terms and conditions not materially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Times New Roman" w:hAnsi="Times New Roman"/>
          <w:color w:val="000000"/>
          <w:sz w:val="24"/>
          <w:u w:val="single"/>
        </w:rPr>
        <w:t>Section 6.05</w:t>
      </w:r>
      <w:r>
        <w:rPr>
          <w:rFonts w:ascii="Times New Roman" w:hAnsi="Times New Roman"/>
          <w:color w:val="000000"/>
          <w:sz w:val="24"/>
        </w:rPr>
        <w:t xml:space="preserve">, (d) the Affiliate Agreements and the transactions provided in the Affiliate Agreements, (e) transactions described on </w:t>
      </w:r>
      <w:r>
        <w:rPr>
          <w:rFonts w:ascii="Times New Roman" w:hAnsi="Times New Roman"/>
          <w:color w:val="000000"/>
          <w:sz w:val="24"/>
          <w:u w:val="single"/>
        </w:rPr>
        <w:t>Schedule 6.08</w:t>
      </w:r>
      <w:r>
        <w:rPr>
          <w:rFonts w:ascii="Times New Roman" w:hAnsi="Times New Roman"/>
          <w:color w:val="000000"/>
          <w:sz w:val="24"/>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6.09.</w:t>
      </w:r>
      <w:r>
        <w:rPr>
          <w:rFonts w:ascii="Times New Roman" w:hAnsi="Times New Roman"/>
          <w:color w:val="000000"/>
          <w:sz w:val="20"/>
        </w:rPr>
        <w:t xml:space="preserve"> </w:t>
      </w:r>
      <w:r>
        <w:rPr>
          <w:rFonts w:ascii="Times New Roman" w:hAnsi="Times New Roman"/>
          <w:color w:val="000000"/>
          <w:sz w:val="24"/>
          <w:u w:val="single"/>
        </w:rPr>
        <w:t>Lines of Business</w:t>
      </w:r>
      <w:r>
        <w:rPr>
          <w:rFonts w:ascii="Times New Roman" w:hAnsi="Times New Roman"/>
          <w:color w:val="000000"/>
          <w:sz w:val="24"/>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6.10.</w:t>
      </w:r>
      <w:r>
        <w:rPr>
          <w:rFonts w:ascii="Times New Roman" w:hAnsi="Times New Roman"/>
          <w:color w:val="000000"/>
          <w:sz w:val="20"/>
        </w:rPr>
        <w:t xml:space="preserve"> </w:t>
      </w:r>
      <w:r>
        <w:rPr>
          <w:rFonts w:ascii="Times New Roman" w:hAnsi="Times New Roman"/>
          <w:color w:val="000000"/>
          <w:sz w:val="24"/>
          <w:u w:val="single"/>
        </w:rPr>
        <w:t>No Further Negative Pledge</w:t>
      </w:r>
      <w:r>
        <w:rPr>
          <w:rFonts w:ascii="Times New Roman" w:hAnsi="Times New Roman"/>
          <w:color w:val="000000"/>
          <w:sz w:val="24"/>
        </w:rPr>
        <w:t xml:space="preserve">. The Borrower will not, and will not permit any of the Subsidiary 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hAnsi="Times New Roman"/>
          <w:color w:val="000000"/>
          <w:sz w:val="24"/>
          <w:u w:val="single"/>
        </w:rPr>
        <w:t>Section 6.01(b),</w:t>
      </w:r>
      <w:r>
        <w:rPr>
          <w:rFonts w:ascii="Times New Roman" w:hAnsi="Times New Roman"/>
          <w:color w:val="000000"/>
          <w:sz w:val="20"/>
        </w:rPr>
        <w:t xml:space="preserve"> </w:t>
      </w:r>
      <w:r>
        <w:rPr>
          <w:rFonts w:ascii="Times New Roman" w:hAnsi="Times New Roman"/>
          <w:color w:val="000000"/>
          <w:sz w:val="24"/>
          <w:u w:val="single"/>
        </w:rPr>
        <w:t>(i)</w:t>
      </w:r>
      <w:r>
        <w:rPr>
          <w:rFonts w:ascii="Times New Roman" w:hAnsi="Times New Roman"/>
          <w:color w:val="000000"/>
          <w:sz w:val="24"/>
        </w:rPr>
        <w:t xml:space="preserve">, </w:t>
      </w:r>
      <w:r>
        <w:rPr>
          <w:rFonts w:ascii="Times New Roman" w:hAnsi="Times New Roman"/>
          <w:color w:val="000000"/>
          <w:sz w:val="24"/>
          <w:u w:val="single"/>
        </w:rPr>
        <w:t>(m)</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(n)</w:t>
      </w:r>
      <w:r>
        <w:rPr>
          <w:rFonts w:ascii="Times New Roman" w:hAnsi="Times New Roman"/>
          <w:color w:val="000000"/>
          <w:sz w:val="24"/>
        </w:rPr>
        <w:t xml:space="preserve">; (b) covenants in documents creating Liens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6.11.</w:t>
      </w:r>
      <w:r>
        <w:rPr>
          <w:rFonts w:ascii="Times New Roman" w:hAnsi="Times New Roman"/>
          <w:color w:val="000000"/>
          <w:sz w:val="20"/>
        </w:rPr>
        <w:t xml:space="preserve"> </w:t>
      </w:r>
      <w:r>
        <w:rPr>
          <w:rFonts w:ascii="Times New Roman" w:hAnsi="Times New Roman"/>
          <w:color w:val="000000"/>
          <w:sz w:val="24"/>
          <w:u w:val="single"/>
        </w:rPr>
        <w:t>Modifications of Longer-Term Indebtedness Documents</w:t>
      </w:r>
      <w:r>
        <w:rPr>
          <w:rFonts w:ascii="Times New Roman" w:hAnsi="Times New Roman"/>
          <w:color w:val="000000"/>
          <w:sz w:val="24"/>
        </w:rPr>
        <w:t>. The Borrower will not consent to any modification, supplement or waiver 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any of the provisions of any agreement, instrument or other document evidencing or relating to any Secured Longer-Term Indebtedness or Unsecured Longer-Term Indebtedness that would result in such Indebtedness not meeting the requirements of the definition of “Secured Longer-Term Indebtedness” and “Unsecured Longer-Term Indebtedness”, as applicable, set forth in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6.12.</w:t>
      </w:r>
      <w:r>
        <w:rPr>
          <w:rFonts w:ascii="Times New Roman" w:hAnsi="Times New Roman"/>
          <w:color w:val="000000"/>
          <w:sz w:val="20"/>
        </w:rPr>
        <w:t xml:space="preserve"> </w:t>
      </w:r>
      <w:r>
        <w:rPr>
          <w:rFonts w:ascii="Times New Roman" w:hAnsi="Times New Roman"/>
          <w:color w:val="000000"/>
          <w:sz w:val="24"/>
          <w:u w:val="single"/>
        </w:rPr>
        <w:t>Payments of Longer-Term Indebtedness, the 2024 Notes, the 2026 Notes, the 2028 Notes and the 2029 Notes</w:t>
      </w:r>
      <w:r>
        <w:rPr>
          <w:rFonts w:ascii="Times New Roman" w:hAnsi="Times New Roman"/>
          <w:color w:val="000000"/>
          <w:sz w:val="24"/>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2024 Notes, the 2026 Notes, the 2028 Notes or the 2029 Notes (other than the refinancing of Secured Longer-Term Indebtedness, Unsecured Longer-Term Indebtedness, Special Unsecured Indebtedness, the 2024 Notes, the 2026 Notes, the 2028 Notes or the 2029 Notes with Indebtedness permitted under </w:t>
      </w:r>
      <w:r>
        <w:rPr>
          <w:rFonts w:ascii="Times New Roman" w:hAnsi="Times New Roman"/>
          <w:color w:val="000000"/>
          <w:sz w:val="24"/>
          <w:u w:val="single"/>
        </w:rPr>
        <w:t>Section 6.01</w:t>
      </w:r>
      <w:r>
        <w:rPr>
          <w:rFonts w:ascii="Times New Roman" w:hAnsi="Times New Roman"/>
          <w:color w:val="000000"/>
          <w:sz w:val="24"/>
        </w:rPr>
        <w:t>), except for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w:t>
      </w:r>
      <w:r>
        <w:rPr>
          <w:rFonts w:ascii="Times New Roman" w:hAnsi="Times New Roman"/>
          <w:color w:val="000000"/>
          <w:sz w:val="20"/>
        </w:rPr>
        <w:t xml:space="preserve"> </w:t>
      </w:r>
      <w:r>
        <w:rPr>
          <w:rFonts w:ascii="Times New Roman" w:hAnsi="Times New Roman"/>
          <w:color w:val="000000"/>
          <w:sz w:val="24"/>
        </w:rPr>
        <w:t xml:space="preserve">on such convertible notes made by the Borrower in respect of such triggering and/or settlement thereof shall be permitted under this </w:t>
      </w:r>
      <w:r>
        <w:rPr>
          <w:rFonts w:ascii="Times New Roman" w:hAnsi="Times New Roman"/>
          <w:color w:val="000000"/>
          <w:sz w:val="24"/>
          <w:u w:val="single"/>
        </w:rPr>
        <w:t>clause (a)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so long as no Default shall exist or be continuing, any payment that, if treated as a Restricted Payment for purposes of </w:t>
      </w:r>
      <w:r>
        <w:rPr>
          <w:rFonts w:ascii="Times New Roman" w:hAnsi="Times New Roman"/>
          <w:color w:val="000000"/>
          <w:sz w:val="24"/>
          <w:u w:val="single"/>
        </w:rPr>
        <w:t>Section 6.05(d)</w:t>
      </w:r>
      <w:r>
        <w:rPr>
          <w:rFonts w:ascii="Times New Roman" w:hAnsi="Times New Roman"/>
          <w:color w:val="000000"/>
          <w:sz w:val="24"/>
        </w:rPr>
        <w:t xml:space="preserve">, would be permitted to be made pursuant to the provisions set forth in </w:t>
      </w:r>
      <w:r>
        <w:rPr>
          <w:rFonts w:ascii="Times New Roman" w:hAnsi="Times New Roman"/>
          <w:color w:val="000000"/>
          <w:sz w:val="24"/>
          <w:u w:val="single"/>
        </w:rPr>
        <w:t>Section 6.05(d)</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 w:hAnsi="Times New Roman"/>
          <w:color w:val="000000"/>
          <w:sz w:val="24"/>
          <w:u w:val="single"/>
        </w:rPr>
        <w:t>Section 6.07</w:t>
      </w:r>
      <w:r>
        <w:rPr>
          <w:rFonts w:ascii="Times New Roman" w:hAnsi="Times New Roman"/>
          <w:color w:val="000000"/>
          <w:sz w:val="20"/>
        </w:rPr>
        <w:t xml:space="preserve"> </w:t>
      </w:r>
      <w:r>
        <w:rPr>
          <w:rFonts w:ascii="Times New Roman" w:hAnsi="Times New Roman"/>
          <w:color w:val="000000"/>
          <w:sz w:val="24"/>
        </w:rPr>
        <w:t>and (ii) no Default shall exist or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mandatory payments, required prepayments or mandatory redemptions of any other convertible notes constituting Unsecured Longer-Term Indebtedness or Special Unsecured Indebtedness in Cash (including any cash payment elected to be paid in connection with the settlement by the Borrower of any conversion at the option of any holder of convertible notes pursuant to the conversion features thereunder), the 2023 Notes, the 2024 Notes, the 2026 Notes, the 2028 Notes and the 2029 Notes so long as both before and after giving effect to such payment (i) no Event of Default shall exist or be continuing and (ii) the Covered Debt Amount does not exceed the Borrowing Base;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herein to the contrary, in no event shall any Obligor be permitted to prepay or settle (whether as a result of a mandatory redemption, conversion or otherwise) any such Indebtedness if, immediately after giving effect thereto, the Covered Debt Amount would exceed the Borrowing Base.</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6.13.</w:t>
      </w:r>
      <w:r>
        <w:rPr>
          <w:rFonts w:ascii="Times New Roman" w:hAnsi="Times New Roman"/>
          <w:color w:val="000000"/>
          <w:sz w:val="20"/>
        </w:rPr>
        <w:t xml:space="preserve"> </w:t>
      </w:r>
      <w:r>
        <w:rPr>
          <w:rFonts w:ascii="Times New Roman" w:hAnsi="Times New Roman"/>
          <w:color w:val="000000"/>
          <w:sz w:val="24"/>
          <w:u w:val="single"/>
        </w:rPr>
        <w:t>Accounting Changes</w:t>
      </w:r>
      <w:r>
        <w:rPr>
          <w:rFonts w:ascii="Times New Roman" w:hAnsi="Times New Roman"/>
          <w:color w:val="000000"/>
          <w:sz w:val="24"/>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6.14.</w:t>
      </w:r>
      <w:r>
        <w:rPr>
          <w:rFonts w:ascii="Times New Roman" w:hAnsi="Times New Roman"/>
          <w:color w:val="000000"/>
          <w:sz w:val="20"/>
        </w:rPr>
        <w:t xml:space="preserve"> </w:t>
      </w:r>
      <w:r>
        <w:rPr>
          <w:rFonts w:ascii="Times New Roman" w:hAnsi="Times New Roman"/>
          <w:color w:val="000000"/>
          <w:sz w:val="24"/>
          <w:u w:val="single"/>
        </w:rPr>
        <w:t>SBIC Guarantee</w:t>
      </w:r>
      <w:r>
        <w:rPr>
          <w:rFonts w:ascii="Times New Roman" w:hAnsi="Times New Roman"/>
          <w:color w:val="000000"/>
          <w:sz w:val="24"/>
        </w:rPr>
        <w:t>. The Borrower will not, nor will it permit any of its Subsidiaries to, cause or permit the occurrence of any event or condition that would result in any recourse to any Obligor under any Permitted SBIC Guarantee.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VII</w:t>
        <w:br/>
        <w:br/>
      </w:r>
      <w:r>
        <w:rPr>
          <w:rFonts w:ascii="Times New Roman" w:hAnsi="Times New Roman"/>
          <w:caps/>
          <w:color w:val="000000"/>
          <w:sz w:val="24"/>
          <w:u w:val="single"/>
        </w:rPr>
        <w:t>EVENTS OF DEFAULT</w:t>
      </w:r>
    </w:p>
    <w:p>
      <w:pPr>
        <w:pStyle w:val="TextBody"/>
        <w:bidi w:val="0"/>
        <w:spacing w:before="0" w:after="240"/>
        <w:jc w:val="both"/>
        <w:rPr>
          <w:rFonts w:ascii="Times New Roman" w:hAnsi="Times New Roman"/>
          <w:sz w:val="20"/>
        </w:rPr>
      </w:pPr>
      <w:r>
        <w:rPr>
          <w:rFonts w:ascii="Times New Roman" w:hAnsi="Times New Roman"/>
          <w:color w:val="000000"/>
          <w:sz w:val="24"/>
        </w:rPr>
        <w:t>If any of the following events (“</w:t>
      </w:r>
      <w:r>
        <w:rPr>
          <w:rFonts w:ascii="Times New Roman" w:hAnsi="Times New Roman"/>
          <w:color w:val="000000"/>
          <w:sz w:val="24"/>
          <w:u w:val="single"/>
        </w:rPr>
        <w:t>Events of Default</w:t>
      </w:r>
      <w:r>
        <w:rPr>
          <w:rFonts w:ascii="Times New Roman" w:hAnsi="Times New Roman"/>
          <w:color w:val="000000"/>
          <w:sz w:val="20"/>
        </w:rPr>
        <w:t>”</w:t>
      </w:r>
      <w:r>
        <w:rPr>
          <w:rFonts w:ascii="Times New Roman" w:hAnsi="Times New Roman"/>
          <w:color w:val="000000"/>
          <w:sz w:val="24"/>
        </w:rPr>
        <w:t>) shall occur and be continuing: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hAnsi="Times New Roman"/>
          <w:color w:val="000000"/>
          <w:sz w:val="24"/>
          <w:u w:val="single"/>
        </w:rPr>
        <w:t>Section 2.09(a)</w:t>
      </w:r>
      <w:r>
        <w:rPr>
          <w:rFonts w:ascii="Times New Roman" w:hAnsi="Times New Roman"/>
          <w:color w:val="000000"/>
          <w:sz w:val="20"/>
        </w:rPr>
        <w:t xml:space="preserve"> </w:t>
      </w:r>
      <w:r>
        <w:rPr>
          <w:rFonts w:ascii="Times New Roman" w:hAnsi="Times New Roman"/>
          <w:color w:val="000000"/>
          <w:sz w:val="24"/>
        </w:rPr>
        <w:t xml:space="preserve">on the Extended Commitment Termination Date or as required by </w:t>
      </w:r>
      <w:r>
        <w:rPr>
          <w:rFonts w:ascii="Times New Roman" w:hAnsi="Times New Roman"/>
          <w:color w:val="000000"/>
          <w:sz w:val="24"/>
          <w:u w:val="single"/>
        </w:rPr>
        <w:t>Section 2.20(b)</w:t>
      </w:r>
      <w:r>
        <w:rPr>
          <w:rFonts w:ascii="Times New Roman" w:hAnsi="Times New Roman"/>
          <w:color w:val="000000"/>
          <w:sz w:val="20"/>
        </w:rPr>
        <w:t xml:space="preserve"> </w:t>
      </w:r>
      <w:r>
        <w:rPr>
          <w:rFonts w:ascii="Times New Roman" w:hAnsi="Times New Roman"/>
          <w:color w:val="000000"/>
          <w:sz w:val="24"/>
        </w:rPr>
        <w:t>on the date so required;</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Borrower shall fail to pay any interest on any Loan or any fee or any other amount (other than an amount referred to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of this Article) payable under this Agreement or under any other Loan Document, when and as the same shall become due and payable, and such failure shall continue unremedied for a period of five (5) or more Business Days;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Borrower shall fail to observe or perform any covenant, condition or agreement contained in (i) </w:t>
      </w:r>
      <w:r>
        <w:rPr>
          <w:rFonts w:ascii="Times New Roman" w:hAnsi="Times New Roman"/>
          <w:color w:val="000000"/>
          <w:sz w:val="24"/>
          <w:u w:val="single"/>
        </w:rPr>
        <w:t>Section 5.03</w:t>
      </w:r>
      <w:r>
        <w:rPr>
          <w:rFonts w:ascii="Times New Roman" w:hAnsi="Times New Roman"/>
          <w:color w:val="000000"/>
          <w:sz w:val="20"/>
        </w:rPr>
        <w:t xml:space="preserve"> </w:t>
      </w:r>
      <w:r>
        <w:rPr>
          <w:rFonts w:ascii="Times New Roman" w:hAnsi="Times New Roman"/>
          <w:color w:val="000000"/>
          <w:sz w:val="24"/>
        </w:rPr>
        <w:t xml:space="preserve">(with respect to the Borrower’s existence) or </w:t>
      </w:r>
      <w:r>
        <w:rPr>
          <w:rFonts w:ascii="Times New Roman" w:hAnsi="Times New Roman"/>
          <w:color w:val="000000"/>
          <w:sz w:val="24"/>
          <w:u w:val="single"/>
        </w:rPr>
        <w:t>Sections 5.08(a)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in </w:t>
      </w:r>
      <w:r>
        <w:rPr>
          <w:rFonts w:ascii="Times New Roman" w:hAnsi="Times New Roman"/>
          <w:color w:val="000000"/>
          <w:sz w:val="24"/>
          <w:u w:val="single"/>
        </w:rPr>
        <w:t xml:space="preserve">Article VI </w:t>
      </w:r>
      <w:r>
        <w:rPr>
          <w:rFonts w:ascii="Times New Roman" w:hAnsi="Times New Roman"/>
          <w:color w:val="000000"/>
          <w:sz w:val="24"/>
        </w:rPr>
        <w:t xml:space="preserve">or any Obligor shall default in the performance of any of its obligations contained in Sections 3 and 7 of the Guarantee and Security Agreement or (ii) </w:t>
      </w:r>
      <w:r>
        <w:rPr>
          <w:rFonts w:ascii="Times New Roman" w:hAnsi="Times New Roman"/>
          <w:color w:val="000000"/>
          <w:sz w:val="24"/>
          <w:u w:val="single"/>
        </w:rPr>
        <w:t>Sections 5.01 (d)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5.02</w:t>
      </w:r>
      <w:r>
        <w:rPr>
          <w:rFonts w:ascii="Times New Roman" w:hAnsi="Times New Roman"/>
          <w:color w:val="000000"/>
          <w:sz w:val="20"/>
        </w:rPr>
        <w:t xml:space="preserve"> </w:t>
      </w:r>
      <w:r>
        <w:rPr>
          <w:rFonts w:ascii="Times New Roman" w:hAnsi="Times New Roman"/>
          <w:color w:val="000000"/>
          <w:sz w:val="24"/>
        </w:rPr>
        <w:t>and such failure shall continue unremedied for a period of five (5) or more days after notice thereof by the Administrative Agent (given at the request of any Lender) to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a Borrowing Base Deficiency shall occur and continue unremedied for a period of five or more Business Days after delivery of a Borrowing Base Certificate demonstrating such Borrowing Base Deficiency pursuant to </w:t>
      </w:r>
      <w:r>
        <w:rPr>
          <w:rFonts w:ascii="Times New Roman" w:hAnsi="Times New Roman"/>
          <w:color w:val="000000"/>
          <w:sz w:val="24"/>
          <w:u w:val="single"/>
        </w:rPr>
        <w:t>Section 5.01(e)</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(5) Business Days permitted for delivery of such plan), so long as such Borrowing Base Deficiency is cured within such 30-Business Day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the Borrower or any Obligor, as applicable, shall fail to observe or perform any covenant, condition or agreement contained in this Agreement (other than those specified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(d)</w:t>
      </w:r>
      <w:r>
        <w:rPr>
          <w:rFonts w:ascii="Times New Roman" w:hAnsi="Times New Roman"/>
          <w:color w:val="000000"/>
          <w:sz w:val="24"/>
        </w:rPr>
        <w:t xml:space="preserve">,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w:t>
      </w:r>
      <w:r>
        <w:rPr>
          <w:rFonts w:ascii="Times New Roman" w:hAnsi="Times New Roman"/>
          <w:color w:val="000000"/>
          <w:sz w:val="20"/>
        </w:rPr>
        <w:t xml:space="preserve"> </w:t>
      </w:r>
      <w:r>
        <w:rPr>
          <w:rFonts w:ascii="Times New Roman" w:hAnsi="Times New Roman"/>
          <w:color w:val="000000"/>
          <w:sz w:val="24"/>
        </w:rPr>
        <w:t>of this Article) or any other Loan Document and such failure shall continue unremedied for a period of 30 or more days after notice thereof from the Administrative Agent (given at the request of any Lender)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hAnsi="Times New Roman"/>
          <w:color w:val="000000"/>
          <w:sz w:val="24"/>
          <w:u w:val="single"/>
        </w:rPr>
        <w:t>Section 6.12</w:t>
      </w:r>
      <w:r>
        <w:rPr>
          <w:rFonts w:ascii="Times New Roman" w:hAnsi="Times New Roman"/>
          <w:color w:val="000000"/>
          <w:sz w:val="20"/>
        </w:rPr>
        <w:t xml:space="preserve"> </w:t>
      </w:r>
      <w:r>
        <w:rPr>
          <w:rFonts w:ascii="Times New Roman" w:hAnsi="Times New Roman"/>
          <w:color w:val="000000"/>
          <w:sz w:val="24"/>
        </w:rPr>
        <w:t>and that is not a result of a breach,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default or other violation or failure in respect of such Material Indebtedness by the Borrower or any of its Subsidiaries after giving effect to any applicable grace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this </w:t>
      </w:r>
      <w:r>
        <w:rPr>
          <w:rFonts w:ascii="Times New Roman" w:hAnsi="Times New Roman"/>
          <w:color w:val="000000"/>
          <w:sz w:val="24"/>
          <w:u w:val="single"/>
        </w:rPr>
        <w:t>clause (h)</w:t>
      </w:r>
      <w:r>
        <w:rPr>
          <w:rFonts w:ascii="Times New Roman" w:hAnsi="Times New Roman"/>
          <w:color w:val="000000"/>
          <w:sz w:val="20"/>
        </w:rPr>
        <w:t xml:space="preserve"> </w:t>
      </w:r>
      <w:r>
        <w:rPr>
          <w:rFonts w:ascii="Times New Roman" w:hAnsi="Times New Roman"/>
          <w:color w:val="000000"/>
          <w:sz w:val="24"/>
        </w:rPr>
        <w:t>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the Borrower or any of its Subsidiaries (other than Immaterial Subsidiaries) shall become unable, admit in writing its inability or fail generally to pay its debts as they become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one or more judgments for the payment of money in an aggregate amount in excess of $50,000,000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an ERISA Event shall have occurred that, in the opinion of the Required Lenders, when taken together with all other ERISA Events that have occurred, would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a Change in Control shall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the Borrower shall cease to be managed by the External Manager or an Affiliate thereof;</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if, prior to the Extended Final Maturity Date, both of the principals of the External Manager (who initially will be Alan Waxman and Joshua Easterly) fail to remain actively involved in the investment activities of the Borrower and the other investment vehicles managed by TSSP Management Holdings, L.P. and its Affiliates;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(q) 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 xml:space="preserve">or under the respective Security Documents) except to the extent that any such loss of perfection results from the failure of the Collateral Agent to maintain possession of the certificates representing the securities pledged under the Loan Documents;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any Liens created by the Security Documents that are perfected by the filing of a UCC financing statement, if such default is as a result of any action of the Administrative Agent or the Collateral Agent or a failure of the Administrative Agent or the Collateral Agent to take any action that it has agreed to take pursuant to this Agreement or the Guarantee and Security Agreement, then there shall be no Default or Event of Default hereunder unless such default shall continue unremedied for a period of ten (10) consecutive Business Days after such Borrower receives written notice of such default thereof from the Administrative Agent unless the continuance thereof is a result of a failure of the Administrative Agent or the Collateral Agent to take an action that it has agreed to take pursuant to this Agreement or the Guarantee and Security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(r) except for expiration in accordance with its terms, any of the Loan Documents shall for whatever reason be terminated or cease to be in full force and effect in any material respect, or the enforceability thereof shall be contested by the Borrower or any other Obligor;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 the Obligors shall at any time, without the consent of the Required Lenders fail to comply with the covenant contained in </w:t>
      </w:r>
      <w:r>
        <w:rPr>
          <w:rFonts w:ascii="Times New Roman" w:hAnsi="Times New Roman"/>
          <w:color w:val="000000"/>
          <w:sz w:val="24"/>
          <w:u w:val="single"/>
        </w:rPr>
        <w:t>Section 5.11</w:t>
      </w:r>
      <w:r>
        <w:rPr>
          <w:rFonts w:ascii="Times New Roman" w:hAnsi="Times New Roman"/>
          <w:color w:val="000000"/>
          <w:sz w:val="24"/>
        </w:rPr>
        <w:t>, and such failure shall continue unremedied for a period of 30 or more days after the earlier of notice thereof by the Administrative Agent (given at the request of any Lender) to the Borrower or knowledge thereof by a Financial Officer;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the Borrower or any of its Subsidiaries shall cause or permit the occurrence of any condition or event that would result in any recourse to any Obligor under any Permitted SBIC Guarantee;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then, and in every such event (other than an event with respect to the Borrower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any accrued and unpaid interest thereon;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of this Article.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VIII</w:t>
        <w:br/>
        <w:br/>
      </w:r>
      <w:r>
        <w:rPr>
          <w:rFonts w:ascii="Times New Roman" w:hAnsi="Times New Roman"/>
          <w:caps/>
          <w:color w:val="000000"/>
          <w:sz w:val="24"/>
          <w:u w:val="single"/>
        </w:rPr>
        <w:t>THE ADMINISTRATIVE AGENT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8.01.</w:t>
      </w:r>
      <w:r>
        <w:rPr>
          <w:rFonts w:ascii="Times New Roman" w:hAnsi="Times New Roman"/>
          <w:color w:val="000000"/>
          <w:sz w:val="20"/>
        </w:rPr>
        <w:t xml:space="preserve"> </w:t>
      </w:r>
      <w:r>
        <w:rPr>
          <w:rFonts w:ascii="Times New Roman" w:hAnsi="Times New Roman"/>
          <w:color w:val="000000"/>
          <w:sz w:val="24"/>
          <w:u w:val="single"/>
        </w:rPr>
        <w:t>Appointment of the Administrative Agent</w:t>
      </w:r>
      <w:r>
        <w:rPr>
          <w:rFonts w:ascii="Times New Roman" w:hAnsi="Times New Roman"/>
          <w:color w:val="000000"/>
          <w:sz w:val="24"/>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The Collateral Agent shall be a third-party beneficiary of this Section 8.01 and shall have all of the rights, benefits and privileges of a third-party beneficiary, including an independent right of action to enforce such rights, benefits and privileges directly, without the consent or joinder of any other Person.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8.02.</w:t>
      </w:r>
      <w:r>
        <w:rPr>
          <w:rFonts w:ascii="Times New Roman" w:hAnsi="Times New Roman"/>
          <w:color w:val="000000"/>
          <w:sz w:val="20"/>
        </w:rPr>
        <w:t xml:space="preserve"> </w:t>
      </w:r>
      <w:r>
        <w:rPr>
          <w:rFonts w:ascii="Times New Roman" w:hAnsi="Times New Roman"/>
          <w:color w:val="000000"/>
          <w:sz w:val="24"/>
          <w:u w:val="single"/>
        </w:rPr>
        <w:t>Capacity as Lender</w:t>
      </w:r>
      <w:r>
        <w:rPr>
          <w:rFonts w:ascii="Times New Roman" w:hAnsi="Times New Roman"/>
          <w:color w:val="000000"/>
          <w:sz w:val="24"/>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8.03.</w:t>
      </w:r>
      <w:r>
        <w:rPr>
          <w:rFonts w:ascii="Times New Roman" w:hAnsi="Times New Roman"/>
          <w:color w:val="000000"/>
          <w:sz w:val="20"/>
        </w:rPr>
        <w:t xml:space="preserve"> </w:t>
      </w:r>
      <w:r>
        <w:rPr>
          <w:rFonts w:ascii="Times New Roman" w:hAnsi="Times New Roman"/>
          <w:color w:val="000000"/>
          <w:sz w:val="24"/>
          <w:u w:val="single"/>
        </w:rPr>
        <w:t>Limitation of Duties; Exculpation</w:t>
      </w:r>
      <w:r>
        <w:rPr>
          <w:rFonts w:ascii="Times New Roman" w:hAnsi="Times New Roman"/>
          <w:color w:val="000000"/>
          <w:sz w:val="24"/>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or elsewhere herein or therein, other than to confirm receipt of items expressly required to be delivered to the Administrative Agent.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8.04.</w:t>
      </w:r>
      <w:r>
        <w:rPr>
          <w:rFonts w:ascii="Times New Roman" w:hAnsi="Times New Roman"/>
          <w:color w:val="000000"/>
          <w:sz w:val="20"/>
        </w:rPr>
        <w:t xml:space="preserve"> </w:t>
      </w:r>
      <w:r>
        <w:rPr>
          <w:rFonts w:ascii="Times New Roman" w:hAnsi="Times New Roman"/>
          <w:color w:val="000000"/>
          <w:sz w:val="24"/>
          <w:u w:val="single"/>
        </w:rPr>
        <w:t>Reliance</w:t>
      </w:r>
      <w:r>
        <w:rPr>
          <w:rFonts w:ascii="Times New Roman" w:hAnsi="Times New Roman"/>
          <w:color w:val="000000"/>
          <w:sz w:val="24"/>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8.05.</w:t>
      </w:r>
      <w:r>
        <w:rPr>
          <w:rFonts w:ascii="Times New Roman" w:hAnsi="Times New Roman"/>
          <w:color w:val="000000"/>
          <w:sz w:val="20"/>
        </w:rPr>
        <w:t xml:space="preserve"> </w:t>
      </w:r>
      <w:r>
        <w:rPr>
          <w:rFonts w:ascii="Times New Roman" w:hAnsi="Times New Roman"/>
          <w:color w:val="000000"/>
          <w:sz w:val="24"/>
          <w:u w:val="single"/>
        </w:rPr>
        <w:t>Sub-Agents</w:t>
      </w:r>
      <w:r>
        <w:rPr>
          <w:rFonts w:ascii="Times New Roman" w:hAnsi="Times New Roman"/>
          <w:color w:val="000000"/>
          <w:sz w:val="24"/>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jurisdiction determines in a final and non-appealable judgment that the Administrative Agent acted with fraud, gross negligence or willful misconduct in the selection of such sub-agents.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8.06.</w:t>
      </w:r>
      <w:r>
        <w:rPr>
          <w:rFonts w:ascii="Times New Roman" w:hAnsi="Times New Roman"/>
          <w:color w:val="000000"/>
          <w:sz w:val="20"/>
        </w:rPr>
        <w:t xml:space="preserve"> </w:t>
      </w:r>
      <w:r>
        <w:rPr>
          <w:rFonts w:ascii="Times New Roman" w:hAnsi="Times New Roman"/>
          <w:color w:val="000000"/>
          <w:sz w:val="24"/>
          <w:u w:val="single"/>
        </w:rPr>
        <w:t>Resignation; Successor Administrative Agent</w:t>
      </w:r>
      <w:r>
        <w:rPr>
          <w:rFonts w:ascii="Times New Roman" w:hAnsi="Times New Roman"/>
          <w:color w:val="000000"/>
          <w:sz w:val="24"/>
        </w:rPr>
        <w:t>. The Administrative Agent may resign by providing not less than thirty (30) 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its benefit in respect of any actions taken or omitted to be taken by it while it was acting as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8.07.</w:t>
      </w:r>
      <w:r>
        <w:rPr>
          <w:rFonts w:ascii="Times New Roman" w:hAnsi="Times New Roman"/>
          <w:color w:val="000000"/>
          <w:sz w:val="20"/>
        </w:rPr>
        <w:t xml:space="preserve"> </w:t>
      </w:r>
      <w:r>
        <w:rPr>
          <w:rFonts w:ascii="Times New Roman" w:hAnsi="Times New Roman"/>
          <w:color w:val="000000"/>
          <w:sz w:val="24"/>
          <w:u w:val="single"/>
        </w:rPr>
        <w:t>Reliance by Lenders</w:t>
      </w:r>
      <w:r>
        <w:rPr>
          <w:rFonts w:ascii="Times New Roman" w:hAnsi="Times New Roman"/>
          <w:color w:val="000000"/>
          <w:sz w:val="24"/>
        </w:rPr>
        <w:t>. Each Lender acknowledges that it has, independently and without reliance upon the Administrative Agent, any Joint Lead Arranger or any other Lender and based on such documents and information as it has deemed appropriate, made its own credit analysis and decision to enter into this Agreement. Each Lender also acknowledges that it will, independently and without reliance upon the Administrative Agent, any Joint Lead Arranger or any other Lender and based on such documents and information as it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8.08.</w:t>
      </w:r>
      <w:r>
        <w:rPr>
          <w:rFonts w:ascii="Times New Roman" w:hAnsi="Times New Roman"/>
          <w:color w:val="000000"/>
          <w:sz w:val="20"/>
        </w:rPr>
        <w:t xml:space="preserve"> </w:t>
      </w:r>
      <w:r>
        <w:rPr>
          <w:rFonts w:ascii="Times New Roman" w:hAnsi="Times New Roman"/>
          <w:color w:val="000000"/>
          <w:sz w:val="24"/>
          <w:u w:val="single"/>
        </w:rPr>
        <w:t>Modifications to Loan Documents</w:t>
      </w:r>
      <w:r>
        <w:rPr>
          <w:rFonts w:ascii="Times New Roman" w:hAnsi="Times New Roman"/>
          <w:color w:val="000000"/>
          <w:sz w:val="24"/>
        </w:rPr>
        <w:t xml:space="preserve">. Except as otherwise provided in </w:t>
      </w:r>
      <w:r>
        <w:rPr>
          <w:rFonts w:ascii="Times New Roman" w:hAnsi="Times New Roman"/>
          <w:color w:val="000000"/>
          <w:sz w:val="24"/>
          <w:u w:val="single"/>
        </w:rPr>
        <w:t>Section 2.22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9.02(b)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of this Agreement or the Security Documents with respect to this Agreement, the Administrative Agent may, with the prior consent of the Required Lenders (but not otherwise), consent to any modification, supplement or waiver under any of the Loan Documents, except that no such consent shall be required, and the Administrative Agent is hereby authorized, (v) to release any Subsidiary Guarantor (and any property of such Subsidiary Guarantor) from its guarantee obligations to the extent it may be 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 (i) cancellation, expiration or termination of any commitment to extend credit or issue Letters of Credit under this Agreement or any other Loan Document, (ii) final payment in full of all principal of and interest on each Loan, any LC Disbursements, any fees and any other amounts then due and owing under this Agreement or any other Loan Document and (iii) termination of this Agreement, to release all Liens and guarantees by Obligors, and (z) to allocate the Liens created under the Security Documents to any Designated Indebtedness Obligations or Hedging Agreement Obligations (as such terms are defined in the Guarantee and Security agreement) in accordance with the Guarantee and Security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(except in connection with securing additional obligations equally and ratably with the Loans and other obligations hereunder in accordance with the Guarantee and Security Agreement), or alter the relative priorities of the obligations entitled to the benefits of the Liens created under the Security Documents with respect to all or substantially all of the Collateral.</w:t>
      </w:r>
    </w:p>
    <w:p>
      <w:pPr>
        <w:pStyle w:val="TextBody"/>
        <w:bidi w:val="0"/>
        <w:spacing w:before="0" w:after="240"/>
        <w:jc w:val="both"/>
        <w:rPr>
          <w:rFonts w:ascii="Times New Roman" w:hAnsi="Times New Roman"/>
          <w:sz w:val="20"/>
        </w:rPr>
      </w:pPr>
      <w:r>
        <w:rPr>
          <w:rFonts w:ascii="Times New Roman" w:hAnsi="Times New Roman"/>
          <w:caps/>
          <w:color w:val="000000"/>
          <w:sz w:val="24"/>
        </w:rPr>
        <w:t>SECTION 8.09.</w:t>
      </w:r>
      <w:r>
        <w:rPr>
          <w:rFonts w:ascii="Times New Roman" w:hAnsi="Times New Roman"/>
          <w:color w:val="000000"/>
          <w:sz w:val="20"/>
        </w:rPr>
        <w:t xml:space="preserve"> </w:t>
      </w:r>
      <w:r>
        <w:rPr>
          <w:rFonts w:ascii="Times New Roman" w:hAnsi="Times New Roman"/>
          <w:color w:val="000000"/>
          <w:sz w:val="24"/>
          <w:u w:val="single"/>
        </w:rPr>
        <w:t>Erroneous Payments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If the Administrative Agent notifies a Lender, an Issuing Bank or any Person who has received funds on behalf of a Lender or an Issuing Bank (any such Lender, Issuing Bank or other recipient, a “</w:t>
      </w:r>
      <w:r>
        <w:rPr>
          <w:rFonts w:ascii="Times New Roman" w:hAnsi="Times New Roman"/>
          <w:color w:val="000000"/>
          <w:sz w:val="24"/>
          <w:u w:val="single"/>
        </w:rPr>
        <w:t>Payment Recipient</w:t>
      </w:r>
      <w:r>
        <w:rPr>
          <w:rFonts w:ascii="Times New Roman" w:hAnsi="Times New Roman"/>
          <w:color w:val="000000"/>
          <w:sz w:val="20"/>
        </w:rPr>
        <w:t>”</w:t>
      </w:r>
      <w:r>
        <w:rPr>
          <w:rFonts w:ascii="Times New Roman" w:hAnsi="Times New Roman"/>
          <w:color w:val="000000"/>
          <w:sz w:val="24"/>
        </w:rPr>
        <w:t xml:space="preserve">), that the Administrative Agent has determined in its sole discretion (whether or not after receipt of any notice under immediately succeeding </w:t>
      </w:r>
      <w:r>
        <w:rPr>
          <w:rFonts w:ascii="Times New Roman" w:hAnsi="Times New Roman"/>
          <w:color w:val="000000"/>
          <w:sz w:val="24"/>
          <w:u w:val="single"/>
        </w:rPr>
        <w:t>clause (b)</w:t>
      </w:r>
      <w:r>
        <w:rPr>
          <w:rFonts w:ascii="Times New Roman" w:hAnsi="Times New Roman"/>
          <w:color w:val="000000"/>
          <w:sz w:val="24"/>
        </w:rPr>
        <w:t>)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Times New Roman" w:hAnsi="Times New Roman"/>
          <w:color w:val="000000"/>
          <w:sz w:val="24"/>
          <w:u w:val="single"/>
        </w:rPr>
        <w:t>Erroneous Payment</w:t>
      </w:r>
      <w:r>
        <w:rPr>
          <w:rFonts w:ascii="Times New Roman" w:hAnsi="Times New Roman"/>
          <w:color w:val="000000"/>
          <w:sz w:val="20"/>
        </w:rPr>
        <w:t>”</w:t>
      </w:r>
      <w:r>
        <w:rPr>
          <w:rFonts w:ascii="Times New Roman" w:hAnsi="Times New Roman"/>
          <w:color w:val="000000"/>
          <w:sz w:val="24"/>
        </w:rPr>
        <w:t xml:space="preserve">) and demands in writing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or Issuing Bank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Without limiting immediately preceding </w:t>
      </w:r>
      <w:r>
        <w:rPr>
          <w:rFonts w:ascii="Times New Roman" w:hAnsi="Times New Roman"/>
          <w:color w:val="000000"/>
          <w:sz w:val="24"/>
          <w:u w:val="single"/>
        </w:rPr>
        <w:t>clause (a)</w:t>
      </w:r>
      <w:r>
        <w:rPr>
          <w:rFonts w:ascii="Times New Roman" w:hAnsi="Times New Roman"/>
          <w:color w:val="000000"/>
          <w:sz w:val="24"/>
        </w:rPr>
        <w:t>, each Lender, Issuing Bank or any Person who has received funds on behalf of a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in each case: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 in the case of immediately preceding </w:t>
      </w:r>
      <w:r>
        <w:rPr>
          <w:rFonts w:ascii="Times New Roman" w:hAnsi="Times New Roman"/>
          <w:color w:val="000000"/>
          <w:sz w:val="24"/>
          <w:u w:val="single"/>
        </w:rPr>
        <w:t>clauses (x)</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(y)</w:t>
      </w:r>
      <w:r>
        <w:rPr>
          <w:rFonts w:ascii="Times New Roman" w:hAnsi="Times New Roman"/>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 w:hAnsi="Times New Roman"/>
          <w:color w:val="000000"/>
          <w:sz w:val="24"/>
          <w:u w:val="single"/>
        </w:rPr>
        <w:t>clause (z)</w:t>
      </w:r>
      <w:r>
        <w:rPr>
          <w:rFonts w:ascii="Times New Roman" w:hAnsi="Times New Roman"/>
          <w:color w:val="000000"/>
          <w:sz w:val="24"/>
        </w:rPr>
        <w:t>), in each case, with respect to such payment, prepayment or repayment;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such Lender or Issuing Bank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4"/>
          <w:u w:val="single"/>
        </w:rPr>
        <w:t>Section 8.09(b)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w:t>
      </w:r>
      <w:r>
        <w:rPr>
          <w:rFonts w:ascii="Times New Roman" w:hAnsi="Times New Roman"/>
          <w:color w:val="000000"/>
          <w:sz w:val="24"/>
          <w:u w:val="single"/>
        </w:rPr>
        <w:t>clause (a)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In the event that an Erroneous Payment (or portion thereof) is not recovered by the Administrative Agent for any reason, after demand therefor by the Administrative Agent in accordance with immediately preceding </w:t>
      </w:r>
      <w:r>
        <w:rPr>
          <w:rFonts w:ascii="Times New Roman" w:hAnsi="Times New Roman"/>
          <w:color w:val="000000"/>
          <w:sz w:val="24"/>
          <w:u w:val="single"/>
        </w:rPr>
        <w:t>clause (a)</w:t>
      </w:r>
      <w:r>
        <w:rPr>
          <w:rFonts w:ascii="Times New Roman" w:hAnsi="Times New Roman"/>
          <w:color w:val="000000"/>
          <w:sz w:val="24"/>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hAnsi="Times New Roman"/>
          <w:color w:val="000000"/>
          <w:sz w:val="24"/>
          <w:u w:val="single"/>
        </w:rPr>
        <w:t>Erroneous Payment Return Deficiency</w:t>
      </w:r>
      <w:r>
        <w:rPr>
          <w:rFonts w:ascii="Times New Roman" w:hAnsi="Times New Roman"/>
          <w:color w:val="000000"/>
          <w:sz w:val="20"/>
        </w:rPr>
        <w:t>”</w:t>
      </w:r>
      <w:r>
        <w:rPr>
          <w:rFonts w:ascii="Times New Roman" w:hAnsi="Times New Roman"/>
          <w:color w:val="000000"/>
          <w:sz w:val="24"/>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hAnsi="Times New Roman"/>
          <w:color w:val="000000"/>
          <w:sz w:val="24"/>
          <w:u w:val="single"/>
        </w:rPr>
        <w:t>Erroneous Payment Impacted Class</w:t>
      </w:r>
      <w:r>
        <w:rPr>
          <w:rFonts w:ascii="Times New Roman" w:hAnsi="Times New Roman"/>
          <w:color w:val="000000"/>
          <w:sz w:val="20"/>
        </w:rPr>
        <w:t>”</w:t>
      </w:r>
      <w:r>
        <w:rPr>
          <w:rFonts w:ascii="Times New Roman" w:hAnsi="Times New Roman"/>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color w:val="000000"/>
          <w:sz w:val="24"/>
          <w:u w:val="single"/>
        </w:rPr>
        <w:t>Erroneous Payment Deficiency Assignment</w:t>
      </w:r>
      <w:r>
        <w:rPr>
          <w:rFonts w:ascii="Times New Roman" w:hAnsi="Times New Roman"/>
          <w:color w:val="000000"/>
          <w:sz w:val="20"/>
        </w:rPr>
        <w:t>”</w:t>
      </w:r>
      <w:r>
        <w:rPr>
          <w:rFonts w:ascii="Times New Roman" w:hAnsi="Times New Roman"/>
          <w:color w:val="000000"/>
          <w:sz w:val="24"/>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 w:hAnsi="Times New Roman"/>
          <w:color w:val="000000"/>
          <w:sz w:val="24"/>
          <w:u w:val="single"/>
        </w:rPr>
        <w:t>Section 9.04(b)</w:t>
      </w:r>
      <w:r>
        <w:rPr>
          <w:rFonts w:ascii="Times New Roman" w:hAnsi="Times New Roman"/>
          <w:color w:val="000000"/>
          <w:sz w:val="24"/>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all the rights and interests of the applicable Lender or Issuing Bank under the Loan Documents with respect to each Erroneous Payment Return Deficiency (the “</w:t>
      </w:r>
      <w:r>
        <w:rPr>
          <w:rFonts w:ascii="Times New Roman" w:hAnsi="Times New Roman"/>
          <w:color w:val="000000"/>
          <w:sz w:val="24"/>
          <w:u w:val="single"/>
        </w:rPr>
        <w:t>Erroneous Payment Subrogation Rights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The parties hereto agree that an Erroneous Payment shall not pay, prepay, repay, discharge or otherwise satisfy any Revolving Credit Exposure or other obligations owed by the Borrower or any other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this </w:t>
      </w:r>
      <w:r>
        <w:rPr>
          <w:rFonts w:ascii="Times New Roman" w:hAnsi="Times New Roman"/>
          <w:color w:val="000000"/>
          <w:sz w:val="24"/>
          <w:u w:val="single"/>
        </w:rPr>
        <w:t>Section 8.09(e)</w:t>
      </w:r>
      <w:r>
        <w:rPr>
          <w:rFonts w:ascii="Times New Roman" w:hAnsi="Times New Roman"/>
          <w:color w:val="000000"/>
          <w:sz w:val="20"/>
        </w:rPr>
        <w:t xml:space="preserve"> </w:t>
      </w:r>
      <w:r>
        <w:rPr>
          <w:rFonts w:ascii="Times New Roman" w:hAnsi="Times New Roman"/>
          <w:color w:val="000000"/>
          <w:sz w:val="24"/>
        </w:rPr>
        <w:t xml:space="preserve">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Times New Roman" w:hAnsi="Times New Roman"/>
          <w:color w:val="000000"/>
          <w:sz w:val="24"/>
          <w:u w:val="single"/>
        </w:rPr>
        <w:t>provided, further</w:t>
      </w:r>
      <w:r>
        <w:rPr>
          <w:rFonts w:ascii="Times New Roman" w:hAnsi="Times New Roman"/>
          <w:color w:val="000000"/>
          <w:sz w:val="24"/>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payment in respect of the Credit Exposure.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Each party’s obligations, agreements and waivers under this </w:t>
      </w:r>
      <w:r>
        <w:rPr>
          <w:rFonts w:ascii="Times New Roman" w:hAnsi="Times New Roman"/>
          <w:color w:val="000000"/>
          <w:sz w:val="24"/>
          <w:u w:val="single"/>
        </w:rPr>
        <w:t>Section 8.09</w:t>
      </w:r>
      <w:r>
        <w:rPr>
          <w:rFonts w:ascii="Times New Roman" w:hAnsi="Times New Roman"/>
          <w:color w:val="000000"/>
          <w:sz w:val="20"/>
        </w:rPr>
        <w:t xml:space="preserve"> </w:t>
      </w:r>
      <w:r>
        <w:rPr>
          <w:rFonts w:ascii="Times New Roman" w:hAnsi="Times New Roman"/>
          <w:color w:val="000000"/>
          <w:sz w:val="24"/>
        </w:rPr>
        <w:t>shall survive the resignation or replacement of the Administrative Agent, any transfer of rights or obligations by, or the replacement of, a Lender or Issuing Bank,</w:t>
      </w:r>
      <w:r>
        <w:rPr>
          <w:rFonts w:ascii="Times New Roman" w:hAnsi="Times New Roman"/>
          <w:color w:val="000000"/>
          <w:sz w:val="20"/>
        </w:rPr>
        <w:t xml:space="preserve"> </w:t>
      </w:r>
      <w:r>
        <w:rPr>
          <w:rFonts w:ascii="Times New Roman" w:hAnsi="Times New Roman"/>
          <w:color w:val="000000"/>
          <w:sz w:val="24"/>
        </w:rPr>
        <w:t>the termination of the Commitments and/or the repayment, satisfaction or discharge of all obligations (or any portion thereof) under any Loan Document.</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IX</w:t>
        <w:br/>
        <w:br/>
      </w:r>
      <w:r>
        <w:rPr>
          <w:rFonts w:ascii="Times New Roman" w:hAnsi="Times New Roman"/>
          <w:caps/>
          <w:color w:val="000000"/>
          <w:sz w:val="24"/>
          <w:u w:val="single"/>
        </w:rPr>
        <w:t>MISCELLANEOUS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9.01.</w:t>
      </w:r>
      <w:r>
        <w:rPr>
          <w:rFonts w:ascii="Times New Roman" w:hAnsi="Times New Roman"/>
          <w:color w:val="000000"/>
          <w:sz w:val="20"/>
        </w:rPr>
        <w:t xml:space="preserve"> </w:t>
      </w:r>
      <w:r>
        <w:rPr>
          <w:rFonts w:ascii="Times New Roman" w:hAnsi="Times New Roman"/>
          <w:color w:val="000000"/>
          <w:sz w:val="24"/>
          <w:u w:val="single"/>
        </w:rPr>
        <w:t>Notices; Electronic Communications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Notices Generally</w:t>
      </w:r>
      <w:r>
        <w:rPr>
          <w:rFonts w:ascii="Times New Roman" w:hAnsi="Times New Roman"/>
          <w:color w:val="000000"/>
          <w:sz w:val="24"/>
        </w:rPr>
        <w:t>.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if to the Borrower, to it at:</w:t>
      </w:r>
    </w:p>
    <w:p>
      <w:pPr>
        <w:pStyle w:val="TextBody"/>
        <w:bidi w:val="0"/>
        <w:spacing w:before="0" w:after="240"/>
        <w:jc w:val="left"/>
        <w:rPr>
          <w:rFonts w:ascii="Times New Roman" w:hAnsi="Times New Roman"/>
          <w:sz w:val="20"/>
        </w:rPr>
      </w:pPr>
      <w:r>
        <w:rPr>
          <w:rFonts w:ascii="Times New Roman" w:hAnsi="Times New Roman"/>
          <w:color w:val="000000"/>
          <w:sz w:val="24"/>
        </w:rPr>
        <w:t>Sixth Street Specialty Lending, Inc.</w:t>
        <w:br/>
        <w:t>888 Seventh Avenue, 41st Floor</w:t>
        <w:br/>
        <w:t>New York, New York 10019</w:t>
        <w:br/>
        <w:t>Attention: Ian Simmonds</w:t>
        <w:br/>
        <w:t>Telecopy Number:</w:t>
        <w:br/>
        <w:t>Telephone: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if to the Administrative Agent or Truist, in its capacity as a Swingline Lender, to it at:</w:t>
      </w:r>
    </w:p>
    <w:p>
      <w:pPr>
        <w:pStyle w:val="TextBody"/>
        <w:bidi w:val="0"/>
        <w:spacing w:before="0" w:after="240"/>
        <w:jc w:val="left"/>
        <w:rPr>
          <w:rFonts w:ascii="Times New Roman" w:hAnsi="Times New Roman"/>
          <w:sz w:val="20"/>
        </w:rPr>
      </w:pPr>
      <w:r>
        <w:rPr>
          <w:rFonts w:ascii="Times New Roman" w:hAnsi="Times New Roman"/>
          <w:color w:val="000000"/>
          <w:sz w:val="24"/>
        </w:rPr>
        <w:t>Truist Bank</w:t>
        <w:br/>
        <w:t>3333 Peachtree Road, 8th Floor</w:t>
        <w:br/>
        <w:t>Atlanta, Georgia 30326</w:t>
        <w:br/>
        <w:t>Attention: Hays Wood</w:t>
        <w:br/>
        <w:t>Telecopy Number:</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spacing w:before="0" w:after="240"/>
        <w:jc w:val="left"/>
        <w:rPr>
          <w:rFonts w:ascii="Times New Roman" w:hAnsi="Times New Roman"/>
          <w:sz w:val="20"/>
        </w:rPr>
      </w:pPr>
      <w:r>
        <w:rPr>
          <w:rFonts w:ascii="Times New Roman" w:hAnsi="Times New Roman"/>
          <w:color w:val="000000"/>
          <w:sz w:val="24"/>
        </w:rPr>
        <w:t>Truist Bank</w:t>
        <w:br/>
        <w:t>303 Peachtree Street, NE, 25th Floor</w:t>
        <w:br/>
        <w:t>Atlanta, GA 30308</w:t>
        <w:br/>
        <w:t>Attention: Karen Weich</w:t>
        <w:br/>
        <w:t>Email:</w:t>
        <w:br/>
        <w:t>Telecopy Number: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if to Truist, in its capacity as Issuing Bank, to it at:</w:t>
      </w:r>
    </w:p>
    <w:p>
      <w:pPr>
        <w:pStyle w:val="TextBody"/>
        <w:bidi w:val="0"/>
        <w:spacing w:before="0" w:after="240"/>
        <w:jc w:val="left"/>
        <w:rPr>
          <w:rFonts w:ascii="Times New Roman" w:hAnsi="Times New Roman"/>
          <w:sz w:val="20"/>
        </w:rPr>
      </w:pPr>
      <w:r>
        <w:rPr>
          <w:rFonts w:ascii="Times New Roman" w:hAnsi="Times New Roman"/>
          <w:color w:val="000000"/>
          <w:sz w:val="24"/>
        </w:rPr>
        <w:t>Truist Bank</w:t>
        <w:br/>
        <w:t>303 Peachtree Street, NE, 25th Floor</w:t>
        <w:br/>
        <w:t>Atlanta, GA 30308</w:t>
        <w:br/>
        <w:t>Attention: Karen Weich</w:t>
        <w:br/>
        <w:t>Email:</w:t>
        <w:br/>
        <w:t>Telecopy Number: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if to JPMorgan Chase Bank, N.A., in its capacity as a Swingline Lender and an Issuing Bank:</w:t>
      </w:r>
    </w:p>
    <w:p>
      <w:pPr>
        <w:pStyle w:val="TextBody"/>
        <w:bidi w:val="0"/>
        <w:jc w:val="both"/>
        <w:rPr>
          <w:rFonts w:ascii="Times New Roman" w:hAnsi="Times New Roman"/>
          <w:sz w:val="20"/>
        </w:rPr>
      </w:pPr>
      <w:r>
        <w:rPr>
          <w:rFonts w:ascii="Times New Roman" w:hAnsi="Times New Roman"/>
          <w:color w:val="000000"/>
          <w:sz w:val="24"/>
        </w:rPr>
        <w:t>JPMorgan Chase Bank, N.A.</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Ground floor, 1st to 6th floors, Platina 3, Kodbis, Floor 03</w:t>
      </w:r>
    </w:p>
    <w:p>
      <w:pPr>
        <w:pStyle w:val="TextBody"/>
        <w:bidi w:val="0"/>
        <w:jc w:val="both"/>
        <w:rPr>
          <w:rFonts w:ascii="Times New Roman" w:hAnsi="Times New Roman"/>
          <w:sz w:val="20"/>
        </w:rPr>
      </w:pPr>
      <w:r>
        <w:rPr>
          <w:rFonts w:ascii="Times New Roman" w:hAnsi="Times New Roman"/>
          <w:color w:val="000000"/>
          <w:sz w:val="24"/>
        </w:rPr>
        <w:t>Bengaluru, 560 103, India</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Attention: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Telecopy Number: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if to any other Lender, to it at its address (or telecopy number) set forth in its Administrative Questionnaire.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 xml:space="preserve">below, shall be effective as provided in said </w:t>
      </w:r>
      <w:r>
        <w:rPr>
          <w:rFonts w:ascii="Times New Roman" w:hAnsi="Times New Roman"/>
          <w:color w:val="000000"/>
          <w:sz w:val="24"/>
          <w:u w:val="single"/>
        </w:rPr>
        <w:t>paragraph (b)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Electronic Communications</w:t>
      </w:r>
      <w:r>
        <w:rPr>
          <w:rFonts w:ascii="Times New Roman" w:hAnsi="Times New Roman"/>
          <w:color w:val="000000"/>
          <w:sz w:val="24"/>
        </w:rPr>
        <w:t>. Notices and other communications to the Lenders and the Issuing Banks hereunder may be delivered or furnished by electronic communication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(including e-mail and Internet or intranet websites) pursuant to procedures approved by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foregoing shall not apply to notices to any Lender or any Issuing Bank pursuant to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approval of such procedures may be limited to particular notices or communications.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of notification that such notice or communication is available and identifying the website address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Private Side Information Contacts</w:t>
      </w:r>
      <w:r>
        <w:rPr>
          <w:rFonts w:ascii="Times New Roman" w:hAnsi="Times New Roman"/>
          <w:color w:val="000000"/>
          <w:sz w:val="24"/>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has any responsibility for such Public Lender’s decision to limit the scope of the information it has obtained in connection with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Documents to be Delivered under Sections 5.01 and 5.12(a)</w:t>
      </w:r>
      <w:r>
        <w:rPr>
          <w:rFonts w:ascii="Times New Roman" w:hAnsi="Times New Roman"/>
          <w:color w:val="000000"/>
          <w:sz w:val="24"/>
        </w:rPr>
        <w:t xml:space="preserve">. For so long as an Intralinks or equivalent website is available to each of the Lenders hereunder, the Borrower may satisfy its obligation to deliver documents to the Administrative Agent or the Lenders under </w:t>
      </w:r>
      <w:r>
        <w:rPr>
          <w:rFonts w:ascii="Times New Roman" w:hAnsi="Times New Roman"/>
          <w:color w:val="000000"/>
          <w:sz w:val="24"/>
          <w:u w:val="single"/>
        </w:rPr>
        <w:t>Sections 5.01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5.12(a)</w:t>
      </w:r>
      <w:r>
        <w:rPr>
          <w:rFonts w:ascii="Times New Roman" w:hAnsi="Times New Roman"/>
          <w:color w:val="000000"/>
          <w:sz w:val="20"/>
        </w:rPr>
        <w:t xml:space="preserve"> </w:t>
      </w:r>
      <w:r>
        <w:rPr>
          <w:rFonts w:ascii="Times New Roman" w:hAnsi="Times New Roman"/>
          <w:color w:val="000000"/>
          <w:sz w:val="24"/>
        </w:rPr>
        <w:t xml:space="preserve">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Administrative Agent shall have no responsibility to maintain access to Intralinks or an equivalent website.</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9.02.</w:t>
      </w:r>
      <w:r>
        <w:rPr>
          <w:rFonts w:ascii="Times New Roman" w:hAnsi="Times New Roman"/>
          <w:color w:val="000000"/>
          <w:sz w:val="20"/>
        </w:rPr>
        <w:t xml:space="preserve"> </w:t>
      </w:r>
      <w:r>
        <w:rPr>
          <w:rFonts w:ascii="Times New Roman" w:hAnsi="Times New Roman"/>
          <w:color w:val="000000"/>
          <w:sz w:val="24"/>
          <w:u w:val="single"/>
        </w:rPr>
        <w:t>Waivers; Amendments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 Deemed Waivers Remedies Cumulative</w:t>
      </w:r>
      <w:r>
        <w:rPr>
          <w:rFonts w:ascii="Times New Roman" w:hAnsi="Times New Roman"/>
          <w:color w:val="000000"/>
          <w:sz w:val="24"/>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Amendments to this Agreement</w:t>
      </w:r>
      <w:r>
        <w:rPr>
          <w:rFonts w:ascii="Times New Roman" w:hAnsi="Times New Roman"/>
          <w:color w:val="000000"/>
          <w:sz w:val="24"/>
        </w:rPr>
        <w:t xml:space="preserve">. Except as provided in </w:t>
      </w:r>
      <w:r>
        <w:rPr>
          <w:rFonts w:ascii="Times New Roman" w:hAnsi="Times New Roman"/>
          <w:color w:val="000000"/>
          <w:sz w:val="24"/>
          <w:u w:val="single"/>
        </w:rPr>
        <w:t>Section 2.22</w:t>
      </w:r>
      <w:r>
        <w:rPr>
          <w:rFonts w:ascii="Times New Roman" w:hAnsi="Times New Roman"/>
          <w:color w:val="000000"/>
          <w:sz w:val="24"/>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such agreement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increase the Commitment of any Lender without the written consent of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reduce the principal amount of any Loan or LC Disbursement or reduce the rate of interest thereon, or reduce any fees payable hereunder, without the written consent of each Lender affected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pStyle w:val="TextBody"/>
        <w:bidi w:val="0"/>
        <w:jc w:val="center"/>
        <w:rPr>
          <w:rFonts w:ascii="Times New Roman" w:hAnsi="Times New Roman"/>
          <w:color w:val="000000"/>
          <w:sz w:val="24"/>
        </w:rPr>
      </w:pPr>
      <w:r>
        <w:rPr>
          <w:rFonts w:ascii="Times New Roman" w:hAnsi="Times New Roman"/>
          <w:color w:val="000000"/>
          <w:sz w:val="24"/>
        </w:rPr>
        <w:t>-144-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change </w:t>
      </w:r>
      <w:r>
        <w:rPr>
          <w:rFonts w:ascii="Times New Roman" w:hAnsi="Times New Roman"/>
          <w:color w:val="000000"/>
          <w:sz w:val="24"/>
          <w:u w:val="single"/>
        </w:rPr>
        <w:t>Section 2.17(b)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in a manner that would alter the pro rata sharing of payments required thereby without the written consent of each Lender affected thereby,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Times New Roman" w:hAnsi="Times New Roman"/>
          <w:color w:val="000000"/>
          <w:sz w:val="24"/>
          <w:u w:val="single"/>
        </w:rPr>
        <w:t>Section 5.12(b)(ii)(E)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(F)</w:t>
      </w:r>
      <w:r>
        <w:rPr>
          <w:rFonts w:ascii="Times New Roman" w:hAnsi="Times New Roman"/>
          <w:color w:val="000000"/>
          <w:sz w:val="24"/>
        </w:rPr>
        <w:t xml:space="preserve">, but including changes to the provisions of </w:t>
      </w:r>
      <w:r>
        <w:rPr>
          <w:rFonts w:ascii="Times New Roman" w:hAnsi="Times New Roman"/>
          <w:color w:val="000000"/>
          <w:sz w:val="24"/>
          <w:u w:val="single"/>
        </w:rPr>
        <w:t>Section 5.12(c)(ii)</w:t>
      </w:r>
      <w:r>
        <w:rPr>
          <w:rFonts w:ascii="Times New Roman" w:hAnsi="Times New Roman"/>
          <w:color w:val="000000"/>
          <w:sz w:val="20"/>
        </w:rPr>
        <w:t xml:space="preserve"> </w:t>
      </w:r>
      <w:r>
        <w:rPr>
          <w:rFonts w:ascii="Times New Roman" w:hAnsi="Times New Roman"/>
          <w:color w:val="000000"/>
          <w:sz w:val="24"/>
        </w:rPr>
        <w:t xml:space="preserve">and the definitions set forth in </w:t>
      </w:r>
      <w:r>
        <w:rPr>
          <w:rFonts w:ascii="Times New Roman" w:hAnsi="Times New Roman"/>
          <w:color w:val="000000"/>
          <w:sz w:val="24"/>
          <w:u w:val="single"/>
        </w:rPr>
        <w:t>Section 5.13</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for any release of any material portion of the Collateral other than for fair value or as otherwise permitted hereunder or under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Amendments to Security Documents</w:t>
      </w:r>
      <w:r>
        <w:rPr>
          <w:rFonts w:ascii="Times New Roman" w:hAnsi="Times New Roman"/>
          <w:color w:val="000000"/>
          <w:sz w:val="24"/>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hAnsi="Times New Roman"/>
          <w:color w:val="000000"/>
          <w:sz w:val="24"/>
          <w:u w:val="single"/>
        </w:rPr>
        <w:t>Section 2.08(e)</w:t>
      </w:r>
      <w:r>
        <w:rPr>
          <w:rFonts w:ascii="Times New Roman" w:hAnsi="Times New Roman"/>
          <w:color w:val="000000"/>
          <w:sz w:val="20"/>
        </w:rPr>
        <w:t xml:space="preserve"> </w:t>
      </w:r>
      <w:r>
        <w:rPr>
          <w:rFonts w:ascii="Times New Roman" w:hAnsi="Times New Roman"/>
          <w:color w:val="000000"/>
          <w:sz w:val="24"/>
        </w:rPr>
        <w:t xml:space="preserve">to an amount not greater than permitted by </w:t>
      </w:r>
      <w:r>
        <w:rPr>
          <w:rFonts w:ascii="Times New Roman" w:hAnsi="Times New Roman"/>
          <w:color w:val="000000"/>
          <w:sz w:val="24"/>
          <w:u w:val="single"/>
        </w:rPr>
        <w:t>Section 2.08(e)(i)(B)</w:t>
      </w:r>
      <w:r>
        <w:rPr>
          <w:rFonts w:ascii="Times New Roman" w:hAnsi="Times New Roman"/>
          <w:color w:val="000000"/>
          <w:sz w:val="24"/>
        </w:rPr>
        <w:t xml:space="preserve">) except pursuant to an agreement or agreements in writing entered into by the Borrower, and by the Collateral Agent with the consent of the Required Lenders,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without the written consent of each Lender, no such agreement shall release all or substantially all of the Obligors from their respective obligations under the Security Documents and (ii) without the written consent of each Lender, no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Replacement of Non-Consenting Lender</w:t>
      </w:r>
      <w:r>
        <w:rPr>
          <w:rFonts w:ascii="Times New Roman" w:hAnsi="Times New Roman"/>
          <w:color w:val="000000"/>
          <w:sz w:val="24"/>
        </w:rPr>
        <w:t xml:space="preserve">. If, in connection with any proposed change, waiver, discharge or termination to any of the provisions of this Agreement as contemplated by this </w:t>
      </w:r>
      <w:r>
        <w:rPr>
          <w:rFonts w:ascii="Times New Roman" w:hAnsi="Times New Roman"/>
          <w:color w:val="000000"/>
          <w:sz w:val="24"/>
          <w:u w:val="single"/>
        </w:rPr>
        <w:t>Section 9.02</w:t>
      </w:r>
      <w:r>
        <w:rPr>
          <w:rFonts w:ascii="Times New Roman" w:hAnsi="Times New Roman"/>
          <w:color w:val="000000"/>
          <w:sz w:val="24"/>
        </w:rPr>
        <w:t>, the consent of the Required Lenders shall have been obtained but the consent of one or more Lenders (each a “</w:t>
      </w:r>
      <w:r>
        <w:rPr>
          <w:rFonts w:ascii="Times New Roman" w:hAnsi="Times New Roman"/>
          <w:color w:val="000000"/>
          <w:sz w:val="24"/>
          <w:u w:val="single"/>
        </w:rPr>
        <w:t>Non-Consenting Lender</w:t>
      </w:r>
      <w:r>
        <w:rPr>
          <w:rFonts w:ascii="Times New Roman" w:hAnsi="Times New Roman"/>
          <w:color w:val="000000"/>
          <w:sz w:val="20"/>
        </w:rPr>
        <w:t>”</w:t>
      </w:r>
      <w:r>
        <w:rPr>
          <w:rFonts w:ascii="Times New Roman" w:hAnsi="Times New Roman"/>
          <w:color w:val="000000"/>
          <w:sz w:val="24"/>
        </w:rPr>
        <w:t xml:space="preserve">)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Times New Roman" w:hAnsi="Times New Roman"/>
          <w:color w:val="000000"/>
          <w:sz w:val="24"/>
          <w:u w:val="single"/>
        </w:rPr>
        <w:t>Section 2.18(b)</w:t>
      </w:r>
      <w:r>
        <w:rPr>
          <w:rFonts w:ascii="Times New Roman" w:hAnsi="Times New Roman"/>
          <w:color w:val="000000"/>
          <w:sz w:val="20"/>
        </w:rPr>
        <w:t xml:space="preserve"> </w:t>
      </w:r>
      <w:r>
        <w:rPr>
          <w:rFonts w:ascii="Times New Roman" w:hAnsi="Times New Roman"/>
          <w:color w:val="000000"/>
          <w:sz w:val="24"/>
        </w:rPr>
        <w:t>so long as at the time of such replacement, each such replacement Lender consents to the proposed change, waiver, discharge or termination.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9.03.</w:t>
      </w:r>
      <w:r>
        <w:rPr>
          <w:rFonts w:ascii="Times New Roman" w:hAnsi="Times New Roman"/>
          <w:color w:val="000000"/>
          <w:sz w:val="20"/>
        </w:rPr>
        <w:t xml:space="preserve"> </w:t>
      </w:r>
      <w:r>
        <w:rPr>
          <w:rFonts w:ascii="Times New Roman" w:hAnsi="Times New Roman"/>
          <w:color w:val="000000"/>
          <w:sz w:val="24"/>
          <w:u w:val="single"/>
        </w:rPr>
        <w:t>Expenses; Indemnity; Damage Waiver</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Costs and Expenses</w:t>
      </w:r>
      <w:r>
        <w:rPr>
          <w:rFonts w:ascii="Times New Roman" w:hAnsi="Times New Roman"/>
          <w:color w:val="000000"/>
          <w:sz w:val="24"/>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Indemnification by the Borrower</w:t>
      </w:r>
      <w:r>
        <w:rPr>
          <w:rFonts w:ascii="Times New Roman" w:hAnsi="Times New Roman"/>
          <w:color w:val="000000"/>
          <w:sz w:val="24"/>
        </w:rPr>
        <w:t>. The Borrower shall indemnify the Administrative Agent, each Joint Lead Arranger, each Issuing Bank, each Swingline Lender and each Lender, and each Related Party of any of the foregoing Persons (each such Person being called an “</w:t>
      </w:r>
      <w:r>
        <w:rPr>
          <w:rFonts w:ascii="Times New Roman" w:hAnsi="Times New Roman"/>
          <w:color w:val="000000"/>
          <w:sz w:val="24"/>
          <w:u w:val="single"/>
        </w:rPr>
        <w:t>Indemnitee</w:t>
      </w:r>
      <w:r>
        <w:rPr>
          <w:rFonts w:ascii="Times New Roman" w:hAnsi="Times New Roman"/>
          <w:color w:val="000000"/>
          <w:sz w:val="20"/>
        </w:rPr>
        <w:t>”</w:t>
      </w:r>
      <w:r>
        <w:rPr>
          <w:rFonts w:ascii="Times New Roman" w:hAnsi="Times New Roman"/>
          <w:color w:val="000000"/>
          <w:sz w:val="24"/>
        </w:rPr>
        <w:t>) against, and hold each Indemnitee harmless from, any and all losses, claims, damages, liabilities, actions, judgments, suits, costs, expenses and disbursements 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hAnsi="Times New Roman"/>
          <w:color w:val="000000"/>
          <w:sz w:val="24"/>
          <w:u w:val="single"/>
        </w:rPr>
        <w:t>Section 2.16</w:t>
      </w:r>
      <w:r>
        <w:rPr>
          <w:rFonts w:ascii="Times New Roman" w:hAnsi="Times New Roman"/>
          <w:color w:val="000000"/>
          <w:sz w:val="24"/>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indemnity shall not as to any Indemnitee, be available to the extent that such losses, claims, damages, liabilities or related expenses (A) are determined by a court of competent jurisdiction by final and nonappealable 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Times New Roman" w:hAnsi="Times New Roman"/>
          <w:color w:val="000000"/>
          <w:sz w:val="24"/>
          <w:u w:val="single"/>
        </w:rPr>
        <w:t>Section 2.16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limitation shall not be deemed to impair or affect the obligations of the Borrower under the preceding provisions of this subsection.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Reimbursement by Lenders</w:t>
      </w:r>
      <w:r>
        <w:rPr>
          <w:rFonts w:ascii="Times New Roman" w:hAnsi="Times New Roman"/>
          <w:color w:val="000000"/>
          <w:sz w:val="24"/>
        </w:rPr>
        <w:t xml:space="preserve">. To the extent that the Borrower fails to pay any amount required to be paid by it to the Administrative Agent, any Issuing Bank or any Swingline Lender under </w:t>
      </w:r>
      <w:r>
        <w:rPr>
          <w:rFonts w:ascii="Times New Roman" w:hAnsi="Times New Roman"/>
          <w:color w:val="000000"/>
          <w:sz w:val="24"/>
          <w:u w:val="single"/>
        </w:rPr>
        <w:t>paragraph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of this Section, each Lender severally agrees to pay to the Administrative Agent, the applicable Issuing Bank or the applicable Swingline Lender, as the case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may be, such Lender’s Applicable Percentage (determined as of the time that the applicable unreimbursed expense or indemnity payment is sought) of such unpaid amount;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unreimbursed expense or indemnified loss, claim, damage, liability or related expense, as the case may be, was incurred by or asserted against the Administrative Agent, the applicable Issuing Bank or the applicable Swingline Lender in its capacity as such.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Waiver of Consequential Damages, Etc</w:t>
      </w:r>
      <w:r>
        <w:rPr>
          <w:rFonts w:ascii="Times New Roman" w:hAnsi="Times New Roman"/>
          <w:color w:val="000000"/>
          <w:sz w:val="24"/>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Payments</w:t>
      </w:r>
      <w:r>
        <w:rPr>
          <w:rFonts w:ascii="Times New Roman" w:hAnsi="Times New Roman"/>
          <w:color w:val="000000"/>
          <w:sz w:val="24"/>
        </w:rPr>
        <w:t>. All amounts due under this Section shall be payable promptly after written demand therefor.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9.04.</w:t>
      </w:r>
      <w:r>
        <w:rPr>
          <w:rFonts w:ascii="Times New Roman" w:hAnsi="Times New Roman"/>
          <w:color w:val="000000"/>
          <w:sz w:val="20"/>
        </w:rPr>
        <w:t xml:space="preserve"> </w:t>
      </w:r>
      <w:r>
        <w:rPr>
          <w:rFonts w:ascii="Times New Roman" w:hAnsi="Times New Roman"/>
          <w:color w:val="000000"/>
          <w:sz w:val="24"/>
          <w:u w:val="single"/>
        </w:rPr>
        <w:t>Successors and Assigns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Assignments Generally</w:t>
      </w:r>
      <w:r>
        <w:rPr>
          <w:rFonts w:ascii="Times New Roman" w:hAnsi="Times New Roman"/>
          <w:color w:val="000000"/>
          <w:sz w:val="24"/>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Assignments by Lenders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Assignments Generally</w:t>
      </w:r>
      <w:r>
        <w:rPr>
          <w:rFonts w:ascii="Times New Roman" w:hAnsi="Times New Roman"/>
          <w:color w:val="000000"/>
          <w:sz w:val="24"/>
        </w:rPr>
        <w:t xml:space="preserve">. Subject to the conditions set forth in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below, any Lender may assign to one or more assignees (other than natural persons (or a holding company, investments vehicle, investment vehicle or trust for, or owned and operated by or for the primary benefit of a natural Person)</w:t>
      </w:r>
      <w:r>
        <w:rPr>
          <w:rFonts w:ascii="Times New Roman" w:hAnsi="Times New Roman"/>
          <w:color w:val="000000"/>
          <w:sz w:val="20"/>
        </w:rPr>
        <w:t xml:space="preserve"> </w:t>
      </w:r>
      <w:r>
        <w:rPr>
          <w:rFonts w:ascii="Times New Roman" w:hAnsi="Times New Roman"/>
          <w:color w:val="000000"/>
          <w:sz w:val="24"/>
        </w:rPr>
        <w:t>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pStyle w:val="TextBody"/>
        <w:bidi w:val="0"/>
        <w:jc w:val="center"/>
        <w:rPr>
          <w:rFonts w:ascii="Times New Roman" w:hAnsi="Times New Roman"/>
          <w:color w:val="000000"/>
          <w:sz w:val="24"/>
        </w:rPr>
      </w:pPr>
      <w:r>
        <w:rPr>
          <w:rFonts w:ascii="Times New Roman" w:hAnsi="Times New Roman"/>
          <w:color w:val="000000"/>
          <w:sz w:val="24"/>
        </w:rPr>
        <w:t>-148-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Borrower;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consent of the Borrower shall be required for an assignment to a Lender, an Affiliate of a Lender, or, if any Event of Default has occurred and is continuing, any other assignee;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Borrower shall be deemed to have consented to any such assignment unless it shall have objected thereto by written notice to the Administrative Agent within ten (10) Business Days after having received notice thereof;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Administrative Agent, each Swingline Lender and each Issuing Bank: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consent of the Administrative Agent, the Swingline Lenders or the Issuing Banks shall be required for an assignment by a Lender to an Affiliate of such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Certain Conditions to Assignments</w:t>
      </w:r>
      <w:r>
        <w:rPr>
          <w:rFonts w:ascii="Times New Roman" w:hAnsi="Times New Roman"/>
          <w:color w:val="000000"/>
          <w:sz w:val="24"/>
        </w:rPr>
        <w:t>. Assignments shall be subject to the following additional conditions: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such consent of the Borrower shall be required if an Event of Default has occurred and is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parties to each assignment shall execute and deliver to the Administrative Agent an Assignment and Assumption in substantially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hereto, together with a processing and recordation fee of U.S. $3,500 (which fee shall not be payable in connection with an assignment to a Lender or to an Affiliate of a Lender), for which the Borrower and the Subsidiary Guarantors shall not be obligated;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assignee, if it shall not already be a Lender of the applicable Class, shall deliver to the Administrative Agent an Administrative Questionnaire;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assignee shall deliver to the Borrower and the Administrative Agent those documents specified in Section 2.16(f).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Effectiveness of Assignments</w:t>
      </w:r>
      <w:r>
        <w:rPr>
          <w:rFonts w:ascii="Times New Roman" w:hAnsi="Times New Roman"/>
          <w:color w:val="000000"/>
          <w:sz w:val="24"/>
        </w:rPr>
        <w:t xml:space="preserve">. Subject to acceptance and recording thereof pursuant to </w:t>
      </w:r>
      <w:r>
        <w:rPr>
          <w:rFonts w:ascii="Times New Roman" w:hAnsi="Times New Roman"/>
          <w:color w:val="000000"/>
          <w:sz w:val="24"/>
          <w:u w:val="single"/>
        </w:rPr>
        <w:t>paragraph (c)</w:t>
      </w:r>
      <w:r>
        <w:rPr>
          <w:rFonts w:ascii="Times New Roman" w:hAnsi="Times New Roman"/>
          <w:color w:val="000000"/>
          <w:sz w:val="20"/>
        </w:rPr>
        <w:t xml:space="preserve"> </w:t>
      </w:r>
      <w:r>
        <w:rPr>
          <w:rFonts w:ascii="Times New Roman" w:hAnsi="Times New Roman"/>
          <w:color w:val="000000"/>
          <w:sz w:val="24"/>
        </w:rPr>
        <w:t>of this Section, from and after the effective date specified in each Assignment and Assumption the assignee thereunder shall be a party hereto and, to the extent of the interest assigned by such Assignment and Assumption, have the rights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0"/>
        </w:rPr>
        <w:t xml:space="preserve"> </w:t>
      </w:r>
      <w:r>
        <w:rPr>
          <w:rFonts w:ascii="Times New Roman" w:hAnsi="Times New Roman"/>
          <w:color w:val="000000"/>
          <w:sz w:val="24"/>
        </w:rPr>
        <w:t xml:space="preserve">with respect to facts and circumstances occurring prior to the effective date of such assignment). Any assignment or transfer by a Lender of rights or obligations under this Agreement that does not comply with this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 xml:space="preserve">shall be treated for purposes of this Agreement as a sale by such Lender of a participation in such rights and obligations in accordance with </w:t>
      </w:r>
      <w:r>
        <w:rPr>
          <w:rFonts w:ascii="Times New Roman" w:hAnsi="Times New Roman"/>
          <w:color w:val="000000"/>
          <w:sz w:val="24"/>
          <w:u w:val="single"/>
        </w:rPr>
        <w:t>paragraph (e)</w:t>
      </w:r>
      <w:r>
        <w:rPr>
          <w:rFonts w:ascii="Times New Roman" w:hAnsi="Times New Roman"/>
          <w:color w:val="000000"/>
          <w:sz w:val="20"/>
        </w:rPr>
        <w:t xml:space="preserve"> </w:t>
      </w:r>
      <w:r>
        <w:rPr>
          <w:rFonts w:ascii="Times New Roman" w:hAnsi="Times New Roman"/>
          <w:color w:val="000000"/>
          <w:sz w:val="24"/>
        </w:rPr>
        <w:t xml:space="preserve">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hAnsi="Times New Roman"/>
          <w:color w:val="000000"/>
          <w:sz w:val="24"/>
          <w:u w:val="single"/>
        </w:rPr>
        <w:t>Section 9.04(b)(ii)</w:t>
      </w:r>
      <w:r>
        <w:rPr>
          <w:rFonts w:ascii="Times New Roman" w:hAnsi="Times New Roman"/>
          <w:color w:val="000000"/>
          <w:sz w:val="20"/>
        </w:rPr>
        <w:t xml:space="preserve"> </w:t>
      </w:r>
      <w:r>
        <w:rPr>
          <w:rFonts w:ascii="Times New Roman" w:hAnsi="Times New Roman"/>
          <w:color w:val="000000"/>
          <w:sz w:val="24"/>
        </w:rPr>
        <w:t>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Maintenance of Registers by Administrative Agent</w:t>
      </w:r>
      <w:r>
        <w:rPr>
          <w:rFonts w:ascii="Times New Roman" w:hAnsi="Times New Roman"/>
          <w:color w:val="000000"/>
          <w:sz w:val="24"/>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hAnsi="Times New Roman"/>
          <w:color w:val="000000"/>
          <w:sz w:val="24"/>
          <w:u w:val="single"/>
        </w:rPr>
        <w:t>Registers</w:t>
      </w:r>
      <w:r>
        <w:rPr>
          <w:rFonts w:ascii="Times New Roman" w:hAnsi="Times New Roman"/>
          <w:color w:val="000000"/>
          <w:sz w:val="20"/>
        </w:rPr>
        <w:t xml:space="preserve">” </w:t>
      </w:r>
      <w:r>
        <w:rPr>
          <w:rFonts w:ascii="Times New Roman" w:hAnsi="Times New Roman"/>
          <w:color w:val="000000"/>
          <w:sz w:val="24"/>
        </w:rPr>
        <w:t>and each individually, a “</w:t>
      </w:r>
      <w:r>
        <w:rPr>
          <w:rFonts w:ascii="Times New Roman" w:hAnsi="Times New Roman"/>
          <w:color w:val="000000"/>
          <w:sz w:val="24"/>
          <w:u w:val="single"/>
        </w:rPr>
        <w:t>Register</w:t>
      </w:r>
      <w:r>
        <w:rPr>
          <w:rFonts w:ascii="Times New Roman" w:hAnsi="Times New Roman"/>
          <w:color w:val="000000"/>
          <w:sz w:val="20"/>
        </w:rPr>
        <w:t>”</w:t>
      </w:r>
      <w:r>
        <w:rPr>
          <w:rFonts w:ascii="Times New Roman" w:hAnsi="Times New Roman"/>
          <w:color w:val="000000"/>
          <w:sz w:val="24"/>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Acceptance of Assignments by Administrative Agent</w:t>
      </w:r>
      <w:r>
        <w:rPr>
          <w:rFonts w:ascii="Times New Roman" w:hAnsi="Times New Roman"/>
          <w:color w:val="000000"/>
          <w:sz w:val="24"/>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 xml:space="preserve">of this Section and any written consent to such assignment required by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of this Section, the Administrative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Special Purposes Vehicles</w:t>
      </w:r>
      <w:r>
        <w:rPr>
          <w:rFonts w:ascii="Times New Roman" w:hAnsi="Times New Roman"/>
          <w:color w:val="000000"/>
          <w:sz w:val="24"/>
        </w:rPr>
        <w:t>. Notwithstanding anything to the contrary contained herein, any Lender (a “</w:t>
      </w:r>
      <w:r>
        <w:rPr>
          <w:rFonts w:ascii="Times New Roman" w:hAnsi="Times New Roman"/>
          <w:color w:val="000000"/>
          <w:sz w:val="24"/>
          <w:u w:val="single"/>
        </w:rPr>
        <w:t>Granting Lender</w:t>
      </w:r>
      <w:r>
        <w:rPr>
          <w:rFonts w:ascii="Times New Roman" w:hAnsi="Times New Roman"/>
          <w:color w:val="000000"/>
          <w:sz w:val="20"/>
        </w:rPr>
        <w:t>”</w:t>
      </w:r>
      <w:r>
        <w:rPr>
          <w:rFonts w:ascii="Times New Roman" w:hAnsi="Times New Roman"/>
          <w:color w:val="000000"/>
          <w:sz w:val="24"/>
        </w:rPr>
        <w:t>) may grant to a special purpose funding vehicle (an “</w:t>
      </w:r>
      <w:r>
        <w:rPr>
          <w:rFonts w:ascii="Times New Roman" w:hAnsi="Times New Roman"/>
          <w:color w:val="000000"/>
          <w:sz w:val="24"/>
          <w:u w:val="single"/>
        </w:rPr>
        <w:t>SPC</w:t>
      </w:r>
      <w:r>
        <w:rPr>
          <w:rFonts w:ascii="Times New Roman" w:hAnsi="Times New Roman"/>
          <w:color w:val="000000"/>
          <w:sz w:val="20"/>
        </w:rPr>
        <w:t>”</w:t>
      </w:r>
      <w:r>
        <w:rPr>
          <w:rFonts w:ascii="Times New Roman" w:hAnsi="Times New Roman"/>
          <w:color w:val="000000"/>
          <w:sz w:val="24"/>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hAnsi="Times New Roman"/>
          <w:color w:val="000000"/>
          <w:sz w:val="24"/>
          <w:u w:val="single"/>
        </w:rPr>
        <w:t>Sections 2.14</w:t>
      </w:r>
      <w:r>
        <w:rPr>
          <w:rFonts w:ascii="Times New Roman" w:hAnsi="Times New Roman"/>
          <w:color w:val="000000"/>
          <w:sz w:val="20"/>
        </w:rPr>
        <w:t xml:space="preserve"> </w:t>
      </w:r>
      <w:r>
        <w:rPr>
          <w:rFonts w:ascii="Times New Roman" w:hAnsi="Times New Roman"/>
          <w:color w:val="000000"/>
          <w:sz w:val="24"/>
        </w:rPr>
        <w:t>(or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neither the consent of the SPC or of any such assignee shall be required for amendments or waivers hereunder except for those amendments or waivers for which the consent of participants is required under </w:t>
      </w:r>
      <w:r>
        <w:rPr>
          <w:rFonts w:ascii="Times New Roman" w:hAnsi="Times New Roman"/>
          <w:color w:val="000000"/>
          <w:sz w:val="24"/>
          <w:u w:val="single"/>
        </w:rPr>
        <w:t>paragraph (f)</w:t>
      </w:r>
      <w:r>
        <w:rPr>
          <w:rFonts w:ascii="Times New Roman" w:hAnsi="Times New Roman"/>
          <w:color w:val="000000"/>
          <w:sz w:val="20"/>
        </w:rPr>
        <w:t xml:space="preserve"> </w:t>
      </w:r>
      <w:r>
        <w:rPr>
          <w:rFonts w:ascii="Times New Roman" w:hAnsi="Times New Roman"/>
          <w:color w:val="000000"/>
          <w:sz w:val="24"/>
        </w:rPr>
        <w:t xml:space="preserve">below, and (ii) disclose on a confidential basis (in the same manner described in </w:t>
      </w:r>
      <w:r>
        <w:rPr>
          <w:rFonts w:ascii="Times New Roman" w:hAnsi="Times New Roman"/>
          <w:color w:val="000000"/>
          <w:sz w:val="24"/>
          <w:u w:val="single"/>
        </w:rPr>
        <w:t>Section 9.13(b)</w:t>
      </w:r>
      <w:r>
        <w:rPr>
          <w:rFonts w:ascii="Times New Roman" w:hAnsi="Times New Roman"/>
          <w:color w:val="000000"/>
          <w:sz w:val="24"/>
        </w:rPr>
        <w:t>) any non-public information relating to its Loans to any rating agency, commercial paper dealer or provider of a surety, guarantee or credit or liquidity enhancement to such SPC.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Participations</w:t>
      </w:r>
      <w:r>
        <w:rPr>
          <w:rFonts w:ascii="Times New Roman" w:hAnsi="Times New Roman"/>
          <w:color w:val="000000"/>
          <w:sz w:val="24"/>
        </w:rPr>
        <w:t>. Any Lender may, with the consent of the Borrower (such consent not to be unreasonably withheld or delayed), sell participations to one or more banks or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entities (other than natural persons (or a holding company, investments vehicle, investment vehicle or trust for, or owned and operated by or for the primary benefit of a natural Person)) (a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xml:space="preserve">) in all or a portion of such Lender’s rights and obligations under this Agreement and the other Loan Documents (including all or a portion of its Commitments and the Loans and LC Disbursements owing to it);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the consent of the Borrower shall not be required (x)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or (y) for a participation to a Lender or an Affiliate of a Lender or so long as an Event of Default has occurred and is continuing, (ii) such Lender’s obligations under this Agreement and the other Loan Documents shall remain unchanged, (iii) such Lender shall remain solely responsible to the other parties hereto for the performance of such obligations, (iv) the Borrower, the Administrative Agent, the Issuing Banks and the other Lenders shall continue to deal solely and directly with such Lender in connection with such Lender’s rights and obligations under this Agreement and the other Loan Documents, and (v) the Borrower shall be deemed to have consented to any such participation unless it shall have objected thereto by written notice to the Administrative Agent within ten (10) Business Days after having received notice thereof.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agreement or instrument may provide that such Lender will not, without the consent of the Participant, agree to any amendment, modification or waiver described in the first proviso to </w:t>
      </w:r>
      <w:r>
        <w:rPr>
          <w:rFonts w:ascii="Times New Roman" w:hAnsi="Times New Roman"/>
          <w:color w:val="000000"/>
          <w:sz w:val="24"/>
          <w:u w:val="single"/>
        </w:rPr>
        <w:t>Section 9.02(b)</w:t>
      </w:r>
      <w:r>
        <w:rPr>
          <w:rFonts w:ascii="Times New Roman" w:hAnsi="Times New Roman"/>
          <w:color w:val="000000"/>
          <w:sz w:val="20"/>
        </w:rPr>
        <w:t xml:space="preserve"> </w:t>
      </w:r>
      <w:r>
        <w:rPr>
          <w:rFonts w:ascii="Times New Roman" w:hAnsi="Times New Roman"/>
          <w:color w:val="000000"/>
          <w:sz w:val="24"/>
        </w:rPr>
        <w:t xml:space="preserve">that affects such Participant. Subject to </w:t>
      </w:r>
      <w:r>
        <w:rPr>
          <w:rFonts w:ascii="Times New Roman" w:hAnsi="Times New Roman"/>
          <w:color w:val="000000"/>
          <w:sz w:val="24"/>
          <w:u w:val="single"/>
        </w:rPr>
        <w:t>paragraph (g)</w:t>
      </w:r>
      <w:r>
        <w:rPr>
          <w:rFonts w:ascii="Times New Roman" w:hAnsi="Times New Roman"/>
          <w:color w:val="000000"/>
          <w:sz w:val="20"/>
        </w:rPr>
        <w:t xml:space="preserve"> </w:t>
      </w:r>
      <w:r>
        <w:rPr>
          <w:rFonts w:ascii="Times New Roman" w:hAnsi="Times New Roman"/>
          <w:color w:val="000000"/>
          <w:sz w:val="24"/>
        </w:rPr>
        <w:t xml:space="preserve">of this Section, the Borrower agrees that each Participant shall be entitled to the benefits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to the same extent as if it were a Lender and had acquired its interest by assignment pursuant to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 xml:space="preserve">of this Section;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Participant shall not be entitled to receive any greater payment under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no Participant shall be entitled to the benefits of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unless the Borrower is notified of the participation granted to such Participant and such Participant shall have complied with the requirements of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as if such Participant is a Lender. To the extent permitted by law, each Participant also shall be entitled to the benefits of </w:t>
      </w:r>
      <w:r>
        <w:rPr>
          <w:rFonts w:ascii="Times New Roman" w:hAnsi="Times New Roman"/>
          <w:color w:val="000000"/>
          <w:sz w:val="24"/>
          <w:u w:val="single"/>
        </w:rPr>
        <w:t>Section 9.08</w:t>
      </w:r>
      <w:r>
        <w:rPr>
          <w:rFonts w:ascii="Times New Roman" w:hAnsi="Times New Roman"/>
          <w:color w:val="000000"/>
          <w:sz w:val="20"/>
        </w:rPr>
        <w:t xml:space="preserve"> </w:t>
      </w:r>
      <w:r>
        <w:rPr>
          <w:rFonts w:ascii="Times New Roman" w:hAnsi="Times New Roman"/>
          <w:color w:val="000000"/>
          <w:sz w:val="24"/>
        </w:rPr>
        <w:t xml:space="preserve">as though it were a Lender; provided such Participant agrees to be subject to </w:t>
      </w:r>
      <w:r>
        <w:rPr>
          <w:rFonts w:ascii="Times New Roman" w:hAnsi="Times New Roman"/>
          <w:color w:val="000000"/>
          <w:sz w:val="24"/>
          <w:u w:val="single"/>
        </w:rPr>
        <w:t>Section 2.17(d)</w:t>
      </w:r>
      <w:r>
        <w:rPr>
          <w:rFonts w:ascii="Times New Roman" w:hAnsi="Times New Roman"/>
          <w:color w:val="000000"/>
          <w:sz w:val="20"/>
        </w:rPr>
        <w:t xml:space="preserve"> </w:t>
      </w:r>
      <w:r>
        <w:rPr>
          <w:rFonts w:ascii="Times New Roman" w:hAnsi="Times New Roman"/>
          <w:color w:val="000000"/>
          <w:sz w:val="24"/>
        </w:rPr>
        <w:t>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4"/>
          <w:u w:val="single"/>
        </w:rPr>
        <w:t>Participant Register</w:t>
      </w:r>
      <w:r>
        <w:rPr>
          <w:rFonts w:ascii="Times New Roman" w:hAnsi="Times New Roman"/>
          <w:color w:val="000000"/>
          <w:sz w:val="20"/>
        </w:rPr>
        <w:t>”</w:t>
      </w:r>
      <w:r>
        <w:rPr>
          <w:rFonts w:ascii="Times New Roman" w:hAnsi="Times New Roman"/>
          <w:color w:val="000000"/>
          <w:sz w:val="24"/>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Limitations on Rights of Participants</w:t>
      </w:r>
      <w:r>
        <w:rPr>
          <w:rFonts w:ascii="Times New Roman" w:hAnsi="Times New Roman"/>
          <w:color w:val="000000"/>
          <w:sz w:val="24"/>
        </w:rPr>
        <w:t xml:space="preserve">. A Participant shall not be entitled to receive any greater payment under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unless the Borrower is notified of the participation sold to such Participant and such Participant agrees, for the benefit of the Borrower, to comply with </w:t>
      </w:r>
      <w:r>
        <w:rPr>
          <w:rFonts w:ascii="Times New Roman" w:hAnsi="Times New Roman"/>
          <w:color w:val="000000"/>
          <w:sz w:val="24"/>
          <w:u w:val="single"/>
        </w:rPr>
        <w:t>paragraphs (e)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(f)</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Certain Pledges</w:t>
      </w:r>
      <w:r>
        <w:rPr>
          <w:rFonts w:ascii="Times New Roman" w:hAnsi="Times New Roman"/>
          <w:color w:val="000000"/>
          <w:sz w:val="24"/>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such pledge or assignment of a security interest shall release a Lender from any of its obligations hereunder or substitute any such assignee for such Lender as a party 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No Assignments to the Borrower or Affiliates</w:t>
      </w:r>
      <w:r>
        <w:rPr>
          <w:rFonts w:ascii="Times New Roman" w:hAnsi="Times New Roman"/>
          <w:color w:val="000000"/>
          <w:sz w:val="24"/>
        </w:rPr>
        <w:t>. Anything in this Section to the contrary notwithstanding, no Lender may assign or participate any interest in any Loan or LC Exposure held by it hereunder to the Borrower or any of its Affiliates or Subsidiaries without the prior consent of each Lender.</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9.05.</w:t>
      </w:r>
      <w:r>
        <w:rPr>
          <w:rFonts w:ascii="Times New Roman" w:hAnsi="Times New Roman"/>
          <w:color w:val="000000"/>
          <w:sz w:val="20"/>
        </w:rPr>
        <w:t xml:space="preserve"> </w:t>
      </w:r>
      <w:r>
        <w:rPr>
          <w:rFonts w:ascii="Times New Roman" w:hAnsi="Times New Roman"/>
          <w:color w:val="000000"/>
          <w:sz w:val="24"/>
          <w:u w:val="single"/>
        </w:rPr>
        <w:t>Survival</w:t>
      </w:r>
      <w:r>
        <w:rPr>
          <w:rFonts w:ascii="Times New Roman" w:hAnsi="Times New Roman"/>
          <w:color w:val="000000"/>
          <w:sz w:val="24"/>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pStyle w:val="TextBody"/>
        <w:bidi w:val="0"/>
        <w:jc w:val="center"/>
        <w:rPr>
          <w:rFonts w:ascii="Times New Roman" w:hAnsi="Times New Roman"/>
          <w:color w:val="000000"/>
          <w:sz w:val="24"/>
        </w:rPr>
      </w:pPr>
      <w:r>
        <w:rPr>
          <w:rFonts w:ascii="Times New Roman" w:hAnsi="Times New Roman"/>
          <w:color w:val="000000"/>
          <w:sz w:val="24"/>
        </w:rPr>
        <w:t>-153-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9.06.</w:t>
      </w:r>
      <w:r>
        <w:rPr>
          <w:rFonts w:ascii="Times New Roman" w:hAnsi="Times New Roman"/>
          <w:color w:val="000000"/>
          <w:sz w:val="20"/>
        </w:rPr>
        <w:t xml:space="preserve"> </w:t>
      </w:r>
      <w:r>
        <w:rPr>
          <w:rFonts w:ascii="Times New Roman" w:hAnsi="Times New Roman"/>
          <w:color w:val="000000"/>
          <w:sz w:val="24"/>
          <w:u w:val="single"/>
        </w:rPr>
        <w:t>Counterparts; Integration; Effectiveness; Electronic Execution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Counterparts; Integration; Effectiveness</w:t>
      </w:r>
      <w:r>
        <w:rPr>
          <w:rFonts w:ascii="Times New Roman" w:hAnsi="Times New Roman"/>
          <w:color w:val="000000"/>
          <w:sz w:val="24"/>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4"/>
          <w:u w:val="single"/>
        </w:rPr>
        <w:t>Section 4.01</w:t>
      </w:r>
      <w:r>
        <w:rPr>
          <w:rFonts w:ascii="Times New Roman" w:hAnsi="Times New Roman"/>
          <w:color w:val="000000"/>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Electronic Execution of Assignments</w:t>
      </w:r>
      <w:r>
        <w:rPr>
          <w:rFonts w:ascii="Times New Roman" w:hAnsi="Times New Roman"/>
          <w:color w:val="000000"/>
          <w:sz w:val="24"/>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9.07.</w:t>
      </w:r>
      <w:r>
        <w:rPr>
          <w:rFonts w:ascii="Times New Roman" w:hAnsi="Times New Roman"/>
          <w:color w:val="000000"/>
          <w:sz w:val="20"/>
        </w:rPr>
        <w:t xml:space="preserve"> </w:t>
      </w:r>
      <w:r>
        <w:rPr>
          <w:rFonts w:ascii="Times New Roman" w:hAnsi="Times New Roman"/>
          <w:color w:val="000000"/>
          <w:sz w:val="24"/>
          <w:u w:val="single"/>
        </w:rPr>
        <w:t>Severability</w:t>
      </w:r>
      <w:r>
        <w:rPr>
          <w:rFonts w:ascii="Times New Roman" w:hAnsi="Times New Roman"/>
          <w:color w:val="000000"/>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9.08.</w:t>
      </w:r>
      <w:r>
        <w:rPr>
          <w:rFonts w:ascii="Times New Roman" w:hAnsi="Times New Roman"/>
          <w:color w:val="000000"/>
          <w:sz w:val="20"/>
        </w:rPr>
        <w:t xml:space="preserve"> </w:t>
      </w:r>
      <w:r>
        <w:rPr>
          <w:rFonts w:ascii="Times New Roman" w:hAnsi="Times New Roman"/>
          <w:color w:val="000000"/>
          <w:sz w:val="24"/>
          <w:u w:val="single"/>
        </w:rPr>
        <w:t>Right of Setoff</w:t>
      </w:r>
      <w:r>
        <w:rPr>
          <w:rFonts w:ascii="Times New Roman" w:hAnsi="Times New Roman"/>
          <w:color w:val="000000"/>
          <w:sz w:val="24"/>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the event that any Defaulting Lender shall exercise any such right of setoff, (x) all amounts so set off shall be paid over immediately to Administrative Agent for further application in accordance with the provisions of </w:t>
      </w:r>
      <w:r>
        <w:rPr>
          <w:rFonts w:ascii="Times New Roman" w:hAnsi="Times New Roman"/>
          <w:color w:val="000000"/>
          <w:sz w:val="24"/>
          <w:u w:val="single"/>
        </w:rPr>
        <w:t>Sections 2.17(d)</w:t>
      </w:r>
      <w:r>
        <w:rPr>
          <w:rFonts w:ascii="Times New Roman" w:hAnsi="Times New Roman"/>
          <w:color w:val="000000"/>
          <w:sz w:val="20"/>
        </w:rPr>
        <w:t xml:space="preserve"> </w:t>
      </w:r>
      <w:r>
        <w:rPr>
          <w:rFonts w:ascii="Times New Roman" w:hAnsi="Times New Roman"/>
          <w:color w:val="000000"/>
          <w:sz w:val="24"/>
        </w:rPr>
        <w:t>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setoff) which such Lender may have. Each Lender agrees to notify the Borrower and the Administrative Agent promptly after any such setoff and application;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failure to give such notice shall not affect the validity of such setoff and application.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9.09.</w:t>
      </w:r>
      <w:r>
        <w:rPr>
          <w:rFonts w:ascii="Times New Roman" w:hAnsi="Times New Roman"/>
          <w:color w:val="000000"/>
          <w:sz w:val="20"/>
        </w:rPr>
        <w:t xml:space="preserve"> </w:t>
      </w:r>
      <w:r>
        <w:rPr>
          <w:rFonts w:ascii="Times New Roman" w:hAnsi="Times New Roman"/>
          <w:color w:val="000000"/>
          <w:sz w:val="24"/>
          <w:u w:val="single"/>
        </w:rPr>
        <w:t>Governing Law; Jurisdiction; Etc</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Governing Law</w:t>
      </w:r>
      <w:r>
        <w:rPr>
          <w:rFonts w:ascii="Times New Roman" w:hAnsi="Times New Roman"/>
          <w:color w:val="000000"/>
          <w:sz w:val="24"/>
        </w:rPr>
        <w:t>. This Agreement shall be construed in accordance with and governed by the law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Submission to Jurisdiction</w:t>
      </w:r>
      <w:r>
        <w:rPr>
          <w:rFonts w:ascii="Times New Roman" w:hAnsi="Times New Roman"/>
          <w:color w:val="000000"/>
          <w:sz w:val="24"/>
        </w:rPr>
        <w:t>. 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Waiver of Venue</w:t>
      </w:r>
      <w:r>
        <w:rPr>
          <w:rFonts w:ascii="Times New Roman" w:hAnsi="Times New Roman"/>
          <w:color w:val="000000"/>
          <w:sz w:val="24"/>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Service of Process</w:t>
      </w:r>
      <w:r>
        <w:rPr>
          <w:rFonts w:ascii="Times New Roman" w:hAnsi="Times New Roman"/>
          <w:color w:val="000000"/>
          <w:sz w:val="24"/>
        </w:rPr>
        <w:t xml:space="preserve">. Each party to this Agreement (i) irrevocably consents to service of process in the manner provided for notices in </w:t>
      </w:r>
      <w:r>
        <w:rPr>
          <w:rFonts w:ascii="Times New Roman" w:hAnsi="Times New Roman"/>
          <w:color w:val="000000"/>
          <w:sz w:val="24"/>
          <w:u w:val="single"/>
        </w:rPr>
        <w:t>Section 9.01</w:t>
      </w:r>
      <w:r>
        <w:rPr>
          <w:rFonts w:ascii="Times New Roman" w:hAnsi="Times New Roman"/>
          <w:color w:val="000000"/>
          <w:sz w:val="20"/>
        </w:rPr>
        <w:t xml:space="preserve"> </w:t>
      </w:r>
      <w:r>
        <w:rPr>
          <w:rFonts w:ascii="Times New Roman" w:hAnsi="Times New Roman"/>
          <w:color w:val="000000"/>
          <w:sz w:val="24"/>
        </w:rPr>
        <w:t xml:space="preserve">and (ii) agrees that service as provided in the manner provided for notices in </w:t>
      </w:r>
      <w:r>
        <w:rPr>
          <w:rFonts w:ascii="Times New Roman" w:hAnsi="Times New Roman"/>
          <w:color w:val="000000"/>
          <w:sz w:val="24"/>
          <w:u w:val="single"/>
        </w:rPr>
        <w:t>Section 9.01</w:t>
      </w:r>
      <w:r>
        <w:rPr>
          <w:rFonts w:ascii="Times New Roman" w:hAnsi="Times New Roman"/>
          <w:color w:val="000000"/>
          <w:sz w:val="20"/>
        </w:rPr>
        <w:t xml:space="preserve"> </w:t>
      </w:r>
      <w:r>
        <w:rPr>
          <w:rFonts w:ascii="Times New Roman" w:hAnsi="Times New Roman"/>
          <w:color w:val="000000"/>
          <w:sz w:val="24"/>
        </w:rPr>
        <w:t>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9.10.</w:t>
      </w:r>
      <w:r>
        <w:rPr>
          <w:rFonts w:ascii="Times New Roman" w:hAnsi="Times New Roman"/>
          <w:color w:val="000000"/>
          <w:sz w:val="20"/>
        </w:rPr>
        <w:t xml:space="preserve"> </w:t>
      </w:r>
      <w:r>
        <w:rPr>
          <w:rFonts w:ascii="Times New Roman" w:hAnsi="Times New Roman"/>
          <w:color w:val="000000"/>
          <w:sz w:val="24"/>
          <w:u w:val="single"/>
        </w:rPr>
        <w:t>WAIVER OF JURY TRIAL</w:t>
      </w:r>
      <w:r>
        <w:rPr>
          <w:rFonts w:ascii="Times New Roman" w:hAnsi="Times New Roman"/>
          <w:color w:val="000000"/>
          <w:sz w:val="24"/>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HERETO HAVE BEEN INDUCED TO ENTER INTO THIS AGREEMENT BY, AMONG OTHER THINGS. THE MUTUAL WAIVERS AND CERTIFICATIONS IN THIS SECTION.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9.11.</w:t>
      </w:r>
      <w:r>
        <w:rPr>
          <w:rFonts w:ascii="Times New Roman" w:hAnsi="Times New Roman"/>
          <w:color w:val="000000"/>
          <w:sz w:val="20"/>
        </w:rPr>
        <w:t xml:space="preserve"> </w:t>
      </w:r>
      <w:r>
        <w:rPr>
          <w:rFonts w:ascii="Times New Roman" w:hAnsi="Times New Roman"/>
          <w:color w:val="000000"/>
          <w:sz w:val="24"/>
          <w:u w:val="single"/>
        </w:rPr>
        <w:t>Judgment Currency</w:t>
      </w:r>
      <w:r>
        <w:rPr>
          <w:rFonts w:ascii="Times New Roman" w:hAnsi="Times New Roman"/>
          <w:color w:val="000000"/>
          <w:sz w:val="24"/>
        </w:rPr>
        <w:t>. This is an international loan transaction in which the specification of Dollars or any Foreign Currency, as the case may be (the “</w:t>
      </w:r>
      <w:r>
        <w:rPr>
          <w:rFonts w:ascii="Times New Roman" w:hAnsi="Times New Roman"/>
          <w:color w:val="000000"/>
          <w:sz w:val="24"/>
          <w:u w:val="single"/>
        </w:rPr>
        <w:t>Specified Currency</w:t>
      </w:r>
      <w:r>
        <w:rPr>
          <w:rFonts w:ascii="Times New Roman" w:hAnsi="Times New Roman"/>
          <w:color w:val="000000"/>
          <w:sz w:val="20"/>
        </w:rPr>
        <w:t>”</w:t>
      </w:r>
      <w:r>
        <w:rPr>
          <w:rFonts w:ascii="Times New Roman" w:hAnsi="Times New Roman"/>
          <w:color w:val="000000"/>
          <w:sz w:val="24"/>
        </w:rPr>
        <w:t>), and payment in New York City or the country of the Specified Currency, as the case may be (the “</w:t>
      </w:r>
      <w:r>
        <w:rPr>
          <w:rFonts w:ascii="Times New Roman" w:hAnsi="Times New Roman"/>
          <w:color w:val="000000"/>
          <w:sz w:val="24"/>
          <w:u w:val="single"/>
        </w:rPr>
        <w:t>Specified Place</w:t>
      </w:r>
      <w:r>
        <w:rPr>
          <w:rFonts w:ascii="Times New Roman" w:hAnsi="Times New Roman"/>
          <w:color w:val="000000"/>
          <w:sz w:val="20"/>
        </w:rPr>
        <w:t>”</w:t>
      </w:r>
      <w:r>
        <w:rPr>
          <w:rFonts w:ascii="Times New Roman" w:hAnsi="Times New Roman"/>
          <w:color w:val="000000"/>
          <w:sz w:val="24"/>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hAnsi="Times New Roman"/>
          <w:color w:val="000000"/>
          <w:sz w:val="24"/>
          <w:u w:val="single"/>
        </w:rPr>
        <w:t>Second Currency</w:t>
      </w:r>
      <w:r>
        <w:rPr>
          <w:rFonts w:ascii="Times New Roman" w:hAnsi="Times New Roman"/>
          <w:color w:val="000000"/>
          <w:sz w:val="20"/>
        </w:rPr>
        <w:t>”</w:t>
      </w:r>
      <w:r>
        <w:rPr>
          <w:rFonts w:ascii="Times New Roman" w:hAnsi="Times New Roman"/>
          <w:color w:val="000000"/>
          <w:sz w:val="24"/>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hAnsi="Times New Roman"/>
          <w:color w:val="000000"/>
          <w:sz w:val="24"/>
          <w:u w:val="single"/>
        </w:rPr>
        <w:t>Entitled Person</w:t>
      </w:r>
      <w:r>
        <w:rPr>
          <w:rFonts w:ascii="Times New Roman" w:hAnsi="Times New Roman"/>
          <w:color w:val="000000"/>
          <w:sz w:val="20"/>
        </w:rPr>
        <w:t>”</w:t>
      </w:r>
      <w:r>
        <w:rPr>
          <w:rFonts w:ascii="Times New Roman" w:hAnsi="Times New Roman"/>
          <w:color w:val="000000"/>
          <w:sz w:val="24"/>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9.12.</w:t>
      </w:r>
      <w:r>
        <w:rPr>
          <w:rFonts w:ascii="Times New Roman" w:hAnsi="Times New Roman"/>
          <w:color w:val="000000"/>
          <w:sz w:val="20"/>
        </w:rPr>
        <w:t xml:space="preserve"> </w:t>
      </w:r>
      <w:r>
        <w:rPr>
          <w:rFonts w:ascii="Times New Roman" w:hAnsi="Times New Roman"/>
          <w:color w:val="000000"/>
          <w:sz w:val="24"/>
          <w:u w:val="single"/>
        </w:rPr>
        <w:t>Headings</w:t>
      </w:r>
      <w:r>
        <w:rPr>
          <w:rFonts w:ascii="Times New Roman" w:hAnsi="Times New Roman"/>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9.13.</w:t>
      </w:r>
      <w:r>
        <w:rPr>
          <w:rFonts w:ascii="Times New Roman" w:hAnsi="Times New Roman"/>
          <w:color w:val="000000"/>
          <w:sz w:val="20"/>
        </w:rPr>
        <w:t xml:space="preserve"> </w:t>
      </w:r>
      <w:r>
        <w:rPr>
          <w:rFonts w:ascii="Times New Roman" w:hAnsi="Times New Roman"/>
          <w:color w:val="000000"/>
          <w:sz w:val="24"/>
          <w:u w:val="single"/>
        </w:rPr>
        <w:t>Treatment of Certain Information; No Fiduciary Duty; Confidentiality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Treatment of Certain Information; No Fiduciary Duty; No Conflicts</w:t>
      </w:r>
      <w:r>
        <w:rPr>
          <w:rFonts w:ascii="Times New Roman" w:hAnsi="Times New Roman"/>
          <w:color w:val="000000"/>
          <w:sz w:val="24"/>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of this Section as if it were a Lender hereunder. Such authorization shall survive the repayment of the Loans, the expiration or termination of the Letters of Credit and the Commitments or the termination of this Agreement or any provision hereof. Each Lender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Confidentiality</w:t>
      </w:r>
      <w:r>
        <w:rPr>
          <w:rFonts w:ascii="Times New Roman" w:hAnsi="Times New Roman"/>
          <w:color w:val="000000"/>
          <w:sz w:val="24"/>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 In addition, subject to an agreement containing provisions substantially the same as those of this </w:t>
      </w:r>
      <w:r>
        <w:rPr>
          <w:rFonts w:ascii="Times New Roman" w:hAnsi="Times New Roman"/>
          <w:color w:val="000000"/>
          <w:sz w:val="24"/>
          <w:u w:val="single"/>
        </w:rPr>
        <w:t>Section 9.13(b)</w:t>
      </w:r>
      <w:r>
        <w:rPr>
          <w:rFonts w:ascii="Times New Roman" w:hAnsi="Times New Roman"/>
          <w:color w:val="000000"/>
          <w:sz w:val="24"/>
        </w:rPr>
        <w:t>, the Administrative Agent and each Lender may disclose the existence of this Agreement and information about this Agreement to market data collectors, similar service providers to the lending industry and service providers to the Administrative Agent or any Lender in connection with the administration or servicing of this Agreement, the other Loan Documents and the Commitments.</w:t>
      </w:r>
    </w:p>
    <w:p>
      <w:pPr>
        <w:pStyle w:val="TextBody"/>
        <w:bidi w:val="0"/>
        <w:spacing w:before="0" w:after="240"/>
        <w:jc w:val="both"/>
        <w:rPr>
          <w:rFonts w:ascii="Times New Roman" w:hAnsi="Times New Roman"/>
          <w:sz w:val="20"/>
        </w:rPr>
      </w:pPr>
      <w:r>
        <w:rPr>
          <w:rFonts w:ascii="Times New Roman" w:hAnsi="Times New Roman"/>
          <w:color w:val="000000"/>
          <w:sz w:val="24"/>
        </w:rPr>
        <w:t>For purposes of this Section, “</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 xml:space="preserve">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9.14.</w:t>
      </w:r>
      <w:r>
        <w:rPr>
          <w:rFonts w:ascii="Times New Roman" w:hAnsi="Times New Roman"/>
          <w:color w:val="000000"/>
          <w:sz w:val="20"/>
        </w:rPr>
        <w:t xml:space="preserve"> </w:t>
      </w:r>
      <w:r>
        <w:rPr>
          <w:rFonts w:ascii="Times New Roman" w:hAnsi="Times New Roman"/>
          <w:color w:val="000000"/>
          <w:sz w:val="24"/>
          <w:u w:val="single"/>
        </w:rPr>
        <w:t>USA PATRIOT Act</w:t>
      </w:r>
      <w:r>
        <w:rPr>
          <w:rFonts w:ascii="Times New Roman" w:hAnsi="Times New Roman"/>
          <w:color w:val="000000"/>
          <w:sz w:val="24"/>
        </w:rPr>
        <w:t>. Each Lender hereby notifies the Borrower that pursuant to the requirements of the USA PATRIOT Act (Title III of Pub. L. 107</w:t>
        <w:noBreakHyphen/>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9.15.</w:t>
      </w:r>
      <w:r>
        <w:rPr>
          <w:rFonts w:ascii="Times New Roman" w:hAnsi="Times New Roman"/>
          <w:color w:val="000000"/>
          <w:sz w:val="20"/>
        </w:rPr>
        <w:t xml:space="preserve"> </w:t>
      </w:r>
      <w:r>
        <w:rPr>
          <w:rFonts w:ascii="Times New Roman" w:hAnsi="Times New Roman"/>
          <w:color w:val="000000"/>
          <w:sz w:val="24"/>
          <w:u w:val="single"/>
        </w:rPr>
        <w:t>Effect of Amendment and Restatement of the Existing Credit Agreement</w:t>
      </w:r>
      <w:r>
        <w:rPr>
          <w:rFonts w:ascii="Times New Roman" w:hAnsi="Times New Roman"/>
          <w:color w:val="000000"/>
          <w:sz w:val="24"/>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9.17.</w:t>
      </w:r>
      <w:r>
        <w:rPr>
          <w:rFonts w:ascii="Times New Roman" w:hAnsi="Times New Roman"/>
          <w:color w:val="000000"/>
          <w:sz w:val="20"/>
        </w:rPr>
        <w:t xml:space="preserve"> </w:t>
      </w:r>
      <w:r>
        <w:rPr>
          <w:rFonts w:ascii="Times New Roman" w:hAnsi="Times New Roman"/>
          <w:color w:val="000000"/>
          <w:sz w:val="24"/>
          <w:u w:val="single"/>
        </w:rPr>
        <w:t>Acknowledgement and Consent to Bail-In of Affected Financial Institutions</w:t>
      </w:r>
      <w:r>
        <w:rPr>
          <w:rFonts w:ascii="Times New Roman" w:hAnsi="Times New Roman"/>
          <w:color w:val="000000"/>
          <w:sz w:val="24"/>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effects of any Bail-In Action on any such liability, including,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reduction in full or in part or cancellation of any such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9.18.</w:t>
      </w:r>
      <w:r>
        <w:rPr>
          <w:rFonts w:ascii="Times New Roman" w:hAnsi="Times New Roman"/>
          <w:color w:val="000000"/>
          <w:sz w:val="20"/>
        </w:rPr>
        <w:t xml:space="preserve"> </w:t>
      </w:r>
      <w:r>
        <w:rPr>
          <w:rFonts w:ascii="Times New Roman" w:hAnsi="Times New Roman"/>
          <w:color w:val="000000"/>
          <w:sz w:val="24"/>
          <w:u w:val="single"/>
        </w:rPr>
        <w:t>Certain ERISA Matters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such Lender is not using “plan assets” (within the meaning of Section 3(42) of ERISA) of one or more Benefit Plans with respect to such Lender’s entrance into, participation in, administration of and performance of the Loans, the Letters of Credit, the Commitments or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participation in, administration of and performance of the Loans, the Letters of Credit, the Commitments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In addition, unless either (1)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in the immediately preceding </w:t>
      </w:r>
      <w:r>
        <w:rPr>
          <w:rFonts w:ascii="Times New Roman" w:hAnsi="Times New Roman"/>
          <w:color w:val="000000"/>
          <w:sz w:val="24"/>
          <w:u w:val="single"/>
        </w:rPr>
        <w:t>paragraph (a)</w:t>
      </w:r>
      <w:r>
        <w:rPr>
          <w:rFonts w:ascii="Times New Roman" w:hAnsi="Times New Roman"/>
          <w:color w:val="000000"/>
          <w:sz w:val="20"/>
        </w:rPr>
        <w:t xml:space="preserve"> </w:t>
      </w:r>
      <w:r>
        <w:rPr>
          <w:rFonts w:ascii="Times New Roman" w:hAnsi="Times New Roman"/>
          <w:color w:val="000000"/>
          <w:sz w:val="24"/>
        </w:rPr>
        <w:t xml:space="preserve">is true with respect to a Lender or (2) a Lender has provided another representation, warranty and covenant in accordance with </w:t>
      </w:r>
      <w:r>
        <w:rPr>
          <w:rFonts w:ascii="Times New Roman" w:hAnsi="Times New Roman"/>
          <w:color w:val="000000"/>
          <w:sz w:val="24"/>
          <w:u w:val="single"/>
        </w:rPr>
        <w:t>clause (iv)</w:t>
      </w:r>
      <w:r>
        <w:rPr>
          <w:rFonts w:ascii="Times New Roman" w:hAnsi="Times New Roman"/>
          <w:color w:val="000000"/>
          <w:sz w:val="20"/>
        </w:rPr>
        <w:t xml:space="preserve"> </w:t>
      </w:r>
      <w:r>
        <w:rPr>
          <w:rFonts w:ascii="Times New Roman" w:hAnsi="Times New Roman"/>
          <w:color w:val="000000"/>
          <w:sz w:val="24"/>
        </w:rPr>
        <w:t xml:space="preserve">in the immediately preceding </w:t>
      </w:r>
      <w:r>
        <w:rPr>
          <w:rFonts w:ascii="Times New Roman" w:hAnsi="Times New Roman"/>
          <w:color w:val="000000"/>
          <w:sz w:val="24"/>
          <w:u w:val="single"/>
        </w:rPr>
        <w:t>paragraph (a)</w:t>
      </w:r>
      <w:r>
        <w:rPr>
          <w:rFonts w:ascii="Times New Roman" w:hAnsi="Times New Roman"/>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9.19.</w:t>
      </w:r>
      <w:r>
        <w:rPr>
          <w:rFonts w:ascii="Times New Roman" w:hAnsi="Times New Roman"/>
          <w:color w:val="000000"/>
          <w:sz w:val="20"/>
        </w:rPr>
        <w:t xml:space="preserve"> </w:t>
      </w:r>
      <w:r>
        <w:rPr>
          <w:rFonts w:ascii="Times New Roman" w:hAnsi="Times New Roman"/>
          <w:color w:val="000000"/>
          <w:sz w:val="24"/>
          <w:u w:val="single"/>
        </w:rPr>
        <w:t>Acknowledgement Regarding Any Supported QFCs</w:t>
      </w:r>
      <w:r>
        <w:rPr>
          <w:rFonts w:ascii="Times New Roman" w:hAnsi="Times New Roman"/>
          <w:color w:val="000000"/>
          <w:sz w:val="24"/>
        </w:rPr>
        <w:t>. To the extent that the Loan Documents provide support, through a guarantee or otherwise, for Hedging Agreements or any other agreement or instrument that is a QFC (such support, “</w:t>
      </w:r>
      <w:r>
        <w:rPr>
          <w:rFonts w:ascii="Times New Roman" w:hAnsi="Times New Roman"/>
          <w:color w:val="000000"/>
          <w:sz w:val="24"/>
          <w:u w:val="single"/>
        </w:rPr>
        <w:t>QFC Credit Support</w:t>
      </w:r>
      <w:r>
        <w:rPr>
          <w:rFonts w:ascii="Times New Roman" w:hAnsi="Times New Roman"/>
          <w:color w:val="000000"/>
          <w:sz w:val="20"/>
        </w:rPr>
        <w:t>”</w:t>
      </w:r>
      <w:r>
        <w:rPr>
          <w:rFonts w:ascii="Times New Roman" w:hAnsi="Times New Roman"/>
          <w:color w:val="000000"/>
          <w:sz w:val="24"/>
        </w:rPr>
        <w:t>, and each such QFC, a “</w:t>
      </w:r>
      <w:r>
        <w:rPr>
          <w:rFonts w:ascii="Times New Roman" w:hAnsi="Times New Roman"/>
          <w:color w:val="000000"/>
          <w:sz w:val="24"/>
          <w:u w:val="single"/>
        </w:rPr>
        <w:t>Supported QFC</w:t>
      </w:r>
      <w:r>
        <w:rPr>
          <w:rFonts w:ascii="Times New Roman" w:hAnsi="Times New Roman"/>
          <w:color w:val="000000"/>
          <w:sz w:val="20"/>
        </w:rPr>
        <w:t>”</w:t>
      </w:r>
      <w:r>
        <w:rPr>
          <w:rFonts w:ascii="Times New Roman" w:hAnsi="Times New Roman"/>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4"/>
          <w:u w:val="single"/>
        </w:rPr>
        <w:t>U.S. Special Resolution Regimes</w:t>
      </w:r>
      <w:r>
        <w:rPr>
          <w:rFonts w:ascii="Times New Roman" w:hAnsi="Times New Roman"/>
          <w:color w:val="000000"/>
          <w:sz w:val="20"/>
        </w:rPr>
        <w:t>”</w:t>
      </w:r>
      <w:r>
        <w:rPr>
          <w:rFonts w:ascii="Times New Roman" w:hAnsi="Times New Roman"/>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0"/>
        </w:rPr>
      </w:pPr>
      <w:r>
        <w:rPr>
          <w:rFonts w:ascii="Times New Roman" w:hAnsi="Times New Roman"/>
          <w:color w:val="000000"/>
          <w:sz w:val="24"/>
        </w:rPr>
        <w:t>(a) In the event a Covered Entity that is party to a Supported QFC (each, a “</w:t>
      </w:r>
      <w:r>
        <w:rPr>
          <w:rFonts w:ascii="Times New Roman" w:hAnsi="Times New Roman"/>
          <w:color w:val="000000"/>
          <w:sz w:val="24"/>
          <w:u w:val="single"/>
        </w:rPr>
        <w:t>Covered Party</w:t>
      </w:r>
      <w:r>
        <w:rPr>
          <w:rFonts w:ascii="Times New Roman" w:hAnsi="Times New Roman"/>
          <w:color w:val="000000"/>
          <w:sz w:val="20"/>
        </w:rPr>
        <w:t>”</w:t>
      </w:r>
      <w:r>
        <w:rPr>
          <w:rFonts w:ascii="Times New Roman" w:hAnsi="Times New Roman"/>
          <w:color w:val="000000"/>
          <w:sz w:val="24"/>
        </w:rPr>
        <w:t>) becomes subject to a proceeding under a U.S. Special Resolution Regime, the transfer of such Supported QFC and the benefit of such QFC Credit Support (and any interest and obligation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As used in this </w:t>
      </w:r>
      <w:r>
        <w:rPr>
          <w:rFonts w:ascii="Times New Roman" w:hAnsi="Times New Roman"/>
          <w:color w:val="000000"/>
          <w:sz w:val="24"/>
          <w:u w:val="single"/>
        </w:rPr>
        <w:t>Section 9.19</w:t>
      </w:r>
      <w:r>
        <w:rPr>
          <w:rFonts w:ascii="Times New Roman" w:hAnsi="Times New Roman"/>
          <w:color w:val="000000"/>
          <w:sz w:val="24"/>
        </w:rPr>
        <w:t>, the following terms have the following meanings:</w:t>
      </w:r>
    </w:p>
    <w:p>
      <w:pPr>
        <w:pStyle w:val="TextBody"/>
        <w:bidi w:val="0"/>
        <w:spacing w:before="0" w:after="240"/>
        <w:jc w:val="both"/>
        <w:rPr>
          <w:rFonts w:ascii="Times New Roman" w:hAnsi="Times New Roman"/>
          <w:sz w:val="20"/>
        </w:rPr>
      </w:pPr>
      <w:r>
        <w:rPr>
          <w:rFonts w:ascii="Times New Roman" w:hAnsi="Times New Roman"/>
          <w:color w:val="000000"/>
          <w:sz w:val="24"/>
        </w:rPr>
        <w:t>(i) “</w:t>
      </w:r>
      <w:r>
        <w:rPr>
          <w:rFonts w:ascii="Times New Roman" w:hAnsi="Times New Roman"/>
          <w:color w:val="000000"/>
          <w:sz w:val="24"/>
          <w:u w:val="single"/>
        </w:rPr>
        <w:t>BHC Act Affiliate</w:t>
      </w:r>
      <w:r>
        <w:rPr>
          <w:rFonts w:ascii="Times New Roman" w:hAnsi="Times New Roman"/>
          <w:color w:val="000000"/>
          <w:sz w:val="20"/>
        </w:rPr>
        <w:t xml:space="preserve">” </w:t>
      </w:r>
      <w:r>
        <w:rPr>
          <w:rFonts w:ascii="Times New Roman" w:hAnsi="Times New Roman"/>
          <w:color w:val="000000"/>
          <w:sz w:val="24"/>
        </w:rPr>
        <w:t>of a party means an “affiliate” (as such term is defined under, and interpreted in accordance with, 12 U.S.C. 1841(k)) of such party.</w:t>
      </w:r>
    </w:p>
    <w:p>
      <w:pPr>
        <w:pStyle w:val="TextBody"/>
        <w:bidi w:val="0"/>
        <w:spacing w:before="0" w:after="240"/>
        <w:jc w:val="both"/>
        <w:rPr>
          <w:rFonts w:ascii="Times New Roman" w:hAnsi="Times New Roman"/>
          <w:sz w:val="20"/>
        </w:rPr>
      </w:pPr>
      <w:r>
        <w:rPr>
          <w:rFonts w:ascii="Times New Roman" w:hAnsi="Times New Roman"/>
          <w:color w:val="000000"/>
          <w:sz w:val="24"/>
        </w:rPr>
        <w:t>(ii) (ii) “</w:t>
      </w:r>
      <w:r>
        <w:rPr>
          <w:rFonts w:ascii="Times New Roman" w:hAnsi="Times New Roman"/>
          <w:color w:val="000000"/>
          <w:sz w:val="24"/>
          <w:u w:val="single"/>
        </w:rPr>
        <w:t>Covered Entity</w:t>
      </w:r>
      <w:r>
        <w:rPr>
          <w:rFonts w:ascii="Times New Roman" w:hAnsi="Times New Roman"/>
          <w:color w:val="000000"/>
          <w:sz w:val="20"/>
        </w:rPr>
        <w:t xml:space="preserve">” </w:t>
      </w:r>
      <w:r>
        <w:rPr>
          <w:rFonts w:ascii="Times New Roman" w:hAnsi="Times New Roman"/>
          <w:color w:val="000000"/>
          <w:sz w:val="24"/>
        </w:rPr>
        <w:t>means any of the following: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a “covered entity” as that term is defined in, and interpreted in accordance with, 12 C.F.R. § 252.82(b);</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a “covered bank” as that term is defined in, and interpreted in accordance with, 12 C.F.R. § 47.3(b);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“covered FSI” as that term is defined in, and interpreted in accordance with, 12 C.F.R. § 382.2(b).</w:t>
      </w:r>
    </w:p>
    <w:p>
      <w:pPr>
        <w:pStyle w:val="TextBody"/>
        <w:bidi w:val="0"/>
        <w:spacing w:before="0" w:after="240"/>
        <w:jc w:val="both"/>
        <w:rPr>
          <w:rFonts w:ascii="Times New Roman" w:hAnsi="Times New Roman"/>
          <w:sz w:val="20"/>
        </w:rPr>
      </w:pPr>
      <w:r>
        <w:rPr>
          <w:rFonts w:ascii="Times New Roman" w:hAnsi="Times New Roman"/>
          <w:color w:val="000000"/>
          <w:sz w:val="24"/>
        </w:rPr>
        <w:t>(iii) “</w:t>
      </w:r>
      <w:r>
        <w:rPr>
          <w:rFonts w:ascii="Times New Roman" w:hAnsi="Times New Roman"/>
          <w:color w:val="000000"/>
          <w:sz w:val="24"/>
          <w:u w:val="single"/>
        </w:rPr>
        <w:t>Default Right</w:t>
      </w:r>
      <w:r>
        <w:rPr>
          <w:rFonts w:ascii="Times New Roman" w:hAnsi="Times New Roman"/>
          <w:color w:val="000000"/>
          <w:sz w:val="20"/>
        </w:rPr>
        <w:t xml:space="preserve">” </w:t>
      </w:r>
      <w:r>
        <w:rPr>
          <w:rFonts w:ascii="Times New Roman" w:hAnsi="Times New Roman"/>
          <w:color w:val="000000"/>
          <w:sz w:val="24"/>
        </w:rPr>
        <w:t>has the meaning assigned to that term in, and shall be interpreted in accordance with, 12 C.F.R. §§ 252.81, 47.2 or 382.1, as applicable.</w:t>
      </w:r>
    </w:p>
    <w:p>
      <w:pPr>
        <w:pStyle w:val="TextBody"/>
        <w:bidi w:val="0"/>
        <w:spacing w:before="0" w:after="240"/>
        <w:jc w:val="both"/>
        <w:rPr>
          <w:rFonts w:ascii="Times New Roman" w:hAnsi="Times New Roman"/>
          <w:sz w:val="20"/>
        </w:rPr>
      </w:pPr>
      <w:r>
        <w:rPr>
          <w:rFonts w:ascii="Times New Roman" w:hAnsi="Times New Roman"/>
          <w:color w:val="000000"/>
          <w:sz w:val="24"/>
        </w:rPr>
        <w:t>(iv) “</w:t>
      </w:r>
      <w:r>
        <w:rPr>
          <w:rFonts w:ascii="Times New Roman" w:hAnsi="Times New Roman"/>
          <w:color w:val="000000"/>
          <w:sz w:val="24"/>
          <w:u w:val="single"/>
        </w:rPr>
        <w:t>QFC</w:t>
      </w:r>
      <w:r>
        <w:rPr>
          <w:rFonts w:ascii="Times New Roman" w:hAnsi="Times New Roman"/>
          <w:color w:val="000000"/>
          <w:sz w:val="20"/>
        </w:rPr>
        <w:t xml:space="preserve">” </w:t>
      </w:r>
      <w:r>
        <w:rPr>
          <w:rFonts w:ascii="Times New Roman" w:hAnsi="Times New Roman"/>
          <w:color w:val="000000"/>
          <w:sz w:val="24"/>
        </w:rPr>
        <w:t>has the meaning assigned to the term “qualified financial contract” in, and shall be interpreted in accordance with, 12 U.S.C. 5390(c)(8)(D).</w:t>
      </w:r>
    </w:p>
    <w:p>
      <w:pPr>
        <w:pStyle w:val="TextBody"/>
        <w:bidi w:val="0"/>
        <w:spacing w:before="0" w:after="240"/>
        <w:jc w:val="both"/>
        <w:rPr>
          <w:rFonts w:ascii="Times New Roman" w:hAnsi="Times New Roman"/>
          <w:sz w:val="20"/>
        </w:rPr>
      </w:pPr>
      <w:r>
        <w:rPr>
          <w:rFonts w:ascii="Times New Roman" w:hAnsi="Times New Roman"/>
          <w:caps/>
          <w:color w:val="000000"/>
          <w:sz w:val="24"/>
        </w:rPr>
        <w:t>SECTION 9.20.</w:t>
      </w:r>
      <w:r>
        <w:rPr>
          <w:rFonts w:ascii="Times New Roman" w:hAnsi="Times New Roman"/>
          <w:color w:val="000000"/>
          <w:sz w:val="24"/>
          <w:u w:val="single"/>
        </w:rPr>
        <w:t>Interest Rate Limitation</w:t>
      </w:r>
      <w:r>
        <w:rPr>
          <w:rFonts w:ascii="Times New Roman" w:hAnsi="Times New Roman"/>
          <w:color w:val="000000"/>
          <w:sz w:val="24"/>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color w:val="000000"/>
          <w:sz w:val="24"/>
          <w:u w:val="single"/>
        </w:rPr>
        <w:t>Maximum Rate</w:t>
      </w:r>
      <w:r>
        <w:rPr>
          <w:rFonts w:ascii="Times New Roman" w:hAnsi="Times New Roman"/>
          <w:color w:val="000000"/>
          <w:sz w:val="20"/>
        </w:rPr>
        <w:t>”</w:t>
      </w:r>
      <w:r>
        <w:rPr>
          <w:rFonts w:ascii="Times New Roman" w:hAnsi="Times New Roman"/>
          <w:color w:val="000000"/>
          <w:sz w:val="24"/>
        </w:rPr>
        <w:t>). If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equal or unequal parts the total amount of interest throughout the contemplated term of the obligations hereunder.</w:t>
      </w:r>
    </w:p>
    <w:p>
      <w:pPr>
        <w:pStyle w:val="TextBody"/>
        <w:bidi w:val="0"/>
        <w:jc w:val="center"/>
        <w:rPr>
          <w:rFonts w:ascii="Times New Roman" w:hAnsi="Times New Roman"/>
          <w:color w:val="000000"/>
          <w:sz w:val="24"/>
        </w:rPr>
      </w:pPr>
      <w:r>
        <w:rPr>
          <w:rFonts w:ascii="Times New Roman" w:hAnsi="Times New Roman"/>
          <w:color w:val="000000"/>
          <w:sz w:val="24"/>
        </w:rPr>
        <w:t>-162-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tslx-ex31_1.htm"/>
      <w:bookmarkStart w:id="32" w:name="kstslxex31_1"/>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Joshua Easterly,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Sixth Street Specialty Lending,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30, 2025</w:t>
      </w:r>
    </w:p>
    <w:tbl>
      <w:tblPr>
        <w:tblW w:w="2897" w:type="dxa"/>
        <w:jc w:val="left"/>
        <w:tblInd w:w="0" w:type="dxa"/>
        <w:tblLayout w:type="fixed"/>
        <w:tblCellMar>
          <w:top w:w="28" w:type="dxa"/>
          <w:left w:w="28" w:type="dxa"/>
          <w:bottom w:w="28" w:type="dxa"/>
          <w:right w:w="28" w:type="dxa"/>
        </w:tblCellMar>
      </w:tblPr>
      <w:tblGrid>
        <w:gridCol w:w="421"/>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J</w:t>
            </w:r>
            <w:r>
              <w:rPr>
                <w:rFonts w:ascii="Times New Roman" w:hAnsi="Times New Roman"/>
                <w:color w:val="000000"/>
                <w:sz w:val="15"/>
              </w:rPr>
              <w:t>OSHUA</w:t>
            </w:r>
            <w:r>
              <w:rPr>
                <w:rFonts w:ascii="Times New Roman" w:hAnsi="Times New Roman"/>
                <w:color w:val="000000"/>
                <w:sz w:val="20"/>
              </w:rPr>
              <w:t> E</w:t>
            </w:r>
            <w:r>
              <w:rPr>
                <w:rFonts w:ascii="Times New Roman" w:hAnsi="Times New Roman"/>
                <w:color w:val="000000"/>
                <w:sz w:val="15"/>
              </w:rPr>
              <w:t>ASTERLY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Joshua Easterly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tslx-ex31_2.htm"/>
      <w:bookmarkStart w:id="34" w:name="kstslxex31_2"/>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CFO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Ian Simmonds,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Sixth Street Specialty Lending,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30, 2025</w:t>
      </w:r>
    </w:p>
    <w:tbl>
      <w:tblPr>
        <w:tblW w:w="2837" w:type="dxa"/>
        <w:jc w:val="left"/>
        <w:tblInd w:w="0" w:type="dxa"/>
        <w:tblLayout w:type="fixed"/>
        <w:tblCellMar>
          <w:top w:w="28" w:type="dxa"/>
          <w:left w:w="28" w:type="dxa"/>
          <w:bottom w:w="28" w:type="dxa"/>
          <w:right w:w="28" w:type="dxa"/>
        </w:tblCellMar>
      </w:tblPr>
      <w:tblGrid>
        <w:gridCol w:w="421"/>
        <w:gridCol w:w="2416"/>
      </w:tblGrid>
      <w:tr>
        <w:trPr/>
        <w:tc>
          <w:tcPr>
            <w:tcW w:w="42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I</w:t>
            </w:r>
            <w:r>
              <w:rPr>
                <w:rFonts w:ascii="Times New Roman" w:hAnsi="Times New Roman"/>
                <w:color w:val="000000"/>
                <w:sz w:val="15"/>
              </w:rPr>
              <w:t>AN</w:t>
            </w:r>
            <w:r>
              <w:rPr>
                <w:rFonts w:ascii="Times New Roman" w:hAnsi="Times New Roman"/>
                <w:color w:val="000000"/>
                <w:sz w:val="20"/>
              </w:rPr>
              <w:t> S</w:t>
            </w:r>
            <w:r>
              <w:rPr>
                <w:rFonts w:ascii="Times New Roman" w:hAnsi="Times New Roman"/>
                <w:color w:val="000000"/>
                <w:sz w:val="15"/>
              </w:rPr>
              <w:t>IMMONDS</w:t>
            </w:r>
            <w:r>
              <w:rPr>
                <w:rFonts w:ascii="Times New Roman" w:hAnsi="Times New Roman"/>
                <w:color w:val="000000"/>
                <w:sz w:val="20"/>
              </w:rPr>
              <w:t xml:space="preserve"> </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tslx-ex32.htm"/>
      <w:bookmarkStart w:id="36" w:name="kstslxex32"/>
      <w:bookmarkEnd w:id="35"/>
      <w:bookmarkEnd w:id="3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Sixth Street Specialty Lending, Inc. (the “Company”) for the quarterly period ended March 31, 2025,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3362" w:type="dxa"/>
        <w:jc w:val="left"/>
        <w:tblInd w:w="0" w:type="dxa"/>
        <w:tblLayout w:type="fixed"/>
        <w:tblCellMar>
          <w:top w:w="28" w:type="dxa"/>
          <w:left w:w="28" w:type="dxa"/>
          <w:bottom w:w="28" w:type="dxa"/>
          <w:right w:w="28" w:type="dxa"/>
        </w:tblCellMar>
      </w:tblPr>
      <w:tblGrid>
        <w:gridCol w:w="886"/>
        <w:gridCol w:w="2476"/>
      </w:tblGrid>
      <w:tr>
        <w:trPr/>
        <w:tc>
          <w:tcPr>
            <w:tcW w:w="88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36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4"/>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J</w:t>
            </w:r>
            <w:r>
              <w:rPr>
                <w:rFonts w:ascii="Times New Roman" w:hAnsi="Times New Roman"/>
                <w:color w:val="000000"/>
                <w:sz w:val="15"/>
              </w:rPr>
              <w:t>OSHUA</w:t>
            </w:r>
            <w:r>
              <w:rPr>
                <w:rFonts w:ascii="Times New Roman" w:hAnsi="Times New Roman"/>
                <w:color w:val="000000"/>
                <w:sz w:val="24"/>
              </w:rPr>
              <w:t> </w:t>
            </w:r>
            <w:r>
              <w:rPr>
                <w:rFonts w:ascii="Times New Roman" w:hAnsi="Times New Roman"/>
                <w:color w:val="000000"/>
                <w:sz w:val="20"/>
              </w:rPr>
              <w:t>E</w:t>
            </w:r>
            <w:r>
              <w:rPr>
                <w:rFonts w:ascii="Times New Roman" w:hAnsi="Times New Roman"/>
                <w:color w:val="000000"/>
                <w:sz w:val="15"/>
              </w:rPr>
              <w:t>ASTERLY</w:t>
            </w:r>
            <w:r>
              <w:rPr>
                <w:rFonts w:ascii="Times New Roman" w:hAnsi="Times New Roman"/>
                <w:color w:val="000000"/>
                <w:sz w:val="24"/>
              </w:rPr>
              <w:t xml:space="preserve"> </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Joshua Easterly</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30, 2025</w:t>
      </w:r>
    </w:p>
    <w:tbl>
      <w:tblPr>
        <w:tblW w:w="3302" w:type="dxa"/>
        <w:jc w:val="left"/>
        <w:tblInd w:w="0" w:type="dxa"/>
        <w:tblLayout w:type="fixed"/>
        <w:tblCellMar>
          <w:top w:w="28" w:type="dxa"/>
          <w:left w:w="28" w:type="dxa"/>
          <w:bottom w:w="28" w:type="dxa"/>
          <w:right w:w="28" w:type="dxa"/>
        </w:tblCellMar>
      </w:tblPr>
      <w:tblGrid>
        <w:gridCol w:w="886"/>
        <w:gridCol w:w="2416"/>
      </w:tblGrid>
      <w:tr>
        <w:trPr/>
        <w:tc>
          <w:tcPr>
            <w:tcW w:w="88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30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4"/>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I</w:t>
            </w:r>
            <w:r>
              <w:rPr>
                <w:rFonts w:ascii="Times New Roman" w:hAnsi="Times New Roman"/>
                <w:color w:val="000000"/>
                <w:sz w:val="15"/>
              </w:rPr>
              <w:t>AN</w:t>
            </w:r>
            <w:r>
              <w:rPr>
                <w:rFonts w:ascii="Times New Roman" w:hAnsi="Times New Roman"/>
                <w:color w:val="000000"/>
                <w:sz w:val="24"/>
              </w:rPr>
              <w:t> </w:t>
            </w:r>
            <w:r>
              <w:rPr>
                <w:rFonts w:ascii="Times New Roman" w:hAnsi="Times New Roman"/>
                <w:color w:val="000000"/>
                <w:sz w:val="20"/>
              </w:rPr>
              <w:t>S</w:t>
            </w:r>
            <w:r>
              <w:rPr>
                <w:rFonts w:ascii="Times New Roman" w:hAnsi="Times New Roman"/>
                <w:color w:val="000000"/>
                <w:sz w:val="15"/>
              </w:rPr>
              <w:t>IMMONDS</w:t>
            </w:r>
            <w:r>
              <w:rPr>
                <w:rFonts w:ascii="Times New Roman" w:hAnsi="Times New Roman"/>
                <w:color w:val="000000"/>
                <w:sz w:val="24"/>
              </w:rPr>
              <w:t xml:space="preserve"> </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24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Ian Simmonds</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Title:</w:t>
            </w:r>
          </w:p>
        </w:tc>
        <w:tc>
          <w:tcPr>
            <w:tcW w:w="24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8655/000119312520174009/d936084dex32.htm" TargetMode="External"/><Relationship Id="rId3" Type="http://schemas.openxmlformats.org/officeDocument/2006/relationships/hyperlink" Target="https://www.sec.gov/Archives/edgar/data/1508655/000119312523188221/d534568dex31.htm" TargetMode="External"/><Relationship Id="rId4" Type="http://schemas.openxmlformats.org/officeDocument/2006/relationships/hyperlink" Target="https://www.sec.gov/Archives/edgar/data/1508655/000119312523188221/d534568dex31.htm" TargetMode="External"/><Relationship Id="rId5" Type="http://schemas.openxmlformats.org/officeDocument/2006/relationships/hyperlink" Target="https://www.sec.gov/Archives/edgar/data/1508655/000119312525035142/d934372dex42.htm" TargetMode="External"/><Relationship Id="rId6" Type="http://schemas.openxmlformats.org/officeDocument/2006/relationships/hyperlink" Target="https://www.sec.gov/Archives/edgar/data/1508655/000119312525035142/d934372dex42.htm" TargetMode="External"/><Relationship Id="rId7" Type="http://schemas.openxmlformats.org/officeDocument/2006/relationships/hyperlink" Target="https://www.sec.gov/Archives/edgar/data/1508655/000119312525042556/d931210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134125</Words>
  <Characters>711954</Characters>
  <CharactersWithSpaces>851313</CharactersWithSpaces>
  <Paragraphs>22772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