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3, 2021, the registrant issued a press release announcing its financial results for the quarter ended June 30, 2021.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On August 3, 2021, the registrant issued a press release, included herewith as Exhibit 99.1, announcing the declaration of a third quarter 2021 base dividend per share of $0.41 to shareholders of record as of September 15, 2021, payable on October 15, 2021, and a second quarter 2021 supplemental dividend per share of $0.02 to shareholders of record as of August 31, 2021, payable on September 30, 2021.</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3, 2021</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Ian Simmonds</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SECOND QUARTER 2021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237426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248920"/>
                    </a:xfrm>
                    <a:prstGeom prst="rect">
                      <a:avLst/>
                    </a:prstGeom>
                    <a:noFill/>
                  </pic:spPr>
                </pic:pic>
              </a:graphicData>
            </a:graphic>
          </wp:anchor>
        </w:drawing>
      </w:r>
    </w:p>
    <w:p>
      <w:pPr>
        <w:spacing w:after="0" w:line="35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74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2021 (adjusted):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r>
      <w:tr>
        <w:trPr>
          <w:trHeight w:val="81"/>
        </w:trPr>
        <w:tc>
          <w:tcPr>
            <w:tcW w:w="32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130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$0.38</w:t>
            </w:r>
          </w:p>
        </w:tc>
      </w:tr>
    </w:tbl>
    <w:p>
      <w:pPr>
        <w:spacing w:after="0" w:line="63"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Sixth Street Specialty Lending, Inc. Reports Second Quarter Adjusted Net Investment Income Per Share of $0.46 and NAV Per Share of $16.85; Declares a Third Quarter Base Dividend Per Share of $0.41 and a Second Quarter Supplemental Dividend Per Share of $0.02</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YORK—August 3, 2021— Sixth Street Specialty Lending, Inc. (NYSE: TSLX, or the “Company”) today reported adjusted net investment income of $0.46 per share and adjusted net income of $0.88 per share for the second quarter ended June 30, 2021. These results correspond to an annualized return on equity (ROE) on adjusted net investment income and adjusted net income of 11.0% and 21.4%, respectively.</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Both adjusted net investment income per share and adjusted net income per share exclude approximately $0.08 per share of capital gains incentive fee expenses that were accrued, but not paid or payable, related to cumulative gains in excess of cumulative losses less capital gains incentive fees paid inception-to-date. Including the impact of the accrued capital gains incentive fee expenses, the Company’s net investment income and net income for the quarter ended June 30, 2021 were $27.4 million, or $0.38 per share, and $58.4 million, or $0.80 per share, respectively. The Company’s net investment income in the second quarter reflects continued strength in the core earnings power of its portfolio, and the difference between this quarter’s net investment income and net income was due to significant net realized and unrealized gains on the Company’s investments.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Reported net asset value (NAV) per share was $16.85 at June 30, 2021 as compared to $16.47 at March 31, 2021 (or a pro forma NAV per share of $16.41, which accounts for the impact of the $0.06 per share first quarter 2021 supplemental dividend). The primary drivers of this quarter’s NAV per share growth were the net realized and unrealized gains related to portfolio-company specific events and net unrealized gains from the impact of credit spread tightening on the valuation of the Company’s investments.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announced that its Board of Directors has declared a third quarter 2021 base dividend of $0.41 per share to shareholders of record as of September 15, 2021, payable on October 15, 2021, and a second quarter supplemental dividend of $0.02 per share to shareholders of record as of August 31, 2021, payable on September 30, 2021. Adjusted for the impact of the supplemental dividend related to this quarter’s earnings, the Company’s Q2 pro forma NAV per share was $16.83.</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0.02% of the portfolio at fair value was on non-accrual status, which is flat compared to March 31, 2021. No new portfolio companies were added to non-accrual during the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$0.88</w:t>
            </w:r>
          </w:p>
        </w:tc>
      </w:tr>
      <w:tr>
        <w:trPr>
          <w:trHeight w:val="81"/>
        </w:trPr>
        <w:tc>
          <w:tcPr>
            <w:tcW w:w="320" w:type="dxa"/>
            <w:vAlign w:val="bottom"/>
            <w:tcBorders>
              <w:bottom w:val="single" w:sz="8" w:color="D9DDE1"/>
            </w:tcBorders>
          </w:tcPr>
          <w:p>
            <w:pPr>
              <w:spacing w:after="0"/>
              <w:rPr>
                <w:sz w:val="7"/>
                <w:szCs w:val="7"/>
                <w:color w:val="auto"/>
              </w:rPr>
            </w:pPr>
          </w:p>
        </w:tc>
        <w:tc>
          <w:tcPr>
            <w:tcW w:w="2440" w:type="dxa"/>
            <w:vAlign w:val="bottom"/>
            <w:tcBorders>
              <w:bottom w:val="single" w:sz="8" w:color="D9DDE1"/>
            </w:tcBorders>
            <w:gridSpan w:val="2"/>
          </w:tcPr>
          <w:p>
            <w:pPr>
              <w:spacing w:after="0"/>
              <w:rPr>
                <w:sz w:val="7"/>
                <w:szCs w:val="7"/>
                <w:color w:val="auto"/>
              </w:rPr>
            </w:pPr>
          </w:p>
        </w:tc>
        <w:tc>
          <w:tcPr>
            <w:tcW w:w="94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$0.80</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040" w:type="dxa"/>
            <w:vAlign w:val="bottom"/>
            <w:shd w:val="clear" w:color="auto" w:fill="0F2F50"/>
          </w:tcPr>
          <w:p>
            <w:pPr>
              <w:jc w:val="center"/>
              <w:ind w:left="110"/>
              <w:spacing w:after="0"/>
              <w:rPr>
                <w:sz w:val="20"/>
                <w:szCs w:val="20"/>
                <w:color w:val="auto"/>
              </w:rPr>
            </w:pPr>
            <w:r>
              <w:rPr>
                <w:rFonts w:ascii="Arial" w:cs="Arial" w:eastAsia="Arial" w:hAnsi="Arial"/>
                <w:sz w:val="18"/>
                <w:szCs w:val="18"/>
                <w:b w:val="1"/>
                <w:bCs w:val="1"/>
                <w:color w:val="FFFFFF"/>
                <w:w w:val="94"/>
              </w:rPr>
              <w:t>Annualized ROE</w:t>
            </w:r>
          </w:p>
        </w:tc>
        <w:tc>
          <w:tcPr>
            <w:tcW w:w="94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40" w:type="dxa"/>
            <w:vAlign w:val="bottom"/>
            <w:shd w:val="clear" w:color="auto" w:fill="0F2F50"/>
          </w:tcPr>
          <w:p>
            <w:pPr>
              <w:spacing w:after="0"/>
              <w:rPr>
                <w:sz w:val="8"/>
                <w:szCs w:val="8"/>
                <w:color w:val="auto"/>
              </w:rPr>
            </w:pPr>
          </w:p>
        </w:tc>
        <w:tc>
          <w:tcPr>
            <w:tcW w:w="94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040" w:type="dxa"/>
            <w:vAlign w:val="bottom"/>
            <w:tcBorders>
              <w:bottom w:val="single" w:sz="8" w:color="D9DDE1"/>
            </w:tcBorders>
          </w:tcPr>
          <w:p>
            <w:pPr>
              <w:spacing w:after="0"/>
              <w:rPr>
                <w:sz w:val="9"/>
                <w:szCs w:val="9"/>
                <w:color w:val="auto"/>
              </w:rPr>
            </w:pPr>
          </w:p>
        </w:tc>
        <w:tc>
          <w:tcPr>
            <w:tcW w:w="940" w:type="dxa"/>
            <w:vAlign w:val="bottom"/>
            <w:tcBorders>
              <w:bottom w:val="single" w:sz="8" w:color="D9DDE1"/>
            </w:tcBorders>
          </w:tcPr>
          <w:p>
            <w:pPr>
              <w:spacing w:after="0"/>
              <w:rPr>
                <w:sz w:val="9"/>
                <w:szCs w:val="9"/>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21.4%</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040" w:type="dxa"/>
            <w:vAlign w:val="bottom"/>
            <w:tcBorders>
              <w:bottom w:val="single" w:sz="8" w:color="D9DDE1"/>
            </w:tcBorders>
          </w:tcPr>
          <w:p>
            <w:pPr>
              <w:spacing w:after="0"/>
              <w:rPr>
                <w:sz w:val="7"/>
                <w:szCs w:val="7"/>
                <w:color w:val="auto"/>
              </w:rPr>
            </w:pPr>
          </w:p>
        </w:tc>
        <w:tc>
          <w:tcPr>
            <w:tcW w:w="94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040" w:type="dxa"/>
            <w:vAlign w:val="bottom"/>
            <w:tcBorders>
              <w:bottom w:val="single" w:sz="8" w:color="D9DDE1"/>
            </w:tcBorders>
          </w:tcPr>
          <w:p>
            <w:pPr>
              <w:spacing w:after="0"/>
              <w:rPr>
                <w:sz w:val="7"/>
                <w:szCs w:val="7"/>
                <w:color w:val="auto"/>
              </w:rPr>
            </w:pPr>
          </w:p>
        </w:tc>
        <w:tc>
          <w:tcPr>
            <w:tcW w:w="94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040" w:type="dxa"/>
            <w:vAlign w:val="bottom"/>
            <w:shd w:val="clear" w:color="auto" w:fill="0F2F50"/>
          </w:tcPr>
          <w:p>
            <w:pPr>
              <w:jc w:val="center"/>
              <w:ind w:left="130"/>
              <w:spacing w:after="0"/>
              <w:rPr>
                <w:sz w:val="20"/>
                <w:szCs w:val="20"/>
                <w:color w:val="auto"/>
              </w:rPr>
            </w:pPr>
            <w:r>
              <w:rPr>
                <w:rFonts w:ascii="Arial" w:cs="Arial" w:eastAsia="Arial" w:hAnsi="Arial"/>
                <w:sz w:val="18"/>
                <w:szCs w:val="18"/>
                <w:b w:val="1"/>
                <w:bCs w:val="1"/>
                <w:color w:val="FFFFFF"/>
                <w:w w:val="99"/>
              </w:rPr>
              <w:t>NAV</w:t>
            </w:r>
          </w:p>
        </w:tc>
        <w:tc>
          <w:tcPr>
            <w:tcW w:w="94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40" w:type="dxa"/>
            <w:vAlign w:val="bottom"/>
            <w:shd w:val="clear" w:color="auto" w:fill="0F2F50"/>
          </w:tcPr>
          <w:p>
            <w:pPr>
              <w:spacing w:after="0"/>
              <w:rPr>
                <w:sz w:val="8"/>
                <w:szCs w:val="8"/>
                <w:color w:val="auto"/>
              </w:rPr>
            </w:pPr>
          </w:p>
        </w:tc>
        <w:tc>
          <w:tcPr>
            <w:tcW w:w="94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$1,223.8</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040" w:type="dxa"/>
            <w:vAlign w:val="bottom"/>
            <w:tcBorders>
              <w:bottom w:val="single" w:sz="8" w:color="D9DDE1"/>
            </w:tcBorders>
          </w:tcPr>
          <w:p>
            <w:pPr>
              <w:spacing w:after="0"/>
              <w:rPr>
                <w:sz w:val="8"/>
                <w:szCs w:val="8"/>
                <w:color w:val="auto"/>
              </w:rPr>
            </w:pPr>
          </w:p>
        </w:tc>
        <w:tc>
          <w:tcPr>
            <w:tcW w:w="94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$16.85</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040" w:type="dxa"/>
            <w:vAlign w:val="bottom"/>
            <w:tcBorders>
              <w:bottom w:val="single" w:sz="8" w:color="D9DDE1"/>
            </w:tcBorders>
          </w:tcPr>
          <w:p>
            <w:pPr>
              <w:spacing w:after="0"/>
              <w:rPr>
                <w:sz w:val="7"/>
                <w:szCs w:val="7"/>
                <w:color w:val="auto"/>
              </w:rPr>
            </w:pPr>
          </w:p>
        </w:tc>
        <w:tc>
          <w:tcPr>
            <w:tcW w:w="940" w:type="dxa"/>
            <w:vAlign w:val="bottom"/>
            <w:tcBorders>
              <w:bottom w:val="single" w:sz="8" w:color="D9DDE1"/>
            </w:tcBorders>
          </w:tcPr>
          <w:p>
            <w:pPr>
              <w:spacing w:after="0"/>
              <w:rPr>
                <w:sz w:val="7"/>
                <w:szCs w:val="7"/>
                <w:color w:val="auto"/>
              </w:rPr>
            </w:pPr>
          </w:p>
        </w:tc>
      </w:tr>
      <w:tr>
        <w:trPr>
          <w:trHeight w:val="25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(per share, PF):</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r>
      <w:tr>
        <w:trPr>
          <w:trHeight w:val="283"/>
        </w:trPr>
        <w:tc>
          <w:tcPr>
            <w:tcW w:w="320" w:type="dxa"/>
            <w:vAlign w:val="bottom"/>
          </w:tcPr>
          <w:p>
            <w:pPr>
              <w:spacing w:after="0"/>
              <w:rPr>
                <w:sz w:val="24"/>
                <w:szCs w:val="24"/>
                <w:color w:val="auto"/>
              </w:rPr>
            </w:pPr>
          </w:p>
        </w:tc>
        <w:tc>
          <w:tcPr>
            <w:tcW w:w="3380" w:type="dxa"/>
            <w:vAlign w:val="bottom"/>
            <w:gridSpan w:val="3"/>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3380" w:type="dxa"/>
            <w:vAlign w:val="bottom"/>
            <w:gridSpan w:val="3"/>
            <w:shd w:val="clear" w:color="auto" w:fill="0F2F50"/>
          </w:tcPr>
          <w:p>
            <w:pPr>
              <w:jc w:val="center"/>
              <w:ind w:right="230"/>
              <w:spacing w:after="0"/>
              <w:rPr>
                <w:sz w:val="20"/>
                <w:szCs w:val="20"/>
                <w:color w:val="auto"/>
              </w:rPr>
            </w:pPr>
            <w:r>
              <w:rPr>
                <w:rFonts w:ascii="Arial" w:cs="Arial" w:eastAsia="Arial" w:hAnsi="Arial"/>
                <w:sz w:val="18"/>
                <w:szCs w:val="18"/>
                <w:b w:val="1"/>
                <w:bCs w:val="1"/>
                <w:color w:val="FFFFFF"/>
                <w:w w:val="89"/>
              </w:rPr>
              <w:t>Dividends Declared (per share)</w:t>
            </w: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40" w:type="dxa"/>
            <w:vAlign w:val="bottom"/>
            <w:shd w:val="clear" w:color="auto" w:fill="0F2F50"/>
          </w:tcPr>
          <w:p>
            <w:pPr>
              <w:spacing w:after="0"/>
              <w:rPr>
                <w:sz w:val="8"/>
                <w:szCs w:val="8"/>
                <w:color w:val="auto"/>
              </w:rPr>
            </w:pPr>
          </w:p>
        </w:tc>
        <w:tc>
          <w:tcPr>
            <w:tcW w:w="94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$0.41</w:t>
            </w:r>
          </w:p>
        </w:tc>
      </w:tr>
      <w:tr>
        <w:trPr>
          <w:trHeight w:val="54"/>
        </w:trPr>
        <w:tc>
          <w:tcPr>
            <w:tcW w:w="2760" w:type="dxa"/>
            <w:vAlign w:val="bottom"/>
            <w:tcBorders>
              <w:bottom w:val="single" w:sz="8" w:color="D9DDE1"/>
            </w:tcBorders>
            <w:gridSpan w:val="3"/>
          </w:tcPr>
          <w:p>
            <w:pPr>
              <w:spacing w:after="0"/>
              <w:rPr>
                <w:sz w:val="4"/>
                <w:szCs w:val="4"/>
                <w:color w:val="auto"/>
              </w:rPr>
            </w:pPr>
          </w:p>
        </w:tc>
        <w:tc>
          <w:tcPr>
            <w:tcW w:w="940" w:type="dxa"/>
            <w:vAlign w:val="bottom"/>
            <w:tcBorders>
              <w:bottom w:val="single" w:sz="8" w:color="D9DDE1"/>
            </w:tcBorders>
          </w:tcPr>
          <w:p>
            <w:pPr>
              <w:spacing w:after="0"/>
              <w:rPr>
                <w:sz w:val="4"/>
                <w:szCs w:val="4"/>
                <w:color w:val="auto"/>
              </w:rPr>
            </w:pPr>
          </w:p>
        </w:tc>
      </w:tr>
      <w:tr>
        <w:trPr>
          <w:trHeight w:val="250"/>
        </w:trPr>
        <w:tc>
          <w:tcPr>
            <w:tcW w:w="27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Q2’21 (Base):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54"/>
        </w:trPr>
        <w:tc>
          <w:tcPr>
            <w:tcW w:w="2760" w:type="dxa"/>
            <w:vAlign w:val="bottom"/>
            <w:tcBorders>
              <w:bottom w:val="single" w:sz="8" w:color="D9DDE1"/>
            </w:tcBorders>
            <w:gridSpan w:val="3"/>
          </w:tcPr>
          <w:p>
            <w:pPr>
              <w:spacing w:after="0"/>
              <w:rPr>
                <w:sz w:val="4"/>
                <w:szCs w:val="4"/>
                <w:color w:val="auto"/>
              </w:rPr>
            </w:pPr>
          </w:p>
        </w:tc>
        <w:tc>
          <w:tcPr>
            <w:tcW w:w="940" w:type="dxa"/>
            <w:vAlign w:val="bottom"/>
            <w:tcBorders>
              <w:bottom w:val="single" w:sz="8" w:color="D9DDE1"/>
            </w:tcBorders>
          </w:tcPr>
          <w:p>
            <w:pPr>
              <w:spacing w:after="0"/>
              <w:rPr>
                <w:sz w:val="4"/>
                <w:szCs w:val="4"/>
                <w:color w:val="auto"/>
              </w:rPr>
            </w:pPr>
          </w:p>
        </w:tc>
      </w:tr>
      <w:tr>
        <w:trPr>
          <w:trHeight w:val="250"/>
        </w:trPr>
        <w:tc>
          <w:tcPr>
            <w:tcW w:w="27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Q2’21 (Supp/Special):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r>
      <w:tr>
        <w:trPr>
          <w:trHeight w:val="40"/>
        </w:trPr>
        <w:tc>
          <w:tcPr>
            <w:tcW w:w="2760" w:type="dxa"/>
            <w:vAlign w:val="bottom"/>
            <w:tcBorders>
              <w:bottom w:val="single" w:sz="8" w:color="D9DDE1"/>
            </w:tcBorders>
            <w:gridSpan w:val="3"/>
          </w:tcPr>
          <w:p>
            <w:pPr>
              <w:spacing w:after="0"/>
              <w:rPr>
                <w:sz w:val="3"/>
                <w:szCs w:val="3"/>
                <w:color w:val="auto"/>
              </w:rPr>
            </w:pPr>
          </w:p>
        </w:tc>
        <w:tc>
          <w:tcPr>
            <w:tcW w:w="940" w:type="dxa"/>
            <w:vAlign w:val="bottom"/>
            <w:tcBorders>
              <w:bottom w:val="single" w:sz="8" w:color="D9DDE1"/>
            </w:tcBorders>
          </w:tcPr>
          <w:p>
            <w:pPr>
              <w:spacing w:after="0"/>
              <w:rPr>
                <w:sz w:val="3"/>
                <w:szCs w:val="3"/>
                <w:color w:val="auto"/>
              </w:rPr>
            </w:pPr>
          </w:p>
        </w:tc>
      </w:tr>
      <w:tr>
        <w:trPr>
          <w:trHeight w:val="237"/>
        </w:trPr>
        <w:tc>
          <w:tcPr>
            <w:tcW w:w="27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Q2’21 (Total):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$3.10</w:t>
            </w:r>
          </w:p>
        </w:tc>
      </w:tr>
    </w:tbl>
    <w:p>
      <w:pPr>
        <w:spacing w:after="0" w:line="200" w:lineRule="exact"/>
        <w:rPr>
          <w:sz w:val="20"/>
          <w:szCs w:val="20"/>
          <w:color w:val="auto"/>
        </w:rPr>
      </w:pPr>
    </w:p>
    <w:p>
      <w:pPr>
        <w:sectPr>
          <w:pgSz w:w="11900" w:h="16838" w:orient="portrait"/>
          <w:cols w:equalWidth="0" w:num="2">
            <w:col w:w="7200" w:space="340"/>
            <w:col w:w="3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June 30, 2021, new investment commitments totaled $303.1 million. This compares to $145.4 million for the quarter ended March 31, 2021.</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quarter ended June 30, 2021, the principal amount of new investments funded was $265.2 million in seven new portfolio companies and eight existing portfolio companies. For this period, the Company had $107.8 million aggregate principal amount in exits and repayments. For the quarter ended March 31, 2021, the principal amount of new investments funded was $130.4 million in two new portfolio companies and six existing portfolio companies. For that period, the Company had $85.1 million aggregate principal amount in exits and repayments.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2021 and March 31, 2021, the Company had investments in 72 and 68 portfolio companies, respectively, with an aggregate fair value of $2,570.0 million and $2,382.7 million, respectively. As of June 30, 2021, the average investment size in each portfolio company was $35.7 million based on fair value.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Company’s portfolio based on fair value consisted of 93.6% first-lien debt investments, 0.2% second-lien debt investments, 0.7% mezzanine investments, and 5.5% equity and other investments. As of March 31, 2021, the Company’s portfolio based on fair value consisted of 94.9% first-lien debt investments, 0.2% second-lien debt investments, 0.6% mezzanine investments, and 4.3% equity and other investments.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March 31, 2021 approximately 93.8% and 95.1% of the portfolio was invested in secured debt, respectively.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98.9% of debt investments based on fair value in the portfolio bore interest at floating rates (when including investment specific hedges), with 99.2% of these subject to LIBOR floors. The Company’s credit facilities also bear interest at floating rates. In connection with the Company’s Convertible Notes and other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both of the periods ended June 30, 2021 and March 31, 2021, the weighted average total yield of debt and income-producing securities at fair value (which includes interest income and amortization of fees and discounts) was 9.8%, and the weighted average total yield of debt and income-producing securities at amortized cost (which includes interest income and amortization of fees and discounts) was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Calculation includes income earning debt investments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Commitments:</w:t>
            </w:r>
          </w:p>
        </w:tc>
        <w:tc>
          <w:tcPr>
            <w:tcW w:w="1660" w:type="dxa"/>
            <w:vAlign w:val="bottom"/>
          </w:tcPr>
          <w:p>
            <w:pPr>
              <w:ind w:left="820"/>
              <w:spacing w:after="0"/>
              <w:rPr>
                <w:sz w:val="20"/>
                <w:szCs w:val="20"/>
                <w:color w:val="auto"/>
              </w:rPr>
            </w:pPr>
            <w:r>
              <w:rPr>
                <w:rFonts w:ascii="Arial" w:cs="Arial" w:eastAsia="Arial" w:hAnsi="Arial"/>
                <w:sz w:val="18"/>
                <w:szCs w:val="18"/>
                <w:b w:val="1"/>
                <w:bCs w:val="1"/>
                <w:color w:val="auto"/>
                <w:w w:val="96"/>
              </w:rPr>
              <w:t>$303.1MM</w:t>
            </w:r>
          </w:p>
        </w:tc>
      </w:tr>
      <w:tr>
        <w:trPr>
          <w:trHeight w:val="27"/>
        </w:trPr>
        <w:tc>
          <w:tcPr>
            <w:tcW w:w="2040" w:type="dxa"/>
            <w:vAlign w:val="bottom"/>
            <w:tcBorders>
              <w:bottom w:val="single" w:sz="8" w:color="E7E6E6"/>
            </w:tcBorders>
          </w:tcPr>
          <w:p>
            <w:pPr>
              <w:spacing w:after="0"/>
              <w:rPr>
                <w:sz w:val="2"/>
                <w:szCs w:val="2"/>
                <w:color w:val="auto"/>
              </w:rPr>
            </w:pPr>
          </w:p>
        </w:tc>
        <w:tc>
          <w:tcPr>
            <w:tcW w:w="1660" w:type="dxa"/>
            <w:vAlign w:val="bottom"/>
            <w:tcBorders>
              <w:bottom w:val="single" w:sz="8" w:color="E7E6E6"/>
            </w:tcBorders>
          </w:tcPr>
          <w:p>
            <w:pPr>
              <w:spacing w:after="0"/>
              <w:rPr>
                <w:sz w:val="2"/>
                <w:szCs w:val="2"/>
                <w:color w:val="auto"/>
              </w:rPr>
            </w:pPr>
          </w:p>
        </w:tc>
      </w:tr>
      <w:tr>
        <w:trPr>
          <w:trHeight w:val="237"/>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Fundings:</w:t>
            </w:r>
          </w:p>
        </w:tc>
        <w:tc>
          <w:tcPr>
            <w:tcW w:w="1660" w:type="dxa"/>
            <w:vAlign w:val="bottom"/>
          </w:tcPr>
          <w:p>
            <w:pPr>
              <w:ind w:left="820"/>
              <w:spacing w:after="0"/>
              <w:rPr>
                <w:sz w:val="20"/>
                <w:szCs w:val="20"/>
                <w:color w:val="auto"/>
              </w:rPr>
            </w:pPr>
            <w:r>
              <w:rPr>
                <w:rFonts w:ascii="Arial" w:cs="Arial" w:eastAsia="Arial" w:hAnsi="Arial"/>
                <w:sz w:val="18"/>
                <w:szCs w:val="18"/>
                <w:b w:val="1"/>
                <w:bCs w:val="1"/>
                <w:color w:val="auto"/>
                <w:w w:val="96"/>
              </w:rPr>
              <w:t>$265.2MM</w:t>
            </w:r>
          </w:p>
        </w:tc>
      </w:tr>
      <w:tr>
        <w:trPr>
          <w:trHeight w:val="27"/>
        </w:trPr>
        <w:tc>
          <w:tcPr>
            <w:tcW w:w="2040" w:type="dxa"/>
            <w:vAlign w:val="bottom"/>
            <w:tcBorders>
              <w:bottom w:val="single" w:sz="8" w:color="E7E6E6"/>
            </w:tcBorders>
          </w:tcPr>
          <w:p>
            <w:pPr>
              <w:spacing w:after="0"/>
              <w:rPr>
                <w:sz w:val="2"/>
                <w:szCs w:val="2"/>
                <w:color w:val="auto"/>
              </w:rPr>
            </w:pPr>
          </w:p>
        </w:tc>
        <w:tc>
          <w:tcPr>
            <w:tcW w:w="1660" w:type="dxa"/>
            <w:vAlign w:val="bottom"/>
            <w:tcBorders>
              <w:bottom w:val="single" w:sz="8" w:color="E7E6E6"/>
            </w:tcBorders>
          </w:tcPr>
          <w:p>
            <w:pPr>
              <w:spacing w:after="0"/>
              <w:rPr>
                <w:sz w:val="2"/>
                <w:szCs w:val="2"/>
                <w:color w:val="auto"/>
              </w:rPr>
            </w:pPr>
          </w:p>
        </w:tc>
      </w:tr>
      <w:tr>
        <w:trPr>
          <w:trHeight w:val="237"/>
        </w:trPr>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Net Fundings:</w:t>
            </w:r>
          </w:p>
        </w:tc>
        <w:tc>
          <w:tcPr>
            <w:tcW w:w="1660" w:type="dxa"/>
            <w:vAlign w:val="bottom"/>
          </w:tcPr>
          <w:p>
            <w:pPr>
              <w:ind w:left="820"/>
              <w:spacing w:after="0"/>
              <w:rPr>
                <w:sz w:val="20"/>
                <w:szCs w:val="20"/>
                <w:color w:val="auto"/>
              </w:rPr>
            </w:pPr>
            <w:r>
              <w:rPr>
                <w:rFonts w:ascii="Arial" w:cs="Arial" w:eastAsia="Arial" w:hAnsi="Arial"/>
                <w:sz w:val="18"/>
                <w:szCs w:val="18"/>
                <w:b w:val="1"/>
                <w:bCs w:val="1"/>
                <w:color w:val="auto"/>
                <w:w w:val="96"/>
              </w:rPr>
              <w:t>$157.4MM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234886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$35.7MM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234886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9.8%</w:t>
            </w:r>
          </w:p>
        </w:tc>
      </w:tr>
      <w:tr>
        <w:trPr>
          <w:trHeight w:val="81"/>
        </w:trPr>
        <w:tc>
          <w:tcPr>
            <w:tcW w:w="2560" w:type="dxa"/>
            <w:vAlign w:val="bottom"/>
            <w:tcBorders>
              <w:bottom w:val="single" w:sz="8" w:color="D9DDE1"/>
            </w:tcBorders>
          </w:tcPr>
          <w:p>
            <w:pPr>
              <w:spacing w:after="0"/>
              <w:rPr>
                <w:sz w:val="7"/>
                <w:szCs w:val="7"/>
                <w:color w:val="auto"/>
              </w:rPr>
            </w:pPr>
          </w:p>
        </w:tc>
        <w:tc>
          <w:tcPr>
            <w:tcW w:w="1140" w:type="dxa"/>
            <w:vAlign w:val="bottom"/>
            <w:tcBorders>
              <w:bottom w:val="single" w:sz="8" w:color="D9DDE1"/>
            </w:tcBorders>
          </w:tcPr>
          <w:p>
            <w:pPr>
              <w:spacing w:after="0"/>
              <w:rPr>
                <w:sz w:val="7"/>
                <w:szCs w:val="7"/>
                <w:color w:val="auto"/>
              </w:rPr>
            </w:pPr>
          </w:p>
        </w:tc>
      </w:tr>
      <w:tr>
        <w:trPr>
          <w:trHeight w:val="291"/>
        </w:trPr>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200" w:space="340"/>
            <w:col w:w="3700"/>
          </w:cols>
          <w:pgMar w:left="320" w:top="1435"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JUNE 30, 2021</w:t>
      </w:r>
    </w:p>
    <w:p>
      <w:pPr>
        <w:sectPr>
          <w:pgSz w:w="11900" w:h="16838" w:orient="portrait"/>
          <w:cols w:equalWidth="0" w:num="1">
            <w:col w:w="11240"/>
          </w:cols>
          <w:pgMar w:left="320" w:top="1435" w:right="3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June 30, 2021 and 2020, investment income was $62.8 million and $70.3 million, respectively. The decrease in interest from investments was primarily the result of a decrease in prepayment fees and accelerated amortization of upfront fees related to paydowns, partially offset by an increase in interest earned due to a larger average portfolio size for the period ended June 30, 2021 compared to the same period in 2020.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Net expenses totaled $35.2 million and $29.8 million for the three months ended June 30, 2021 and 2020, respectively. The increase in expenses was primarily driven by accrued capital gains incentive fees related to cumulative gains in excess of cumulative losses less capital gains incentive fees paid inception</w:t>
      </w:r>
      <w:r>
        <w:rPr>
          <w:rFonts w:ascii="MS PGothic" w:cs="MS PGothic" w:eastAsia="MS PGothic" w:hAnsi="MS PGothic"/>
          <w:sz w:val="18"/>
          <w:szCs w:val="18"/>
          <w:color w:val="auto"/>
        </w:rPr>
        <w:t>‐</w:t>
      </w:r>
      <w:r>
        <w:rPr>
          <w:rFonts w:ascii="Arial" w:cs="Arial" w:eastAsia="Arial" w:hAnsi="Arial"/>
          <w:sz w:val="18"/>
          <w:szCs w:val="18"/>
          <w:color w:val="auto"/>
        </w:rPr>
        <w:t>to-date.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the Company had $18.5 million in cash and cash equivalents (including $15.3 million of restricted cash), total principal value of debt outstanding of $1,326.0 million, and $1,099.3 million of undrawn capacity on its revolving credit facility, subject to borrowing base and other limitations. The Company’s weighted average interest rate on debt outstanding was 2.3% for both the three-month periods ended June 30, 2021 and March 31, 2021. At June 30, 2021, the Company’s debt to equity ratio was 1.08x, compared to 0.92x at March 31, 2021. Average debt to equity was 1.07x for the three-month period ended June 30, 2021, compared to 0.93x for the three-month period ended March 31, 2021.</w:t>
      </w:r>
    </w:p>
    <w:p>
      <w:pPr>
        <w:spacing w:after="0" w:line="160" w:lineRule="exact"/>
        <w:rPr>
          <w:sz w:val="20"/>
          <w:szCs w:val="20"/>
          <w:color w:val="auto"/>
        </w:rPr>
      </w:pPr>
    </w:p>
    <w:p>
      <w:pPr>
        <w:jc w:val="both"/>
        <w:ind w:left="260" w:right="20" w:hanging="252"/>
        <w:spacing w:after="0" w:line="23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$62.8MM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874395</wp:posOffset>
            </wp:positionV>
            <wp:extent cx="234886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$35.2MM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677545</wp:posOffset>
            </wp:positionV>
            <wp:extent cx="2348865" cy="248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$1,326.0MM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2021 Quarter End:</w:t>
            </w:r>
          </w:p>
        </w:tc>
        <w:tc>
          <w:tcPr>
            <w:tcW w:w="1180" w:type="dxa"/>
            <w:vAlign w:val="bottom"/>
          </w:tcPr>
          <w:p>
            <w:pPr>
              <w:ind w:left="700"/>
              <w:spacing w:after="0"/>
              <w:rPr>
                <w:sz w:val="20"/>
                <w:szCs w:val="20"/>
                <w:color w:val="auto"/>
              </w:rPr>
            </w:pPr>
            <w:r>
              <w:rPr>
                <w:rFonts w:ascii="Arial" w:cs="Arial" w:eastAsia="Arial" w:hAnsi="Arial"/>
                <w:sz w:val="18"/>
                <w:szCs w:val="18"/>
                <w:b w:val="1"/>
                <w:bCs w:val="1"/>
                <w:color w:val="auto"/>
              </w:rPr>
              <w:t>1.08x</w:t>
            </w:r>
          </w:p>
        </w:tc>
      </w:tr>
      <w:tr>
        <w:trPr>
          <w:trHeight w:val="40"/>
        </w:trPr>
        <w:tc>
          <w:tcPr>
            <w:tcW w:w="320" w:type="dxa"/>
            <w:vAlign w:val="bottom"/>
            <w:tcBorders>
              <w:bottom w:val="single" w:sz="8" w:color="D9DDE1"/>
            </w:tcBorders>
          </w:tcPr>
          <w:p>
            <w:pPr>
              <w:spacing w:after="0"/>
              <w:rPr>
                <w:sz w:val="3"/>
                <w:szCs w:val="3"/>
                <w:color w:val="auto"/>
              </w:rPr>
            </w:pPr>
          </w:p>
        </w:tc>
        <w:tc>
          <w:tcPr>
            <w:tcW w:w="2200" w:type="dxa"/>
            <w:vAlign w:val="bottom"/>
            <w:tcBorders>
              <w:bottom w:val="single" w:sz="8" w:color="D9DDE1"/>
            </w:tcBorders>
          </w:tcPr>
          <w:p>
            <w:pPr>
              <w:spacing w:after="0"/>
              <w:rPr>
                <w:sz w:val="3"/>
                <w:szCs w:val="3"/>
                <w:color w:val="auto"/>
              </w:rPr>
            </w:pPr>
          </w:p>
        </w:tc>
        <w:tc>
          <w:tcPr>
            <w:tcW w:w="1180" w:type="dxa"/>
            <w:vAlign w:val="bottom"/>
            <w:tcBorders>
              <w:bottom w:val="single" w:sz="8" w:color="D9DDE1"/>
            </w:tcBorders>
          </w:tcPr>
          <w:p>
            <w:pPr>
              <w:spacing w:after="0"/>
              <w:rPr>
                <w:sz w:val="3"/>
                <w:szCs w:val="3"/>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2021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80" w:type="dxa"/>
            <w:vAlign w:val="bottom"/>
          </w:tcPr>
          <w:p>
            <w:pPr>
              <w:ind w:left="700"/>
              <w:spacing w:after="0"/>
              <w:rPr>
                <w:sz w:val="20"/>
                <w:szCs w:val="20"/>
                <w:color w:val="auto"/>
              </w:rPr>
            </w:pPr>
            <w:r>
              <w:rPr>
                <w:rFonts w:ascii="Arial" w:cs="Arial" w:eastAsia="Arial" w:hAnsi="Arial"/>
                <w:sz w:val="18"/>
                <w:szCs w:val="18"/>
                <w:b w:val="1"/>
                <w:bCs w:val="1"/>
                <w:color w:val="auto"/>
              </w:rPr>
              <w:t>1.07x</w:t>
            </w:r>
          </w:p>
        </w:tc>
      </w:tr>
    </w:tbl>
    <w:p>
      <w:pPr>
        <w:spacing w:after="0" w:line="646"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June 30, 2021 and changes to unfunded commitments since March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shd w:val="clear" w:color="auto" w:fill="0F2F50"/>
          </w:tcPr>
          <w:p>
            <w:pPr>
              <w:spacing w:after="0"/>
              <w:rPr>
                <w:sz w:val="23"/>
                <w:szCs w:val="23"/>
                <w:color w:val="auto"/>
              </w:rPr>
            </w:pPr>
          </w:p>
        </w:tc>
        <w:tc>
          <w:tcPr>
            <w:tcW w:w="220" w:type="dxa"/>
            <w:vAlign w:val="bottom"/>
          </w:tcPr>
          <w:p>
            <w:pPr>
              <w:spacing w:after="0"/>
              <w:rPr>
                <w:sz w:val="23"/>
                <w:szCs w:val="23"/>
                <w:color w:val="auto"/>
              </w:rPr>
            </w:pPr>
          </w:p>
        </w:tc>
        <w:tc>
          <w:tcPr>
            <w:tcW w:w="4560" w:type="dxa"/>
            <w:vAlign w:val="bottom"/>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3/31/21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$162</w:t>
            </w: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($386)</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$1,102</w:t>
            </w: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($121)</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$981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2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96"/>
        </w:trPr>
        <w:tc>
          <w:tcPr>
            <w:tcW w:w="396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0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$191</w:t>
            </w:r>
          </w:p>
        </w:tc>
        <w:tc>
          <w:tcPr>
            <w:tcW w:w="20" w:type="dxa"/>
            <w:vAlign w:val="bottom"/>
          </w:tcPr>
          <w:p>
            <w:pPr>
              <w:spacing w:after="0"/>
              <w:rPr>
                <w:sz w:val="17"/>
                <w:szCs w:val="17"/>
                <w:color w:val="auto"/>
              </w:rPr>
            </w:pPr>
          </w:p>
        </w:tc>
      </w:tr>
      <w:tr>
        <w:trPr>
          <w:trHeight w:val="196"/>
        </w:trPr>
        <w:tc>
          <w:tcPr>
            <w:tcW w:w="396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0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5"/>
        </w:trPr>
        <w:tc>
          <w:tcPr>
            <w:tcW w:w="396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the Company’s funding mix was comprised of 71% unsecured and 29% secured debt. As illustrated below, the Company’s nearest debt maturity is in August 2022 at $143 million, and the weighted average remaining life of investments funded with debt was ~2.4 years, compared to a weighted average remaining maturity on debt of ~4.1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5760720" cy="2966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w:t>
      </w:r>
    </w:p>
    <w:p>
      <w:pPr>
        <w:spacing w:after="0" w:line="134" w:lineRule="exact"/>
        <w:rPr>
          <w:sz w:val="20"/>
          <w:szCs w:val="20"/>
          <w:color w:val="auto"/>
        </w:rPr>
      </w:pPr>
    </w:p>
    <w:p>
      <w:pPr>
        <w:ind w:left="400" w:hanging="392"/>
        <w:spacing w:after="0" w:line="243"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$19.7M at 6/30/20, $18.4M at 9/30/20, $17.2M at 12/31/20, $23.7M at 3/31/21 and $22.3M at 6/30/21. Fair value hedge on interest rate swaps related to the 2024 and 2026 notes total $19.3M at 6/30/20, $18.1M at 9/30/20, $16.8M at 12/31/20, $2.2M at 3/31/21 and $4.5M at 6/30/21.</w:t>
      </w:r>
    </w:p>
    <w:p>
      <w:pPr>
        <w:jc w:val="both"/>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permanent equity capital. This analysis assumes longer-dated investments are currently funded by permanent equity capital (49% of investments) and the remaining (shorter-dated) investments (51% of investments) are currently funded by debt financing. Investments for purposes of this analysis exclude unfunded commitments, and permanent equity capital is defined as 6/30/21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conference call to discuss the Company’s financial results will be held live at 8:30 a.m. Eastern Time on August 4, 2021.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8937188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August 4 through August 11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8937188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 2021</w:t>
            </w:r>
          </w:p>
        </w:tc>
        <w:tc>
          <w:tcPr>
            <w:tcW w:w="12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2021</w:t>
            </w:r>
          </w:p>
        </w:tc>
        <w:tc>
          <w:tcPr>
            <w:tcW w:w="1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 2020</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1,983.8</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2,608.4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2,417.9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2,018.6</w:t>
            </w:r>
          </w:p>
        </w:tc>
        <w:tc>
          <w:tcPr>
            <w:tcW w:w="18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r>
      <w:tr>
        <w:trPr>
          <w:trHeight w:val="25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22"/>
                <w:szCs w:val="22"/>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16.41</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21"/>
                <w:szCs w:val="21"/>
                <w:color w:val="auto"/>
              </w:rPr>
            </w:pPr>
          </w:p>
        </w:tc>
      </w:tr>
      <w:tr>
        <w:trPr>
          <w:trHeight w:val="263"/>
        </w:trPr>
        <w:tc>
          <w:tcPr>
            <w:tcW w:w="6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Investment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9"/>
                <w:szCs w:val="19"/>
                <w:color w:val="auto"/>
              </w:rPr>
            </w:pPr>
          </w:p>
        </w:tc>
      </w:tr>
      <w:tr>
        <w:trPr>
          <w:trHeight w:val="256"/>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Investment Income</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FF0FC"/>
          </w:tcPr>
          <w:p>
            <w:pPr>
              <w:spacing w:after="0"/>
              <w:rPr>
                <w:sz w:val="22"/>
                <w:szCs w:val="22"/>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21"/>
                <w:szCs w:val="21"/>
                <w:color w:val="auto"/>
              </w:rPr>
            </w:pPr>
          </w:p>
        </w:tc>
      </w:tr>
      <w:tr>
        <w:trPr>
          <w:trHeight w:val="26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22"/>
                <w:szCs w:val="22"/>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FF0FC"/>
          </w:tcPr>
          <w:p>
            <w:pPr>
              <w:spacing w:after="0"/>
              <w:rPr>
                <w:sz w:val="19"/>
                <w:szCs w:val="19"/>
                <w:color w:val="auto"/>
              </w:rPr>
            </w:pP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Investment Income Per Share</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8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Adjusted Net Income Per Share</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19"/>
                <w:szCs w:val="19"/>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21"/>
                <w:szCs w:val="21"/>
                <w:color w:val="auto"/>
              </w:rPr>
            </w:pPr>
          </w:p>
        </w:tc>
      </w:tr>
      <w:tr>
        <w:trPr>
          <w:trHeight w:val="26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22"/>
                <w:szCs w:val="22"/>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 (3)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Income) </w:t>
            </w:r>
            <w:r>
              <w:rPr>
                <w:rFonts w:ascii="Arial" w:cs="Arial" w:eastAsia="Arial" w:hAnsi="Arial"/>
                <w:sz w:val="15"/>
                <w:szCs w:val="15"/>
                <w:color w:val="auto"/>
              </w:rPr>
              <w:t>(2)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r>
      <w:tr>
        <w:trPr>
          <w:trHeight w:val="25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Investment Income)</w:t>
            </w:r>
            <w:r>
              <w:rPr>
                <w:rFonts w:ascii="Arial" w:cs="Arial" w:eastAsia="Arial" w:hAnsi="Arial"/>
                <w:sz w:val="15"/>
                <w:szCs w:val="15"/>
                <w:color w:val="auto"/>
              </w:rPr>
              <w:t>(3)</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r>
      <w:tr>
        <w:trPr>
          <w:trHeight w:val="297"/>
        </w:trPr>
        <w:tc>
          <w:tcPr>
            <w:tcW w:w="6260" w:type="dxa"/>
            <w:vAlign w:val="bottom"/>
          </w:tcPr>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r>
      <w:tr>
        <w:trPr>
          <w:trHeight w:val="81"/>
        </w:trPr>
        <w:tc>
          <w:tcPr>
            <w:tcW w:w="6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56"/>
        </w:trPr>
        <w:tc>
          <w:tcPr>
            <w:tcW w:w="6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r>
    </w:tbl>
    <w:p>
      <w:pPr>
        <w:spacing w:after="0" w:line="210" w:lineRule="exact"/>
        <w:rPr>
          <w:sz w:val="20"/>
          <w:szCs w:val="20"/>
          <w:color w:val="auto"/>
        </w:rPr>
      </w:pP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$2,414,123 and $2,187,427,</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2,511,435</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$12,779 and $12,892,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$61,852 and $58,709,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$2,488,754 and $2,259,028,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2,569,992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$15,315 and $10,815, respectively)</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2,608,356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$22,287 and $17,246,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1,304,841</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1,384,543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3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$0.01 par value; 400,000,000 shares authorized, 72,945,727 and 67,980,253</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w w:val="99"/>
              </w:rPr>
              <w:t>shares issued, respectively; and 72,649,683 and 67,684,209 share outstanding, respectively</w:t>
            </w:r>
          </w:p>
        </w:tc>
        <w:tc>
          <w:tcPr>
            <w:tcW w:w="3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1,129,621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1,223,813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2,608,356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5"/>
        </w:trPr>
        <w:tc>
          <w:tcPr>
            <w:tcW w:w="7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345"/>
        </w:trPr>
        <w:tc>
          <w:tcPr>
            <w:tcW w:w="7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2"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 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59,720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61,115</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121,484</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121,881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9,227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61,626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67,999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126,175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131,984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965</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2,519</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1,929</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2,001</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62,828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70,234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129,069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19,143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18,156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35,405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29,765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68,877</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61,363</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line="155" w:lineRule="exact"/>
              <w:rPr>
                <w:sz w:val="20"/>
                <w:szCs w:val="20"/>
                <w:color w:val="auto"/>
              </w:rPr>
            </w:pPr>
            <w:r>
              <w:rPr>
                <w:rFonts w:ascii="Arial" w:cs="Arial" w:eastAsia="Arial" w:hAnsi="Arial"/>
                <w:sz w:val="14"/>
                <w:szCs w:val="14"/>
                <w:color w:val="auto"/>
              </w:rPr>
              <w:t>Management fees waived</w:t>
            </w: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68,747</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61,363</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27,553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40,469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60,322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75,141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27,388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39,469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59,697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73,131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35,438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6,090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(1,451)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(3,273)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57,234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38,701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(27,446)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(3,636)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1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16,608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(2,914)</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30,966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56,401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55,309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(30,360)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58,354</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95,870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115,006</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42,771</w:t>
            </w: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tcBorders>
              <w:bottom w:val="single" w:sz="8" w:color="CFF0FC"/>
            </w:tcBorders>
            <w:vMerge w:val="continue"/>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1.43</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1.62</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0.64</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72,556,471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66,957,883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71,131,732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66,807,081</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80,249,527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66,957,883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78,824,788</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66,807,081</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4"/>
        </w:trPr>
        <w:tc>
          <w:tcPr>
            <w:tcW w:w="5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The Company’s investment activity for quarter ended June 30, 2021 and 2020 is presented below (information presented herein is at par value unless otherwise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June 30, 2021</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660.3</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303.1</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265.2</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$50 billion of assets under management. For more information, visit the Company’s website at www.sixthstreetspecialtylending.com.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Sixth Street is a global investment firm with over $50 billion in assets under management and committed capital. Sixth Street uses its long-term flexible capital, cross-platform approach, and data-enabled capabilities to develop themes and offer solutions to companies across all stages of growth. Sixth Street operates nine diversified, collaborative investment platforms: TAO, Growth, Specialty Lending, Fundamental Strategies, Infrastructure, Opportunities, Insurance, Agriculture, and Credit Market Strategies. Founded in 2009, Sixth Street has more than 320 team members including over 145 investment professionals operating from nine locations around the world. For more information, visit www.sixthstreet.com.</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2021-08-03T15:38:56Z</dcterms:created>
  <dcterms:modified xsi:type="dcterms:W3CDTF">2021-08-03T15:38:56Z</dcterms:modified>
</cp:coreProperties>
</file>