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158750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161290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November 6, 2018</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-294640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3640" w:type="dxa"/>
            <w:vAlign w:val="bottom"/>
          </w:tcPr>
          <w:p>
            <w:pPr>
              <w:jc w:val="center"/>
              <w:ind w:right="1039"/>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ind w:left="114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640" w:type="dxa"/>
            <w:vAlign w:val="bottom"/>
          </w:tcPr>
          <w:p>
            <w:pPr>
              <w:jc w:val="center"/>
              <w:ind w:right="10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20" w:type="dxa"/>
            <w:vAlign w:val="bottom"/>
          </w:tcPr>
          <w:p>
            <w:pPr>
              <w:ind w:left="11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4"/>
              </w:rPr>
              <w:t>of Incorporation)</w:t>
            </w:r>
          </w:p>
        </w:tc>
        <w:tc>
          <w:tcPr>
            <w:tcW w:w="3320" w:type="dxa"/>
            <w:vAlign w:val="bottom"/>
          </w:tcPr>
          <w:p>
            <w:pPr>
              <w:ind w:left="11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89"/>
              </w:rPr>
              <w:t>301 Commerce Street, Suite 3300</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97"/>
              </w:rPr>
              <w:t>Fort Worth, TX</w:t>
            </w:r>
          </w:p>
        </w:tc>
        <w:tc>
          <w:tcPr>
            <w:tcW w:w="33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3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1"/>
              </w:rPr>
              <w:t>(zip code)</w:t>
            </w:r>
          </w:p>
        </w:tc>
      </w:tr>
    </w:tbl>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7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November 6, 2018, the registrant issued a press release announcing its financial results for the quarter ended September 30, 2018. The text of the press release is included as Exhibit 99.1 to this Form 8-K.</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6, 2018, the registrant issued a press release, included herewith as Exhibit 99.1, announcing the declaration of a fourth fiscal quarter 2018 base dividend of $0.39 per share for stockholders of record as of December 14, 2018, payable on January 15, 2019, and a quarterly supplemental dividend of $0.05 per share for stockholders of record as of November 30, 2018, payable on December 31, 2018.</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2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980" w:type="dxa"/>
            <w:vAlign w:val="bottom"/>
            <w:gridSpan w:val="2"/>
          </w:tcPr>
          <w:p>
            <w:pPr>
              <w:ind w:left="1640"/>
              <w:spacing w:after="0"/>
              <w:rPr>
                <w:sz w:val="20"/>
                <w:szCs w:val="20"/>
                <w:color w:val="auto"/>
              </w:rPr>
            </w:pPr>
            <w:r>
              <w:rPr>
                <w:rFonts w:ascii="Arial" w:cs="Arial" w:eastAsia="Arial" w:hAnsi="Arial"/>
                <w:sz w:val="18"/>
                <w:szCs w:val="18"/>
                <w:color w:val="auto"/>
              </w:rPr>
              <w:t>TPG SPECIALTY LENDING, INC.</w:t>
            </w: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November 6, 2018</w:t>
            </w:r>
          </w:p>
        </w:tc>
        <w:tc>
          <w:tcPr>
            <w:tcW w:w="2260" w:type="dxa"/>
            <w:vAlign w:val="bottom"/>
          </w:tcPr>
          <w:p>
            <w:pPr>
              <w:ind w:left="1640"/>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Ian Simmonds</w:t>
            </w:r>
          </w:p>
        </w:tc>
      </w:tr>
      <w:tr>
        <w:trPr>
          <w:trHeight w:val="195"/>
        </w:trPr>
        <w:tc>
          <w:tcPr>
            <w:tcW w:w="3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720" w:type="dxa"/>
            <w:vAlign w:val="bottom"/>
          </w:tcPr>
          <w:p>
            <w:pPr>
              <w:ind w:left="6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24662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113220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22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33"/>
          <w:szCs w:val="33"/>
          <w:b w:val="1"/>
          <w:bCs w:val="1"/>
          <w:color w:val="FFFFFF"/>
        </w:rPr>
        <w:t>Third Quarter 2018 Earnings Results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TPG Specialty Lending, Inc. Reports Third Quarter NII Per Share of $0.50 and NAV Per Share of $16.47; Declares a Third Quarter Supplemental Dividend Per Share of $0.05 and a Fourth Quarter Base Dividend Per Share of $0.39</w:t>
      </w:r>
    </w:p>
    <w:p>
      <w:pPr>
        <w:spacing w:after="0" w:line="11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NEW YORK—November 6, 2018— TPG Specialty Lending, Inc. (NYSE: TSLX, or the “Company”) today reported net investment income of $32.3 million, or $0.50 per share, and net income of $37.4 million, or $0.57 per share, for the third quarter ended September 30, 2018. Net asset value per share was $16.47 at September 30, 2018 as compared to $16.36 at June 30, 2018.</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Annualized return on equity (ROE) for the third quarter 2018 was 12.2% and 14.1% on a net investment income and a net income basis, respectively.</w:t>
      </w:r>
    </w:p>
    <w:p>
      <w:pPr>
        <w:spacing w:after="0" w:line="10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announced that its Board of Directors has declared a fourth quarter 2018 base dividend of $0.39 per share for stockholders of record as of December 14, 2018, payable on January 15, 2019. The Company’s Board of Directors also declared a third quarter supplemental dividend of $0.05 per share for stockholders of record as of November 30, 2018, payable on December 31, 2018.</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Board of Directors previously declared a second quarter supplemental dividend of $0.08 per share and a third quarter base dividend of $0.39 per share, payable to stockholders of record as of August 31, 2018 and September 14, 2018, respectively, which were paid on September 28, 2018 and October 15, 2018, respectively.</w:t>
      </w:r>
    </w:p>
    <w:p>
      <w:pPr>
        <w:spacing w:after="0" w:line="106"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The Company also announced it has amended its revolving credit facility to, among other things, reduce the asset coverage covenant from 200% to 150%. Size, pricing and other significant terms in this facility remain unchanged. This amendment follows the approval of the application of the 150% minimum asset coverage ratio by the Company’s stockholders at its special meeting on October 8, 2018. As a result, the minimum asset coverage ratio applicable to the Company is now 150%.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216979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680" w:type="dxa"/>
            <w:vAlign w:val="bottom"/>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$32.3</w:t>
            </w:r>
          </w:p>
        </w:tc>
      </w:tr>
      <w:tr>
        <w:trPr>
          <w:trHeight w:val="324"/>
        </w:trPr>
        <w:tc>
          <w:tcPr>
            <w:tcW w:w="680" w:type="dxa"/>
            <w:vAlign w:val="bottom"/>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$0.50</w:t>
            </w:r>
          </w:p>
        </w:tc>
      </w:tr>
      <w:tr>
        <w:trPr>
          <w:trHeight w:val="74"/>
        </w:trPr>
        <w:tc>
          <w:tcPr>
            <w:tcW w:w="680" w:type="dxa"/>
            <w:vAlign w:val="bottom"/>
            <w:tcBorders>
              <w:bottom w:val="single" w:sz="8" w:color="003767"/>
            </w:tcBorders>
          </w:tcPr>
          <w:p>
            <w:pPr>
              <w:spacing w:after="0"/>
              <w:rPr>
                <w:sz w:val="6"/>
                <w:szCs w:val="6"/>
                <w:color w:val="auto"/>
              </w:rPr>
            </w:pPr>
          </w:p>
        </w:tc>
        <w:tc>
          <w:tcPr>
            <w:tcW w:w="1980" w:type="dxa"/>
            <w:vAlign w:val="bottom"/>
            <w:tcBorders>
              <w:bottom w:val="single" w:sz="8" w:color="003767"/>
            </w:tcBorders>
          </w:tcPr>
          <w:p>
            <w:pPr>
              <w:spacing w:after="0"/>
              <w:rPr>
                <w:sz w:val="6"/>
                <w:szCs w:val="6"/>
                <w:color w:val="auto"/>
              </w:rPr>
            </w:pPr>
          </w:p>
        </w:tc>
        <w:tc>
          <w:tcPr>
            <w:tcW w:w="760" w:type="dxa"/>
            <w:vAlign w:val="bottom"/>
            <w:tcBorders>
              <w:bottom w:val="single" w:sz="8" w:color="003767"/>
            </w:tcBorders>
          </w:tcPr>
          <w:p>
            <w:pPr>
              <w:spacing w:after="0"/>
              <w:rPr>
                <w:sz w:val="6"/>
                <w:szCs w:val="6"/>
                <w:color w:val="auto"/>
              </w:rPr>
            </w:pPr>
          </w:p>
        </w:tc>
      </w:tr>
      <w:tr>
        <w:trPr>
          <w:trHeight w:val="210"/>
        </w:trPr>
        <w:tc>
          <w:tcPr>
            <w:tcW w:w="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198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w w:val="90"/>
              </w:rPr>
              <w:t>Net Income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$37.4</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$0.57</w:t>
            </w:r>
          </w:p>
        </w:tc>
      </w:tr>
      <w:tr>
        <w:trPr>
          <w:trHeight w:val="74"/>
        </w:trPr>
        <w:tc>
          <w:tcPr>
            <w:tcW w:w="680" w:type="dxa"/>
            <w:vAlign w:val="bottom"/>
            <w:tcBorders>
              <w:left w:val="single" w:sz="8" w:color="003767"/>
              <w:bottom w:val="single" w:sz="8" w:color="003767"/>
            </w:tcBorders>
          </w:tcPr>
          <w:p>
            <w:pPr>
              <w:spacing w:after="0"/>
              <w:rPr>
                <w:sz w:val="6"/>
                <w:szCs w:val="6"/>
                <w:color w:val="auto"/>
              </w:rPr>
            </w:pPr>
          </w:p>
        </w:tc>
        <w:tc>
          <w:tcPr>
            <w:tcW w:w="198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r>
        <w:trPr>
          <w:trHeight w:val="210"/>
        </w:trPr>
        <w:tc>
          <w:tcPr>
            <w:tcW w:w="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198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rPr>
              <w:t>NAV</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$1,073</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$16.47</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(per share, PF):</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$16.42</w:t>
            </w:r>
          </w:p>
        </w:tc>
      </w:tr>
      <w:tr>
        <w:trPr>
          <w:trHeight w:val="74"/>
        </w:trPr>
        <w:tc>
          <w:tcPr>
            <w:tcW w:w="680" w:type="dxa"/>
            <w:vAlign w:val="bottom"/>
            <w:tcBorders>
              <w:left w:val="single" w:sz="8" w:color="003767"/>
              <w:bottom w:val="single" w:sz="8" w:color="003767"/>
            </w:tcBorders>
          </w:tcPr>
          <w:p>
            <w:pPr>
              <w:spacing w:after="0"/>
              <w:rPr>
                <w:sz w:val="6"/>
                <w:szCs w:val="6"/>
                <w:color w:val="auto"/>
              </w:rPr>
            </w:pPr>
          </w:p>
        </w:tc>
        <w:tc>
          <w:tcPr>
            <w:tcW w:w="198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r>
        <w:trPr>
          <w:trHeight w:val="210"/>
        </w:trPr>
        <w:tc>
          <w:tcPr>
            <w:tcW w:w="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198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w w:val="94"/>
              </w:rPr>
              <w:t>Annualized ROE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(NII):</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12.2%</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(NI):</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14.1%</w:t>
            </w:r>
          </w:p>
        </w:tc>
      </w:tr>
      <w:tr>
        <w:trPr>
          <w:trHeight w:val="74"/>
        </w:trPr>
        <w:tc>
          <w:tcPr>
            <w:tcW w:w="680" w:type="dxa"/>
            <w:vAlign w:val="bottom"/>
            <w:tcBorders>
              <w:left w:val="single" w:sz="8" w:color="003767"/>
              <w:bottom w:val="single" w:sz="8" w:color="003767"/>
            </w:tcBorders>
          </w:tcPr>
          <w:p>
            <w:pPr>
              <w:spacing w:after="0"/>
              <w:rPr>
                <w:sz w:val="6"/>
                <w:szCs w:val="6"/>
                <w:color w:val="auto"/>
              </w:rPr>
            </w:pPr>
          </w:p>
        </w:tc>
        <w:tc>
          <w:tcPr>
            <w:tcW w:w="198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r>
        <w:trPr>
          <w:trHeight w:val="426"/>
        </w:trPr>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1980" w:type="dxa"/>
            <w:vAlign w:val="bottom"/>
            <w:shd w:val="clear" w:color="auto" w:fill="003767"/>
          </w:tcPr>
          <w:p>
            <w:pPr>
              <w:jc w:val="center"/>
              <w:spacing w:after="0"/>
              <w:rPr>
                <w:sz w:val="20"/>
                <w:szCs w:val="20"/>
                <w:color w:val="auto"/>
              </w:rPr>
            </w:pPr>
            <w:r>
              <w:rPr>
                <w:rFonts w:ascii="Arial" w:cs="Arial" w:eastAsia="Arial" w:hAnsi="Arial"/>
                <w:sz w:val="16"/>
                <w:szCs w:val="16"/>
                <w:b w:val="1"/>
                <w:bCs w:val="1"/>
                <w:color w:val="FFFFFF"/>
                <w:w w:val="91"/>
              </w:rPr>
              <w:t>Dividend (per share)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(Supp.):</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$0.05</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Q4 2018</w:t>
            </w:r>
          </w:p>
        </w:tc>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(Base):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$0.39</w:t>
            </w:r>
          </w:p>
        </w:tc>
      </w:tr>
      <w:tr>
        <w:trPr>
          <w:trHeight w:val="648"/>
        </w:trPr>
        <w:tc>
          <w:tcPr>
            <w:tcW w:w="26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rPr>
              <w:t>LTM Q3 2018 (Supp.):</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$0.22</w:t>
            </w:r>
          </w:p>
        </w:tc>
      </w:tr>
      <w:tr>
        <w:trPr>
          <w:trHeight w:val="297"/>
        </w:trPr>
        <w:tc>
          <w:tcPr>
            <w:tcW w:w="26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rPr>
              <w:t>LTM Q3 2018 (Base):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$1.56</w:t>
            </w:r>
          </w:p>
        </w:tc>
      </w:tr>
      <w:tr>
        <w:trPr>
          <w:trHeight w:val="405"/>
        </w:trPr>
        <w:tc>
          <w:tcPr>
            <w:tcW w:w="26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rPr>
              <w:t>LTM Q3 2018 (Total):</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$1.78</w:t>
            </w:r>
          </w:p>
        </w:tc>
      </w:tr>
      <w:tr>
        <w:trPr>
          <w:trHeight w:val="33"/>
        </w:trPr>
        <w:tc>
          <w:tcPr>
            <w:tcW w:w="680" w:type="dxa"/>
            <w:vAlign w:val="bottom"/>
            <w:tcBorders>
              <w:left w:val="single" w:sz="8" w:color="003767"/>
              <w:bottom w:val="single" w:sz="8" w:color="003767"/>
            </w:tcBorders>
          </w:tcPr>
          <w:p>
            <w:pPr>
              <w:spacing w:after="0"/>
              <w:rPr>
                <w:sz w:val="2"/>
                <w:szCs w:val="2"/>
                <w:color w:val="auto"/>
              </w:rPr>
            </w:pPr>
          </w:p>
        </w:tc>
        <w:tc>
          <w:tcPr>
            <w:tcW w:w="1980" w:type="dxa"/>
            <w:vAlign w:val="bottom"/>
            <w:tcBorders>
              <w:bottom w:val="single" w:sz="8" w:color="003767"/>
            </w:tcBorders>
          </w:tcPr>
          <w:p>
            <w:pPr>
              <w:spacing w:after="0"/>
              <w:rPr>
                <w:sz w:val="2"/>
                <w:szCs w:val="2"/>
                <w:color w:val="auto"/>
              </w:rPr>
            </w:pPr>
          </w:p>
        </w:tc>
        <w:tc>
          <w:tcPr>
            <w:tcW w:w="760" w:type="dxa"/>
            <w:vAlign w:val="bottom"/>
            <w:tcBorders>
              <w:bottom w:val="single" w:sz="8" w:color="003767"/>
              <w:right w:val="single" w:sz="8" w:color="003767"/>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-1783080</wp:posOffset>
            </wp:positionV>
            <wp:extent cx="889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91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-1783080</wp:posOffset>
            </wp:positionV>
            <wp:extent cx="889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0" w:space="400"/>
            <w:col w:w="3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35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three months ended September 30, 2018, gross originations totaled $317.1 million. This compares to $944.4 million for the three months ended June 30, 2018 and $501.2 million for the three months ended September 30, 2017.</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2018, the Company made new investment commitments of</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$142.1 million in four new portfolio companies and two existing portfolio companies. For this period, the Company had $118.8 million aggregate principal amount in exits and repayments.</w:t>
      </w:r>
    </w:p>
    <w:p>
      <w:pPr>
        <w:spacing w:after="0" w:line="11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For the three months ended September 30, 2017, the Company made new investment commitments of $359.0 million in seven new portfolio companies and five existing portfolio companies. For this period, we had $330.9 million aggregate principal amount in exits and repayments.</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September 30, 2018 and June 30, 2018, the Company had investments in 49 and 48 portfolio companies with an aggregate fair value of $1,981.9 million and $1,955.1 million, respectively. As of September 30, 2018, the average investment size in each portfolio company was $40.4 million based on fair value.</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September 30, 2018, the portfolio based on fair value consisted of 93.6% first-lien debt investments, 3.2% second-lien debt investments, 0.1% mezzanine investments, and 3.1% equity and other investments. As of June 30, 2018, the portfolio based on fair value consisted of 93.8% first-lien debt investments, 3.1% second-lien debt investments, and 3.1% equity and other investments. As</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of September 30, 2018 and June 30, 2018, approximately 96.8% and 96.9% of the portfolio was invested in secured debt, respectively.</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September 30, 2018, 99.8% of debt investments based on fair value in the portfolio bore interest at floating rates (when including investment specific hedges), with 94.2% of these subject to interest rate floors. The Company’s credit facilities also bear interest at floating rates. In connection with the Company’s Convertible Notes and other Notes, which bear interest at fixed rates, the Company entered into fixed-to-floating interest rate swaps in order to align the nature of the interest rates of its liabilities with its investment portfolio.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and June 30, 2018, the weighted average total yield</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of debt and income-producing securities at fair value (which includes interest income and amortization of fees and discounts) was 11.1% and 11.4%, respectively, and the weighted average total yield of debt and income-producing securities at amortized cost (which includes interest income and amortization of fees and discounts) was 11.3% and 11.4%, respectively.</w:t>
      </w:r>
    </w:p>
    <w:p>
      <w:pPr>
        <w:spacing w:after="0" w:line="12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September 30, 2018, 100% of the portfolio at fair value was meeting all payment and covenant requirements, and no investments were on non-accrual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Gross 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216979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$317.1MM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217805</wp:posOffset>
            </wp:positionV>
            <wp:extent cx="216979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Net Fundings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$15.2MM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217805</wp:posOffset>
            </wp:positionV>
            <wp:extent cx="2169795"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54864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Average Investment Size</w:t>
      </w:r>
    </w:p>
    <w:p>
      <w:pPr>
        <w:spacing w:after="0" w:line="14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$40.4MM</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(2.0%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187325</wp:posOffset>
            </wp:positionV>
            <wp:extent cx="216979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35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First Lien Debt Investments (% FV)</w:t>
      </w:r>
    </w:p>
    <w:p>
      <w:pPr>
        <w:spacing w:after="0" w:line="16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217805</wp:posOffset>
            </wp:positionV>
            <wp:extent cx="216979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Secured Debt Investments (% FV)</w:t>
      </w:r>
    </w:p>
    <w:p>
      <w:pPr>
        <w:spacing w:after="0" w:line="16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217805</wp:posOffset>
            </wp:positionV>
            <wp:extent cx="2169795" cy="668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FFFFFF"/>
        </w:rPr>
        <w:t>Weighted Average Portfolio Yields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Arial" w:cs="Arial" w:eastAsia="Arial" w:hAnsi="Arial"/>
                <w:sz w:val="16"/>
                <w:szCs w:val="16"/>
                <w:b w:val="1"/>
                <w:bCs w:val="1"/>
                <w:color w:val="auto"/>
              </w:rPr>
              <w:t>Yield at Fair Value: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11.1%</w:t>
            </w:r>
          </w:p>
        </w:tc>
      </w:tr>
      <w:tr>
        <w:trPr>
          <w:trHeight w:val="324"/>
        </w:trPr>
        <w:tc>
          <w:tcPr>
            <w:tcW w:w="2280" w:type="dxa"/>
            <w:vAlign w:val="bottom"/>
          </w:tcPr>
          <w:p>
            <w:pPr>
              <w:spacing w:after="0"/>
              <w:rPr>
                <w:sz w:val="20"/>
                <w:szCs w:val="20"/>
                <w:color w:val="auto"/>
              </w:rPr>
            </w:pPr>
            <w:r>
              <w:rPr>
                <w:rFonts w:ascii="Arial" w:cs="Arial" w:eastAsia="Arial" w:hAnsi="Arial"/>
                <w:sz w:val="16"/>
                <w:szCs w:val="16"/>
                <w:b w:val="1"/>
                <w:bCs w:val="1"/>
                <w:color w:val="auto"/>
              </w:rPr>
              <w:t>Yield at Amortized Cost: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40" w:space="440"/>
            <w:col w:w="3340"/>
          </w:cols>
          <w:pgMar w:left="240" w:top="1225" w:right="239" w:bottom="1440" w:gutter="0" w:footer="0" w:header="0"/>
        </w:sectPr>
      </w:pPr>
    </w:p>
    <w:bookmarkStart w:id="5" w:name="page6"/>
    <w:bookmarkEnd w:id="5"/>
    <w:p>
      <w:pPr>
        <w:ind w:right="1480"/>
        <w:spacing w:after="0" w:line="274" w:lineRule="auto"/>
        <w:rPr>
          <w:sz w:val="20"/>
          <w:szCs w:val="20"/>
          <w:color w:val="auto"/>
        </w:rPr>
      </w:pPr>
      <w:r>
        <w:rPr>
          <w:rFonts w:ascii="Arial" w:cs="Arial" w:eastAsia="Arial" w:hAnsi="Arial"/>
          <w:sz w:val="21"/>
          <w:szCs w:val="21"/>
          <w:i w:val="1"/>
          <w:i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462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6291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Results of Operations for the Three Months Ended September 30, 2018 Compared to the Three Months Ended September 30, 2017</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the three months ended September 30, 2018 and 2017, investment income totaled $63.0 million and $52.3 million, respectively. The increase in investment income was primarily driven by an increase in the average size of the investment portfolio and an increase in the effective LIBOR on our debt investments.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expenses totaled $30.1 million and $20.7 million for the three months ended September 30, 2018 and 2017, respectively. This increase in net expenses was primarily due to an increase in the average interest rate on the debt outstanding following an increase in LIBOR, higher outstanding debt balances, as well as higher management and incentive fees.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color w:val="auto"/>
        </w:rPr>
        <w:t>As of September 30, 2018, the Company had $11.3 million in cash and cash equivalents, including $6.7 million of restricted cash, total principal value of debt outstanding of $894.8 million, and $482.7 million of undrawn capacity on its revolving credit facility, subject to borrowing base and other limitations. The Company’s weighted average interest rate on debt outstanding was 4.3% and 4.1% for the three months ended September 30, 2018 and June 30, 2018, respectively. Average debt to equity was 0.91x and 0.89x during the three months ended September 30, 2018 and June 30, 2018,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216979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$63.0MM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783590</wp:posOffset>
            </wp:positionV>
            <wp:extent cx="2169795"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Net Expenses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$30.1MM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783590</wp:posOffset>
            </wp:positionV>
            <wp:extent cx="2169795" cy="462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Total Principal Debt Outstanding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$894.8MM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312420</wp:posOffset>
            </wp:positionV>
            <wp:extent cx="2169795" cy="462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Available Liquidity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$482.7MM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303530</wp:posOffset>
            </wp:positionV>
            <wp:extent cx="2169795" cy="668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Debt-to-Equity Ratio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20"/>
                <w:szCs w:val="20"/>
                <w:color w:val="auto"/>
              </w:rPr>
            </w:pPr>
            <w:r>
              <w:rPr>
                <w:rFonts w:ascii="Arial" w:cs="Arial" w:eastAsia="Arial" w:hAnsi="Arial"/>
                <w:sz w:val="16"/>
                <w:szCs w:val="16"/>
                <w:b w:val="1"/>
                <w:bCs w:val="1"/>
                <w:color w:val="auto"/>
                <w:w w:val="93"/>
              </w:rPr>
              <w:t>Q3</w:t>
            </w: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2018 Quarter End:</w:t>
            </w:r>
          </w:p>
        </w:tc>
        <w:tc>
          <w:tcPr>
            <w:tcW w:w="1040" w:type="dxa"/>
            <w:vAlign w:val="bottom"/>
          </w:tcPr>
          <w:p>
            <w:pPr>
              <w:ind w:left="680"/>
              <w:spacing w:after="0"/>
              <w:rPr>
                <w:sz w:val="20"/>
                <w:szCs w:val="20"/>
                <w:color w:val="auto"/>
              </w:rPr>
            </w:pPr>
            <w:r>
              <w:rPr>
                <w:rFonts w:ascii="Arial" w:cs="Arial" w:eastAsia="Arial" w:hAnsi="Arial"/>
                <w:sz w:val="16"/>
                <w:szCs w:val="16"/>
                <w:b w:val="1"/>
                <w:bCs w:val="1"/>
                <w:color w:val="auto"/>
                <w:w w:val="84"/>
              </w:rPr>
              <w:t>0.83x</w:t>
            </w:r>
          </w:p>
        </w:tc>
      </w:tr>
      <w:tr>
        <w:trPr>
          <w:trHeight w:val="473"/>
        </w:trPr>
        <w:tc>
          <w:tcPr>
            <w:tcW w:w="220" w:type="dxa"/>
            <w:vAlign w:val="bottom"/>
          </w:tcPr>
          <w:p>
            <w:pPr>
              <w:spacing w:after="0"/>
              <w:rPr>
                <w:sz w:val="20"/>
                <w:szCs w:val="20"/>
                <w:color w:val="auto"/>
              </w:rPr>
            </w:pPr>
            <w:r>
              <w:rPr>
                <w:rFonts w:ascii="Arial" w:cs="Arial" w:eastAsia="Arial" w:hAnsi="Arial"/>
                <w:sz w:val="16"/>
                <w:szCs w:val="16"/>
                <w:b w:val="1"/>
                <w:bCs w:val="1"/>
                <w:color w:val="auto"/>
                <w:w w:val="93"/>
              </w:rPr>
              <w:t>Q3</w:t>
            </w: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2018 Average</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w:t>
            </w:r>
          </w:p>
        </w:tc>
        <w:tc>
          <w:tcPr>
            <w:tcW w:w="1040" w:type="dxa"/>
            <w:vAlign w:val="bottom"/>
          </w:tcPr>
          <w:p>
            <w:pPr>
              <w:ind w:left="680"/>
              <w:spacing w:after="0"/>
              <w:rPr>
                <w:sz w:val="20"/>
                <w:szCs w:val="20"/>
                <w:color w:val="auto"/>
              </w:rPr>
            </w:pPr>
            <w:r>
              <w:rPr>
                <w:rFonts w:ascii="Arial" w:cs="Arial" w:eastAsia="Arial" w:hAnsi="Arial"/>
                <w:sz w:val="16"/>
                <w:szCs w:val="16"/>
                <w:b w:val="1"/>
                <w:bCs w:val="1"/>
                <w:color w:val="auto"/>
                <w:w w:val="84"/>
              </w:rPr>
              <w:t>0.91x</w:t>
            </w:r>
          </w:p>
        </w:tc>
      </w:tr>
    </w:tbl>
    <w:p>
      <w:pPr>
        <w:spacing w:after="0" w:line="200" w:lineRule="exact"/>
        <w:rPr>
          <w:sz w:val="20"/>
          <w:szCs w:val="20"/>
          <w:color w:val="auto"/>
        </w:rPr>
      </w:pPr>
    </w:p>
    <w:p>
      <w:pPr>
        <w:sectPr>
          <w:pgSz w:w="11900" w:h="16838" w:orient="portrait"/>
          <w:cols w:equalWidth="0" w:num="2">
            <w:col w:w="7620" w:space="460"/>
            <w:col w:w="3340"/>
          </w:cols>
          <w:pgMar w:left="240" w:top="1225" w:right="239" w:bottom="1440" w:gutter="0" w:footer="0" w:header="0"/>
        </w:sectPr>
      </w:pPr>
    </w:p>
    <w:p>
      <w:pPr>
        <w:spacing w:after="0" w:line="165" w:lineRule="exact"/>
        <w:rPr>
          <w:sz w:val="20"/>
          <w:szCs w:val="20"/>
          <w:color w:val="auto"/>
        </w:rPr>
      </w:pPr>
    </w:p>
    <w:p>
      <w:pPr>
        <w:ind w:left="420" w:right="260" w:hanging="412"/>
        <w:spacing w:after="0" w:line="253" w:lineRule="auto"/>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5"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Conference Call and Webcast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6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 conference call to discuss the Company’s financial results will be held live at 8:30 a.m. Eastern Time on November 7, 2018. Please visit TSLX’s webcast link located on the Events &amp; Presentation page of the Investor Resources section of TSLX’s website http://www.tpgspecialtylending.com for a slide presentation that complements the Earnings Conference Call. Please visit the website to test your connection before the webcast.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8989464</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An archived replay will be available from approximately 12:00 p.m. Eastern Time on November 7 through November 14 via a webcast link located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8989464</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Highlights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(Amounts in millions, except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1"/>
              </w:rPr>
              <w:t>September 30, 2018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8"/>
              </w:rPr>
              <w:t>June 30, 2018</w:t>
            </w:r>
          </w:p>
        </w:tc>
        <w:tc>
          <w:tcPr>
            <w:tcW w:w="160" w:type="dxa"/>
            <w:vAlign w:val="bottom"/>
          </w:tcPr>
          <w:p>
            <w:pPr>
              <w:spacing w:after="0"/>
              <w:rPr>
                <w:sz w:val="21"/>
                <w:szCs w:val="21"/>
                <w:color w:val="auto"/>
              </w:rPr>
            </w:pPr>
          </w:p>
        </w:tc>
        <w:tc>
          <w:tcPr>
            <w:tcW w:w="1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September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1,981.9</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1,955.1</w:t>
            </w:r>
          </w:p>
        </w:tc>
        <w:tc>
          <w:tcPr>
            <w:tcW w:w="5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2,007.0</w:t>
            </w:r>
          </w:p>
        </w:tc>
        <w:tc>
          <w:tcPr>
            <w:tcW w:w="3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1,978.5</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1,581.1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3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0.08</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Pro Forma Net Asset Value Per Share</w:t>
            </w:r>
            <w:r>
              <w:rPr>
                <w:rFonts w:ascii="Arial" w:cs="Arial" w:eastAsia="Arial" w:hAnsi="Arial"/>
                <w:sz w:val="15"/>
                <w:szCs w:val="15"/>
                <w:color w:val="auto"/>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3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3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36.3</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89"/>
              </w:rPr>
              <w:t>Net Realized and Unrealized Gains (and Losses) Per Share $</w:t>
            </w:r>
          </w:p>
        </w:tc>
        <w:tc>
          <w:tcPr>
            <w:tcW w:w="1800" w:type="dxa"/>
            <w:vAlign w:val="bottom"/>
          </w:tcPr>
          <w:p>
            <w:pPr>
              <w:jc w:val="right"/>
              <w:spacing w:after="0"/>
              <w:rPr>
                <w:sz w:val="20"/>
                <w:szCs w:val="20"/>
                <w:color w:val="auto"/>
              </w:rPr>
            </w:pPr>
            <w:r>
              <w:rPr>
                <w:rFonts w:ascii="Arial" w:cs="Arial" w:eastAsia="Arial" w:hAnsi="Arial"/>
                <w:sz w:val="18"/>
                <w:szCs w:val="18"/>
                <w:color w:val="auto"/>
              </w:rPr>
              <w:t>0.07</w:t>
            </w:r>
          </w:p>
        </w:tc>
        <w:tc>
          <w:tcPr>
            <w:tcW w:w="3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480"/>
              <w:spacing w:after="0"/>
              <w:rPr>
                <w:sz w:val="20"/>
                <w:szCs w:val="20"/>
                <w:color w:val="auto"/>
              </w:rPr>
            </w:pPr>
            <w:r>
              <w:rPr>
                <w:rFonts w:ascii="Arial" w:cs="Arial" w:eastAsia="Arial" w:hAnsi="Arial"/>
                <w:sz w:val="18"/>
                <w:szCs w:val="18"/>
                <w:color w:val="auto"/>
              </w:rPr>
              <w:t>(0.04)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3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4"/>
              </w:rPr>
              <w:t>Annualized Return on Equity (Net Investment Income)</w:t>
            </w:r>
            <w:r>
              <w:rPr>
                <w:rFonts w:ascii="Arial" w:cs="Arial" w:eastAsia="Arial" w:hAnsi="Arial"/>
                <w:sz w:val="15"/>
                <w:szCs w:val="15"/>
                <w:color w:val="auto"/>
                <w:w w:val="94"/>
              </w:rPr>
              <w:t>(2)</w:t>
            </w:r>
          </w:p>
        </w:tc>
        <w:tc>
          <w:tcPr>
            <w:tcW w:w="160" w:type="dxa"/>
            <w:vAlign w:val="bottom"/>
          </w:tcPr>
          <w:p>
            <w:pPr>
              <w:spacing w:after="0"/>
              <w:rPr>
                <w:sz w:val="19"/>
                <w:szCs w:val="19"/>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tcPr>
          <w:p>
            <w:pPr>
              <w:jc w:val="right"/>
              <w:ind w:right="40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Annualized Return on Equity (Net Income)</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3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 Average Yield of Debt and Income Producing</w:t>
            </w:r>
          </w:p>
        </w:tc>
        <w:tc>
          <w:tcPr>
            <w:tcW w:w="160" w:type="dxa"/>
            <w:vAlign w:val="bottom"/>
            <w:shd w:val="clear" w:color="auto" w:fill="CFF0FC"/>
          </w:tcPr>
          <w:p>
            <w:pPr>
              <w:spacing w:after="0"/>
              <w:rPr>
                <w:sz w:val="18"/>
                <w:szCs w:val="18"/>
                <w:color w:val="auto"/>
              </w:rPr>
            </w:pPr>
          </w:p>
        </w:tc>
        <w:tc>
          <w:tcPr>
            <w:tcW w:w="2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80" w:type="dxa"/>
            <w:vAlign w:val="bottom"/>
            <w:gridSpan w:val="2"/>
            <w:vMerge w:val="restart"/>
            <w:shd w:val="clear" w:color="auto" w:fill="CFF0FC"/>
          </w:tcPr>
          <w:p>
            <w:pPr>
              <w:jc w:val="right"/>
              <w:ind w:right="40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FF0FC"/>
          </w:tcPr>
          <w:p>
            <w:pPr>
              <w:spacing w:after="0"/>
              <w:rPr>
                <w:sz w:val="18"/>
                <w:szCs w:val="18"/>
                <w:color w:val="auto"/>
              </w:rPr>
            </w:pPr>
          </w:p>
        </w:tc>
        <w:tc>
          <w:tcPr>
            <w:tcW w:w="19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Securities at Fair Value</w:t>
            </w:r>
          </w:p>
        </w:tc>
        <w:tc>
          <w:tcPr>
            <w:tcW w:w="160" w:type="dxa"/>
            <w:vAlign w:val="bottom"/>
            <w:shd w:val="clear" w:color="auto" w:fill="CFF0FC"/>
          </w:tcPr>
          <w:p>
            <w:pPr>
              <w:spacing w:after="0"/>
              <w:rPr>
                <w:sz w:val="10"/>
                <w:szCs w:val="10"/>
                <w:color w:val="auto"/>
              </w:rPr>
            </w:pPr>
          </w:p>
        </w:tc>
        <w:tc>
          <w:tcPr>
            <w:tcW w:w="214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38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9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6"/>
              </w:rPr>
              <w:t>Weighted Average Yield of Debt and Income Producing</w:t>
            </w:r>
          </w:p>
        </w:tc>
        <w:tc>
          <w:tcPr>
            <w:tcW w:w="160" w:type="dxa"/>
            <w:vAlign w:val="bottom"/>
          </w:tcPr>
          <w:p>
            <w:pPr>
              <w:spacing w:after="0"/>
              <w:rPr>
                <w:sz w:val="18"/>
                <w:szCs w:val="18"/>
                <w:color w:val="auto"/>
              </w:rPr>
            </w:pPr>
          </w:p>
        </w:tc>
        <w:tc>
          <w:tcPr>
            <w:tcW w:w="2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22"/>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Securities at Amortized Cost</w:t>
            </w:r>
          </w:p>
        </w:tc>
        <w:tc>
          <w:tcPr>
            <w:tcW w:w="16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3"/>
              </w:rPr>
              <w:t>Percentage of Debt Investment Commitments at Floating</w:t>
            </w:r>
          </w:p>
        </w:tc>
        <w:tc>
          <w:tcPr>
            <w:tcW w:w="160" w:type="dxa"/>
            <w:vAlign w:val="bottom"/>
            <w:shd w:val="clear" w:color="auto" w:fill="CFF0FC"/>
          </w:tcPr>
          <w:p>
            <w:pPr>
              <w:spacing w:after="0"/>
              <w:rPr>
                <w:sz w:val="18"/>
                <w:szCs w:val="18"/>
                <w:color w:val="auto"/>
              </w:rPr>
            </w:pPr>
          </w:p>
        </w:tc>
        <w:tc>
          <w:tcPr>
            <w:tcW w:w="2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99.8%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80" w:type="dxa"/>
            <w:vAlign w:val="bottom"/>
            <w:gridSpan w:val="2"/>
            <w:vMerge w:val="restart"/>
            <w:shd w:val="clear" w:color="auto" w:fill="CFF0FC"/>
          </w:tcPr>
          <w:p>
            <w:pPr>
              <w:jc w:val="right"/>
              <w:ind w:right="40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8"/>
                <w:szCs w:val="18"/>
                <w:color w:val="auto"/>
              </w:rPr>
            </w:pPr>
          </w:p>
        </w:tc>
        <w:tc>
          <w:tcPr>
            <w:tcW w:w="19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 xml:space="preserve">Rates </w:t>
            </w:r>
            <w:r>
              <w:rPr>
                <w:rFonts w:ascii="Arial" w:cs="Arial" w:eastAsia="Arial" w:hAnsi="Arial"/>
                <w:sz w:val="15"/>
                <w:szCs w:val="15"/>
                <w:color w:val="auto"/>
              </w:rPr>
              <w:t>(3)</w:t>
            </w:r>
          </w:p>
        </w:tc>
        <w:tc>
          <w:tcPr>
            <w:tcW w:w="160" w:type="dxa"/>
            <w:vAlign w:val="bottom"/>
            <w:shd w:val="clear" w:color="auto" w:fill="CFF0FC"/>
          </w:tcPr>
          <w:p>
            <w:pPr>
              <w:spacing w:after="0"/>
              <w:rPr>
                <w:sz w:val="10"/>
                <w:szCs w:val="10"/>
                <w:color w:val="auto"/>
              </w:rPr>
            </w:pPr>
          </w:p>
        </w:tc>
        <w:tc>
          <w:tcPr>
            <w:tcW w:w="214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38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9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in the applicable period.</w:t>
      </w:r>
    </w:p>
    <w:p>
      <w:pPr>
        <w:ind w:left="820" w:hanging="812"/>
        <w:spacing w:after="0" w:line="221" w:lineRule="auto"/>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w:t>
      </w:r>
    </w:p>
    <w:p>
      <w:pPr>
        <w:ind w:left="820" w:hanging="812"/>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8"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420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Statements and Tables</w:t>
      </w:r>
    </w:p>
    <w:p>
      <w:pPr>
        <w:spacing w:after="0" w:line="270"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TPG Specialty Lending, Inc.</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$1,755,305 and $1,523,844,</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1,804,458</w:t>
            </w:r>
          </w:p>
        </w:tc>
        <w:tc>
          <w:tcPr>
            <w:tcW w:w="1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1,557,803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$39,023 and $0, respectively)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$163,427 and $162,406, respectively)</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investments at fair value (amortized cost of $1,957,755 and $1,686,250, respectively)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1,981,931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1,693,723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$6,669 and $3,150, respectively)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2,007,041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Debt (net of deferred financing costs of $15,675 and $11,770,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877,401</w:t>
            </w:r>
          </w:p>
        </w:tc>
        <w:tc>
          <w:tcPr>
            <w:tcW w:w="18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703,428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933,860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750,954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65,257,331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40"/>
              <w:spacing w:after="0"/>
              <w:rPr>
                <w:sz w:val="20"/>
                <w:szCs w:val="20"/>
                <w:color w:val="auto"/>
              </w:rPr>
            </w:pPr>
            <w:r>
              <w:rPr>
                <w:rFonts w:ascii="Arial" w:cs="Arial" w:eastAsia="Arial" w:hAnsi="Arial"/>
                <w:sz w:val="18"/>
                <w:szCs w:val="18"/>
                <w:color w:val="auto"/>
              </w:rPr>
              <w:t>60,336,281 shares issued, respectively; and 65,168,251 and 60,247,201 shares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989,907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unrealized gains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losses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(7,527)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1,073,181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969,284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2,007,041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5"/>
        </w:trPr>
        <w:tc>
          <w:tcPr>
            <w:tcW w:w="7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08" w:right="2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TPG Specialty Lending,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September 30, 2017</w:t>
            </w:r>
          </w:p>
        </w:tc>
        <w:tc>
          <w:tcPr>
            <w:tcW w:w="100" w:type="dxa"/>
            <w:vAlign w:val="bottom"/>
          </w:tcPr>
          <w:p>
            <w:pPr>
              <w:spacing w:after="0"/>
              <w:rPr>
                <w:sz w:val="14"/>
                <w:szCs w:val="1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September 30, 2018</w:t>
            </w:r>
          </w:p>
        </w:tc>
        <w:tc>
          <w:tcPr>
            <w:tcW w:w="100" w:type="dxa"/>
            <w:vAlign w:val="bottom"/>
          </w:tcPr>
          <w:p>
            <w:pPr>
              <w:spacing w:after="0"/>
              <w:rPr>
                <w:sz w:val="14"/>
                <w:szCs w:val="14"/>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6"/>
              </w:rPr>
              <w:t>September 30, 2017</w:t>
            </w:r>
          </w:p>
        </w:tc>
      </w:tr>
      <w:tr>
        <w:trPr>
          <w:trHeight w:val="156"/>
        </w:trPr>
        <w:tc>
          <w:tcPr>
            <w:tcW w:w="50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6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57,033</w:t>
            </w:r>
          </w:p>
        </w:tc>
        <w:tc>
          <w:tcPr>
            <w:tcW w:w="16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45,354</w:t>
            </w:r>
          </w:p>
        </w:tc>
        <w:tc>
          <w:tcPr>
            <w:tcW w:w="1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163,640</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148,023</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60" w:type="dxa"/>
            <w:vAlign w:val="bottom"/>
          </w:tcPr>
          <w:p>
            <w:pPr>
              <w:spacing w:after="0"/>
              <w:rPr>
                <w:sz w:val="14"/>
                <w:szCs w:val="1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3,502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10,013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7,982</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08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6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58,193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48,856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173,849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156,005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1,493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56"/>
        </w:trPr>
        <w:tc>
          <w:tcPr>
            <w:tcW w:w="508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1,130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3"/>
                <w:szCs w:val="13"/>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5,914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0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11,602</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6,067</w:t>
            </w:r>
          </w:p>
        </w:tc>
        <w:tc>
          <w:tcPr>
            <w:tcW w:w="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08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63,004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52,305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187,173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162,072</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08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Interest</w:t>
            </w:r>
          </w:p>
        </w:tc>
        <w:tc>
          <w:tcPr>
            <w:tcW w:w="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32,237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20,017</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Management fees</w:t>
            </w:r>
          </w:p>
        </w:tc>
        <w:tc>
          <w:tcPr>
            <w:tcW w:w="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7,538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5,995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21,520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18,043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Incentive fees</w:t>
            </w:r>
          </w:p>
        </w:tc>
        <w:tc>
          <w:tcPr>
            <w:tcW w:w="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21,159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19,808</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Professional fees</w:t>
            </w:r>
          </w:p>
        </w:tc>
        <w:tc>
          <w:tcPr>
            <w:tcW w:w="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4,268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3,984</w:t>
            </w:r>
          </w:p>
        </w:tc>
        <w:tc>
          <w:tcPr>
            <w:tcW w:w="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0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30,061</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20,736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85,054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66,422</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080" w:type="dxa"/>
            <w:vAlign w:val="bottom"/>
          </w:tcPr>
          <w:p>
            <w:pPr>
              <w:spacing w:after="0" w:line="155" w:lineRule="exact"/>
              <w:rPr>
                <w:sz w:val="20"/>
                <w:szCs w:val="20"/>
                <w:color w:val="auto"/>
              </w:rPr>
            </w:pPr>
            <w:r>
              <w:rPr>
                <w:rFonts w:ascii="Arial" w:cs="Arial" w:eastAsia="Arial" w:hAnsi="Arial"/>
                <w:sz w:val="14"/>
                <w:szCs w:val="14"/>
                <w:color w:val="auto"/>
              </w:rPr>
              <w:t>Management and incentive fees waived</w:t>
            </w:r>
          </w:p>
        </w:tc>
        <w:tc>
          <w:tcPr>
            <w:tcW w:w="6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(63)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3"/>
                <w:szCs w:val="13"/>
                <w:color w:val="auto"/>
              </w:rPr>
            </w:pPr>
          </w:p>
        </w:tc>
      </w:tr>
      <w:tr>
        <w:trPr>
          <w:trHeight w:val="156"/>
        </w:trPr>
        <w:tc>
          <w:tcPr>
            <w:tcW w:w="508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30,061</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20,736</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84,991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66,422</w:t>
            </w:r>
          </w:p>
        </w:tc>
        <w:tc>
          <w:tcPr>
            <w:tcW w:w="8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08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6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32,943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31,569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102,182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95,650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2,270</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08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6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32,293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30,929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99,782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93,380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15,193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6,831</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(3,791)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(4,680)</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8,617</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6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(1,588)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(10,359)</w:t>
            </w: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(2,002)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(1,682)</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(7,980)</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08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(8,627)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5,694</w:t>
            </w:r>
          </w:p>
        </w:tc>
        <w:tc>
          <w:tcPr>
            <w:tcW w:w="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0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60" w:type="dxa"/>
            <w:vAlign w:val="bottom"/>
          </w:tcPr>
          <w:p>
            <w:pPr>
              <w:spacing w:after="0"/>
              <w:rPr>
                <w:sz w:val="14"/>
                <w:szCs w:val="1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7,008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affiliated investments</w:t>
            </w:r>
          </w:p>
        </w:tc>
        <w:tc>
          <w:tcPr>
            <w:tcW w:w="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508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60" w:type="dxa"/>
            <w:vAlign w:val="bottom"/>
          </w:tcPr>
          <w:p>
            <w:pPr>
              <w:spacing w:after="0"/>
              <w:rPr>
                <w:sz w:val="14"/>
                <w:szCs w:val="1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(9,589)</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(21,776)</w:t>
            </w:r>
          </w:p>
        </w:tc>
        <w:tc>
          <w:tcPr>
            <w:tcW w:w="20" w:type="dxa"/>
            <w:vAlign w:val="bottom"/>
          </w:tcPr>
          <w:p>
            <w:pPr>
              <w:spacing w:after="0"/>
              <w:rPr>
                <w:sz w:val="14"/>
                <w:szCs w:val="14"/>
                <w:color w:val="auto"/>
              </w:rPr>
            </w:pPr>
          </w:p>
        </w:tc>
      </w:tr>
      <w:tr>
        <w:trPr>
          <w:trHeight w:val="162"/>
        </w:trPr>
        <w:tc>
          <w:tcPr>
            <w:tcW w:w="5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transactions</w:t>
            </w:r>
          </w:p>
        </w:tc>
        <w:tc>
          <w:tcPr>
            <w:tcW w:w="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557</w:t>
            </w:r>
          </w:p>
        </w:tc>
        <w:tc>
          <w:tcPr>
            <w:tcW w:w="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08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(6,035)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(14,211)</w:t>
            </w:r>
          </w:p>
        </w:tc>
        <w:tc>
          <w:tcPr>
            <w:tcW w:w="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080" w:type="dxa"/>
            <w:vAlign w:val="bottom"/>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Total Unrealized and Realized Gains (Losses)</w:t>
            </w:r>
          </w:p>
        </w:tc>
        <w:tc>
          <w:tcPr>
            <w:tcW w:w="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5,087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(6,170)</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5,003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(8,517)</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50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37,380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24,759</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104,785</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84,863</w:t>
            </w:r>
          </w:p>
        </w:tc>
        <w:tc>
          <w:tcPr>
            <w:tcW w:w="8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143"/>
        </w:trPr>
        <w:tc>
          <w:tcPr>
            <w:tcW w:w="50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Earnings per common share—basic and diluted</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0.57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0.41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jc w:val="right"/>
              <w:ind w:right="2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1.65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48"/>
              <w:spacing w:after="0" w:line="143"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1.42</w:t>
            </w: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5080" w:type="dxa"/>
            <w:vAlign w:val="bottom"/>
          </w:tcPr>
          <w:p>
            <w:pPr>
              <w:spacing w:after="0" w:line="155" w:lineRule="exact"/>
              <w:rPr>
                <w:sz w:val="20"/>
                <w:szCs w:val="20"/>
                <w:color w:val="auto"/>
              </w:rPr>
            </w:pPr>
            <w:r>
              <w:rPr>
                <w:rFonts w:ascii="Arial" w:cs="Arial" w:eastAsia="Arial" w:hAnsi="Arial"/>
                <w:sz w:val="14"/>
                <w:szCs w:val="14"/>
                <w:color w:val="auto"/>
              </w:rPr>
              <w:t>Weighted average shares of common stock outstanding—basic and diluted</w:t>
            </w: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65,101,482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60,057,567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63,582,506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59,923,323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26"/>
        </w:trPr>
        <w:tc>
          <w:tcPr>
            <w:tcW w:w="5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115"/>
        </w:trPr>
        <w:tc>
          <w:tcPr>
            <w:tcW w:w="5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65" w:right="219" w:bottom="1440" w:gutter="0" w:footer="0" w:header="0"/>
        </w:sectPr>
      </w:pPr>
    </w:p>
    <w:bookmarkStart w:id="10" w:name="page11"/>
    <w:bookmarkEnd w:id="10"/>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The Company’s investment activity for the three months ended September 30, 2018 and 2017 is presented below (information presented herein is at par value unless otherwise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362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3"/>
              </w:rPr>
              <w:t>September 30, 2018</w:t>
            </w:r>
          </w:p>
        </w:tc>
        <w:tc>
          <w:tcPr>
            <w:tcW w:w="4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3"/>
              </w:rPr>
              <w:t>September 30, 2017</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317.1</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142.1</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128.9</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7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95.0%</w:t>
            </w:r>
          </w:p>
        </w:tc>
        <w:tc>
          <w:tcPr>
            <w:tcW w:w="4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5"/>
        </w:trPr>
        <w:tc>
          <w:tcPr>
            <w:tcW w:w="7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68" w:right="21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About TPG Specialty Lending, Inc.</w:t>
      </w:r>
    </w:p>
    <w:p>
      <w:pPr>
        <w:spacing w:after="0" w:line="114"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 xml:space="preserve">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the dedicated special situations and credit platform of TPG, with over $25 billion of assets under management as of June 30, 2018, and the broader TPG platform, a global private investment firm with over $94 billion of assets under management as of June 30, 2018. For more information, visit the Company’s website at </w:t>
      </w:r>
      <w:r>
        <w:rPr>
          <w:rFonts w:ascii="Arial" w:cs="Arial" w:eastAsia="Arial" w:hAnsi="Arial"/>
          <w:sz w:val="19"/>
          <w:szCs w:val="19"/>
          <w:u w:val="single" w:color="auto"/>
          <w:color w:val="auto"/>
        </w:rPr>
        <w:t>www.tpgspecialtylending.com</w:t>
      </w:r>
      <w:r>
        <w:rPr>
          <w:rFonts w:ascii="Arial" w:cs="Arial" w:eastAsia="Arial" w:hAnsi="Arial"/>
          <w:sz w:val="19"/>
          <w:szCs w:val="19"/>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Source: TPG Specialty Lending, Inc.</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Lucy Lu</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212-601-4753</w:t>
      </w:r>
    </w:p>
    <w:p>
      <w:pPr>
        <w:spacing w:after="0"/>
        <w:rPr>
          <w:sz w:val="20"/>
          <w:szCs w:val="20"/>
          <w:color w:val="auto"/>
        </w:rPr>
      </w:pPr>
      <w:r>
        <w:rPr>
          <w:rFonts w:ascii="Arial" w:cs="Arial" w:eastAsia="Arial" w:hAnsi="Arial"/>
          <w:sz w:val="20"/>
          <w:szCs w:val="20"/>
          <w:color w:val="auto"/>
        </w:rPr>
        <w:t>IRTSL@tpg.com</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Luke Barrett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212-601-4752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lbarrett@tpg.com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Abernathy MacGregor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Patrick Clifford</w:t>
      </w:r>
    </w:p>
    <w:p>
      <w:pPr>
        <w:spacing w:after="0"/>
        <w:rPr>
          <w:sz w:val="20"/>
          <w:szCs w:val="20"/>
          <w:color w:val="auto"/>
        </w:rPr>
      </w:pPr>
      <w:r>
        <w:rPr>
          <w:rFonts w:ascii="Arial" w:cs="Arial" w:eastAsia="Arial" w:hAnsi="Arial"/>
          <w:sz w:val="20"/>
          <w:szCs w:val="20"/>
          <w:color w:val="auto"/>
        </w:rPr>
        <w:t>pfc@abmac.com</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8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2019-12-28T18:08:55Z</dcterms:created>
  <dcterms:modified xsi:type="dcterms:W3CDTF">2019-12-28T18:08:55Z</dcterms:modified>
</cp:coreProperties>
</file>