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(Amendment No. ____)*</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TPG Specialty Lending, Inc.</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Common Stock, $0.01 par value</w:t>
      </w:r>
    </w:p>
    <w:p>
      <w:pPr>
        <w:ind w:left="264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87265K102</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March 20, 2014</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1060"/>
        <w:spacing w:after="0"/>
        <w:tabs>
          <w:tab w:leader="none" w:pos="2100" w:val="left"/>
        </w:tabs>
        <w:rPr>
          <w:sz w:val="20"/>
          <w:szCs w:val="20"/>
          <w:color w:val="auto"/>
        </w:rPr>
      </w:pPr>
      <w:r>
        <w:rPr>
          <w:rFonts w:ascii="Courier New" w:cs="Courier New" w:eastAsia="Courier New" w:hAnsi="Courier New"/>
          <w:sz w:val="18"/>
          <w:szCs w:val="18"/>
          <w:color w:val="auto"/>
        </w:rPr>
        <w:t>[ X ]</w:t>
      </w:r>
      <w:r>
        <w:rPr>
          <w:sz w:val="20"/>
          <w:szCs w:val="20"/>
          <w:color w:val="auto"/>
        </w:rPr>
        <w:tab/>
      </w:r>
      <w:r>
        <w:rPr>
          <w:rFonts w:ascii="Courier New" w:cs="Courier New" w:eastAsia="Courier New" w:hAnsi="Courier New"/>
          <w:sz w:val="16"/>
          <w:szCs w:val="16"/>
          <w:color w:val="auto"/>
        </w:rPr>
        <w:t>Rule 13d-1(b)</w:t>
      </w:r>
    </w:p>
    <w:p>
      <w:pPr>
        <w:spacing w:after="0" w:line="201" w:lineRule="exact"/>
        <w:rPr>
          <w:sz w:val="24"/>
          <w:szCs w:val="24"/>
          <w:color w:val="auto"/>
        </w:rPr>
      </w:pPr>
    </w:p>
    <w:p>
      <w:pPr>
        <w:ind w:left="1480" w:hanging="419"/>
        <w:spacing w:after="0"/>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Rule 13d-1(c)</w:t>
      </w:r>
    </w:p>
    <w:p>
      <w:pPr>
        <w:spacing w:after="0" w:line="201" w:lineRule="exact"/>
        <w:rPr>
          <w:sz w:val="24"/>
          <w:szCs w:val="24"/>
          <w:color w:val="auto"/>
        </w:rPr>
      </w:pPr>
    </w:p>
    <w:p>
      <w:pPr>
        <w:ind w:left="1480" w:hanging="419"/>
        <w:spacing w:after="0"/>
        <w:tabs>
          <w:tab w:leader="none" w:pos="14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Rule 13d-1(d)</w:t>
      </w:r>
    </w:p>
    <w:p>
      <w:pPr>
        <w:spacing w:after="0" w:line="200" w:lineRule="exact"/>
        <w:rPr>
          <w:sz w:val="24"/>
          <w:szCs w:val="24"/>
          <w:color w:val="auto"/>
        </w:rPr>
      </w:pPr>
    </w:p>
    <w:p>
      <w:pPr>
        <w:spacing w:after="0" w:line="209"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87265K102</w:t>
      </w:r>
    </w:p>
    <w:p>
      <w:pPr>
        <w:spacing w:after="0" w:line="201" w:lineRule="exact"/>
        <w:rPr>
          <w:sz w:val="24"/>
          <w:szCs w:val="24"/>
          <w:color w:val="auto"/>
        </w:rPr>
      </w:pPr>
    </w:p>
    <w:p>
      <w:pPr>
        <w:ind w:left="2120" w:hanging="427"/>
        <w:spacing w:after="0"/>
        <w:tabs>
          <w:tab w:leader="none" w:pos="21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201" w:lineRule="exact"/>
        <w:rPr>
          <w:sz w:val="24"/>
          <w:szCs w:val="24"/>
          <w:color w:val="auto"/>
        </w:rPr>
      </w:pPr>
    </w:p>
    <w:p>
      <w:pPr>
        <w:jc w:val="right"/>
        <w:ind w:right="619"/>
        <w:spacing w:after="0"/>
        <w:rPr>
          <w:sz w:val="20"/>
          <w:szCs w:val="20"/>
          <w:color w:val="auto"/>
        </w:rPr>
      </w:pPr>
      <w:r>
        <w:rPr>
          <w:rFonts w:ascii="Courier New" w:cs="Courier New" w:eastAsia="Courier New" w:hAnsi="Courier New"/>
          <w:sz w:val="18"/>
          <w:szCs w:val="18"/>
          <w:color w:val="auto"/>
        </w:rPr>
        <w:t>Division of Investment, Department of Treasury, State of New Jersey</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w:t>
            </w:r>
          </w:p>
        </w:tc>
        <w:tc>
          <w:tcPr>
            <w:tcW w:w="5280" w:type="dxa"/>
            <w:vAlign w:val="bottom"/>
            <w:gridSpan w:val="5"/>
          </w:tcPr>
          <w:p>
            <w:pPr>
              <w:ind w:left="120"/>
              <w:spacing w:after="0"/>
              <w:rPr>
                <w:sz w:val="20"/>
                <w:szCs w:val="20"/>
                <w:color w:val="auto"/>
              </w:rPr>
            </w:pPr>
            <w:r>
              <w:rPr>
                <w:rFonts w:ascii="Courier New" w:cs="Courier New" w:eastAsia="Courier New" w:hAnsi="Courier New"/>
                <w:sz w:val="18"/>
                <w:szCs w:val="18"/>
                <w:color w:val="auto"/>
                <w:w w:val="97"/>
              </w:rPr>
              <w:t>Check the Appropriate Box if a Member of a Group:</w:t>
            </w:r>
          </w:p>
        </w:tc>
      </w:tr>
      <w:tr>
        <w:trPr>
          <w:trHeight w:val="203"/>
        </w:trPr>
        <w:tc>
          <w:tcPr>
            <w:tcW w:w="1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(See</w:t>
            </w:r>
          </w:p>
        </w:tc>
        <w:tc>
          <w:tcPr>
            <w:tcW w:w="1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Instructions)</w:t>
            </w:r>
          </w:p>
        </w:tc>
        <w:tc>
          <w:tcPr>
            <w:tcW w:w="8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405"/>
        </w:trPr>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Courier New" w:cs="Courier New" w:eastAsia="Courier New" w:hAnsi="Courier New"/>
                <w:sz w:val="18"/>
                <w:szCs w:val="18"/>
                <w:color w:val="auto"/>
              </w:rPr>
              <w:t>(a)</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05"/>
        </w:trPr>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ind w:left="120"/>
              <w:spacing w:after="0"/>
              <w:rPr>
                <w:sz w:val="20"/>
                <w:szCs w:val="20"/>
                <w:color w:val="auto"/>
              </w:rPr>
            </w:pPr>
            <w:r>
              <w:rPr>
                <w:rFonts w:ascii="Courier New" w:cs="Courier New" w:eastAsia="Courier New" w:hAnsi="Courier New"/>
                <w:sz w:val="18"/>
                <w:szCs w:val="18"/>
                <w:color w:val="auto"/>
              </w:rPr>
              <w:t>(b)</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608"/>
        </w:trPr>
        <w:tc>
          <w:tcPr>
            <w:tcW w:w="154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w:t>
            </w:r>
          </w:p>
        </w:tc>
        <w:tc>
          <w:tcPr>
            <w:tcW w:w="232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608"/>
        </w:trPr>
        <w:tc>
          <w:tcPr>
            <w:tcW w:w="1540" w:type="dxa"/>
            <w:vAlign w:val="bottom"/>
          </w:tcPr>
          <w:p>
            <w:pPr>
              <w:spacing w:after="0"/>
              <w:rPr>
                <w:sz w:val="24"/>
                <w:szCs w:val="24"/>
                <w:color w:val="auto"/>
              </w:rPr>
            </w:pP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w:t>
            </w:r>
          </w:p>
        </w:tc>
        <w:tc>
          <w:tcPr>
            <w:tcW w:w="5280" w:type="dxa"/>
            <w:vAlign w:val="bottom"/>
            <w:gridSpan w:val="5"/>
          </w:tcPr>
          <w:p>
            <w:pPr>
              <w:ind w:left="120"/>
              <w:spacing w:after="0"/>
              <w:rPr>
                <w:sz w:val="20"/>
                <w:szCs w:val="20"/>
                <w:color w:val="auto"/>
              </w:rPr>
            </w:pPr>
            <w:r>
              <w:rPr>
                <w:rFonts w:ascii="Courier New" w:cs="Courier New" w:eastAsia="Courier New" w:hAnsi="Courier New"/>
                <w:sz w:val="18"/>
                <w:szCs w:val="18"/>
                <w:color w:val="auto"/>
              </w:rPr>
              <w:t>Citizenship or Place of Organization of</w:t>
            </w:r>
          </w:p>
        </w:tc>
      </w:tr>
      <w:tr>
        <w:trPr>
          <w:trHeight w:val="203"/>
        </w:trPr>
        <w:tc>
          <w:tcPr>
            <w:tcW w:w="1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each</w:t>
            </w:r>
          </w:p>
        </w:tc>
        <w:tc>
          <w:tcPr>
            <w:tcW w:w="25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6"/>
              </w:rPr>
              <w:t>Reporting Person: U.S.A.</w:t>
            </w:r>
          </w:p>
        </w:tc>
        <w:tc>
          <w:tcPr>
            <w:tcW w:w="2120" w:type="dxa"/>
            <w:vAlign w:val="bottom"/>
          </w:tcPr>
          <w:p>
            <w:pPr>
              <w:spacing w:after="0"/>
              <w:rPr>
                <w:sz w:val="17"/>
                <w:szCs w:val="17"/>
                <w:color w:val="auto"/>
              </w:rPr>
            </w:pP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580" w:type="dxa"/>
            <w:vAlign w:val="bottom"/>
          </w:tcPr>
          <w:p>
            <w:pPr>
              <w:ind w:left="120"/>
              <w:spacing w:after="0"/>
              <w:rPr>
                <w:sz w:val="20"/>
                <w:szCs w:val="20"/>
                <w:color w:val="auto"/>
              </w:rPr>
            </w:pPr>
            <w:r>
              <w:rPr>
                <w:rFonts w:ascii="Courier New" w:cs="Courier New" w:eastAsia="Courier New" w:hAnsi="Courier New"/>
                <w:sz w:val="18"/>
                <w:szCs w:val="18"/>
                <w:color w:val="auto"/>
              </w:rPr>
              <w:t>Sole</w:t>
            </w:r>
          </w:p>
        </w:tc>
        <w:tc>
          <w:tcPr>
            <w:tcW w:w="17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296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7,102,217</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32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8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0</w:t>
            </w:r>
          </w:p>
        </w:tc>
        <w:tc>
          <w:tcPr>
            <w:tcW w:w="212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4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w:t>
            </w:r>
          </w:p>
        </w:tc>
        <w:tc>
          <w:tcPr>
            <w:tcW w:w="25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Dispositive Power:</w:t>
            </w:r>
          </w:p>
        </w:tc>
        <w:tc>
          <w:tcPr>
            <w:tcW w:w="212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w w:val="96"/>
              </w:rPr>
              <w:t>7,102,217</w:t>
            </w:r>
          </w:p>
        </w:tc>
      </w:tr>
    </w:tbl>
    <w:p>
      <w:pPr>
        <w:sectPr>
          <w:pgSz w:w="11900" w:h="16855" w:orient="portrait"/>
          <w:cols w:equalWidth="0" w:num="1">
            <w:col w:w="10219"/>
          </w:cols>
          <w:pgMar w:left="240" w:top="244" w:right="1440" w:bottom="0" w:gutter="0" w:footer="0" w:header="0"/>
        </w:sectPr>
      </w:pPr>
    </w:p>
    <w:bookmarkStart w:id="1" w:name="page2"/>
    <w:bookmarkEnd w:id="1"/>
    <w:p>
      <w:pPr>
        <w:spacing w:after="0" w:line="1" w:lineRule="exact"/>
        <w:rPr>
          <w:sz w:val="20"/>
          <w:szCs w:val="20"/>
          <w:color w:val="auto"/>
        </w:rPr>
      </w:pPr>
    </w:p>
    <w:tbl>
      <w:tblPr>
        <w:tblLayout w:type="fixed"/>
        <w:tblInd w:w="1700" w:type="dxa"/>
        <w:tblCellMar>
          <w:top w:w="0" w:type="dxa"/>
          <w:left w:w="0" w:type="dxa"/>
          <w:bottom w:w="0" w:type="dxa"/>
          <w:right w:w="0" w:type="dxa"/>
        </w:tblCellMar>
      </w:tblPr>
      <w:tr>
        <w:trPr>
          <w:trHeight w:val="204"/>
        </w:trPr>
        <w:tc>
          <w:tcPr>
            <w:tcW w:w="3620" w:type="dxa"/>
            <w:vAlign w:val="bottom"/>
          </w:tcPr>
          <w:p>
            <w:pPr>
              <w:spacing w:after="0"/>
              <w:rPr>
                <w:sz w:val="20"/>
                <w:szCs w:val="20"/>
                <w:color w:val="auto"/>
              </w:rPr>
            </w:pPr>
            <w:r>
              <w:rPr>
                <w:rFonts w:ascii="Courier New" w:cs="Courier New" w:eastAsia="Courier New" w:hAnsi="Courier New"/>
                <w:sz w:val="18"/>
                <w:szCs w:val="18"/>
                <w:color w:val="auto"/>
              </w:rPr>
              <w:t>8.  Shared Dispositive Power:</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left="2120" w:right="3579" w:hanging="427"/>
        <w:spacing w:after="0" w:line="235" w:lineRule="auto"/>
        <w:tabs>
          <w:tab w:leader="none" w:pos="21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7,102,217</w:t>
      </w:r>
    </w:p>
    <w:p>
      <w:pPr>
        <w:spacing w:after="0" w:line="208" w:lineRule="exact"/>
        <w:rPr>
          <w:rFonts w:ascii="Courier New" w:cs="Courier New" w:eastAsia="Courier New" w:hAnsi="Courier New"/>
          <w:sz w:val="18"/>
          <w:szCs w:val="18"/>
          <w:color w:val="auto"/>
        </w:rPr>
      </w:pPr>
    </w:p>
    <w:p>
      <w:pPr>
        <w:ind w:left="2120" w:right="2939" w:hanging="532"/>
        <w:spacing w:after="0" w:line="235" w:lineRule="auto"/>
        <w:tabs>
          <w:tab w:leader="none" w:pos="21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8" w:lineRule="exact"/>
        <w:rPr>
          <w:rFonts w:ascii="Courier New" w:cs="Courier New" w:eastAsia="Courier New" w:hAnsi="Courier New"/>
          <w:sz w:val="18"/>
          <w:szCs w:val="18"/>
          <w:color w:val="auto"/>
        </w:rPr>
      </w:pPr>
    </w:p>
    <w:p>
      <w:pPr>
        <w:ind w:left="2120" w:right="2839" w:hanging="532"/>
        <w:spacing w:after="0" w:line="470" w:lineRule="auto"/>
        <w:tabs>
          <w:tab w:leader="none" w:pos="21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13.69%</w:t>
      </w:r>
    </w:p>
    <w:p>
      <w:pPr>
        <w:spacing w:after="0" w:line="6" w:lineRule="exact"/>
        <w:rPr>
          <w:rFonts w:ascii="Courier New" w:cs="Courier New" w:eastAsia="Courier New" w:hAnsi="Courier New"/>
          <w:sz w:val="18"/>
          <w:szCs w:val="18"/>
          <w:color w:val="auto"/>
        </w:rPr>
      </w:pPr>
    </w:p>
    <w:p>
      <w:pPr>
        <w:ind w:left="2120" w:hanging="532"/>
        <w:spacing w:after="0"/>
        <w:tabs>
          <w:tab w:leader="none" w:pos="21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2120" w:hanging="1059"/>
        <w:spacing w:after="0"/>
        <w:tabs>
          <w:tab w:leader="none" w:pos="21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1"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TPG Specialty Lending, Inc.</w:t>
      </w:r>
    </w:p>
    <w:p>
      <w:pPr>
        <w:spacing w:after="0" w:line="201" w:lineRule="exact"/>
        <w:rPr>
          <w:rFonts w:ascii="Courier New" w:cs="Courier New" w:eastAsia="Courier New" w:hAnsi="Courier New"/>
          <w:sz w:val="18"/>
          <w:szCs w:val="18"/>
          <w:color w:val="auto"/>
        </w:rPr>
      </w:pPr>
    </w:p>
    <w:p>
      <w:pPr>
        <w:ind w:left="2120" w:hanging="1059"/>
        <w:spacing w:after="0"/>
        <w:tabs>
          <w:tab w:leader="none" w:pos="21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6" w:lineRule="exact"/>
        <w:rPr>
          <w:rFonts w:ascii="Courier New" w:cs="Courier New" w:eastAsia="Courier New" w:hAnsi="Courier New"/>
          <w:sz w:val="18"/>
          <w:szCs w:val="18"/>
          <w:color w:val="auto"/>
        </w:rPr>
      </w:pPr>
    </w:p>
    <w:p>
      <w:pPr>
        <w:ind w:left="2120" w:right="6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301 Commerce Street Suite 3300</w:t>
      </w:r>
    </w:p>
    <w:p>
      <w:pPr>
        <w:spacing w:after="0" w:line="1" w:lineRule="exact"/>
        <w:rPr>
          <w:rFonts w:ascii="Courier New" w:cs="Courier New" w:eastAsia="Courier New" w:hAnsi="Courier New"/>
          <w:sz w:val="18"/>
          <w:szCs w:val="18"/>
          <w:color w:val="auto"/>
        </w:rPr>
      </w:pP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Fort Worth, Texas 76102</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USA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2120" w:hanging="1059"/>
        <w:spacing w:after="0"/>
        <w:tabs>
          <w:tab w:leader="none" w:pos="21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6" w:lineRule="exact"/>
        <w:rPr>
          <w:rFonts w:ascii="Courier New" w:cs="Courier New" w:eastAsia="Courier New" w:hAnsi="Courier New"/>
          <w:sz w:val="18"/>
          <w:szCs w:val="18"/>
          <w:color w:val="auto"/>
        </w:rPr>
      </w:pPr>
    </w:p>
    <w:p>
      <w:pPr>
        <w:ind w:left="212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Division of Investment, Department of Treasury, State of New Jersey</w:t>
      </w:r>
    </w:p>
    <w:p>
      <w:pPr>
        <w:spacing w:after="0" w:line="202" w:lineRule="exact"/>
        <w:rPr>
          <w:rFonts w:ascii="Courier New" w:cs="Courier New" w:eastAsia="Courier New" w:hAnsi="Courier New"/>
          <w:sz w:val="18"/>
          <w:szCs w:val="18"/>
          <w:color w:val="auto"/>
        </w:rPr>
      </w:pPr>
    </w:p>
    <w:p>
      <w:pPr>
        <w:ind w:left="2120" w:hanging="1059"/>
        <w:spacing w:after="0"/>
        <w:tabs>
          <w:tab w:leader="none" w:pos="21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120"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50 West State Street, 9th Floor PO BOX 290</w:t>
      </w:r>
    </w:p>
    <w:p>
      <w:pPr>
        <w:spacing w:after="0" w:line="1" w:lineRule="exact"/>
        <w:rPr>
          <w:rFonts w:ascii="Courier New" w:cs="Courier New" w:eastAsia="Courier New" w:hAnsi="Courier New"/>
          <w:sz w:val="18"/>
          <w:szCs w:val="18"/>
          <w:color w:val="auto"/>
        </w:rPr>
      </w:pP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Trenton, NJ 08625-0290</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120" w:right="4199" w:hanging="1059"/>
        <w:spacing w:after="0" w:line="470" w:lineRule="auto"/>
        <w:tabs>
          <w:tab w:leader="none" w:pos="21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of each Reporting Person: U.S.A.</w:t>
      </w:r>
    </w:p>
    <w:p>
      <w:pPr>
        <w:spacing w:after="0" w:line="214" w:lineRule="exact"/>
        <w:rPr>
          <w:rFonts w:ascii="Courier New" w:cs="Courier New" w:eastAsia="Courier New" w:hAnsi="Courier New"/>
          <w:sz w:val="18"/>
          <w:szCs w:val="18"/>
          <w:color w:val="auto"/>
        </w:rPr>
      </w:pPr>
    </w:p>
    <w:p>
      <w:pPr>
        <w:ind w:left="2120" w:right="5059" w:hanging="1059"/>
        <w:spacing w:after="0" w:line="470" w:lineRule="auto"/>
        <w:tabs>
          <w:tab w:leader="none" w:pos="21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8" w:lineRule="exact"/>
        <w:rPr>
          <w:rFonts w:ascii="Courier New" w:cs="Courier New" w:eastAsia="Courier New" w:hAnsi="Courier New"/>
          <w:sz w:val="18"/>
          <w:szCs w:val="18"/>
          <w:color w:val="auto"/>
        </w:rPr>
      </w:pPr>
    </w:p>
    <w:p>
      <w:pPr>
        <w:ind w:left="2120" w:hanging="1059"/>
        <w:spacing w:after="0"/>
        <w:tabs>
          <w:tab w:leader="none" w:pos="21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87265K102</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 240.13d-1(b) or</w:t>
      </w:r>
    </w:p>
    <w:p>
      <w:pPr>
        <w:ind w:left="106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2120" w:right="2739" w:hanging="1059"/>
        <w:spacing w:after="0" w:line="235" w:lineRule="auto"/>
        <w:tabs>
          <w:tab w:leader="none" w:pos="21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Broker or dealer registered under section 15 of the (15 U.S.C. 78o).</w:t>
      </w:r>
    </w:p>
    <w:p>
      <w:pPr>
        <w:spacing w:after="0" w:line="208" w:lineRule="exact"/>
        <w:rPr>
          <w:rFonts w:ascii="Courier New" w:cs="Courier New" w:eastAsia="Courier New" w:hAnsi="Courier New"/>
          <w:sz w:val="18"/>
          <w:szCs w:val="18"/>
          <w:color w:val="auto"/>
        </w:rPr>
      </w:pPr>
    </w:p>
    <w:p>
      <w:pPr>
        <w:ind w:left="2120" w:right="3359" w:hanging="1059"/>
        <w:spacing w:after="0" w:line="235" w:lineRule="auto"/>
        <w:tabs>
          <w:tab w:leader="none" w:pos="21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Bank as defined in section 3(a)(6) of the Act (15 U.S.C. 78c).</w:t>
      </w:r>
    </w:p>
    <w:p>
      <w:pPr>
        <w:spacing w:after="0" w:line="202" w:lineRule="exact"/>
        <w:rPr>
          <w:rFonts w:ascii="Courier New" w:cs="Courier New" w:eastAsia="Courier New" w:hAnsi="Courier New"/>
          <w:sz w:val="18"/>
          <w:szCs w:val="18"/>
          <w:color w:val="auto"/>
        </w:rPr>
      </w:pPr>
    </w:p>
    <w:p>
      <w:pPr>
        <w:ind w:left="2120" w:hanging="1059"/>
        <w:spacing w:after="0"/>
        <w:tabs>
          <w:tab w:leader="none" w:pos="21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company as defined in section 3(a)(19)</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(15 U.S.C. 78c).</w:t>
      </w:r>
    </w:p>
    <w:p>
      <w:pPr>
        <w:spacing w:after="0" w:line="207" w:lineRule="exact"/>
        <w:rPr>
          <w:rFonts w:ascii="Courier New" w:cs="Courier New" w:eastAsia="Courier New" w:hAnsi="Courier New"/>
          <w:sz w:val="18"/>
          <w:szCs w:val="18"/>
          <w:color w:val="auto"/>
        </w:rPr>
      </w:pPr>
    </w:p>
    <w:p>
      <w:pPr>
        <w:ind w:left="2120" w:right="2619" w:hanging="1059"/>
        <w:spacing w:after="0" w:line="290" w:lineRule="auto"/>
        <w:tabs>
          <w:tab w:leader="none" w:pos="21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company registered under section 8 of the Investment Company Act of 1940 (15 U.S.C. 80a-8).</w:t>
      </w:r>
    </w:p>
    <w:p>
      <w:pPr>
        <w:spacing w:after="0" w:line="169" w:lineRule="exact"/>
        <w:rPr>
          <w:rFonts w:ascii="Courier New" w:cs="Courier New" w:eastAsia="Courier New" w:hAnsi="Courier New"/>
          <w:sz w:val="16"/>
          <w:szCs w:val="16"/>
          <w:color w:val="auto"/>
        </w:rPr>
      </w:pPr>
    </w:p>
    <w:p>
      <w:pPr>
        <w:ind w:left="2120" w:right="3899" w:hanging="1059"/>
        <w:spacing w:after="0" w:line="235" w:lineRule="auto"/>
        <w:tabs>
          <w:tab w:leader="none" w:pos="21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investment adviser in accordance with Sec. 240.13d-1 (b)(1)(ii)(E).</w:t>
      </w:r>
    </w:p>
    <w:p>
      <w:pPr>
        <w:spacing w:after="0" w:line="202" w:lineRule="exact"/>
        <w:rPr>
          <w:rFonts w:ascii="Courier New" w:cs="Courier New" w:eastAsia="Courier New" w:hAnsi="Courier New"/>
          <w:sz w:val="18"/>
          <w:szCs w:val="18"/>
          <w:color w:val="auto"/>
        </w:rPr>
      </w:pPr>
    </w:p>
    <w:p>
      <w:pPr>
        <w:ind w:left="1700" w:hanging="638"/>
        <w:spacing w:after="0"/>
        <w:tabs>
          <w:tab w:leader="none" w:pos="17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employee benefit plan or endowment fund in</w:t>
      </w:r>
    </w:p>
    <w:p>
      <w:pPr>
        <w:sectPr>
          <w:pgSz w:w="11900" w:h="16838" w:orient="portrait"/>
          <w:cols w:equalWidth="0" w:num="1">
            <w:col w:w="10219"/>
          </w:cols>
          <w:pgMar w:left="240" w:top="339" w:right="1440" w:bottom="0" w:gutter="0" w:footer="0" w:header="0"/>
        </w:sectPr>
      </w:pPr>
    </w:p>
    <w:bookmarkStart w:id="2" w:name="page3"/>
    <w:bookmarkEnd w:id="2"/>
    <w:p>
      <w:pPr>
        <w:ind w:left="2120"/>
        <w:spacing w:after="0"/>
        <w:rPr>
          <w:sz w:val="20"/>
          <w:szCs w:val="20"/>
          <w:color w:val="auto"/>
        </w:rPr>
      </w:pPr>
      <w:r>
        <w:rPr>
          <w:rFonts w:ascii="Courier New" w:cs="Courier New" w:eastAsia="Courier New" w:hAnsi="Courier New"/>
          <w:sz w:val="18"/>
          <w:szCs w:val="18"/>
          <w:color w:val="auto"/>
        </w:rPr>
        <w:t>accordance with Sec. 140.13d-1(b)(1)(ii)(F).</w:t>
      </w:r>
    </w:p>
    <w:p>
      <w:pPr>
        <w:spacing w:after="0" w:line="207" w:lineRule="exact"/>
        <w:rPr>
          <w:sz w:val="20"/>
          <w:szCs w:val="20"/>
          <w:color w:val="auto"/>
        </w:rPr>
      </w:pPr>
    </w:p>
    <w:p>
      <w:pPr>
        <w:ind w:left="2120" w:right="3359" w:hanging="1058"/>
        <w:spacing w:after="0" w:line="290" w:lineRule="auto"/>
        <w:tabs>
          <w:tab w:leader="none" w:pos="21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parent holding company or control person in accordance with Sec. 240.13d-1(b)(1)(ii)(G).</w:t>
      </w:r>
    </w:p>
    <w:p>
      <w:pPr>
        <w:spacing w:after="0" w:line="169" w:lineRule="exact"/>
        <w:rPr>
          <w:rFonts w:ascii="Courier New" w:cs="Courier New" w:eastAsia="Courier New" w:hAnsi="Courier New"/>
          <w:sz w:val="16"/>
          <w:szCs w:val="16"/>
          <w:color w:val="auto"/>
        </w:rPr>
      </w:pPr>
    </w:p>
    <w:p>
      <w:pPr>
        <w:ind w:left="2120" w:right="2619" w:hanging="1058"/>
        <w:spacing w:after="0" w:line="290" w:lineRule="auto"/>
        <w:tabs>
          <w:tab w:leader="none" w:pos="21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savings associations as defined in Section 3(b) of the Federal Deposit Insurance Act (12 U.S.C. 1813).</w:t>
      </w:r>
    </w:p>
    <w:p>
      <w:pPr>
        <w:spacing w:after="0" w:line="169" w:lineRule="exact"/>
        <w:rPr>
          <w:rFonts w:ascii="Courier New" w:cs="Courier New" w:eastAsia="Courier New" w:hAnsi="Courier New"/>
          <w:sz w:val="16"/>
          <w:szCs w:val="16"/>
          <w:color w:val="auto"/>
        </w:rPr>
      </w:pPr>
    </w:p>
    <w:p>
      <w:pPr>
        <w:ind w:left="2120" w:right="2519" w:hanging="1058"/>
        <w:spacing w:after="0" w:line="279" w:lineRule="auto"/>
        <w:tabs>
          <w:tab w:leader="none" w:pos="21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church plan that is excluded from the definition of an investment company under section 3(c)(14) of the Investment Company Act of 1940 (15 U.S.C. 80a-3).</w:t>
      </w:r>
    </w:p>
    <w:p>
      <w:pPr>
        <w:spacing w:after="0" w:line="178" w:lineRule="exact"/>
        <w:rPr>
          <w:sz w:val="20"/>
          <w:szCs w:val="20"/>
          <w:color w:val="auto"/>
        </w:rPr>
      </w:pPr>
    </w:p>
    <w:p>
      <w:pPr>
        <w:ind w:left="2120" w:right="3259" w:hanging="1058"/>
        <w:spacing w:after="0" w:line="235" w:lineRule="auto"/>
        <w:tabs>
          <w:tab w:leader="none" w:pos="21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non-U.S. institution in accordance with Rule 240.13d-1(b)(1)(ii)(J).</w:t>
      </w:r>
    </w:p>
    <w:p>
      <w:pPr>
        <w:spacing w:after="0" w:line="203" w:lineRule="exact"/>
        <w:rPr>
          <w:sz w:val="20"/>
          <w:szCs w:val="20"/>
          <w:color w:val="auto"/>
        </w:rPr>
      </w:pPr>
    </w:p>
    <w:p>
      <w:pPr>
        <w:ind w:left="2120" w:hanging="1058"/>
        <w:spacing w:after="0"/>
        <w:tabs>
          <w:tab w:leader="none" w:pos="21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Group, in accordance with Sec. 240.13d-1(b)1(ii)(J).</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960" w:right="27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1800" w:hanging="739"/>
        <w:spacing w:after="0"/>
        <w:tabs>
          <w:tab w:leader="none" w:pos="18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7,102,217</w:t>
      </w:r>
    </w:p>
    <w:p>
      <w:pPr>
        <w:spacing w:after="0" w:line="201" w:lineRule="exact"/>
        <w:rPr>
          <w:sz w:val="20"/>
          <w:szCs w:val="20"/>
          <w:color w:val="auto"/>
        </w:rPr>
      </w:pPr>
    </w:p>
    <w:p>
      <w:pPr>
        <w:ind w:left="1060"/>
        <w:spacing w:after="0"/>
        <w:tabs>
          <w:tab w:leader="none" w:pos="1780" w:val="left"/>
          <w:tab w:leader="none" w:pos="472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13.69%</w:t>
      </w:r>
    </w:p>
    <w:p>
      <w:pPr>
        <w:spacing w:after="0" w:line="201" w:lineRule="exact"/>
        <w:rPr>
          <w:sz w:val="20"/>
          <w:szCs w:val="20"/>
          <w:color w:val="auto"/>
        </w:rPr>
      </w:pPr>
    </w:p>
    <w:p>
      <w:pPr>
        <w:ind w:left="1800" w:hanging="739"/>
        <w:spacing w:after="0"/>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2540" w:hanging="846"/>
        <w:spacing w:after="0"/>
        <w:tabs>
          <w:tab w:leader="none" w:pos="25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7,102,217</w:t>
      </w:r>
    </w:p>
    <w:p>
      <w:pPr>
        <w:spacing w:after="0" w:line="201" w:lineRule="exact"/>
        <w:rPr>
          <w:rFonts w:ascii="Courier New" w:cs="Courier New" w:eastAsia="Courier New" w:hAnsi="Courier New"/>
          <w:sz w:val="18"/>
          <w:szCs w:val="18"/>
          <w:color w:val="auto"/>
        </w:rPr>
      </w:pPr>
    </w:p>
    <w:p>
      <w:pPr>
        <w:ind w:left="2540" w:hanging="846"/>
        <w:spacing w:after="0"/>
        <w:tabs>
          <w:tab w:leader="none" w:pos="25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6" w:lineRule="exact"/>
        <w:rPr>
          <w:rFonts w:ascii="Courier New" w:cs="Courier New" w:eastAsia="Courier New" w:hAnsi="Courier New"/>
          <w:sz w:val="18"/>
          <w:szCs w:val="18"/>
          <w:color w:val="auto"/>
        </w:rPr>
      </w:pPr>
    </w:p>
    <w:p>
      <w:pPr>
        <w:ind w:left="2540" w:hanging="846"/>
        <w:spacing w:after="0"/>
        <w:tabs>
          <w:tab w:leader="none" w:pos="254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7,102,217</w:t>
      </w:r>
    </w:p>
    <w:p>
      <w:pPr>
        <w:spacing w:after="0" w:line="218" w:lineRule="exact"/>
        <w:rPr>
          <w:rFonts w:ascii="Courier New" w:cs="Courier New" w:eastAsia="Courier New" w:hAnsi="Courier New"/>
          <w:sz w:val="16"/>
          <w:szCs w:val="16"/>
          <w:color w:val="auto"/>
        </w:rPr>
      </w:pPr>
    </w:p>
    <w:p>
      <w:pPr>
        <w:ind w:left="2540" w:hanging="846"/>
        <w:spacing w:after="0"/>
        <w:tabs>
          <w:tab w:leader="none" w:pos="25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Instruction. For computations regarding securities which represent a right to acquire an underlying security see Sec. 204.13d-3(d)(1).</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 of Five Percent or Less of a Class</w:t>
      </w:r>
    </w:p>
    <w:p>
      <w:pPr>
        <w:spacing w:after="0" w:line="200" w:lineRule="exact"/>
        <w:rPr>
          <w:sz w:val="20"/>
          <w:szCs w:val="20"/>
          <w:color w:val="auto"/>
        </w:rPr>
      </w:pPr>
    </w:p>
    <w:p>
      <w:pPr>
        <w:sectPr>
          <w:pgSz w:w="11900" w:h="16838" w:orient="portrait"/>
          <w:cols w:equalWidth="0" w:num="2">
            <w:col w:w="740" w:space="320"/>
            <w:col w:w="9159"/>
          </w:cols>
          <w:pgMar w:left="240" w:top="136" w:right="1440" w:bottom="0" w:gutter="0" w:footer="0" w:header="0"/>
          <w:type w:val="continuous"/>
        </w:sectPr>
      </w:pPr>
    </w:p>
    <w:p>
      <w:pPr>
        <w:spacing w:after="0" w:line="24" w:lineRule="exact"/>
        <w:rPr>
          <w:sz w:val="20"/>
          <w:szCs w:val="20"/>
          <w:color w:val="auto"/>
        </w:rPr>
      </w:pPr>
    </w:p>
    <w:p>
      <w:pPr>
        <w:ind w:left="960" w:right="2739"/>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0219"/>
          </w:cols>
          <w:pgMar w:left="240" w:top="136" w:right="1440" w:bottom="0" w:gutter="0" w:footer="0" w:header="0"/>
          <w:type w:val="continuous"/>
        </w:sectPr>
      </w:pP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Instruction:</w:t>
      </w:r>
      <w:r>
        <w:rPr>
          <w:sz w:val="20"/>
          <w:szCs w:val="20"/>
          <w:color w:val="auto"/>
        </w:rPr>
        <w:tab/>
      </w:r>
      <w:r>
        <w:rPr>
          <w:rFonts w:ascii="Courier New" w:cs="Courier New" w:eastAsia="Courier New" w:hAnsi="Courier New"/>
          <w:sz w:val="16"/>
          <w:szCs w:val="16"/>
          <w:color w:val="auto"/>
        </w:rPr>
        <w:t>Dissolution of a group requires a response to this item.</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060" w:right="2199" w:hanging="1053"/>
        <w:spacing w:after="0" w:line="290"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860" w:right="167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w:t>
      </w:r>
    </w:p>
    <w:p>
      <w:pPr>
        <w:sectPr>
          <w:pgSz w:w="11900" w:h="16838" w:orient="portrait"/>
          <w:cols w:equalWidth="0" w:num="1">
            <w:col w:w="10219"/>
          </w:cols>
          <w:pgMar w:left="240" w:top="136" w:right="1440" w:bottom="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purpose or effect.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2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1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1680"/>
        <w:spacing w:after="0"/>
        <w:rPr>
          <w:sz w:val="20"/>
          <w:szCs w:val="20"/>
          <w:color w:val="auto"/>
        </w:rPr>
      </w:pPr>
      <w:r>
        <w:rPr>
          <w:rFonts w:ascii="Courier New" w:cs="Courier New" w:eastAsia="Courier New" w:hAnsi="Courier New"/>
          <w:sz w:val="18"/>
          <w:szCs w:val="18"/>
          <w:color w:val="auto"/>
        </w:rPr>
        <w:t>Date: March 28,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By: /s/ Christopher McDonough</w:t>
      </w:r>
    </w:p>
    <w:p>
      <w:pPr>
        <w:ind w:left="1680"/>
        <w:spacing w:after="0" w:line="238" w:lineRule="auto"/>
        <w:rPr>
          <w:sz w:val="20"/>
          <w:szCs w:val="20"/>
          <w:color w:val="auto"/>
        </w:rPr>
      </w:pPr>
      <w:r>
        <w:rPr>
          <w:rFonts w:ascii="Courier New" w:cs="Courier New" w:eastAsia="Courier New" w:hAnsi="Courier New"/>
          <w:sz w:val="18"/>
          <w:szCs w:val="18"/>
          <w:color w:val="auto"/>
        </w:rPr>
        <w:t>------------------------------</w:t>
      </w:r>
    </w:p>
    <w:p>
      <w:pPr>
        <w:ind w:left="1680"/>
        <w:spacing w:after="0"/>
        <w:rPr>
          <w:sz w:val="20"/>
          <w:szCs w:val="20"/>
          <w:color w:val="auto"/>
        </w:rPr>
      </w:pPr>
      <w:r>
        <w:rPr>
          <w:rFonts w:ascii="Courier New" w:cs="Courier New" w:eastAsia="Courier New" w:hAnsi="Courier New"/>
          <w:sz w:val="18"/>
          <w:szCs w:val="18"/>
          <w:color w:val="auto"/>
        </w:rPr>
        <w:t>Christopher McDonough</w:t>
      </w:r>
    </w:p>
    <w:p>
      <w:pPr>
        <w:ind w:left="1680"/>
        <w:spacing w:after="0" w:line="237" w:lineRule="auto"/>
        <w:rPr>
          <w:sz w:val="20"/>
          <w:szCs w:val="20"/>
          <w:color w:val="auto"/>
        </w:rPr>
      </w:pPr>
      <w:r>
        <w:rPr>
          <w:rFonts w:ascii="Courier New" w:cs="Courier New" w:eastAsia="Courier New" w:hAnsi="Courier New"/>
          <w:sz w:val="18"/>
          <w:szCs w:val="18"/>
          <w:color w:val="auto"/>
        </w:rPr>
        <w:t>Director</w:t>
      </w:r>
    </w:p>
    <w:p>
      <w:pPr>
        <w:spacing w:after="0" w:line="202" w:lineRule="exact"/>
        <w:rPr>
          <w:sz w:val="20"/>
          <w:szCs w:val="20"/>
          <w:color w:val="auto"/>
        </w:rPr>
      </w:pPr>
    </w:p>
    <w:p>
      <w:pPr>
        <w:ind w:left="1680"/>
        <w:spacing w:after="0"/>
        <w:rPr>
          <w:sz w:val="20"/>
          <w:szCs w:val="20"/>
          <w:color w:val="auto"/>
        </w:rPr>
      </w:pPr>
      <w:r>
        <w:rPr>
          <w:rFonts w:ascii="Courier New" w:cs="Courier New" w:eastAsia="Courier New" w:hAnsi="Courier New"/>
          <w:sz w:val="18"/>
          <w:szCs w:val="18"/>
          <w:color w:val="auto"/>
        </w:rPr>
        <w:t>Division of Investment, Department of</w:t>
      </w:r>
    </w:p>
    <w:p>
      <w:pPr>
        <w:ind w:left="1680"/>
        <w:spacing w:after="0" w:line="238" w:lineRule="auto"/>
        <w:rPr>
          <w:sz w:val="20"/>
          <w:szCs w:val="20"/>
          <w:color w:val="auto"/>
        </w:rPr>
      </w:pPr>
      <w:r>
        <w:rPr>
          <w:rFonts w:ascii="Courier New" w:cs="Courier New" w:eastAsia="Courier New" w:hAnsi="Courier New"/>
          <w:sz w:val="18"/>
          <w:szCs w:val="18"/>
          <w:color w:val="auto"/>
        </w:rPr>
        <w:t>Treasury, State of New Jersey</w:t>
      </w:r>
    </w:p>
    <w:sectPr>
      <w:pgSz w:w="11900" w:h="16838" w:orient="portrait"/>
      <w:cols w:equalWidth="0" w:num="1">
        <w:col w:w="9359"/>
      </w:cols>
      <w:pgMar w:left="110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9"/>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7"/>
    </w:lvl>
  </w:abstractNum>
  <w:abstractNum w:abstractNumId="8">
    <w:nsid w:val="216231B"/>
    <w:multiLevelType w:val="hybridMultilevel"/>
    <w:lvl w:ilvl="0">
      <w:lvlJc w:val="left"/>
      <w:lvlText w:val="(%1)"/>
      <w:numFmt w:val="upperLetter"/>
      <w:start w:val="10"/>
    </w:lvl>
  </w:abstractNum>
  <w:abstractNum w:abstractNumId="9">
    <w:nsid w:val="1F16E9E8"/>
    <w:multiLevelType w:val="hybridMultilevel"/>
    <w:lvl w:ilvl="0">
      <w:lvlJc w:val="left"/>
      <w:lvlText w:val="(%1)"/>
      <w:numFmt w:val="lowerLetter"/>
      <w:start w:val="1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2019-12-07T23:47:08Z</dcterms:created>
  <dcterms:modified xsi:type="dcterms:W3CDTF">2019-12-07T23:47:08Z</dcterms:modified>
</cp:coreProperties>
</file>