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October 5, 2015, TPG Specialty Lending, Inc. issued the following press release:</w:t>
      </w:r>
    </w:p>
    <w:p>
      <w:pPr>
        <w:spacing w:after="0" w:line="22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TPG Specialty Lending, Inc. Files Definitive Proxy Materials with SEC to Solicit TICC Capital Corp. Stockholders to Vote AGAINST the Inferior Benefit Street Partners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TSLX Mails Letter to TICC Stockholders Urging Them to Vote AGAINST the Management Proposals on the GOLD Proxy Card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TSLX to Ensure TICC Stockholders Can Make Informed Decision about the Company’s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05, 2015 07:53 AM Eastern Daylight Time</w:t>
      </w:r>
    </w:p>
    <w:p>
      <w:pPr>
        <w:spacing w:after="0" w:line="225"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NEW YORK—(BUSINESS WIRE)—TPG Specialty Lending, Inc. (“TSLX”; NYSE: TSLX), a specialty finance company focused on lending to middle-market companies, today announced that it has filed definitive proxy materials with the U.S. Securities and Exchange Commission (“SEC”) in connection with the TICC Capital Corp. (“TICC”; Nasdaq: TICC) special meeting of stockholders to be held on October 27, 2015.</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The proxy materials are available through the SEC’s website and at </w:t>
      </w:r>
      <w:r>
        <w:rPr>
          <w:rFonts w:ascii="Arial" w:cs="Arial" w:eastAsia="Arial" w:hAnsi="Arial"/>
          <w:sz w:val="18"/>
          <w:szCs w:val="18"/>
          <w:u w:val="single" w:color="auto"/>
          <w:color w:val="auto"/>
        </w:rPr>
        <w:t>www.changeTICCnow.com</w:t>
      </w:r>
      <w:r>
        <w:rPr>
          <w:rFonts w:ascii="Arial" w:cs="Arial" w:eastAsia="Arial" w:hAnsi="Arial"/>
          <w:sz w:val="18"/>
          <w:szCs w:val="18"/>
          <w:color w:val="auto"/>
        </w:rPr>
        <w:t>. TSLX intends to begin mailing definitive proxy materials to all TICC stockholders immediately.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TSLX today sent a letter to TICC stockholders urging them to vote the GOLD proxy card AGAINST the management proposals.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Josh Easterly, Chairman and Co-Chief Executive Officer of TSLX, commented on the letter: “TICC stockholders have an important opportunity on October 27 to determine the future of their company. We’re confident that TICC stockholders recognize the superior value presented by our proposal. Only our proposal offers TICC stockholders an upfront premium and the potential for long-term value creation with an industry-leading platform. We urge TICC stockholders to vote the Gold proxy card against management proposals. By doing so, TICC stockholders can halt a value-destroying transaction with Benefit Street Partners and send a clear message to the TICC Board that TICC stockholders prefer the TSLX proposal.”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Dear Fellow TICC Stockholders:</w:t>
      </w:r>
    </w:p>
    <w:p>
      <w:pPr>
        <w:spacing w:after="0" w:line="22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PROTECT YOUR INVESTMENT AND VOTE THE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 TODAY! – VISIT </w:t>
      </w:r>
      <w:r>
        <w:rPr>
          <w:rFonts w:ascii="Arial" w:cs="Arial" w:eastAsia="Arial" w:hAnsi="Arial"/>
          <w:sz w:val="18"/>
          <w:szCs w:val="18"/>
          <w:b w:val="1"/>
          <w:bCs w:val="1"/>
          <w:u w:val="single" w:color="auto"/>
          <w:color w:val="auto"/>
        </w:rPr>
        <w:t>WWW.CHANGETICCNOW.COM</w:t>
      </w:r>
      <w:r>
        <w:rPr>
          <w:rFonts w:ascii="Arial" w:cs="Arial" w:eastAsia="Arial" w:hAnsi="Arial"/>
          <w:sz w:val="18"/>
          <w:szCs w:val="18"/>
          <w:b w:val="1"/>
          <w:bCs w:val="1"/>
          <w:color w:val="auto"/>
        </w:rPr>
        <w:t xml:space="preserve"> TO LEARN HOW TO VOTE</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behalf of TPG Specialty Lending, Inc. (“TSLX”), a publicly traded specialty finance company focused on lending to middle-market companies and a fellow stockholder of TICC Capital Corp. (“TICC”), we are writing today to urge you to vote against a value-destroying transaction with Benefit Street Partners, LLC (“BSP”) that rewards an external manager that has consistently underperformed for TICC stockholders. TICC has refused to engage substantively with TSLX on its proposal that offers TICC stockholders an upfront premium and the potential for long-term value creation behind an industry-leading platform.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Vote the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today to send a clear message to the TICC Board to engage with TSLX.</w:t>
      </w:r>
    </w:p>
    <w:p>
      <w:pPr>
        <w:spacing w:after="0" w:line="33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UNLIKE MANAGEMENT’S PROPOSALS, TSLX WOULD PROVIDE TICC STOCKHOLDERS A SUBSTANTIAL UPFRONT PREMIUM TO THE MARKET VALUE OF THEIR SHARES</w:t>
      </w:r>
    </w:p>
    <w:p>
      <w:pPr>
        <w:spacing w:after="0" w:line="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We have presented a proposal that would offer you shares of TSLX stock with a market value of $7.50 for each of your existing shares of TICC. </w:t>
      </w:r>
      <w:r>
        <w:rPr>
          <w:rFonts w:ascii="Arial" w:cs="Arial" w:eastAsia="Arial" w:hAnsi="Arial"/>
          <w:sz w:val="18"/>
          <w:szCs w:val="18"/>
          <w:u w:val="single" w:color="auto"/>
          <w:color w:val="auto"/>
        </w:rPr>
        <w:t>Our offer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represents a 20% premium</w:t>
      </w:r>
      <w:r>
        <w:rPr>
          <w:rFonts w:ascii="Arial" w:cs="Arial" w:eastAsia="Arial" w:hAnsi="Arial"/>
          <w:sz w:val="18"/>
          <w:szCs w:val="18"/>
          <w:color w:val="auto"/>
        </w:rPr>
        <w:t xml:space="preserve"> to TICC’s closing price on the day before we made our proposal public.</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The TICC Board is proposing </w:t>
      </w:r>
      <w:r>
        <w:rPr>
          <w:rFonts w:ascii="Arial" w:cs="Arial" w:eastAsia="Arial" w:hAnsi="Arial"/>
          <w:sz w:val="18"/>
          <w:szCs w:val="18"/>
          <w:u w:val="single" w:color="auto"/>
          <w:color w:val="auto"/>
        </w:rPr>
        <w:t>a transaction with BSP that does not offer you, the stockholder, any upfront consideration at all, only the prospect of paying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reduced fees going forward.</w:t>
      </w:r>
    </w:p>
    <w:p>
      <w:pPr>
        <w:spacing w:after="0" w:line="275" w:lineRule="exact"/>
        <w:rPr>
          <w:sz w:val="20"/>
          <w:szCs w:val="20"/>
          <w:color w:val="auto"/>
        </w:rPr>
      </w:pPr>
    </w:p>
    <w:p>
      <w:pPr>
        <w:ind w:right="980"/>
        <w:spacing w:after="0" w:line="282" w:lineRule="auto"/>
        <w:rPr>
          <w:sz w:val="20"/>
          <w:szCs w:val="20"/>
          <w:color w:val="auto"/>
        </w:rPr>
      </w:pPr>
      <w:r>
        <w:rPr>
          <w:rFonts w:ascii="Arial" w:cs="Arial" w:eastAsia="Arial" w:hAnsi="Arial"/>
          <w:sz w:val="18"/>
          <w:szCs w:val="18"/>
          <w:b w:val="1"/>
          <w:bCs w:val="1"/>
          <w:color w:val="auto"/>
        </w:rPr>
        <w:t>THE TSLX PROPOSAL WOULD ENABLE TICC STOCKHOLDERS TO PARTICIPATE IN A LEADING PLATFORM THAT HAS CONSISTENTLY OUTPERFORMED THE SECTOR</w:t>
      </w:r>
    </w:p>
    <w:p>
      <w:pPr>
        <w:spacing w:after="0" w:line="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TSLX is one of the industry’s leading platforms. But we do not expect you to rely only on our opinion. We urge you to consider what independent analysts have stated about TSLX. One of the leading securities analyst in this sector said: </w:t>
      </w:r>
      <w:r>
        <w:rPr>
          <w:rFonts w:ascii="Arial" w:cs="Arial" w:eastAsia="Arial" w:hAnsi="Arial"/>
          <w:sz w:val="18"/>
          <w:szCs w:val="18"/>
          <w:i w:val="1"/>
          <w:iCs w:val="1"/>
          <w:color w:val="auto"/>
        </w:rPr>
        <w:t>“TSLX is one of our favorite names rising from weakness across the BDC</w:t>
      </w:r>
      <w:r>
        <w:rPr>
          <w:rFonts w:ascii="Arial" w:cs="Arial" w:eastAsia="Arial" w:hAnsi="Arial"/>
          <w:sz w:val="18"/>
          <w:szCs w:val="18"/>
          <w:color w:val="auto"/>
        </w:rPr>
        <w:t xml:space="preserve"> </w:t>
      </w:r>
      <w:r>
        <w:rPr>
          <w:rFonts w:ascii="Arial" w:cs="Arial" w:eastAsia="Arial" w:hAnsi="Arial"/>
          <w:sz w:val="18"/>
          <w:szCs w:val="18"/>
          <w:i w:val="1"/>
          <w:iCs w:val="1"/>
          <w:color w:val="auto"/>
        </w:rPr>
        <w:t>space at large – we see the name at a premium to the group for all the right reasons, including portfolio asset quality, strong returns / dividend coverage and a shareholder-oriented management team.”</w:t>
      </w:r>
      <w:r>
        <w:rPr>
          <w:rFonts w:ascii="Arial" w:cs="Arial" w:eastAsia="Arial" w:hAnsi="Arial"/>
          <w:sz w:val="15"/>
          <w:szCs w:val="15"/>
          <w:color w:val="auto"/>
        </w:rPr>
        <w:t>1</w:t>
      </w:r>
    </w:p>
    <w:p>
      <w:pPr>
        <w:sectPr>
          <w:pgSz w:w="11900" w:h="16838" w:orient="portrait"/>
          <w:cols w:equalWidth="0" w:num="1">
            <w:col w:w="11360"/>
          </w:cols>
          <w:pgMar w:left="240" w:top="274" w:right="299" w:bottom="1440" w:gutter="0" w:footer="0" w:header="0"/>
        </w:sectPr>
      </w:pPr>
    </w:p>
    <w:bookmarkStart w:id="4" w:name="page5"/>
    <w:bookmarkEnd w:id="4"/>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 for a moment that a stockholder who invested a dollar with TICC three years before we announced our proposal on September 15, 2015, would have realized a total return of NEGATIVE 13.9% while the exact same dollar invested with TSLX would have realized a total return of 51.6%.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UNLIKE TICC, TSLX HAS A DEMONSTRATED CAPACITY FOR PAYING A SUSTAINABLE DIVIDEND</w:t>
      </w:r>
    </w:p>
    <w:p>
      <w:pPr>
        <w:spacing w:after="0" w:line="12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 xml:space="preserve">We believe the current TICC dividend is unsustainable. At least five equity analysts have indicated that </w:t>
      </w:r>
      <w:r>
        <w:rPr>
          <w:rFonts w:ascii="Arial" w:cs="Arial" w:eastAsia="Arial" w:hAnsi="Arial"/>
          <w:sz w:val="16"/>
          <w:szCs w:val="16"/>
          <w:u w:val="single" w:color="auto"/>
          <w:color w:val="auto"/>
        </w:rPr>
        <w:t>the dividend will be cut and neither TICC nor BSP</w:t>
      </w:r>
      <w:r>
        <w:rPr>
          <w:rFonts w:ascii="Arial" w:cs="Arial" w:eastAsia="Arial" w:hAnsi="Arial"/>
          <w:sz w:val="16"/>
          <w:szCs w:val="16"/>
          <w:color w:val="auto"/>
        </w:rPr>
        <w:t xml:space="preserve"> </w:t>
      </w:r>
      <w:r>
        <w:rPr>
          <w:rFonts w:ascii="Arial" w:cs="Arial" w:eastAsia="Arial" w:hAnsi="Arial"/>
          <w:sz w:val="16"/>
          <w:szCs w:val="16"/>
          <w:u w:val="single" w:color="auto"/>
          <w:color w:val="auto"/>
        </w:rPr>
        <w:t>has refuted these reports</w:t>
      </w:r>
      <w:r>
        <w:rPr>
          <w:rFonts w:ascii="Arial" w:cs="Arial" w:eastAsia="Arial" w:hAnsi="Arial"/>
          <w:sz w:val="16"/>
          <w:szCs w:val="16"/>
          <w:color w:val="auto"/>
        </w:rPr>
        <w:t>.</w:t>
      </w:r>
      <w:r>
        <w:rPr>
          <w:rFonts w:ascii="Arial" w:cs="Arial" w:eastAsia="Arial" w:hAnsi="Arial"/>
          <w:sz w:val="13"/>
          <w:szCs w:val="13"/>
          <w:color w:val="auto"/>
        </w:rPr>
        <w:t>2</w:t>
      </w:r>
      <w:r>
        <w:rPr>
          <w:rFonts w:ascii="Arial" w:cs="Arial" w:eastAsia="Arial" w:hAnsi="Arial"/>
          <w:sz w:val="16"/>
          <w:szCs w:val="16"/>
          <w:color w:val="auto"/>
        </w:rPr>
        <w:t xml:space="preserve"> TICC even felt it necessary to re-issue its first letter to stockholders with amended statements to clarify that a portion of TICC’s 2015 dividend distribution is a return of capital. Paying a dividend by returning investors’ capital is clearly unsustainable and erodes its investment base.</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At TSLX, we only pay dividends we can afford. This helps protect stockholder investment over the long-term by maintaining assets available to generate earnings. The simple truth is that, if TICC followed this policy, it would have to cut its dividend. Otherwise all TICC is doing is returning investors’ money and calling it a distribution.</w:t>
      </w:r>
    </w:p>
    <w:p>
      <w:pPr>
        <w:spacing w:after="0" w:line="285" w:lineRule="exact"/>
        <w:rPr>
          <w:sz w:val="20"/>
          <w:szCs w:val="20"/>
          <w:color w:val="auto"/>
        </w:rPr>
      </w:pPr>
    </w:p>
    <w:p>
      <w:pPr>
        <w:ind w:right="980"/>
        <w:spacing w:after="0" w:line="282" w:lineRule="auto"/>
        <w:rPr>
          <w:sz w:val="20"/>
          <w:szCs w:val="20"/>
          <w:color w:val="auto"/>
        </w:rPr>
      </w:pPr>
      <w:r>
        <w:rPr>
          <w:rFonts w:ascii="Arial" w:cs="Arial" w:eastAsia="Arial" w:hAnsi="Arial"/>
          <w:sz w:val="18"/>
          <w:szCs w:val="18"/>
          <w:b w:val="1"/>
          <w:bCs w:val="1"/>
          <w:color w:val="auto"/>
        </w:rPr>
        <w:t>THE TSLX PROPOSAL WOULD STOP A PAYMENT TO THE UNDERPERFORMING TICC EXTERNAL MANAGER THAT HAS DESTROYED THE VALUE OF YOUR INVESTMENT</w:t>
      </w:r>
    </w:p>
    <w:p>
      <w:pPr>
        <w:spacing w:after="0" w:line="5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TSLX is proposing to provide TICC stockholders with a substantial upfront premium to the market value of their shares. Our proposal would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compensate the current TICC manager – one that has significantly underperformed for you, the stockholders. </w:t>
      </w:r>
      <w:r>
        <w:rPr>
          <w:rFonts w:ascii="Arial" w:cs="Arial" w:eastAsia="Arial" w:hAnsi="Arial"/>
          <w:sz w:val="18"/>
          <w:szCs w:val="18"/>
          <w:u w:val="single" w:color="auto"/>
          <w:color w:val="auto"/>
        </w:rPr>
        <w:t>Since TICC’s IPO, the TICC external manager has collected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$127.7 million in fees from stockholders’ investments while underperforming the BDC Composite by 154%</w:t>
      </w:r>
      <w:r>
        <w:rPr>
          <w:rFonts w:ascii="Arial" w:cs="Arial" w:eastAsia="Arial" w:hAnsi="Arial"/>
          <w:sz w:val="18"/>
          <w:szCs w:val="18"/>
          <w:color w:val="auto"/>
        </w:rPr>
        <w:t>.</w:t>
      </w:r>
      <w:r>
        <w:rPr>
          <w:rFonts w:ascii="Arial" w:cs="Arial" w:eastAsia="Arial" w:hAnsi="Arial"/>
          <w:sz w:val="15"/>
          <w:szCs w:val="15"/>
          <w:color w:val="auto"/>
        </w:rPr>
        <w:t>3</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Under management’s transaction with BSP, TICC stockholders will not receive any upfront compensation, only the prospect of paying reduced fees in the future. At the same time it is estimated the </w:t>
      </w:r>
      <w:r>
        <w:rPr>
          <w:rFonts w:ascii="Arial" w:cs="Arial" w:eastAsia="Arial" w:hAnsi="Arial"/>
          <w:sz w:val="18"/>
          <w:szCs w:val="18"/>
          <w:u w:val="single" w:color="auto"/>
          <w:color w:val="auto"/>
        </w:rPr>
        <w:t>current underperforming manager, which includes members of the TICC Board, will receive $60 million</w:t>
      </w:r>
      <w:r>
        <w:rPr>
          <w:rFonts w:ascii="Arial" w:cs="Arial" w:eastAsia="Arial" w:hAnsi="Arial"/>
          <w:sz w:val="18"/>
          <w:szCs w:val="18"/>
          <w:color w:val="auto"/>
        </w:rPr>
        <w:t>.</w:t>
      </w:r>
      <w:r>
        <w:rPr>
          <w:rFonts w:ascii="Arial" w:cs="Arial" w:eastAsia="Arial" w:hAnsi="Arial"/>
          <w:sz w:val="15"/>
          <w:szCs w:val="15"/>
          <w:color w:val="auto"/>
        </w:rPr>
        <w:t>4</w:t>
      </w:r>
      <w:r>
        <w:rPr>
          <w:rFonts w:ascii="Arial" w:cs="Arial" w:eastAsia="Arial" w:hAnsi="Arial"/>
          <w:sz w:val="18"/>
          <w:szCs w:val="18"/>
          <w:color w:val="auto"/>
        </w:rPr>
        <w:t xml:space="preserve"> We do not believe a manager of a fund that has traded below net asset value every day this year deserves a payout at all. Further, we do not understand why TICC’s board didn’t simply terminate the contract with the existing adviser.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LEADING INDEPENDENT INVESTMENT PROFESSIONALS AGREE THAT TSLX OFFERS TICC STOCKHOLDERS SUPERIOR VALUE</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feel strongly that the value of our proposal is in the best interest of you, the stockholders. We were excited to see the 9.6% rise in the price of TICC stock on the day our offer was announced</w:t>
      </w:r>
      <w:r>
        <w:rPr>
          <w:rFonts w:ascii="Arial" w:cs="Arial" w:eastAsia="Arial" w:hAnsi="Arial"/>
          <w:sz w:val="15"/>
          <w:szCs w:val="15"/>
          <w:color w:val="auto"/>
        </w:rPr>
        <w:t>5</w:t>
      </w:r>
      <w:r>
        <w:rPr>
          <w:rFonts w:ascii="Arial" w:cs="Arial" w:eastAsia="Arial" w:hAnsi="Arial"/>
          <w:sz w:val="18"/>
          <w:szCs w:val="18"/>
          <w:color w:val="auto"/>
        </w:rPr>
        <w:t xml:space="preserve"> as well as the support of fellow investors and analysts who immediately recognized the value of our proposal. We urge stockholders to consider the below comments from leading equity analysts and fellow TICC stockholders:</w:t>
      </w:r>
    </w:p>
    <w:p>
      <w:pPr>
        <w:spacing w:after="0" w:line="87" w:lineRule="exact"/>
        <w:rPr>
          <w:sz w:val="20"/>
          <w:szCs w:val="20"/>
          <w:color w:val="auto"/>
        </w:rPr>
      </w:pPr>
    </w:p>
    <w:p>
      <w:pPr>
        <w:ind w:left="900" w:right="3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“TSLX trumped BSP’s offer, in our view, by presenting TICC’s board with a proposal that would provide a 20% premium to shareholders.” – Cantor Fitzgerald, September 16, 2015</w:t>
      </w:r>
    </w:p>
    <w:p>
      <w:pPr>
        <w:sectPr>
          <w:pgSz w:w="11900" w:h="16838" w:orient="portrait"/>
          <w:cols w:equalWidth="0" w:num="1">
            <w:col w:w="11420"/>
          </w:cols>
          <w:pgMar w:left="240" w:top="274" w:right="239" w:bottom="1440" w:gutter="0" w:footer="0" w:header="0"/>
        </w:sectPr>
      </w:pPr>
    </w:p>
    <w:bookmarkStart w:id="5" w:name="page6"/>
    <w:bookmarkEnd w:id="5"/>
    <w:p>
      <w:pPr>
        <w:ind w:left="900" w:right="2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find TPG’s offer the most compelling, given that it provides an opportunity for TICC Capital investors to exit with an immediate return.” – Mercer Capital Advisers Inc., September 16, 2015</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TSLX management has performed well for shareholders and their offer represents an attractive premium to TICC shareholders in the immediate future.” – PM at large investment manager in NYC cited in Wells Fargo report, September 17, 2015</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“TSLX has done the industry a favor by forcing this choice and presenting a visible example of how shareholders can seek to unlock value.” – Analyst/PM at a large NYC based investment manager, cited in Wells Fargo report, September 17, 2015</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TSLX offer presents shareholders a strong premium stock price.” – Wells Fargo analyst, September 17,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DON’T BE FOOLED BY TICC’S MISLEADING STATEMENTS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u w:val="single" w:color="auto"/>
          <w:color w:val="auto"/>
        </w:rPr>
        <w:t>TICC is trying to obscure the premium of our offer by switching the discussion to net asset value.</w:t>
      </w:r>
      <w:r>
        <w:rPr>
          <w:rFonts w:ascii="Arial" w:cs="Arial" w:eastAsia="Arial" w:hAnsi="Arial"/>
          <w:sz w:val="16"/>
          <w:szCs w:val="16"/>
          <w:color w:val="auto"/>
        </w:rPr>
        <w:t xml:space="preserve"> TICC notes the TSLX offer is a 12.8% discount to TICC’s net asset value as of June 30, 2015 but stockholders know full well that they cannot realize net asset value for their shares – they can only realize the trading price for their shares. TICC has focused on the wrong metric – and glosses over the fact that TICC shares have traded at a discount to net asset value every trading day of 2015 and were trading at a 27.1% discount to June 30 net asset value when we publicly announced our proposal.</w:t>
      </w:r>
    </w:p>
    <w:p>
      <w:pPr>
        <w:spacing w:after="0" w:line="25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TICC HAS CONSISTENTLY PRIORITIZED THE EXTERNAL MANAGER AHEAD OF STOCKHOLDERS – DENYING STOCKHOLDERS THE OPPORTUNITY TO SUPPORT TSLX’S OFFER IS ANOTHER EXAMPLE</w:t>
      </w:r>
    </w:p>
    <w:p>
      <w:pPr>
        <w:spacing w:after="0" w:line="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We believe TICC’s actions speak for themselves – </w:t>
      </w:r>
      <w:r>
        <w:rPr>
          <w:rFonts w:ascii="Arial" w:cs="Arial" w:eastAsia="Arial" w:hAnsi="Arial"/>
          <w:sz w:val="18"/>
          <w:szCs w:val="18"/>
          <w:u w:val="single" w:color="auto"/>
          <w:color w:val="auto"/>
        </w:rPr>
        <w:t>TICC has failed to utilize meaningful stockholder buybacks to support net asset value per share. We view</w:t>
      </w:r>
      <w:r>
        <w:rPr>
          <w:rFonts w:ascii="Arial" w:cs="Arial" w:eastAsia="Arial" w:hAnsi="Arial"/>
          <w:sz w:val="18"/>
          <w:szCs w:val="18"/>
          <w:color w:val="auto"/>
        </w:rPr>
        <w:t xml:space="preserve"> </w:t>
      </w:r>
      <w:r>
        <w:rPr>
          <w:rFonts w:ascii="Arial" w:cs="Arial" w:eastAsia="Arial" w:hAnsi="Arial"/>
          <w:sz w:val="18"/>
          <w:szCs w:val="18"/>
          <w:u w:val="single" w:color="auto"/>
          <w:color w:val="auto"/>
        </w:rPr>
        <w:t>this as a sign of continued prioritization of its external manager</w:t>
      </w:r>
      <w:r>
        <w:rPr>
          <w:rFonts w:ascii="Arial" w:cs="Arial" w:eastAsia="Arial" w:hAnsi="Arial"/>
          <w:sz w:val="18"/>
          <w:szCs w:val="18"/>
          <w:color w:val="auto"/>
        </w:rPr>
        <w:t xml:space="preserve"> (who earns less fee income with a return of capital) </w:t>
      </w:r>
      <w:r>
        <w:rPr>
          <w:rFonts w:ascii="Arial" w:cs="Arial" w:eastAsia="Arial" w:hAnsi="Arial"/>
          <w:sz w:val="18"/>
          <w:szCs w:val="18"/>
          <w:u w:val="single" w:color="auto"/>
          <w:color w:val="auto"/>
        </w:rPr>
        <w:t>over stockholders</w:t>
      </w:r>
      <w:r>
        <w:rPr>
          <w:rFonts w:ascii="Arial" w:cs="Arial" w:eastAsia="Arial" w:hAnsi="Arial"/>
          <w:sz w:val="18"/>
          <w:szCs w:val="18"/>
          <w:color w:val="auto"/>
        </w:rPr>
        <w:t xml:space="preserve"> (who would see the value of their investment increase under such a program).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THE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 TO UNLOCK VALUE FOR TICC STOCKHOLDERS!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Your vote will stop TICC from pursuing a value destructive transaction. And although voting against one or all of the TICC proposals is not equivalent to voting in favor of the TSLX Proposal, and defeat of the TICC proposals alone will not require TICC to pursue a transaction with TSLX, voting the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will </w:t>
      </w:r>
      <w:r>
        <w:rPr>
          <w:rFonts w:ascii="Arial" w:cs="Arial" w:eastAsia="Arial" w:hAnsi="Arial"/>
          <w:sz w:val="18"/>
          <w:szCs w:val="18"/>
          <w:u w:val="single" w:color="auto"/>
          <w:color w:val="auto"/>
        </w:rPr>
        <w:t>send a clear message to the TICC board that you prefer the TSLX proposal.</w:t>
      </w:r>
    </w:p>
    <w:p>
      <w:pPr>
        <w:sectPr>
          <w:pgSz w:w="11900" w:h="16838" w:orient="portrait"/>
          <w:cols w:equalWidth="0" w:num="1">
            <w:col w:w="11280"/>
          </w:cols>
          <w:pgMar w:left="240" w:top="274" w:right="379" w:bottom="1440" w:gutter="0" w:footer="0" w:header="0"/>
        </w:sectPr>
      </w:pPr>
    </w:p>
    <w:bookmarkStart w:id="6" w:name="page7"/>
    <w:bookmarkEnd w:id="6"/>
    <w:p>
      <w:pPr>
        <w:ind w:right="8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VOTE THE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 </w:t>
      </w:r>
      <w:r>
        <w:rPr>
          <w:rFonts w:ascii="Arial" w:cs="Arial" w:eastAsia="Arial" w:hAnsi="Arial"/>
          <w:sz w:val="18"/>
          <w:szCs w:val="18"/>
          <w:color w:val="auto"/>
        </w:rPr>
        <w:t>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www.changeTICCnow.com</w:t>
      </w:r>
      <w:r>
        <w:rPr>
          <w:rFonts w:ascii="Arial" w:cs="Arial" w:eastAsia="Arial" w:hAnsi="Arial"/>
          <w:sz w:val="18"/>
          <w:szCs w:val="18"/>
          <w:b w:val="1"/>
          <w:bCs w:val="1"/>
          <w:color w:val="auto"/>
        </w:rPr>
        <w:t xml:space="preserve"> </w:t>
      </w:r>
      <w:r>
        <w:rPr>
          <w:rFonts w:ascii="Arial" w:cs="Arial" w:eastAsia="Arial" w:hAnsi="Arial"/>
          <w:sz w:val="18"/>
          <w:szCs w:val="18"/>
          <w:color w:val="auto"/>
        </w:rPr>
        <w:t>for more information about TSLX’s offer and the deficiencies of the BSP</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ectPr>
          <w:pgSz w:w="11900" w:h="16838" w:orient="portrait"/>
          <w:cols w:equalWidth="0" w:num="1">
            <w:col w:w="11400"/>
          </w:cols>
          <w:pgMar w:left="240" w:top="270" w:right="259" w:bottom="1440" w:gutter="0" w:footer="0" w:header="0"/>
        </w:sectPr>
      </w:pPr>
    </w:p>
    <w:bookmarkStart w:id="7" w:name="page8"/>
    <w:bookmarkEnd w:id="7"/>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ectPr>
          <w:pgSz w:w="11900" w:h="16838" w:orient="portrait"/>
          <w:cols w:equalWidth="0" w:num="1">
            <w:col w:w="11360"/>
          </w:cols>
          <w:pgMar w:left="240" w:top="274"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Solicitation Information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set forth herein is provided for informational purposes only and does not constitute an offer to purchase or the solicitation of an offer to sell any securities. TSLX has filed with the SEC and commenced mailing to TICC stockholders a definitive proxy statement and accompanying GOLD proxy card to be used to solicit votes at a special meeting of stockholders of TICC scheduled to be held on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 (b) the election of six directors nominated by TICC’s board of directors, and (c) the proposal to adjourn the meeting if necessary or appropriate to solicit additional votes.</w:t>
      </w:r>
    </w:p>
    <w:p>
      <w:pPr>
        <w:spacing w:after="0" w:line="18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w:t>
      </w:r>
    </w:p>
    <w:p>
      <w:pPr>
        <w:ind w:right="440"/>
        <w:spacing w:after="0" w:line="255"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ectPr>
          <w:pgSz w:w="11900" w:h="16838" w:orient="portrait"/>
          <w:cols w:equalWidth="0" w:num="1">
            <w:col w:w="11420"/>
          </w:cols>
          <w:pgMar w:left="240" w:top="270" w:right="239" w:bottom="1440" w:gutter="0" w:footer="0" w:header="0"/>
        </w:sectPr>
      </w:pPr>
    </w:p>
    <w:bookmarkStart w:id="9" w:name="page10"/>
    <w:bookmarkEnd w:id="9"/>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TSLX: A Best In Class BDC (***Thud***As The Microphone Drops), Wells Fargo, August 5, 2015</w:t>
      </w:r>
    </w:p>
    <w:p>
      <w:pPr>
        <w:spacing w:after="0" w:line="22" w:lineRule="exact"/>
        <w:rPr>
          <w:sz w:val="20"/>
          <w:szCs w:val="20"/>
          <w:color w:val="auto"/>
        </w:rPr>
      </w:pPr>
    </w:p>
    <w:p>
      <w:pPr>
        <w:ind w:left="460" w:hanging="452"/>
        <w:spacing w:after="0" w:line="282"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TICC Reiterates Rejection Of TSLX’s offer, Wells Fargo, September 22, 2015 and TICC: Writes Letter To Shareholders Urging Them To Vote For BSP, Wells Fargo, September 24, 2015; Board Making a Poor Deal? Should Shareholders Reject the Current Proposal?, Keefe, Bruyette &amp; Woods, September 16, 2015; Brouhaha with TICC Could Spread to Other Out-of-Favor BDCs, Cantor Fitzgerald, September 16, 2015; TICC Capital Corp.: Takeover Heats Up – Maintain Neutral, Ladenburg Thalmann, September 16, 2015; BDC Update: Observations from the TICC rejection of the TSLX</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proposal, Gilford Securities Inc., September 21, 2015</w:t>
      </w:r>
    </w:p>
    <w:p>
      <w:pPr>
        <w:spacing w:after="0" w:line="8" w:lineRule="exact"/>
        <w:rPr>
          <w:sz w:val="20"/>
          <w:szCs w:val="20"/>
          <w:color w:val="auto"/>
        </w:rPr>
      </w:pPr>
    </w:p>
    <w:p>
      <w:pPr>
        <w:ind w:left="460" w:right="40" w:hanging="452"/>
        <w:spacing w:after="0" w:line="250"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Market data as of September 15, 2015; Source: Bloomberg; BDC Composite comprised of ACAS, AINV, ARCC, BKCC, FSC, GBDC, HTGC, MAIN, MCC, NMFC, PNNT, PSEC, SLRC, TCAP and TCRD</w:t>
      </w:r>
    </w:p>
    <w:p>
      <w:pPr>
        <w:spacing w:after="0" w:line="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The 9/18 Friday Bocks’d Lunch, Wells Fargo, September 17, 2015</w:t>
      </w:r>
    </w:p>
    <w:p>
      <w:pPr>
        <w:spacing w:after="0" w:line="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Represents the percentage change in the TICC share price from the close on September 15th to the close on September 16th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 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pct@abmac.com</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decimal"/>
      <w:start w:val="1"/>
    </w:lvl>
  </w:abstractNum>
  <w:abstractNum w:abstractNumId="5">
    <w:nsid w:val="12200854"/>
    <w:multiLevelType w:val="hybridMultilevel"/>
    <w:lvl w:ilvl="0">
      <w:lvlJc w:val="left"/>
      <w:lvlText w:val="(%1)"/>
      <w:numFmt w:val="decimal"/>
      <w:start w:val="4"/>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bullet"/>
      <w:start w:val="1"/>
    </w:lvl>
  </w:abstractNum>
  <w:abstractNum w:abstractNumId="9">
    <w:nsid w:val="1190CDE7"/>
    <w:multiLevelType w:val="hybridMultilevel"/>
    <w:lvl w:ilvl="0">
      <w:lvlJc w:val="left"/>
      <w:lvlText w:val="2"/>
      <w:numFmt w:val="bullet"/>
      <w:start w:val="1"/>
    </w:lvl>
  </w:abstractNum>
  <w:abstractNum w:abstractNumId="10">
    <w:nsid w:val="66EF438D"/>
    <w:multiLevelType w:val="hybridMultilevel"/>
    <w:lvl w:ilvl="0">
      <w:lvlJc w:val="left"/>
      <w:lvlText w:val="3"/>
      <w:numFmt w:val="bullet"/>
      <w:start w:val="1"/>
    </w:lvl>
  </w:abstractNum>
  <w:abstractNum w:abstractNumId="11">
    <w:nsid w:val="140E0F76"/>
    <w:multiLevelType w:val="hybridMultilevel"/>
    <w:lvl w:ilvl="0">
      <w:lvlJc w:val="left"/>
      <w:lvlText w:val="4"/>
      <w:numFmt w:val="bullet"/>
      <w:start w:val="1"/>
    </w:lvl>
  </w:abstractNum>
  <w:abstractNum w:abstractNumId="12">
    <w:nsid w:val="3352255A"/>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2019-12-20T23:18:17Z</dcterms:created>
  <dcterms:modified xsi:type="dcterms:W3CDTF">2019-12-20T23:18:17Z</dcterms:modified>
</cp:coreProperties>
</file>