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424(b)(2) Registration No.</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333-276252</w:t>
      </w:r>
    </w:p>
    <w:p>
      <w:pPr>
        <w:jc w:val="center"/>
        <w:ind w:right="-139"/>
        <w:spacing w:after="0" w:line="224" w:lineRule="auto"/>
        <w:rPr>
          <w:sz w:val="20"/>
          <w:szCs w:val="20"/>
          <w:color w:val="auto"/>
        </w:rPr>
      </w:pPr>
      <w:r>
        <w:rPr>
          <w:rFonts w:ascii="Times New Roman" w:cs="Times New Roman" w:eastAsia="Times New Roman" w:hAnsi="Times New Roman"/>
          <w:sz w:val="14"/>
          <w:szCs w:val="14"/>
          <w:b w:val="1"/>
          <w:bCs w:val="1"/>
          <w:color w:val="FF4338"/>
        </w:rPr>
        <w:t>Subject to Completion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FF4338"/>
        </w:rPr>
        <w:t>Preliminary Prospectus Supplement dated January 8, 2024</w:t>
      </w:r>
    </w:p>
    <w:p>
      <w:pPr>
        <w:spacing w:after="0" w:line="120" w:lineRule="exact"/>
        <w:rPr>
          <w:sz w:val="24"/>
          <w:szCs w:val="24"/>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200" w:lineRule="exact"/>
        <w:rPr>
          <w:sz w:val="24"/>
          <w:szCs w:val="24"/>
          <w:color w:val="auto"/>
        </w:rPr>
      </w:pPr>
    </w:p>
    <w:p>
      <w:pPr>
        <w:spacing w:after="0" w:line="2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p>
      <w:pPr>
        <w:spacing w:after="0" w:line="17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258445</wp:posOffset>
            </wp:positionV>
            <wp:extent cx="14401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 are offering $</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and</w:t>
            </w:r>
          </w:p>
        </w:tc>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 aggregate principal amount of   % notes due</w:t>
            </w:r>
          </w:p>
        </w:tc>
        <w:tc>
          <w:tcPr>
            <w:tcW w:w="44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 which we refer to as the Notes. The Notes will mature on</w:t>
            </w:r>
          </w:p>
        </w:tc>
        <w:tc>
          <w:tcPr>
            <w:tcW w:w="1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We will pay interest</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on the Notes on</w:t>
            </w:r>
          </w:p>
        </w:tc>
        <w:tc>
          <w:tcPr>
            <w:tcW w:w="420" w:type="dxa"/>
            <w:vAlign w:val="bottom"/>
            <w:vMerge w:val="continue"/>
          </w:tcPr>
          <w:p>
            <w:pPr>
              <w:spacing w:after="0"/>
              <w:rPr>
                <w:sz w:val="14"/>
                <w:szCs w:val="14"/>
                <w:color w:val="auto"/>
              </w:rPr>
            </w:pPr>
          </w:p>
        </w:tc>
        <w:tc>
          <w:tcPr>
            <w:tcW w:w="2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of each year, beginning on</w:t>
            </w:r>
          </w:p>
        </w:tc>
        <w:tc>
          <w:tcPr>
            <w:tcW w:w="6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2024. We may redeem the Notes in whole or in part at any time or from time to time at the redemption</w:t>
            </w:r>
          </w:p>
        </w:tc>
        <w:tc>
          <w:tcPr>
            <w:tcW w:w="0" w:type="dxa"/>
            <w:vAlign w:val="bottom"/>
          </w:tcPr>
          <w:p>
            <w:pPr>
              <w:spacing w:after="0"/>
              <w:rPr>
                <w:sz w:val="1"/>
                <w:szCs w:val="1"/>
                <w:color w:val="auto"/>
              </w:rPr>
            </w:pPr>
          </w:p>
        </w:tc>
      </w:tr>
    </w:tbl>
    <w:p>
      <w:pPr>
        <w:ind w:left="120"/>
        <w:spacing w:after="0" w:line="233" w:lineRule="auto"/>
        <w:rPr>
          <w:sz w:val="20"/>
          <w:szCs w:val="20"/>
          <w:color w:val="auto"/>
        </w:rPr>
      </w:pPr>
      <w:r>
        <w:rPr>
          <w:rFonts w:ascii="Times New Roman" w:cs="Times New Roman" w:eastAsia="Times New Roman" w:hAnsi="Times New Roman"/>
          <w:sz w:val="14"/>
          <w:szCs w:val="14"/>
          <w:color w:val="auto"/>
        </w:rPr>
        <w:t>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77" w:lineRule="exact"/>
        <w:rPr>
          <w:sz w:val="24"/>
          <w:szCs w:val="24"/>
          <w:color w:val="auto"/>
        </w:rPr>
      </w:pPr>
    </w:p>
    <w:p>
      <w:pPr>
        <w:ind w:left="120" w:right="160" w:firstLine="440"/>
        <w:spacing w:after="0" w:line="236" w:lineRule="auto"/>
        <w:rPr>
          <w:sz w:val="20"/>
          <w:szCs w:val="20"/>
          <w:color w:val="auto"/>
        </w:rPr>
      </w:pPr>
      <w:r>
        <w:rPr>
          <w:rFonts w:ascii="Times New Roman" w:cs="Times New Roman" w:eastAsia="Times New Roman" w:hAnsi="Times New Roman"/>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77" w:lineRule="exact"/>
        <w:rPr>
          <w:sz w:val="24"/>
          <w:szCs w:val="24"/>
          <w:color w:val="auto"/>
        </w:rPr>
      </w:pPr>
    </w:p>
    <w:p>
      <w:pPr>
        <w:ind w:left="120" w:right="220" w:firstLine="440"/>
        <w:spacing w:after="0" w:line="241" w:lineRule="auto"/>
        <w:rPr>
          <w:sz w:val="20"/>
          <w:szCs w:val="20"/>
          <w:color w:val="auto"/>
        </w:rPr>
      </w:pPr>
      <w:r>
        <w:rPr>
          <w:rFonts w:ascii="Times New Roman" w:cs="Times New Roman" w:eastAsia="Times New Roman" w:hAnsi="Times New Roman"/>
          <w:sz w:val="14"/>
          <w:szCs w:val="14"/>
          <w:color w:val="auto"/>
        </w:rPr>
        <w:t>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77" w:lineRule="exact"/>
        <w:rPr>
          <w:sz w:val="24"/>
          <w:szCs w:val="24"/>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$75 billion in assets under management as of September 30, 2023.</w:t>
      </w:r>
    </w:p>
    <w:p>
      <w:pPr>
        <w:spacing w:after="0" w:line="163" w:lineRule="exact"/>
        <w:rPr>
          <w:sz w:val="24"/>
          <w:szCs w:val="24"/>
          <w:color w:val="auto"/>
        </w:rPr>
      </w:pPr>
    </w:p>
    <w:p>
      <w:pPr>
        <w:ind w:left="12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15" w:lineRule="exact"/>
        <w:rPr>
          <w:sz w:val="24"/>
          <w:szCs w:val="24"/>
          <w:color w:val="auto"/>
        </w:rPr>
      </w:pPr>
    </w:p>
    <w:p>
      <w:pPr>
        <w:ind w:left="120" w:right="20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1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Notes involves risks, including the risk of leverage, that are described in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section beginning on page S-9 of this prospectus supplement and page 24 of the accompanying prospectus and the matters discussed in the documents incorporated or deemed to be incorporated by reference in this prospectus supplement and the accompanying prospectus.</w:t>
      </w:r>
    </w:p>
    <w:p>
      <w:pPr>
        <w:spacing w:after="0" w:line="168" w:lineRule="exact"/>
        <w:rPr>
          <w:sz w:val="24"/>
          <w:szCs w:val="24"/>
          <w:color w:val="auto"/>
        </w:rPr>
      </w:pPr>
    </w:p>
    <w:p>
      <w:pPr>
        <w:ind w:left="120" w:right="10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tbl>
      <w:tblPr>
        <w:tblLayout w:type="fixed"/>
        <w:tblInd w:w="120" w:type="dxa"/>
        <w:tblCellMar>
          <w:top w:w="0" w:type="dxa"/>
          <w:left w:w="0" w:type="dxa"/>
          <w:bottom w:w="0" w:type="dxa"/>
          <w:right w:w="0" w:type="dxa"/>
        </w:tblCellMar>
      </w:tblPr>
      <w:tr>
        <w:trPr>
          <w:trHeight w:val="155"/>
        </w:trPr>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80" w:type="dxa"/>
            <w:vAlign w:val="bottom"/>
            <w:gridSpan w:val="2"/>
          </w:tcPr>
          <w:p>
            <w:pPr>
              <w:jc w:val="right"/>
              <w:ind w:right="628"/>
              <w:spacing w:after="0"/>
              <w:rPr>
                <w:sz w:val="20"/>
                <w:szCs w:val="20"/>
                <w:color w:val="auto"/>
              </w:rPr>
            </w:pPr>
            <w:r>
              <w:rPr>
                <w:rFonts w:ascii="Times New Roman" w:cs="Times New Roman" w:eastAsia="Times New Roman" w:hAnsi="Times New Roman"/>
                <w:sz w:val="13"/>
                <w:szCs w:val="13"/>
                <w:b w:val="1"/>
                <w:bCs w:val="1"/>
                <w:color w:val="auto"/>
                <w:w w:val="94"/>
              </w:rPr>
              <w:t>Per Note</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Public offering price </w:t>
            </w:r>
            <w:r>
              <w:rPr>
                <w:rFonts w:ascii="Times New Roman" w:cs="Times New Roman" w:eastAsia="Times New Roman" w:hAnsi="Times New Roman"/>
                <w:sz w:val="10"/>
                <w:szCs w:val="10"/>
                <w:color w:val="auto"/>
              </w:rPr>
              <w:t>(1)</w:t>
            </w:r>
          </w:p>
        </w:tc>
        <w:tc>
          <w:tcPr>
            <w:tcW w:w="26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3820" w:type="dxa"/>
            <w:vAlign w:val="bottom"/>
            <w:gridSpan w:val="3"/>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Proceeds to us, before expenses </w:t>
            </w:r>
            <w:r>
              <w:rPr>
                <w:rFonts w:ascii="Times New Roman" w:cs="Times New Roman" w:eastAsia="Times New Roman" w:hAnsi="Times New Roman"/>
                <w:sz w:val="10"/>
                <w:szCs w:val="10"/>
                <w:color w:val="auto"/>
              </w:rPr>
              <w:t>(2)</w:t>
            </w:r>
          </w:p>
        </w:tc>
        <w:tc>
          <w:tcPr>
            <w:tcW w:w="3820" w:type="dxa"/>
            <w:vAlign w:val="bottom"/>
            <w:gridSpan w:val="3"/>
            <w:shd w:val="clear" w:color="auto" w:fill="CCEEFF"/>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040" w:type="dxa"/>
            <w:vAlign w:val="bottom"/>
            <w:gridSpan w:val="7"/>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w w:val="85"/>
              </w:rPr>
              <w:t>(1)</w:t>
            </w:r>
          </w:p>
        </w:tc>
        <w:tc>
          <w:tcPr>
            <w:tcW w:w="9960" w:type="dxa"/>
            <w:vAlign w:val="bottom"/>
            <w:gridSpan w:val="8"/>
          </w:tcPr>
          <w:p>
            <w:pPr>
              <w:ind w:left="120"/>
              <w:spacing w:after="0" w:line="160" w:lineRule="exact"/>
              <w:rPr>
                <w:sz w:val="20"/>
                <w:szCs w:val="20"/>
                <w:color w:val="auto"/>
              </w:rPr>
            </w:pPr>
            <w:r>
              <w:rPr>
                <w:rFonts w:ascii="Times New Roman" w:cs="Times New Roman" w:eastAsia="Times New Roman" w:hAnsi="Times New Roman"/>
                <w:sz w:val="14"/>
                <w:szCs w:val="14"/>
                <w:color w:val="auto"/>
              </w:rPr>
              <w:t>The public offering price set forth above does not include accrued interest, if any. Interest on the Notes must be paid by the purchaser if the Notes are delivered after</w:t>
            </w: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(2)</w:t>
            </w:r>
          </w:p>
        </w:tc>
        <w:tc>
          <w:tcPr>
            <w:tcW w:w="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640" w:type="dxa"/>
            <w:vAlign w:val="bottom"/>
            <w:vMerge w:val="restart"/>
          </w:tcPr>
          <w:p>
            <w:pPr>
              <w:jc w:val="right"/>
              <w:ind w:right="22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6"/>
                <w:szCs w:val="16"/>
                <w:color w:val="auto"/>
              </w:rPr>
            </w:pPr>
          </w:p>
        </w:tc>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Before deducting expenses payable by us related to this offering, estimated at $</w:t>
            </w:r>
          </w:p>
        </w:tc>
        <w:tc>
          <w:tcPr>
            <w:tcW w:w="26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left="120" w:right="102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159" w:lineRule="exact"/>
        <w:rPr>
          <w:sz w:val="24"/>
          <w:szCs w:val="24"/>
          <w:color w:val="auto"/>
        </w:rPr>
      </w:pPr>
    </w:p>
    <w:p>
      <w:pPr>
        <w:ind w:left="120" w:right="34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1" w:lineRule="exact"/>
        <w:rPr>
          <w:sz w:val="24"/>
          <w:szCs w:val="24"/>
          <w:color w:val="auto"/>
        </w:rPr>
      </w:pPr>
    </w:p>
    <w:tbl>
      <w:tblPr>
        <w:tblLayout w:type="fixed"/>
        <w:tblInd w:w="560" w:type="dxa"/>
        <w:tblCellMar>
          <w:top w:w="0" w:type="dxa"/>
          <w:left w:w="0" w:type="dxa"/>
          <w:bottom w:w="0" w:type="dxa"/>
          <w:right w:w="0" w:type="dxa"/>
        </w:tblCellMar>
      </w:tblPr>
      <w:tr>
        <w:trPr>
          <w:trHeight w:val="188"/>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Delivery of the Notes in book-entry form only through The Depository Trust Company will be made on or about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2024.</w:t>
            </w:r>
          </w:p>
        </w:tc>
      </w:tr>
      <w:tr>
        <w:trPr>
          <w:trHeight w:val="334"/>
        </w:trPr>
        <w:tc>
          <w:tcPr>
            <w:tcW w:w="39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100"/>
          </w:cols>
          <w:pgMar w:left="320" w:top="226" w:right="479" w:bottom="0" w:gutter="0" w:footer="0" w:header="0"/>
        </w:sectPr>
      </w:pPr>
    </w:p>
    <w:bookmarkStart w:id="1" w:name="page2"/>
    <w:bookmarkEnd w:id="1"/>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400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2440" w:type="dxa"/>
            <w:vAlign w:val="bottom"/>
          </w:tcPr>
          <w:p>
            <w:pPr>
              <w:jc w:val="right"/>
              <w:ind w:right="39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17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w w:val="96"/>
              </w:rPr>
              <w:t>SMBC Nikko</w:t>
            </w:r>
          </w:p>
        </w:tc>
      </w:tr>
      <w:tr>
        <w:trPr>
          <w:trHeight w:val="370"/>
        </w:trPr>
        <w:tc>
          <w:tcPr>
            <w:tcW w:w="2140" w:type="dxa"/>
            <w:vAlign w:val="bottom"/>
          </w:tcPr>
          <w:p>
            <w:pPr>
              <w:spacing w:after="0"/>
              <w:rPr>
                <w:sz w:val="24"/>
                <w:szCs w:val="24"/>
                <w:color w:val="auto"/>
              </w:rPr>
            </w:pPr>
          </w:p>
        </w:tc>
        <w:tc>
          <w:tcPr>
            <w:tcW w:w="400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w:t>
            </w:r>
          </w:p>
        </w:tc>
        <w:tc>
          <w:tcPr>
            <w:tcW w:w="2440" w:type="dxa"/>
            <w:vAlign w:val="bottom"/>
          </w:tcPr>
          <w:p>
            <w:pPr>
              <w:jc w:val="right"/>
              <w:ind w:right="159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1720" w:type="dxa"/>
            <w:vAlign w:val="bottom"/>
          </w:tcPr>
          <w:p>
            <w:pPr>
              <w:spacing w:after="0"/>
              <w:rPr>
                <w:sz w:val="24"/>
                <w:szCs w:val="24"/>
                <w:color w:val="auto"/>
              </w:rPr>
            </w:pPr>
          </w:p>
        </w:tc>
      </w:tr>
    </w:tbl>
    <w:p>
      <w:pPr>
        <w:sectPr>
          <w:pgSz w:w="11900" w:h="16838" w:orient="portrait"/>
          <w:cols w:equalWidth="0" w:num="1">
            <w:col w:w="10300"/>
          </w:cols>
          <w:pgMar w:left="880" w:top="114" w:right="7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0"/>
          </w:tcPr>
          <w:p>
            <w:pPr>
              <w:spacing w:after="0"/>
              <w:rPr>
                <w:sz w:val="18"/>
                <w:szCs w:val="18"/>
                <w:color w:val="auto"/>
              </w:rPr>
            </w:pPr>
          </w:p>
        </w:tc>
        <w:tc>
          <w:tcPr>
            <w:tcW w:w="52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TERMS OF THE NOTES AND THE OFFERING</w:t>
            </w:r>
          </w:p>
        </w:tc>
        <w:tc>
          <w:tcPr>
            <w:tcW w:w="61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669"/>
        </w:trPr>
        <w:tc>
          <w:tcPr>
            <w:tcW w:w="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1"/>
          </w:tcPr>
          <w:p>
            <w:pPr>
              <w:spacing w:after="0"/>
              <w:rPr>
                <w:sz w:val="17"/>
                <w:szCs w:val="17"/>
                <w:color w:val="auto"/>
              </w:rPr>
            </w:pPr>
          </w:p>
        </w:tc>
        <w:tc>
          <w:tcPr>
            <w:tcW w:w="83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6"/>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 w:type="dxa"/>
            <w:vAlign w:val="bottom"/>
            <w:tcBorders>
              <w:top w:val="single" w:sz="8" w:color="0000EE"/>
            </w:tcBorders>
            <w:gridSpan w:val="6"/>
          </w:tcPr>
          <w:p>
            <w:pPr>
              <w:spacing w:after="0"/>
              <w:rPr>
                <w:sz w:val="17"/>
                <w:szCs w:val="17"/>
                <w:color w:val="auto"/>
              </w:rPr>
            </w:pPr>
          </w:p>
        </w:tc>
        <w:tc>
          <w:tcPr>
            <w:tcW w:w="85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820" w:type="dxa"/>
            <w:vAlign w:val="bottom"/>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9"/>
          </w:tcPr>
          <w:p>
            <w:pPr>
              <w:spacing w:after="0"/>
              <w:rPr>
                <w:sz w:val="17"/>
                <w:szCs w:val="17"/>
                <w:color w:val="auto"/>
              </w:rPr>
            </w:pPr>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280" w:type="dxa"/>
            <w:vAlign w:val="bottom"/>
            <w:gridSpan w:val="1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560" w:type="dxa"/>
            <w:vAlign w:val="bottom"/>
            <w:gridSpan w:val="1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260" w:type="dxa"/>
            <w:vAlign w:val="bottom"/>
            <w:gridSpan w:val="9"/>
          </w:tcPr>
          <w:p>
            <w:pPr>
              <w:spacing w:after="0"/>
              <w:rPr>
                <w:sz w:val="17"/>
                <w:szCs w:val="17"/>
                <w:color w:val="auto"/>
              </w:rPr>
            </w:pPr>
          </w:p>
        </w:tc>
        <w:tc>
          <w:tcPr>
            <w:tcW w:w="246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8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DESCRIPTION OF OUR WARRANTS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tcPr>
          <w:p>
            <w:pPr>
              <w:spacing w:after="0"/>
              <w:rPr>
                <w:sz w:val="17"/>
                <w:szCs w:val="17"/>
                <w:color w:val="auto"/>
              </w:rPr>
            </w:pPr>
          </w:p>
        </w:tc>
        <w:tc>
          <w:tcPr>
            <w:tcW w:w="228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tcPr>
          <w:p>
            <w:pPr>
              <w:spacing w:after="0"/>
              <w:rPr>
                <w:sz w:val="17"/>
                <w:szCs w:val="17"/>
                <w:color w:val="auto"/>
              </w:rPr>
            </w:pPr>
          </w:p>
        </w:tc>
        <w:tc>
          <w:tcPr>
            <w:tcW w:w="64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4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320" w:hanging="532"/>
        <w:spacing w:after="0" w:line="312"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45" w:lineRule="exact"/>
        <w:rPr>
          <w:rFonts w:ascii="Times New Roman" w:cs="Times New Roman" w:eastAsia="Times New Roman" w:hAnsi="Times New Roman"/>
          <w:sz w:val="17"/>
          <w:szCs w:val="17"/>
          <w:color w:val="auto"/>
        </w:rPr>
      </w:pPr>
    </w:p>
    <w:p>
      <w:pPr>
        <w:jc w:val="both"/>
        <w:ind w:left="1080" w:right="14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2022 (the “2022 Annual Report”), Part I, Item 1A of our Quarterly Report on Form 10-Q for the quarter ended March 31, 2023 (the “1Q 2023 Quarterly Report”), Part I, Item 1A of our Quarterly Report on Form 10-Q for the quarter ended June 30, 2023 (the “2Q 2023 Quarterly Report”), Part I, Item 1A of our Quarterly Report on Form 10-Q for the quarter ended September 30, 2023 (the “3Q 2023 Quarterly Report”) any subsequent Quarterly Reports on Form 10-Q or Current Reports on Form 8-K we file after the date of this prospectus supplement, and those discussed in other documents we file with the SEC.</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our 2Q 2023 Quarterly Report and our 3Q 2023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4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200" w:hanging="523"/>
        <w:spacing w:after="0" w:line="28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right="20" w:hanging="523"/>
        <w:spacing w:after="0" w:line="26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left="300" w:right="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2023, we have originated more than $28.6 billion aggregate principal amount of investments and retained approximately $9.8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2023, our core portfolio companies, which excludes certain investments that fall outside of our typical borrower profile and represent 92.8% of our total investments based on fair value, had weighted average annual revenue of $209.0 million and weighted average annual EBITDA of $69.2 million.</w:t>
      </w:r>
    </w:p>
    <w:p>
      <w:pPr>
        <w:spacing w:after="0" w:line="183"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our portfolio based on fair value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September 30, 2023, the largest single investment based on fair value represented 2.5% of our total investment portfolio.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the average investment size in each of our portfolio companies was approximately $23.8 million based on fair value. Portfolio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includes investments in structured products including each series of collateralized loan obligation as a portfolio company investment.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When excluding investments in structured credit investments, the average investment in our remaining portfolio companies was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$34.4 million as of September 30, 2023. As of September 30, 2023, the largest industry represented 15.7% of our total portfolio based on fair value.</w:t>
      </w:r>
    </w:p>
    <w:p>
      <w:pPr>
        <w:spacing w:after="0" w:line="218"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3Q 2023 Quarterly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162"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3" w:lineRule="exact"/>
        <w:rPr>
          <w:sz w:val="20"/>
          <w:szCs w:val="20"/>
          <w:color w:val="auto"/>
        </w:rPr>
      </w:pPr>
    </w:p>
    <w:p>
      <w:pPr>
        <w:ind w:left="300" w:right="20" w:firstLine="426"/>
        <w:spacing w:after="0" w:line="269" w:lineRule="auto"/>
        <w:rPr>
          <w:sz w:val="20"/>
          <w:szCs w:val="20"/>
          <w:color w:val="auto"/>
        </w:rPr>
      </w:pPr>
      <w:r>
        <w:rPr>
          <w:rFonts w:ascii="Times New Roman" w:cs="Times New Roman" w:eastAsia="Times New Roman" w:hAnsi="Times New Roman"/>
          <w:sz w:val="17"/>
          <w:szCs w:val="17"/>
          <w:color w:val="auto"/>
        </w:rPr>
        <w:t>Sixth Street is a global investment business with over $75 billion of assets under management as of September 30,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82"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70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SPECIFIC TERMS OF THE NOTES AND THE OFFERING</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Sixth Street Specialty Lending, Inc., a Delaware corporation</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Title of the Securities</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Notes due</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Aggregate Principal Amount Being Offered</w:t>
            </w:r>
          </w:p>
        </w:tc>
        <w:tc>
          <w:tcPr>
            <w:tcW w:w="1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of the aggregate principal amount of Notes</w:t>
            </w: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9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2024</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 Date</w:t>
            </w:r>
          </w:p>
        </w:tc>
        <w:tc>
          <w:tcPr>
            <w:tcW w:w="19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2024</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9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and</w:t>
            </w:r>
          </w:p>
        </w:tc>
        <w:tc>
          <w:tcPr>
            <w:tcW w:w="2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commencing</w:t>
            </w: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 2024</w:t>
            </w:r>
          </w:p>
        </w:tc>
      </w:tr>
      <w:tr>
        <w:trPr>
          <w:trHeight w:val="47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Ranking of Notes</w:t>
            </w:r>
          </w:p>
        </w:tc>
        <w:tc>
          <w:tcPr>
            <w:tcW w:w="5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The Notes will be our direct, general unsecured obligations and will rank:</w:t>
            </w:r>
          </w:p>
        </w:tc>
      </w:tr>
    </w:tbl>
    <w:p>
      <w:pPr>
        <w:spacing w:after="0" w:line="117" w:lineRule="exact"/>
        <w:rPr>
          <w:sz w:val="20"/>
          <w:szCs w:val="20"/>
          <w:color w:val="auto"/>
        </w:rPr>
      </w:pPr>
    </w:p>
    <w:p>
      <w:pPr>
        <w:ind w:left="4840" w:right="40" w:hanging="289"/>
        <w:spacing w:after="0" w:line="282"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4840" w:right="100" w:hanging="289"/>
        <w:spacing w:after="0" w:line="253" w:lineRule="auto"/>
        <w:tabs>
          <w:tab w:leader="none" w:pos="4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September 30, 2023, approximately $347.5 million aggregate principal amount of outstanding indebtedness under our unsecured notes due November 2024, which we refer to as the 2024 Notes, approximately $300.0 million aggregate principal amount of outstanding indebtedness under our unsecured notes due August 2026, which we refer to as the 2026 Notes, and approximately $300.0 million aggregate principal amount of outstanding indebtedness under our unsecured notes due August 2028, which we refer to as the 2028 Notes;</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93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40" w:right="240" w:hanging="279"/>
        <w:spacing w:after="0" w:line="255" w:lineRule="auto"/>
        <w:tabs>
          <w:tab w:leader="none" w:pos="4820" w:val="left"/>
        </w:tabs>
        <w:rPr>
          <w:sz w:val="20"/>
          <w:szCs w:val="20"/>
          <w:color w:val="auto"/>
        </w:rPr>
      </w:pPr>
      <w:r>
        <w:rPr>
          <w:rFonts w:ascii="Times New Roman" w:cs="Times New Roman" w:eastAsia="Times New Roman" w:hAnsi="Times New Roman"/>
          <w:sz w:val="18"/>
          <w:szCs w:val="18"/>
          <w:color w:val="auto"/>
        </w:rPr>
        <w:t>•</w:t>
        <w:tab/>
        <w:t>Effectively subordinated, or junior, to any of our secured indebtedness or other obligations (including unsecured indebtedness that we later secure) to the extent of the value of the assets securing such indebtedness, including, without limitation, approximately $1,710.0 million aggregate principal amount of outstanding indebtedness as of September 30, 2023 under our Senior Secured Revolving Credit Agreement, dated August 23, 2012, as amended, which we refer to as the Revolving Credit Facility; and</w:t>
      </w:r>
    </w:p>
    <w:p>
      <w:pPr>
        <w:spacing w:after="0" w:line="94" w:lineRule="exact"/>
        <w:rPr>
          <w:sz w:val="20"/>
          <w:szCs w:val="20"/>
          <w:color w:val="auto"/>
        </w:rPr>
      </w:pPr>
    </w:p>
    <w:p>
      <w:pPr>
        <w:ind w:left="4840" w:right="220" w:hanging="279"/>
        <w:spacing w:after="0" w:line="266" w:lineRule="auto"/>
        <w:tabs>
          <w:tab w:leader="none" w:pos="4820" w:val="left"/>
        </w:tabs>
        <w:rPr>
          <w:sz w:val="20"/>
          <w:szCs w:val="20"/>
          <w:color w:val="auto"/>
        </w:rPr>
      </w:pPr>
      <w:r>
        <w:rPr>
          <w:rFonts w:ascii="Times New Roman" w:cs="Times New Roman" w:eastAsia="Times New Roman" w:hAnsi="Times New Roman"/>
          <w:sz w:val="18"/>
          <w:szCs w:val="18"/>
          <w:color w:val="auto"/>
        </w:rPr>
        <w:t>•</w:t>
        <w:tab/>
        <w:t>Structurally subordinated, or junior, to all existing and future indebtedness and other obligations (including trade payables) incurred by our subsidiaries, financing vehicles or similar facilities.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As of September 30, 2023, our total consolidated indebtedness was approximately</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$1,705.7 million aggregate principal amount outstanding, of which approximately</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$758.2 million was secured indebtedness at the TSLX level and none of which was</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indebtedness of our subsidiaries. After giving effect to the issuance of the Notes, and</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assuming the net proceeds therefrom are used to repay outstanding borrowings under the</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Revolving Credit Facility, our total consolidated indebtedness would have been</w:t>
            </w:r>
          </w:p>
        </w:tc>
      </w:tr>
      <w:tr>
        <w:trPr>
          <w:trHeight w:val="216"/>
        </w:trPr>
        <w:tc>
          <w:tcPr>
            <w:tcW w:w="2980" w:type="dxa"/>
            <w:vAlign w:val="bottom"/>
          </w:tcPr>
          <w:p>
            <w:pPr>
              <w:spacing w:after="0"/>
              <w:rPr>
                <w:sz w:val="18"/>
                <w:szCs w:val="18"/>
                <w:color w:val="auto"/>
              </w:rPr>
            </w:pPr>
          </w:p>
        </w:tc>
        <w:tc>
          <w:tcPr>
            <w:tcW w:w="2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approximately $</w:t>
            </w: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million aggregate principal amount outstanding as of</w:t>
            </w:r>
          </w:p>
        </w:tc>
      </w:tr>
      <w:tr>
        <w:trPr>
          <w:trHeight w:val="234"/>
        </w:trPr>
        <w:tc>
          <w:tcPr>
            <w:tcW w:w="2980" w:type="dxa"/>
            <w:vAlign w:val="bottom"/>
          </w:tcPr>
          <w:p>
            <w:pPr>
              <w:spacing w:after="0"/>
              <w:rPr>
                <w:sz w:val="20"/>
                <w:szCs w:val="20"/>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September 30, 2023. See “Capitalization”.</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2980" w:type="dxa"/>
            <w:vAlign w:val="bottom"/>
          </w:tcPr>
          <w:p>
            <w:pPr>
              <w:spacing w:after="0"/>
              <w:rPr>
                <w:sz w:val="20"/>
                <w:szCs w:val="20"/>
                <w:color w:val="auto"/>
              </w:rPr>
            </w:pPr>
          </w:p>
        </w:tc>
        <w:tc>
          <w:tcPr>
            <w:tcW w:w="2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excess thereof.</w:t>
            </w:r>
          </w:p>
        </w:tc>
        <w:tc>
          <w:tcPr>
            <w:tcW w:w="5200" w:type="dxa"/>
            <w:vAlign w:val="bottom"/>
          </w:tcPr>
          <w:p>
            <w:pPr>
              <w:spacing w:after="0"/>
              <w:rPr>
                <w:sz w:val="20"/>
                <w:szCs w:val="20"/>
                <w:color w:val="auto"/>
              </w:rPr>
            </w:pP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We may redeem some or all of the Notes, in whole or in part, at any time, or from time to</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time, at a redemption price, prior to Par Call Date, equal to the greater of (1) (a) the sum of</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r>
      <w:tr>
        <w:trPr>
          <w:trHeight w:val="216"/>
        </w:trPr>
        <w:tc>
          <w:tcPr>
            <w:tcW w:w="2980" w:type="dxa"/>
            <w:vAlign w:val="bottom"/>
          </w:tcPr>
          <w:p>
            <w:pPr>
              <w:spacing w:after="0"/>
              <w:rPr>
                <w:sz w:val="18"/>
                <w:szCs w:val="18"/>
                <w:color w:val="auto"/>
              </w:rPr>
            </w:pPr>
          </w:p>
        </w:tc>
        <w:tc>
          <w:tcPr>
            <w:tcW w:w="2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Treasury Rate plus</w:t>
            </w: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basis points less (b) interest accrued to the date of redemption, and</w:t>
            </w:r>
          </w:p>
        </w:tc>
      </w:tr>
      <w:tr>
        <w:trPr>
          <w:trHeight w:val="214"/>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 plus, in either case, accrued</w:t>
            </w:r>
          </w:p>
        </w:tc>
      </w:tr>
      <w:tr>
        <w:trPr>
          <w:trHeight w:val="218"/>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xml:space="preserve">and unpaid interest thereon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any Notes on or after the Par Call Date, the redemption price for the Notes will be equal to</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plus accrued and unpaid interest</w:t>
            </w:r>
          </w:p>
        </w:tc>
      </w:tr>
      <w:tr>
        <w:trPr>
          <w:trHeight w:val="216"/>
        </w:trPr>
        <w:tc>
          <w:tcPr>
            <w:tcW w:w="2980" w:type="dxa"/>
            <w:vAlign w:val="bottom"/>
          </w:tcPr>
          <w:p>
            <w:pPr>
              <w:spacing w:after="0"/>
              <w:rPr>
                <w:sz w:val="18"/>
                <w:szCs w:val="18"/>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thereon to the redemption date. Any exercise of our option to redeem the Notes will be</w:t>
            </w:r>
          </w:p>
        </w:tc>
      </w:tr>
      <w:tr>
        <w:trPr>
          <w:trHeight w:val="234"/>
        </w:trPr>
        <w:tc>
          <w:tcPr>
            <w:tcW w:w="2980" w:type="dxa"/>
            <w:vAlign w:val="bottom"/>
          </w:tcPr>
          <w:p>
            <w:pPr>
              <w:spacing w:after="0"/>
              <w:rPr>
                <w:sz w:val="20"/>
                <w:szCs w:val="20"/>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done in compliance with the 1940 Act.</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The Notes will not be subject to any sinking fund. A sinking fund is a reserve fund</w:t>
            </w:r>
          </w:p>
        </w:tc>
      </w:tr>
      <w:tr>
        <w:trPr>
          <w:trHeight w:val="234"/>
        </w:trPr>
        <w:tc>
          <w:tcPr>
            <w:tcW w:w="2980" w:type="dxa"/>
            <w:vAlign w:val="bottom"/>
          </w:tcPr>
          <w:p>
            <w:pPr>
              <w:spacing w:after="0"/>
              <w:rPr>
                <w:sz w:val="20"/>
                <w:szCs w:val="20"/>
                <w:color w:val="auto"/>
              </w:rPr>
            </w:pPr>
          </w:p>
        </w:tc>
        <w:tc>
          <w:tcPr>
            <w:tcW w:w="80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accumulated over a period of time for the retirement of debt.</w:t>
            </w:r>
          </w:p>
        </w:tc>
      </w:tr>
      <w:tr>
        <w:trPr>
          <w:trHeight w:val="159"/>
        </w:trPr>
        <w:tc>
          <w:tcPr>
            <w:tcW w:w="29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28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S-6</w:t>
            </w:r>
          </w:p>
        </w:tc>
        <w:tc>
          <w:tcPr>
            <w:tcW w:w="5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7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 to Purchase upon a Change of Control</w:t>
            </w:r>
          </w:p>
        </w:tc>
        <w:tc>
          <w:tcPr>
            <w:tcW w:w="72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w:t>
            </w:r>
          </w:p>
        </w:tc>
      </w:tr>
      <w:tr>
        <w:trPr>
          <w:trHeight w:val="216"/>
        </w:trPr>
        <w:tc>
          <w:tcPr>
            <w:tcW w:w="37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Repurchase Event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exercised our right to redeem the Notes in full, holders will have the right, at their option,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require us to repurchase for cash some or all of the Notes at a repurchase price equal to</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100% of the principal amount of the Notes being repurchased, plus accrued and unpaid</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legal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can legally release ourselves from all</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payment and other obligations on the Notes.</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covenant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will be released from some of the restrictive</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covenants in the indenture.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name of The Depository Trust Company, or DTC, or its nominee. This means that,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except in limited circumstances, you will not receive certificates for the Notes. Beneficial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Investors may elect to hold interests in the Notes through either DTC, if they are a</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participant, or indirectly through organizations that are participants in DTC.</w:t>
            </w:r>
          </w:p>
        </w:tc>
      </w:tr>
      <w:tr>
        <w:trPr>
          <w:trHeight w:val="459"/>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an event of default (as described under “Description of Notes”) on the Notes occurs,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immediately due and payable, subject to conditions set forth in the indenture. These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amounts automatically become due and payable in the case of certain types of bankruptcy</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or insolvency events involving us.</w:t>
            </w:r>
          </w:p>
        </w:tc>
      </w:tr>
      <w:tr>
        <w:trPr>
          <w:trHeight w:val="159"/>
        </w:trPr>
        <w:tc>
          <w:tcPr>
            <w:tcW w:w="3780" w:type="dxa"/>
            <w:vAlign w:val="bottom"/>
            <w:tcBorders>
              <w:left w:val="single" w:sz="8" w:color="auto"/>
              <w:bottom w:val="single" w:sz="8" w:color="auto"/>
            </w:tcBorders>
          </w:tcPr>
          <w:p>
            <w:pPr>
              <w:spacing w:after="0"/>
              <w:rPr>
                <w:sz w:val="13"/>
                <w:szCs w:val="13"/>
                <w:color w:val="auto"/>
              </w:rPr>
            </w:pPr>
          </w:p>
        </w:tc>
        <w:tc>
          <w:tcPr>
            <w:tcW w:w="7240" w:type="dxa"/>
            <w:vAlign w:val="bottom"/>
            <w:tcBorders>
              <w:bottom w:val="single" w:sz="8" w:color="auto"/>
              <w:right w:val="single" w:sz="8" w:color="auto"/>
            </w:tcBorders>
          </w:tcPr>
          <w:p>
            <w:pPr>
              <w:spacing w:after="0"/>
              <w:rPr>
                <w:sz w:val="13"/>
                <w:szCs w:val="13"/>
                <w:color w:val="auto"/>
              </w:rPr>
            </w:pPr>
          </w:p>
        </w:tc>
      </w:tr>
      <w:tr>
        <w:trPr>
          <w:trHeight w:val="361"/>
        </w:trPr>
        <w:tc>
          <w:tcPr>
            <w:tcW w:w="3780" w:type="dxa"/>
            <w:vAlign w:val="bottom"/>
          </w:tcPr>
          <w:p>
            <w:pPr>
              <w:spacing w:after="0"/>
              <w:rPr>
                <w:sz w:val="24"/>
                <w:szCs w:val="24"/>
                <w:color w:val="auto"/>
              </w:rPr>
            </w:pPr>
          </w:p>
        </w:tc>
        <w:tc>
          <w:tcPr>
            <w:tcW w:w="72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7220" w:type="dxa"/>
            <w:vAlign w:val="bottom"/>
            <w:tcBorders>
              <w:top w:val="single" w:sz="8" w:color="auto"/>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In addition to the covenants described in the accompanying prospectus, the following</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covenants shall apply to the Notes:</w:t>
            </w:r>
          </w:p>
        </w:tc>
      </w:tr>
      <w:tr>
        <w:trPr>
          <w:trHeight w:val="319"/>
        </w:trPr>
        <w:tc>
          <w:tcPr>
            <w:tcW w:w="3800" w:type="dxa"/>
            <w:vAlign w:val="bottom"/>
            <w:tcBorders>
              <w:left w:val="single" w:sz="8" w:color="auto"/>
            </w:tcBorders>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agree that for the period of time during which the Notes are outstanding, we will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violate, whether or not we are subject thereto, Section 18(a)(1)(A) as modified</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Section 61(a) of the 1940 Act or any successor provisions, but giving effect, in</w:t>
            </w:r>
          </w:p>
        </w:tc>
      </w:tr>
      <w:tr>
        <w:trPr>
          <w:trHeight w:val="234"/>
        </w:trPr>
        <w:tc>
          <w:tcPr>
            <w:tcW w:w="380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either case, to any exemptive relief granted to us by the SEC.</w:t>
            </w:r>
          </w:p>
        </w:tc>
      </w:tr>
      <w:tr>
        <w:trPr>
          <w:trHeight w:val="319"/>
        </w:trPr>
        <w:tc>
          <w:tcPr>
            <w:tcW w:w="3800" w:type="dxa"/>
            <w:vAlign w:val="bottom"/>
            <w:tcBorders>
              <w:left w:val="single" w:sz="8" w:color="auto"/>
            </w:tcBorders>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15(d) of the Exchange Act to file any periodic reports with the SEC, we agree to</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furnish to holders of the Notes and the Trustee, for the period of time during which</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are outstanding, our audited annual consolidated financial statements,</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within 90 days of our fiscal year end, and unaudited interim consolidated financial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statements, within 45 days of our fiscal quarter end (other than our fourth fiscal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quarter). All such financial statements will be prepared, in all material respects, in</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accordance with applicable United States generally accepted accounting principles,</w:t>
            </w:r>
          </w:p>
        </w:tc>
      </w:tr>
      <w:tr>
        <w:trPr>
          <w:trHeight w:val="234"/>
        </w:trPr>
        <w:tc>
          <w:tcPr>
            <w:tcW w:w="380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GAAP.</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not be listed on any securities exchange or quoted on any automated dealer quotation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system. Although certain of the underwriters have informed us that they currently intend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make a market in the Notes, as permitted by applicable laws and regulations, they are not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obligated to do so and may discontinue any such market making activities at any time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without notice. See “Underwriting.” Accordingly, we cannot assure you that a liquid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market for the Notes will develop or be maintained.</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or liability for the performance by DTC or its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participants or indirect participants of their respective obligations under the rules and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procedures governing their operations.</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State of New York.</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set out below and the risk factors incorporated by reference in Part I, Item 1A, “Risk Factors,” in our 2022 Annual Report, Part I, Item IA, “Risk Factors,” in our Q1 2023 Quarterly Report, our Q2 2023 Quarterly Report and our Q3 2023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2022 Annual Report, our Q1 2023 Quarterly Report, Q2 2023 Quarterly Report, Q3 2023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2023, we had approximately $758.2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5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2023 our total consolidated indebtedness was approximately $1,705.7 million aggregate principal amount outstanding, of which approximately $758.2 million was secured indebtedness at the TSLX level and none of which was indebtedness of our subsidiaries, and approximately $947.5 million aggregate principal amount was unsecured indebtedness.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indebtedness;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and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85" w:lineRule="exact"/>
        <w:rPr>
          <w:sz w:val="20"/>
          <w:szCs w:val="20"/>
          <w:color w:val="auto"/>
        </w:rPr>
      </w:pPr>
    </w:p>
    <w:p>
      <w:pPr>
        <w:ind w:left="1080" w:right="340" w:hanging="532"/>
        <w:spacing w:after="0" w:line="25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under the 2024 Notes, 2026 Notes or 2028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could proceed against the collateral securing the debt. Because our Revolving Credit Facility, 2024 Notes, 2026 Notes and 2028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Repurchase Event.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2024 Notes, 2026 Notes and 2028 Notes each contain a provision that would require us to offer to purchase the respective 2024 Notes, 2026 Notes or 2028 Notes upon the occurrence of a fundamental change.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that an active trading market will be maintained for the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442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962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r>
      <w:tr>
        <w:trPr>
          <w:trHeight w:val="414"/>
        </w:trPr>
        <w:tc>
          <w:tcPr>
            <w:tcW w:w="5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 $</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million aggregate principal amount of Notes in this offering will be</w:t>
            </w:r>
          </w:p>
        </w:tc>
      </w:tr>
      <w:tr>
        <w:trPr>
          <w:trHeight w:val="234"/>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approximately $</w:t>
            </w:r>
          </w:p>
        </w:tc>
        <w:tc>
          <w:tcPr>
            <w:tcW w:w="9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million, after deducting the underwriting discounts and commissions and estimated offering expenses payable by us.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September 30,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23, 2027 with respect to $170.0 million of commitments. As of September 30, 2023,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2 of our 3Q 2023 Quarterly Report.</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4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September 30, 2023. You should read this table together with “Use of Proceeds” described in this prospectus supplement and our most recent balance sheet included in our 2023 3Q Quarterly Report incorporated by reference in this prospectus supplement.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06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 (unaudited)</w:t>
            </w: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29,880</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25"/>
                <w:szCs w:val="25"/>
                <w:b w:val="1"/>
                <w:bCs w:val="1"/>
                <w:color w:val="auto"/>
                <w:vertAlign w:val="superscript"/>
              </w:rPr>
              <w:t>(1)</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758,247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1,705,747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w:t>
            </w: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9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88,210,748 shares issued</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87,546,498 shares outstanding</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1,401,245</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94,154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1,485,822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9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3,221,449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80" w:hanging="424"/>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September 30, 2023. Outstanding indebtedness under the Revolving Credit Facility was $889.7 million as of December 31, 2023. The net proceeds from the sale of the Notes in this offering are expected to be used to pay down outstanding indebtedness under the Revolving Credit Facility. See “Use of Proceeds” in this prospectus supplement.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particular terms of the % Notes due supplements and, to the extent inconsistent therewith, replaces the description of the general terms and provisions of the debt securities set forth in the accompanying prospectus.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Notes under a base indenture dated as of the settlement date, between us and U.S. Bank Trust Company, National Association, as trustee (the “trustee”), as supplemented by a separate supplemental indenture, dated as of the settlement date of the Notes (the “first supplemental indenture”). As used in this section, all references to the indenture mean the base indenture as supplemented by the first supplemental indenture. The terms of the Notes include those expressly set forth in the indenture and those made part of the indenture by reference to the Trust Indenture Act of 1939, as amended, or the TIA.</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will be issued in an aggregate principal amount of $</w:t>
            </w:r>
          </w:p>
        </w:tc>
        <w:tc>
          <w:tcPr>
            <w:tcW w:w="3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million;</w:t>
            </w: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will mature on</w:t>
            </w: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unless earlier redeemed or repurchased, as discussed below;</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 bear cash interest from</w:t>
            </w:r>
          </w:p>
        </w:tc>
        <w:tc>
          <w:tcPr>
            <w:tcW w:w="4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2024 at an annual rate of   % payable semi-annually on</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w:t>
            </w:r>
          </w:p>
        </w:tc>
        <w:tc>
          <w:tcPr>
            <w:tcW w:w="13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of each year,</w:t>
            </w:r>
          </w:p>
        </w:tc>
      </w:tr>
      <w:tr>
        <w:trPr>
          <w:trHeight w:val="234"/>
        </w:trPr>
        <w:tc>
          <w:tcPr>
            <w:tcW w:w="300" w:type="dxa"/>
            <w:vAlign w:val="bottom"/>
          </w:tcPr>
          <w:p>
            <w:pPr>
              <w:spacing w:after="0"/>
              <w:rPr>
                <w:sz w:val="20"/>
                <w:szCs w:val="20"/>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on</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2024;</w:t>
            </w:r>
          </w:p>
        </w:tc>
        <w:tc>
          <w:tcPr>
            <w:tcW w:w="1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03"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“—Optional Redemption;”</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“—Book-Entry, Settlement and Clearance.”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be part of the same issue as the Notes for U.S. federal income tax purposes.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Notes bear cash interest at a rate of % per year until maturity. Interest on the Notes will accrue from recent date on which interest has been paid or duly provided for. Interest is payable semiannually in arrears on beginning on , 2024.</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2024 or from the most</w:t>
      </w:r>
    </w:p>
    <w:p>
      <w:pPr>
        <w:spacing w:after="0" w:line="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7"/>
          <w:szCs w:val="17"/>
          <w:color w:val="auto"/>
        </w:rPr>
        <w:t>of each year,</w:t>
      </w:r>
    </w:p>
    <w:p>
      <w:pPr>
        <w:spacing w:after="0" w:line="434" w:lineRule="exact"/>
        <w:rPr>
          <w:sz w:val="20"/>
          <w:szCs w:val="20"/>
          <w:color w:val="auto"/>
        </w:rPr>
      </w:pPr>
    </w:p>
    <w:p>
      <w:pPr>
        <w:sectPr>
          <w:pgSz w:w="11900" w:h="16838" w:orient="portrait"/>
          <w:cols w:equalWidth="0" w:num="2">
            <w:col w:w="8240" w:space="620"/>
            <w:col w:w="2260"/>
          </w:cols>
          <w:pgMar w:left="320" w:top="455" w:right="459" w:bottom="1440" w:gutter="0" w:footer="0" w:header="0"/>
          <w:type w:val="continuous"/>
        </w:sectPr>
      </w:pPr>
    </w:p>
    <w:p>
      <w:pPr>
        <w:ind w:left="560"/>
        <w:spacing w:after="0"/>
        <w:tabs>
          <w:tab w:leader="none" w:pos="10760" w:val="left"/>
        </w:tabs>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w:t>
      </w:r>
      <w:r>
        <w:rPr>
          <w:sz w:val="20"/>
          <w:szCs w:val="20"/>
          <w:color w:val="auto"/>
        </w:rPr>
        <w:tab/>
      </w:r>
      <w:r>
        <w:rPr>
          <w:rFonts w:ascii="Times New Roman" w:cs="Times New Roman" w:eastAsia="Times New Roman" w:hAnsi="Times New Roman"/>
          <w:sz w:val="16"/>
          <w:szCs w:val="16"/>
          <w:color w:val="auto"/>
        </w:rPr>
        <w:t>or</w:t>
      </w:r>
    </w:p>
    <w:p>
      <w:pPr>
        <w:sectPr>
          <w:pgSz w:w="11900" w:h="16838" w:orient="portrait"/>
          <w:cols w:equalWidth="0" w:num="1">
            <w:col w:w="11120"/>
          </w:cols>
          <w:pgMar w:left="320" w:top="455" w:right="459" w:bottom="1440" w:gutter="0" w:footer="0" w:header="0"/>
          <w:type w:val="continuous"/>
        </w:sectPr>
      </w:pPr>
    </w:p>
    <w:p>
      <w:pPr>
        <w:spacing w:after="0" w:line="27" w:lineRule="exact"/>
        <w:rPr>
          <w:sz w:val="20"/>
          <w:szCs w:val="20"/>
          <w:color w:val="auto"/>
        </w:rPr>
      </w:pPr>
    </w:p>
    <w:p>
      <w:pPr>
        <w:ind w:left="120" w:right="220" w:firstLine="765"/>
        <w:spacing w:after="0" w:line="260" w:lineRule="auto"/>
        <w:rPr>
          <w:sz w:val="20"/>
          <w:szCs w:val="20"/>
          <w:color w:val="auto"/>
        </w:rPr>
      </w:pPr>
      <w:r>
        <w:rPr>
          <w:rFonts w:ascii="Times New Roman" w:cs="Times New Roman" w:eastAsia="Times New Roman" w:hAnsi="Times New Roman"/>
          <w:sz w:val="18"/>
          <w:szCs w:val="18"/>
          <w:color w:val="auto"/>
        </w:rPr>
        <w:t>(whether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our direct, general unsecured obligations that rank:</w:t>
      </w:r>
    </w:p>
    <w:p>
      <w:pPr>
        <w:spacing w:after="0" w:line="131" w:lineRule="exact"/>
        <w:rPr>
          <w:sz w:val="20"/>
          <w:szCs w:val="20"/>
          <w:color w:val="auto"/>
        </w:rPr>
      </w:pPr>
    </w:p>
    <w:p>
      <w:pPr>
        <w:ind w:left="1080" w:right="5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September 30, 2023, approximately $347.5 million aggregate principal amount of outstanding indebtedness under our 2024 Notes, approximately $300.0 million aggregate principal amount of outstanding indebtedness under our 2026 Notes, and approximately $300.0 million aggregate principal amount of outstanding indebtedness under our 2028 Notes;</w:t>
      </w:r>
    </w:p>
    <w:p>
      <w:pPr>
        <w:spacing w:after="0" w:line="85"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$1,710.0 million aggregate principal amount of outstanding indebtedness as of September 30, 2023 under the Revolving Credit Facility; and</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62"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As of September 30, 2023, our total consolidated indebtedness was approximately $1,705.7 million aggregate principal amount outstanding, of which approximately $758.2 million was secured indebtedness at the TSLX level and none of which was indebtedness of our subsidiaries. After giving effect to the issuance of the Notes, and assuming the net proceeds therefrom are used to repay outstanding borrowings under the Revolving Credit</w:t>
      </w:r>
    </w:p>
    <w:p>
      <w:pPr>
        <w:spacing w:after="0" w:line="2" w:lineRule="exact"/>
        <w:rPr>
          <w:sz w:val="20"/>
          <w:szCs w:val="20"/>
          <w:color w:val="auto"/>
        </w:rPr>
      </w:pPr>
    </w:p>
    <w:p>
      <w:pPr>
        <w:ind w:left="120" w:right="780"/>
        <w:spacing w:after="0" w:line="260" w:lineRule="auto"/>
        <w:rPr>
          <w:sz w:val="20"/>
          <w:szCs w:val="20"/>
          <w:color w:val="auto"/>
        </w:rPr>
      </w:pPr>
      <w:r>
        <w:rPr>
          <w:rFonts w:ascii="Times New Roman" w:cs="Times New Roman" w:eastAsia="Times New Roman" w:hAnsi="Times New Roman"/>
          <w:sz w:val="18"/>
          <w:szCs w:val="18"/>
          <w:color w:val="auto"/>
        </w:rPr>
        <w:t>Facility, our total consolidated indebtedness would have been approximately $ million aggregate principal amount outstanding as of September 30, 2023. See “Capitalization.”</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tabs>
          <w:tab w:leader="none" w:pos="8740" w:val="left"/>
          <w:tab w:leader="none" w:pos="9560" w:val="left"/>
        </w:tabs>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Prior 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month[s] prior to</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73" w:lineRule="exact"/>
        <w:rPr>
          <w:sz w:val="20"/>
          <w:szCs w:val="20"/>
          <w:color w:val="auto"/>
        </w:rPr>
      </w:pPr>
    </w:p>
    <w:p>
      <w:pPr>
        <w:ind w:left="1100" w:right="200" w:firstLine="7"/>
        <w:spacing w:after="0" w:line="261" w:lineRule="auto"/>
        <w:tabs>
          <w:tab w:leader="none" w:pos="1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w:t>
      </w:r>
    </w:p>
    <w:p>
      <w:pPr>
        <w:ind w:left="1100"/>
        <w:spacing w:after="0"/>
        <w:tabs>
          <w:tab w:leader="none" w:pos="4320" w:val="left"/>
        </w:tabs>
        <w:rPr>
          <w:sz w:val="20"/>
          <w:szCs w:val="20"/>
          <w:color w:val="auto"/>
        </w:rPr>
      </w:pPr>
      <w:r>
        <w:rPr>
          <w:rFonts w:ascii="Times New Roman" w:cs="Times New Roman" w:eastAsia="Times New Roman" w:hAnsi="Times New Roman"/>
          <w:sz w:val="18"/>
          <w:szCs w:val="18"/>
          <w:color w:val="auto"/>
        </w:rPr>
        <w:t>months) at the Treasury Rate plus</w:t>
      </w:r>
      <w:r>
        <w:rPr>
          <w:sz w:val="20"/>
          <w:szCs w:val="20"/>
          <w:color w:val="auto"/>
        </w:rPr>
        <w:tab/>
      </w:r>
      <w:r>
        <w:rPr>
          <w:rFonts w:ascii="Times New Roman" w:cs="Times New Roman" w:eastAsia="Times New Roman" w:hAnsi="Times New Roman"/>
          <w:sz w:val="18"/>
          <w:szCs w:val="18"/>
          <w:color w:val="auto"/>
        </w:rPr>
        <w:t>basis points less (b) interest accrued to the date of redemption, and</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center"/>
        <w:ind w:right="60"/>
        <w:spacing w:after="0" w:line="454"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 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facility. In addition, the indentures governing the 2024 Notes, 2026 Notes and 2028 Notes each contains a provision that would require us to offer to purchase the respective 2024 Notes, 2026 Notes or 2028 Notes upon the occurrence of a fundamental change. A failure to purchase any tendered 2024 Notes, 2026 Notes or 2028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Q3 2023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1080" w:right="140" w:hanging="532"/>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Ratings, Inc., also known as Fitch Ratings, or any successor thereto.</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secured debt instrument of TSLX or its Controlled Subsidiaries shall not be deemed to be any such sale, transfer, lease, conveyance or disposition) in any one transaction or series of related transactions unless:</w:t>
      </w:r>
    </w:p>
    <w:p>
      <w:pPr>
        <w:spacing w:after="0" w:line="67" w:lineRule="exact"/>
        <w:rPr>
          <w:sz w:val="20"/>
          <w:szCs w:val="20"/>
          <w:color w:val="auto"/>
        </w:rPr>
      </w:pPr>
    </w:p>
    <w:p>
      <w:pPr>
        <w:ind w:left="1080" w:right="6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85"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right="3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1" w:lineRule="exact"/>
        <w:rPr>
          <w:rFonts w:ascii="Times New Roman" w:cs="Times New Roman" w:eastAsia="Times New Roman" w:hAnsi="Times New Roman"/>
          <w:sz w:val="18"/>
          <w:szCs w:val="18"/>
          <w:color w:val="auto"/>
        </w:rPr>
      </w:pPr>
    </w:p>
    <w:p>
      <w:pPr>
        <w:ind w:left="1080" w:right="340" w:hanging="532"/>
        <w:spacing w:after="0" w:line="276"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08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99" w:lineRule="exact"/>
        <w:rPr>
          <w:rFonts w:ascii="Times New Roman" w:cs="Times New Roman" w:eastAsia="Times New Roman" w:hAnsi="Times New Roman"/>
          <w:sz w:val="17"/>
          <w:szCs w:val="17"/>
          <w:color w:val="auto"/>
        </w:rPr>
      </w:pPr>
    </w:p>
    <w:p>
      <w:pPr>
        <w:ind w:left="1080" w:right="10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81"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Within 90 days after the occurrence of any default under the indenture with respect to the Notes, the trustee shall transmit notice of such default actually known to a responsible officer of the trustee, unless such default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10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5"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94"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“straddle”, “hedge”, “conversion transaction,” “synthetic security” or other integrated investment;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or Notes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alien individuals present in the United States for more than 182 days in a taxable year;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 have a “functional currency” other than the U.S. dollar.</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a Note that is, for U.S. federal income tax purposes, an individual who is a citizen or resident of the United States or a domestic corporation, an estate the income of which is subject to United States federal income taxation regardless of its source, 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The term “non-U.S. Holder” means a beneficial owner of a Note that is not a U.S. Holder. If a partnership (including 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U.S. Holders of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If the Notes are issued at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discount, a U.S. Holder will be required to include the difference in income as original issue discount in accordance with a “constant-yield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before the receipt of cash attributable to such income, regardless of the U.S. Holder’s regular method of accounting for U.S. federal income tax purposes. A U.S. Holder is urged to consult its own tax advisor in the event the Notes are issued with original issue discount.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Taxable Disposition of Notes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taxable gain or loss upon the sale, exchange, retirement or other taxable disposition of a Note equal to the difference between the amount realized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to Non-U.S. Holders of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67" w:lineRule="exact"/>
        <w:rPr>
          <w:sz w:val="20"/>
          <w:szCs w:val="20"/>
          <w:color w:val="auto"/>
        </w:rPr>
      </w:pPr>
    </w:p>
    <w:p>
      <w:pPr>
        <w:ind w:left="1080" w:right="2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that is related to us (actually or constructively) through sufficient stock ownership;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Retirement of Notes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 Non-U.S. Holder generally will not be subject to 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on gain recognized on a sale, exchange or retirement of Notes.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on the Notes made to, and the proceeds of dispositions of Notes effected by, certain U.S. taxpayers. In addition, certain U.S. taxpayers may be subject to backup withholding tax in respect of such payments if they do not provide their taxpayer identification numbers to the person from whom they receive payments and a certification that they are not subject to backup withholding or if they fail to report in full dividend and interest income. Non-U.S. taxpayers may be required to comply with applicable certification procedures to establish that they are not U.S. taxpayers in order to avoid the application of such information reporting requirements and backup withholding. Any amounts withheld under the backup withholding rules from a payment to a U.S. or Non-U.S. taxpayer generally would be allowed as a refund or a credit against such Holder’s U.S. federal income tax provided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Accordingly, the entity through which the Notes are held will affect the determination of whether such withholding is required.</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will be required to seek a credit or refund from the IRS to obtain the benefit of such exemption or reduction, if any. We will not pay additional amounts to holders of the Notes in respect of any amounts withheld.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entirely. Prospective holders should consult their own tax advisors regarding the potential application of withholding under FATCA to their investment in the Notes.</w:t>
      </w:r>
    </w:p>
    <w:p>
      <w:pPr>
        <w:spacing w:after="0" w:line="1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7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7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Per Note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87" w:lineRule="exact"/>
        <w:rPr>
          <w:sz w:val="20"/>
          <w:szCs w:val="20"/>
          <w:color w:val="auto"/>
        </w:rPr>
      </w:pPr>
    </w:p>
    <w:p>
      <w:pPr>
        <w:ind w:left="560"/>
        <w:spacing w:after="0"/>
        <w:tabs>
          <w:tab w:leader="none" w:pos="7600" w:val="left"/>
        </w:tabs>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r>
        <w:rPr>
          <w:sz w:val="20"/>
          <w:szCs w:val="20"/>
          <w:color w:val="auto"/>
        </w:rPr>
        <w:tab/>
      </w:r>
      <w:r>
        <w:rPr>
          <w:rFonts w:ascii="Times New Roman" w:cs="Times New Roman" w:eastAsia="Times New Roman" w:hAnsi="Times New Roman"/>
          <w:sz w:val="18"/>
          <w:szCs w:val="18"/>
          <w:color w:val="auto"/>
        </w:rPr>
        <w:t>million and are payable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Certain funds or accounts managed by affiliates of the Adviser may purchase Notes in the transaction through the underwriters at the public offering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560"/>
        <w:spacing w:after="0"/>
        <w:tabs>
          <w:tab w:leader="none" w:pos="6600" w:val="left"/>
          <w:tab w:leader="none" w:pos="9100" w:val="left"/>
        </w:tabs>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w:t>
      </w:r>
      <w:r>
        <w:rPr>
          <w:sz w:val="20"/>
          <w:szCs w:val="20"/>
          <w:color w:val="auto"/>
        </w:rPr>
        <w:tab/>
      </w:r>
      <w:r>
        <w:rPr>
          <w:rFonts w:ascii="Times New Roman" w:cs="Times New Roman" w:eastAsia="Times New Roman" w:hAnsi="Times New Roman"/>
          <w:sz w:val="18"/>
          <w:szCs w:val="18"/>
          <w:color w:val="auto"/>
        </w:rPr>
        <w:t>, 2024, which will be the</w:t>
      </w:r>
      <w:r>
        <w:rPr>
          <w:sz w:val="20"/>
          <w:szCs w:val="20"/>
          <w:color w:val="auto"/>
        </w:rPr>
        <w:tab/>
      </w:r>
      <w:r>
        <w:rPr>
          <w:rFonts w:ascii="Times New Roman" w:cs="Times New Roman" w:eastAsia="Times New Roman" w:hAnsi="Times New Roman"/>
          <w:sz w:val="17"/>
          <w:szCs w:val="17"/>
          <w:color w:val="auto"/>
        </w:rPr>
        <w:t>business day following the</w:t>
      </w:r>
    </w:p>
    <w:p>
      <w:pPr>
        <w:spacing w:after="0" w:line="27" w:lineRule="exact"/>
        <w:rPr>
          <w:sz w:val="20"/>
          <w:szCs w:val="20"/>
          <w:color w:val="auto"/>
        </w:rPr>
      </w:pPr>
    </w:p>
    <w:p>
      <w:pPr>
        <w:ind w:left="120" w:right="80"/>
        <w:spacing w:after="0" w:line="186" w:lineRule="auto"/>
        <w:rPr>
          <w:sz w:val="20"/>
          <w:szCs w:val="20"/>
          <w:color w:val="auto"/>
        </w:rPr>
      </w:pPr>
      <w:r>
        <w:rPr>
          <w:rFonts w:ascii="Times New Roman" w:cs="Times New Roman" w:eastAsia="Times New Roman" w:hAnsi="Times New Roman"/>
          <w:sz w:val="12"/>
          <w:szCs w:val="12"/>
          <w:color w:val="auto"/>
        </w:rPr>
        <w:t>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right="80"/>
        <w:spacing w:after="0" w:line="532" w:lineRule="auto"/>
        <w:rPr>
          <w:sz w:val="20"/>
          <w:szCs w:val="20"/>
          <w:color w:val="auto"/>
        </w:rPr>
      </w:pPr>
      <w:r>
        <w:rPr>
          <w:rFonts w:ascii="Times New Roman" w:cs="Times New Roman" w:eastAsia="Times New Roman" w:hAnsi="Times New Roman"/>
          <w:sz w:val="18"/>
          <w:szCs w:val="18"/>
          <w:color w:val="auto"/>
        </w:rPr>
        <w:t>will be required by virtue of the fact that the Notes initially settle in T+ , to specify an alternate settlement arrangement at the time of any such days should consult their advisors.</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BofA Securities, Inc. is One Bryant Park, New York, NY 10036. The principal business address of Goldman Sachs &amp; Co. LLC is 200 West Street New York, NY 10282. The principal business address of J.P. Morgan Securities LLC is 383 Madison Avenue, New York, NY 10179. The principal business address of SMBC Nikko Securities America, Inc. is 277 Park Avenue, New York, NY 10172.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76" w:lineRule="exact"/>
        <w:rPr>
          <w:sz w:val="20"/>
          <w:szCs w:val="20"/>
          <w:color w:val="auto"/>
        </w:rPr>
      </w:pPr>
    </w:p>
    <w:p>
      <w:pPr>
        <w:ind w:left="120" w:right="5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the Company and the underwriters in the offering are exempt from the requirement to</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provide Canadian investors with certain conflicts of interest disclosure pertaining to “connected issuer” and/or “related issuer” relationships as would otherwise be required pursuant to subsection 2.1(1) of NI 33-105.</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or, in Ontario, as such term is defined in 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and (iii) a “permitted client”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 both, in addition to any other rights they may have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840"/>
          </w:cols>
          <w:pgMar w:left="320" w:top="455"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February 16, 2023 (the “2022 Annual Report”);</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three months ended March 31, 2023, filed with the SEC on </w:t>
      </w:r>
      <w:hyperlink r:id="rId61">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“1Q 2023 Quarterly Report”), our Quarterly Report on Form 10-Q for the three months ended June 30, 2023, filed with the SEC on </w:t>
      </w:r>
      <w:hyperlink r:id="rId62">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(the “2Q 2023 Quarterly Report”) our Quarterly Report on Form 10-Q for the three months ended September 30, 2023, filed with the SEC on </w:t>
      </w:r>
      <w:hyperlink r:id="rId63">
        <w:r>
          <w:rPr>
            <w:rFonts w:ascii="Times New Roman" w:cs="Times New Roman" w:eastAsia="Times New Roman" w:hAnsi="Times New Roman"/>
            <w:sz w:val="18"/>
            <w:szCs w:val="18"/>
            <w:u w:val="single" w:color="auto"/>
            <w:color w:val="0000EE"/>
          </w:rPr>
          <w:t>November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“3Q 2023 Quarterly Report”);</w:t>
      </w:r>
    </w:p>
    <w:p>
      <w:pPr>
        <w:spacing w:after="0" w:line="85"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4">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8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w:t>
      </w:r>
      <w:hyperlink r:id="rId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from our </w:t>
      </w:r>
      <w:hyperlink r:id="rId72">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2023 Annual Meeting of Stockholders, filed with the SEC on April 13, 2023.</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5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173990</wp:posOffset>
            </wp:positionV>
            <wp:extent cx="1757045"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left="120"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24 of this prospectus and in the documents incorporated by reference herein.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1100"/>
          </w:cols>
          <w:pgMar w:left="320" w:top="455"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7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6"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1240" w:right="360" w:hanging="523"/>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1240" w:right="120" w:hanging="523"/>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left="300"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300"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940"/>
        <w:spacing w:after="0" w:line="282" w:lineRule="auto"/>
        <w:rPr>
          <w:sz w:val="20"/>
          <w:szCs w:val="20"/>
          <w:color w:val="auto"/>
        </w:rPr>
      </w:pPr>
      <w:r>
        <w:rPr>
          <w:rFonts w:ascii="Times New Roman" w:cs="Times New Roman" w:eastAsia="Times New Roman" w:hAnsi="Times New Roman"/>
          <w:sz w:val="18"/>
          <w:szCs w:val="18"/>
          <w:color w:val="auto"/>
        </w:rPr>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1240" w:right="340" w:hanging="523"/>
        <w:spacing w:after="0" w:line="284"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1240" w:right="180" w:hanging="523"/>
        <w:spacing w:after="0" w:line="258"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240" w:right="320" w:hanging="523"/>
        <w:spacing w:after="0" w:line="284"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240" w:right="160" w:hanging="523"/>
        <w:spacing w:after="0" w:line="258"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1240" w:right="100" w:hanging="523"/>
        <w:spacing w:after="0" w:line="257"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1240" w:hanging="523"/>
        <w:spacing w:after="0" w:line="267"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1240" w:right="400" w:hanging="523"/>
        <w:spacing w:after="0" w:line="267"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240" w:right="180" w:hanging="523"/>
        <w:spacing w:after="0" w:line="267"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07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left="300"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left="300"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00"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40" w:right="120" w:hanging="523"/>
        <w:spacing w:after="0" w:line="257"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1240" w:right="180" w:hanging="523"/>
        <w:spacing w:after="0" w:line="290"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240" w:right="80" w:hanging="523"/>
        <w:spacing w:after="0" w:line="312"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40" w:right="80" w:hanging="523"/>
        <w:spacing w:after="0" w:line="267"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left="300"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240" w:hanging="52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703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40" w:right="56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40" w:right="140" w:hanging="523"/>
        <w:spacing w:after="0" w:line="312"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240" w:right="52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1240" w:right="500" w:hanging="523"/>
        <w:spacing w:after="0" w:line="282"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8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1240" w:right="180" w:hanging="523"/>
        <w:spacing w:after="0" w:line="266"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40" w:right="200" w:hanging="523"/>
        <w:spacing w:after="0" w:line="266"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240" w:right="80" w:hanging="523"/>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240" w:right="360" w:hanging="523"/>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240" w:right="40" w:hanging="523"/>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hanging="523"/>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3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282"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240" w:right="320" w:hanging="523"/>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1240" w:right="160" w:hanging="523"/>
        <w:spacing w:after="0" w:line="266"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1240" w:right="420" w:hanging="523"/>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300" w:right="380" w:hanging="2"/>
        <w:spacing w:after="0" w:line="255" w:lineRule="auto"/>
        <w:tabs>
          <w:tab w:leader="none" w:pos="5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59"/>
        </w:trPr>
        <w:tc>
          <w:tcPr>
            <w:tcW w:w="286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04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To maintain our tax treatment as a RIC, we must make certain distributions. See “Material U.S.</w:t>
      </w:r>
    </w:p>
    <w:p>
      <w:pPr>
        <w:spacing w:after="0" w:line="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940"/>
          </w:cols>
          <w:pgMar w:left="320" w:top="455" w:right="63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spacing w:after="0" w:line="3" w:lineRule="exact"/>
        <w:rPr>
          <w:sz w:val="20"/>
          <w:szCs w:val="20"/>
          <w:color w:val="auto"/>
        </w:rPr>
      </w:pPr>
    </w:p>
    <w:p>
      <w:pPr>
        <w:ind w:left="40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940"/>
          </w:cols>
          <w:pgMar w:left="320" w:top="455" w:right="639" w:bottom="1440" w:gutter="0" w:footer="0" w:header="0"/>
          <w:type w:val="continuous"/>
        </w:sectPr>
      </w:pP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320" w:space="720"/>
            <w:col w:w="6900"/>
          </w:cols>
          <w:pgMar w:left="320" w:top="455" w:right="639" w:bottom="1440" w:gutter="0" w:footer="0" w:header="0"/>
          <w:type w:val="continuous"/>
        </w:sect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1240" w:hanging="52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left="300"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left="300"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300"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32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20" w:right="280" w:hanging="422"/>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720" w:right="460" w:hanging="422"/>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720" w:right="180" w:hanging="422"/>
        <w:spacing w:after="0" w:line="258"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720" w:right="440" w:hanging="422"/>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720" w:right="40" w:hanging="422"/>
        <w:spacing w:after="0" w:line="25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76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2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720"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720" w:hanging="422"/>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720"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7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720"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720" w:right="260" w:firstLine="4"/>
        <w:spacing w:after="0" w:line="266" w:lineRule="auto"/>
        <w:tabs>
          <w:tab w:leader="none" w:pos="9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88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54" w:lineRule="auto"/>
        <w:rPr>
          <w:sz w:val="20"/>
          <w:szCs w:val="20"/>
          <w:color w:val="auto"/>
        </w:rPr>
      </w:pPr>
      <w:r>
        <w:rPr>
          <w:rFonts w:ascii="Times New Roman" w:cs="Times New Roman" w:eastAsia="Times New Roman" w:hAnsi="Times New Roman"/>
          <w:sz w:val="18"/>
          <w:szCs w:val="18"/>
          <w:color w:val="auto"/>
        </w:rPr>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720"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720"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720"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720" w:right="60" w:hanging="422"/>
        <w:spacing w:after="0" w:line="268" w:lineRule="auto"/>
        <w:tabs>
          <w:tab w:leader="none" w:pos="7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98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6998970" cy="4598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0" w:hanging="422"/>
        <w:spacing w:after="0" w:line="261"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540" w:right="44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40" w:right="6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540" w:right="34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54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540" w:hanging="424"/>
        <w:spacing w:after="0" w:line="221" w:lineRule="auto"/>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55"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4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312"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line="290" w:lineRule="exact"/>
              <w:rPr>
                <w:sz w:val="20"/>
                <w:szCs w:val="20"/>
                <w:color w:val="auto"/>
              </w:rPr>
            </w:pPr>
            <w:r>
              <w:rPr>
                <w:rFonts w:ascii="Times New Roman" w:cs="Times New Roman" w:eastAsia="Times New Roman" w:hAnsi="Times New Roman"/>
                <w:sz w:val="28"/>
                <w:szCs w:val="28"/>
                <w:b w:val="1"/>
                <w:bCs w:val="1"/>
                <w:color w:val="auto"/>
                <w:vertAlign w:val="subscript"/>
              </w:rPr>
              <w:t>NAV</w:t>
            </w:r>
            <w:r>
              <w:rPr>
                <w:rFonts w:ascii="Times New Roman" w:cs="Times New Roman" w:eastAsia="Times New Roman" w:hAnsi="Times New Roman"/>
                <w:sz w:val="11"/>
                <w:szCs w:val="11"/>
                <w:b w:val="1"/>
                <w:bCs w:val="1"/>
                <w:color w:val="auto"/>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2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540" w:right="54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2023 and years ended December 31, 2022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55" w:right="9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60"/>
          </w:cols>
          <w:pgMar w:left="320" w:top="455" w:right="1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($31,475 par, due</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111 South Wood Avenue Iselin, 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80" w:type="dxa"/>
            <w:vAlign w:val="bottom"/>
            <w:gridSpan w:val="2"/>
          </w:tcPr>
          <w:p>
            <w:pPr>
              <w:ind w:left="140"/>
              <w:spacing w:after="0" w:line="109" w:lineRule="exact"/>
              <w:rPr>
                <w:sz w:val="20"/>
                <w:szCs w:val="20"/>
                <w:color w:val="auto"/>
              </w:rPr>
            </w:pPr>
            <w:r>
              <w:rPr>
                <w:rFonts w:ascii="Times New Roman" w:cs="Times New Roman" w:eastAsia="Times New Roman" w:hAnsi="Times New Roman"/>
                <w:sz w:val="11"/>
                <w:szCs w:val="11"/>
                <w:color w:val="auto"/>
              </w:rPr>
              <w:t>1001 Pennsylvania Avenue NW Washington,</w:t>
            </w: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DC</w:t>
            </w:r>
          </w:p>
        </w:tc>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5"/>
                <w:szCs w:val="15"/>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continue"/>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655 Broad Street Newark, NJ 07102</w:t>
            </w:r>
          </w:p>
        </w:tc>
        <w:tc>
          <w:tcPr>
            <w:tcW w:w="220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vertAlign w:val="subscript"/>
              </w:rPr>
              <w:t>2016-6A</w:t>
            </w:r>
            <w:r>
              <w:rPr>
                <w:rFonts w:ascii="Times New Roman" w:cs="Times New Roman" w:eastAsia="Times New Roman" w:hAnsi="Times New Roman"/>
                <w:sz w:val="9"/>
                <w:szCs w:val="9"/>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60" w:type="dxa"/>
            <w:vAlign w:val="bottom"/>
            <w:gridSpan w:val="2"/>
            <w:shd w:val="clear" w:color="auto" w:fill="CCEEFF"/>
          </w:tcPr>
          <w:p>
            <w:pPr>
              <w:ind w:left="140"/>
              <w:spacing w:after="0" w:line="109" w:lineRule="exact"/>
              <w:rPr>
                <w:sz w:val="20"/>
                <w:szCs w:val="20"/>
                <w:color w:val="auto"/>
              </w:rPr>
            </w:pPr>
            <w:r>
              <w:rPr>
                <w:rFonts w:ascii="Times New Roman" w:cs="Times New Roman" w:eastAsia="Times New Roman" w:hAnsi="Times New Roman"/>
                <w:sz w:val="11"/>
                <w:szCs w:val="11"/>
                <w:color w:val="auto"/>
              </w:rPr>
              <w:t>320 Park Avenue Suite 1600 New York, NY</w:t>
            </w:r>
          </w:p>
        </w:tc>
        <w:tc>
          <w:tcPr>
            <w:tcW w:w="2360" w:type="dxa"/>
            <w:vAlign w:val="bottom"/>
            <w:gridSpan w:val="3"/>
            <w:vMerge w:val="continue"/>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10022 USA</w:t>
            </w:r>
          </w:p>
        </w:tc>
        <w:tc>
          <w:tcPr>
            <w:tcW w:w="22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(1)(6)</w:t>
      </w:r>
    </w:p>
    <w:p>
      <w:pPr>
        <w:ind w:left="120"/>
        <w:spacing w:after="0" w:line="221" w:lineRule="auto"/>
        <w:rPr>
          <w:sz w:val="20"/>
          <w:szCs w:val="20"/>
          <w:color w:val="auto"/>
        </w:rPr>
      </w:pPr>
      <w:r>
        <w:rPr>
          <w:rFonts w:ascii="Times New Roman" w:cs="Times New Roman" w:eastAsia="Times New Roman" w:hAnsi="Times New Roman"/>
          <w:sz w:val="14"/>
          <w:szCs w:val="14"/>
          <w:color w:val="auto"/>
        </w:rPr>
        <w:t>Signal Peak CLO LLC, Series</w:t>
      </w:r>
    </w:p>
    <w:p>
      <w:pPr>
        <w:ind w:left="260"/>
        <w:spacing w:after="0" w:line="182" w:lineRule="auto"/>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p>
      <w:pPr>
        <w:ind w:left="260"/>
        <w:spacing w:after="0" w:line="222" w:lineRule="auto"/>
        <w:rPr>
          <w:sz w:val="20"/>
          <w:szCs w:val="20"/>
          <w:color w:val="auto"/>
        </w:rPr>
      </w:pPr>
      <w:r>
        <w:rPr>
          <w:rFonts w:ascii="Times New Roman" w:cs="Times New Roman" w:eastAsia="Times New Roman" w:hAnsi="Times New Roman"/>
          <w:sz w:val="14"/>
          <w:szCs w:val="14"/>
          <w:color w:val="auto"/>
        </w:rPr>
        <w:t>280 Park Avenue, 40 West</w:t>
      </w:r>
    </w:p>
    <w:p>
      <w:pPr>
        <w:ind w:left="260"/>
        <w:spacing w:after="0" w:line="221" w:lineRule="auto"/>
        <w:rPr>
          <w:sz w:val="20"/>
          <w:szCs w:val="20"/>
          <w:color w:val="auto"/>
        </w:rPr>
      </w:pPr>
      <w:r>
        <w:rPr>
          <w:rFonts w:ascii="Times New Roman" w:cs="Times New Roman" w:eastAsia="Times New Roman" w:hAnsi="Times New Roman"/>
          <w:sz w:val="14"/>
          <w:szCs w:val="14"/>
          <w:color w:val="auto"/>
        </w:rPr>
        <w:t>New York, NY 10017</w:t>
      </w:r>
    </w:p>
    <w:p>
      <w:pPr>
        <w:ind w:left="120"/>
        <w:spacing w:after="0" w:line="221" w:lineRule="auto"/>
        <w:rPr>
          <w:sz w:val="20"/>
          <w:szCs w:val="20"/>
          <w:color w:val="auto"/>
        </w:rPr>
      </w:pPr>
      <w:r>
        <w:rPr>
          <w:rFonts w:ascii="Times New Roman" w:cs="Times New Roman" w:eastAsia="Times New Roman" w:hAnsi="Times New Roman"/>
          <w:sz w:val="14"/>
          <w:szCs w:val="14"/>
          <w:color w:val="auto"/>
        </w:rPr>
        <w:t>Southwick Park CLO Ltd, Series</w:t>
      </w:r>
    </w:p>
    <w:p>
      <w:pPr>
        <w:ind w:left="260"/>
        <w:spacing w:after="0" w:line="189" w:lineRule="auto"/>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p>
      <w:pPr>
        <w:ind w:left="260"/>
        <w:spacing w:after="0" w:line="230" w:lineRule="auto"/>
        <w:rPr>
          <w:sz w:val="20"/>
          <w:szCs w:val="20"/>
          <w:color w:val="auto"/>
        </w:rPr>
      </w:pPr>
      <w:r>
        <w:rPr>
          <w:rFonts w:ascii="Times New Roman" w:cs="Times New Roman" w:eastAsia="Times New Roman" w:hAnsi="Times New Roman"/>
          <w:sz w:val="11"/>
          <w:szCs w:val="11"/>
          <w:color w:val="auto"/>
        </w:rPr>
        <w:t>345 PARK AVENUE NEW YORK, NY</w:t>
      </w:r>
    </w:p>
    <w:p>
      <w:pPr>
        <w:ind w:left="260"/>
        <w:spacing w:after="0" w:line="221" w:lineRule="auto"/>
        <w:rPr>
          <w:sz w:val="20"/>
          <w:szCs w:val="20"/>
          <w:color w:val="auto"/>
        </w:rPr>
      </w:pPr>
      <w:r>
        <w:rPr>
          <w:rFonts w:ascii="Times New Roman" w:cs="Times New Roman" w:eastAsia="Times New Roman" w:hAnsi="Times New Roman"/>
          <w:sz w:val="11"/>
          <w:szCs w:val="11"/>
          <w:color w:val="auto"/>
        </w:rPr>
        <w:t>10154</w:t>
      </w:r>
    </w:p>
    <w:p>
      <w:pPr>
        <w:ind w:left="260" w:right="260" w:hanging="143"/>
        <w:spacing w:after="0" w:line="182" w:lineRule="auto"/>
        <w:rPr>
          <w:sz w:val="20"/>
          <w:szCs w:val="20"/>
          <w:color w:val="auto"/>
        </w:rPr>
      </w:pPr>
      <w:r>
        <w:rPr>
          <w:rFonts w:ascii="Times New Roman" w:cs="Times New Roman" w:eastAsia="Times New Roman" w:hAnsi="Times New Roman"/>
          <w:sz w:val="12"/>
          <w:szCs w:val="12"/>
          <w:color w:val="auto"/>
        </w:rPr>
        <w:t xml:space="preserve">Stewart Park CLO Ltd, Series </w:t>
      </w:r>
      <w:r>
        <w:rPr>
          <w:rFonts w:ascii="Times New Roman" w:cs="Times New Roman" w:eastAsia="Times New Roman" w:hAnsi="Times New Roman"/>
          <w:sz w:val="22"/>
          <w:szCs w:val="22"/>
          <w:color w:val="auto"/>
          <w:vertAlign w:val="subscript"/>
        </w:rPr>
        <w:t>2015-1A</w:t>
      </w:r>
      <w:r>
        <w:rPr>
          <w:rFonts w:ascii="Times New Roman" w:cs="Times New Roman" w:eastAsia="Times New Roman" w:hAnsi="Times New Roman"/>
          <w:sz w:val="9"/>
          <w:szCs w:val="9"/>
          <w:color w:val="auto"/>
        </w:rPr>
        <w:t xml:space="preserve"> (3)(4)(9)</w:t>
      </w:r>
    </w:p>
    <w:p>
      <w:pPr>
        <w:spacing w:after="0" w:line="1" w:lineRule="exact"/>
        <w:rPr>
          <w:sz w:val="20"/>
          <w:szCs w:val="20"/>
          <w:color w:val="auto"/>
        </w:rPr>
      </w:pPr>
    </w:p>
    <w:p>
      <w:pPr>
        <w:ind w:left="260" w:right="420"/>
        <w:spacing w:after="0" w:line="221" w:lineRule="auto"/>
        <w:rPr>
          <w:sz w:val="20"/>
          <w:szCs w:val="20"/>
          <w:color w:val="auto"/>
        </w:rPr>
      </w:pPr>
      <w:r>
        <w:rPr>
          <w:rFonts w:ascii="Times New Roman" w:cs="Times New Roman" w:eastAsia="Times New Roman" w:hAnsi="Times New Roman"/>
          <w:sz w:val="14"/>
          <w:szCs w:val="14"/>
          <w:color w:val="auto"/>
        </w:rPr>
        <w:t>345 PARK AVENUE NEW YORK NY 10154</w:t>
      </w:r>
    </w:p>
    <w:p>
      <w:pPr>
        <w:ind w:left="120"/>
        <w:spacing w:after="0" w:line="229" w:lineRule="auto"/>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p>
      <w:pPr>
        <w:ind w:left="260"/>
        <w:spacing w:after="0" w:line="231" w:lineRule="auto"/>
        <w:rPr>
          <w:sz w:val="20"/>
          <w:szCs w:val="20"/>
          <w:color w:val="auto"/>
        </w:rPr>
      </w:pPr>
      <w:r>
        <w:rPr>
          <w:rFonts w:ascii="Times New Roman" w:cs="Times New Roman" w:eastAsia="Times New Roman" w:hAnsi="Times New Roman"/>
          <w:sz w:val="11"/>
          <w:szCs w:val="11"/>
          <w:color w:val="auto"/>
        </w:rPr>
        <w:t>(4)(9)</w:t>
      </w:r>
    </w:p>
    <w:p>
      <w:pPr>
        <w:ind w:left="120" w:right="340" w:firstLine="144"/>
        <w:spacing w:after="0" w:line="221" w:lineRule="auto"/>
        <w:rPr>
          <w:sz w:val="20"/>
          <w:szCs w:val="20"/>
          <w:color w:val="auto"/>
        </w:rPr>
      </w:pPr>
      <w:r>
        <w:rPr>
          <w:rFonts w:ascii="Times New Roman" w:cs="Times New Roman" w:eastAsia="Times New Roman" w:hAnsi="Times New Roman"/>
          <w:sz w:val="11"/>
          <w:szCs w:val="11"/>
          <w:color w:val="auto"/>
        </w:rPr>
        <w:t xml:space="preserve">230 Park Ave, United States </w:t>
      </w:r>
      <w:r>
        <w:rPr>
          <w:rFonts w:ascii="Times New Roman" w:cs="Times New Roman" w:eastAsia="Times New Roman" w:hAnsi="Times New Roman"/>
          <w:sz w:val="14"/>
          <w:szCs w:val="14"/>
          <w:color w:val="auto"/>
        </w:rPr>
        <w:t>Wind River CLO Ltd, Series</w:t>
      </w:r>
    </w:p>
    <w:p>
      <w:pPr>
        <w:ind w:left="260"/>
        <w:spacing w:after="0" w:line="182" w:lineRule="auto"/>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p>
      <w:pPr>
        <w:ind w:left="260"/>
        <w:spacing w:after="0" w:line="222" w:lineRule="auto"/>
        <w:rPr>
          <w:sz w:val="20"/>
          <w:szCs w:val="20"/>
          <w:color w:val="auto"/>
        </w:rPr>
      </w:pPr>
      <w:r>
        <w:rPr>
          <w:rFonts w:ascii="Times New Roman" w:cs="Times New Roman" w:eastAsia="Times New Roman" w:hAnsi="Times New Roman"/>
          <w:sz w:val="14"/>
          <w:szCs w:val="14"/>
          <w:color w:val="auto"/>
        </w:rPr>
        <w:t>1345 Avenue of the Americas.</w:t>
      </w:r>
    </w:p>
    <w:p>
      <w:pPr>
        <w:ind w:left="260"/>
        <w:spacing w:after="0" w:line="221" w:lineRule="auto"/>
        <w:rPr>
          <w:sz w:val="20"/>
          <w:szCs w:val="20"/>
          <w:color w:val="auto"/>
        </w:rPr>
      </w:pPr>
      <w:r>
        <w:rPr>
          <w:rFonts w:ascii="Times New Roman" w:cs="Times New Roman" w:eastAsia="Times New Roman" w:hAnsi="Times New Roman"/>
          <w:sz w:val="14"/>
          <w:szCs w:val="14"/>
          <w:color w:val="auto"/>
        </w:rPr>
        <w:t>New York, NY 10105.</w:t>
      </w:r>
    </w:p>
    <w:p>
      <w:pPr>
        <w:ind w:left="120"/>
        <w:spacing w:after="0" w:line="221" w:lineRule="auto"/>
        <w:rPr>
          <w:sz w:val="20"/>
          <w:szCs w:val="20"/>
          <w:color w:val="auto"/>
        </w:rPr>
      </w:pPr>
      <w:r>
        <w:rPr>
          <w:rFonts w:ascii="Times New Roman" w:cs="Times New Roman" w:eastAsia="Times New Roman" w:hAnsi="Times New Roman"/>
          <w:sz w:val="14"/>
          <w:szCs w:val="14"/>
          <w:color w:val="auto"/>
        </w:rPr>
        <w:t>Wind River CLO Ltd, Series</w:t>
      </w:r>
    </w:p>
    <w:p>
      <w:pPr>
        <w:ind w:left="260"/>
        <w:spacing w:after="0" w:line="189" w:lineRule="auto"/>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p>
      <w:pPr>
        <w:ind w:left="260" w:right="20"/>
        <w:spacing w:after="0" w:line="225" w:lineRule="auto"/>
        <w:rPr>
          <w:sz w:val="20"/>
          <w:szCs w:val="20"/>
          <w:color w:val="auto"/>
        </w:rPr>
      </w:pPr>
      <w:r>
        <w:rPr>
          <w:rFonts w:ascii="Times New Roman" w:cs="Times New Roman" w:eastAsia="Times New Roman" w:hAnsi="Times New Roman"/>
          <w:sz w:val="11"/>
          <w:szCs w:val="11"/>
          <w:color w:val="auto"/>
        </w:rPr>
        <w:t>1345 Avenue of the Americas. New York, NY 10105.</w:t>
      </w:r>
    </w:p>
    <w:p>
      <w:pPr>
        <w:ind w:left="120"/>
        <w:spacing w:after="0" w:line="222" w:lineRule="auto"/>
        <w:rPr>
          <w:sz w:val="20"/>
          <w:szCs w:val="20"/>
          <w:color w:val="auto"/>
        </w:rPr>
      </w:pPr>
      <w:r>
        <w:rPr>
          <w:rFonts w:ascii="Times New Roman" w:cs="Times New Roman" w:eastAsia="Times New Roman" w:hAnsi="Times New Roman"/>
          <w:sz w:val="14"/>
          <w:szCs w:val="14"/>
          <w:color w:val="auto"/>
        </w:rPr>
        <w:t>Wind River CLO Ltd, Series</w:t>
      </w:r>
    </w:p>
    <w:p>
      <w:pPr>
        <w:ind w:left="260"/>
        <w:spacing w:after="0" w:line="182" w:lineRule="auto"/>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p>
      <w:pPr>
        <w:ind w:left="260"/>
        <w:spacing w:after="0" w:line="222" w:lineRule="auto"/>
        <w:rPr>
          <w:sz w:val="20"/>
          <w:szCs w:val="20"/>
          <w:color w:val="auto"/>
        </w:rPr>
      </w:pPr>
      <w:r>
        <w:rPr>
          <w:rFonts w:ascii="Times New Roman" w:cs="Times New Roman" w:eastAsia="Times New Roman" w:hAnsi="Times New Roman"/>
          <w:sz w:val="14"/>
          <w:szCs w:val="14"/>
          <w:color w:val="auto"/>
        </w:rPr>
        <w:t>1345 Avenue of the Americas.</w:t>
      </w:r>
    </w:p>
    <w:p>
      <w:pPr>
        <w:ind w:left="260"/>
        <w:spacing w:after="0" w:line="231" w:lineRule="auto"/>
        <w:rPr>
          <w:sz w:val="20"/>
          <w:szCs w:val="20"/>
          <w:color w:val="auto"/>
        </w:rPr>
      </w:pPr>
      <w:r>
        <w:rPr>
          <w:rFonts w:ascii="Times New Roman" w:cs="Times New Roman" w:eastAsia="Times New Roman" w:hAnsi="Times New Roman"/>
          <w:sz w:val="14"/>
          <w:szCs w:val="14"/>
          <w:color w:val="auto"/>
        </w:rPr>
        <w:t>New York, NY 10105.</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80" w:type="dxa"/>
            <w:vAlign w:val="bottom"/>
            <w:vMerge w:val="restart"/>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3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(2)(8)</w:t>
            </w:r>
          </w:p>
        </w:tc>
        <w:tc>
          <w:tcPr>
            <w:tcW w:w="940" w:type="dxa"/>
            <w:vAlign w:val="bottom"/>
            <w:gridSpan w:val="2"/>
          </w:tcPr>
          <w:p>
            <w:pPr>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7"/>
                <w:szCs w:val="17"/>
                <w:b w:val="1"/>
                <w:bCs w:val="1"/>
                <w:color w:val="auto"/>
                <w:vertAlign w:val="superscript"/>
              </w:rPr>
              <w:t>(9)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8/9/2022</w:t>
            </w:r>
          </w:p>
        </w:tc>
        <w:tc>
          <w:tcPr>
            <w:tcW w:w="220" w:type="dxa"/>
            <w:vAlign w:val="bottom"/>
            <w:vMerge w:val="restart"/>
          </w:tcPr>
          <w:p>
            <w:pPr>
              <w:spacing w:after="0"/>
              <w:rPr>
                <w:sz w:val="24"/>
                <w:szCs w:val="2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931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926</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-2442210</wp:posOffset>
            </wp:positionV>
            <wp:extent cx="699516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-1722120</wp:posOffset>
            </wp:positionV>
            <wp:extent cx="699516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-1096645</wp:posOffset>
            </wp:positionV>
            <wp:extent cx="6995160" cy="377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-376555</wp:posOffset>
            </wp:positionV>
            <wp:extent cx="6995160"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00" w:space="280"/>
            <w:col w:w="876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52,718</w:t>
            </w:r>
          </w:p>
        </w:tc>
        <w:tc>
          <w:tcPr>
            <w:tcW w:w="22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tcPr>
          <w:p>
            <w:pPr>
              <w:spacing w:after="0"/>
              <w:rPr>
                <w:sz w:val="11"/>
                <w:szCs w:val="11"/>
                <w:color w:val="auto"/>
              </w:rPr>
            </w:pPr>
          </w:p>
        </w:tc>
        <w:tc>
          <w:tcPr>
            <w:tcW w:w="1660" w:type="dxa"/>
            <w:vAlign w:val="bottom"/>
            <w:gridSpan w:val="2"/>
          </w:tcPr>
          <w:p>
            <w:pPr>
              <w:jc w:val="right"/>
              <w:ind w:right="860"/>
              <w:spacing w:after="0" w:line="136"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75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195,009</w:t>
            </w:r>
          </w:p>
        </w:tc>
        <w:tc>
          <w:tcPr>
            <w:tcW w:w="220" w:type="dxa"/>
            <w:vAlign w:val="bottom"/>
            <w:tcBorders>
              <w:left w:val="single" w:sz="8" w:color="CCEEFF"/>
            </w:tcBorders>
            <w:vMerge w:val="restart"/>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204,175</w:t>
            </w:r>
          </w:p>
        </w:tc>
        <w:tc>
          <w:tcPr>
            <w:tcW w:w="220" w:type="dxa"/>
            <w:vAlign w:val="bottom"/>
            <w:vMerge w:val="restart"/>
            <w:shd w:val="clear" w:color="auto" w:fill="CCEEFF"/>
          </w:tcPr>
          <w:p>
            <w:pPr>
              <w:spacing w:after="0"/>
              <w:rPr>
                <w:sz w:val="10"/>
                <w:szCs w:val="10"/>
                <w:color w:val="auto"/>
              </w:rPr>
            </w:pPr>
          </w:p>
        </w:tc>
        <w:tc>
          <w:tcPr>
            <w:tcW w:w="166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20" w:type="dxa"/>
            <w:vAlign w:val="bottom"/>
            <w:tcBorders>
              <w:left w:val="single" w:sz="8" w:color="CCEEFF"/>
            </w:tcBorders>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6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2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$ 3,113,277</w:t>
            </w:r>
          </w:p>
        </w:tc>
        <w:tc>
          <w:tcPr>
            <w:tcW w:w="220" w:type="dxa"/>
            <w:vAlign w:val="bottom"/>
            <w:vMerge w:val="continue"/>
          </w:tcPr>
          <w:p>
            <w:pPr>
              <w:spacing w:after="0"/>
              <w:rPr>
                <w:sz w:val="13"/>
                <w:szCs w:val="13"/>
                <w:color w:val="auto"/>
              </w:rPr>
            </w:pPr>
          </w:p>
        </w:tc>
        <w:tc>
          <w:tcPr>
            <w:tcW w:w="1660" w:type="dxa"/>
            <w:vAlign w:val="bottom"/>
            <w:gridSpan w:val="2"/>
          </w:tcPr>
          <w:p>
            <w:pPr>
              <w:jc w:val="right"/>
              <w:ind w:right="86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540" w:right="180" w:hanging="424"/>
        <w:spacing w:after="0" w:line="261"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540" w:right="260" w:hanging="424"/>
        <w:spacing w:after="0" w:line="258"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6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540" w:right="46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540" w:right="100" w:hanging="424"/>
        <w:spacing w:after="0" w:line="26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right="88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980"/>
          </w:cols>
          <w:pgMar w:left="320" w:top="455" w:right="5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80" w:right="12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439"/>
        <w:spacing w:after="0" w:line="261"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439"/>
        <w:spacing w:after="0" w:line="266" w:lineRule="auto"/>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1080" w:right="20" w:hanging="532"/>
        <w:spacing w:after="0" w:line="25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80" w:right="26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8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80" w:hanging="532"/>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312"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right="14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5"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80" w:right="34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54"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1080" w:right="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532"/>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80" w:right="16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60" w:hanging="532"/>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532"/>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1080" w:right="200" w:hanging="532"/>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20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9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61">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62">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63">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82" w:lineRule="auto"/>
        <w:tabs>
          <w:tab w:leader="none" w:pos="1080" w:val="left"/>
        </w:tabs>
        <w:numPr>
          <w:ilvl w:val="0"/>
          <w:numId w:val="9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4">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60" w:hanging="532"/>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20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ind w:left="434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36" w:lineRule="exact"/>
        <w:rPr>
          <w:rFonts w:ascii="Times New Roman" w:cs="Times New Roman" w:eastAsia="Times New Roman" w:hAnsi="Times New Roman"/>
          <w:sz w:val="18"/>
          <w:szCs w:val="18"/>
          <w:color w:val="0000EE"/>
        </w:rPr>
      </w:pPr>
    </w:p>
    <w:p>
      <w:pPr>
        <w:ind w:left="4640"/>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23"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5" w:lineRule="exact"/>
        <w:rPr>
          <w:rFonts w:ascii="Times New Roman" w:cs="Times New Roman" w:eastAsia="Times New Roman" w:hAnsi="Times New Roman"/>
          <w:sz w:val="18"/>
          <w:szCs w:val="18"/>
          <w:color w:val="0000EE"/>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344170</wp:posOffset>
            </wp:positionV>
            <wp:extent cx="1440180" cy="4800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16" w:lineRule="exact"/>
        <w:rPr>
          <w:sz w:val="20"/>
          <w:szCs w:val="20"/>
          <w:color w:val="auto"/>
        </w:rPr>
      </w:pPr>
    </w:p>
    <w:p>
      <w:pPr>
        <w:ind w:left="120"/>
        <w:spacing w:after="0"/>
        <w:tabs>
          <w:tab w:leader="none" w:pos="3080" w:val="left"/>
          <w:tab w:leader="none" w:pos="7600" w:val="left"/>
          <w:tab w:leader="none" w:pos="966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Goldman Sachs &amp; Co. LLC</w:t>
      </w:r>
      <w:r>
        <w:rPr>
          <w:sz w:val="20"/>
          <w:szCs w:val="20"/>
          <w:color w:val="auto"/>
        </w:rPr>
        <w:tab/>
      </w: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SMBC Nikko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516890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3"/>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1)"/>
      <w:numFmt w:val="lowerRoman"/>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lowerLetter"/>
      <w:start w:val="2"/>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6"/>
    </w:lvl>
  </w:abstractNum>
  <w:abstractNum w:abstractNumId="41">
    <w:nsid w:val="5DB70AE5"/>
    <w:multiLevelType w:val="hybridMultilevel"/>
    <w:lvl w:ilvl="0">
      <w:lvlJc w:val="left"/>
      <w:lvlText w:val="(%1)"/>
      <w:numFmt w:val="lowerRoman"/>
      <w:start w:val="2"/>
    </w:lvl>
  </w:abstractNum>
  <w:abstractNum w:abstractNumId="42">
    <w:nsid w:val="100F8FCA"/>
    <w:multiLevelType w:val="hybridMultilevel"/>
    <w:lvl w:ilvl="0">
      <w:lvlJc w:val="left"/>
      <w:lvlText w:val="(%1)"/>
      <w:numFmt w:val="decimal"/>
      <w:start w:val="7"/>
    </w:lvl>
  </w:abstractNum>
  <w:abstractNum w:abstractNumId="43">
    <w:nsid w:val="6590700B"/>
    <w:multiLevelType w:val="hybridMultilevel"/>
    <w:lvl w:ilvl="0">
      <w:lvlJc w:val="left"/>
      <w:lvlText w:val="(%1)"/>
      <w:numFmt w:val="decimal"/>
      <w:start w:val="8"/>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5"/>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decimal"/>
      <w:start w:val="7"/>
    </w:lvl>
  </w:abstractNum>
  <w:abstractNum w:abstractNumId="54">
    <w:nsid w:val="540A471C"/>
    <w:multiLevelType w:val="hybridMultilevel"/>
    <w:lvl w:ilvl="0">
      <w:lvlJc w:val="left"/>
      <w:lvlText w:val="(%1)"/>
      <w:numFmt w:val="decimal"/>
      <w:start w:val="15"/>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lvl w:ilvl="1">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lowerRoman"/>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jpe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3"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jpe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60" Type="http://schemas.openxmlformats.org/officeDocument/2006/relationships/hyperlink" Target="http://www.sec.gov/ix?doc=/Archives/edgar/data/1508655/000095017023003042/tslx-20221231.htm" TargetMode="External"/><Relationship Id="rId61" Type="http://schemas.openxmlformats.org/officeDocument/2006/relationships/hyperlink" Target="http://www.sec.gov/ix?doc=/Archives/edgar/data/1508655/000095017023018777/tslx-20230331.htm" TargetMode="External"/><Relationship Id="rId62" Type="http://schemas.openxmlformats.org/officeDocument/2006/relationships/hyperlink" Target="http://www.sec.gov/ix?doc=/Archives/edgar/data/1508655/000095017023038066/tslx-20230630.htm" TargetMode="External"/><Relationship Id="rId63" Type="http://schemas.openxmlformats.org/officeDocument/2006/relationships/hyperlink" Target="http://www.sec.gov/ix?doc=/Archives/edgar/data/1508655/000095017023058321/tslx-20230930.htm" TargetMode="External"/><Relationship Id="rId64" Type="http://schemas.openxmlformats.org/officeDocument/2006/relationships/hyperlink" Target="http://www.sec.gov/ix?doc=/Archives/edgar/data/1508655/000119312523144982/d509627d8k.htm" TargetMode="External"/><Relationship Id="rId65" Type="http://schemas.openxmlformats.org/officeDocument/2006/relationships/hyperlink" Target="http://www.sec.gov/ix?doc=/Archives/edgar/data/1508655/000119312523155431/d495066d8k.htm" TargetMode="External"/><Relationship Id="rId66" Type="http://schemas.openxmlformats.org/officeDocument/2006/relationships/hyperlink" Target="http://www.sec.gov/ix?doc=/Archives/edgar/data/1508655/000119312523165276/d509708d8k.htm" TargetMode="External"/><Relationship Id="rId67" Type="http://schemas.openxmlformats.org/officeDocument/2006/relationships/hyperlink" Target="http://www.sec.gov/ix?doc=/Archives/edgar/data/1508655/000119312523165451/d509555d8k.htm" TargetMode="External"/><Relationship Id="rId68" Type="http://schemas.openxmlformats.org/officeDocument/2006/relationships/hyperlink" Target="http://www.sec.gov/ix?doc=/Archives/edgar/data/1508655/000119312523187256/d513136d8k.htm" TargetMode="External"/><Relationship Id="rId69" Type="http://schemas.openxmlformats.org/officeDocument/2006/relationships/hyperlink" Target="http://www.sec.gov/ix?doc=/Archives/edgar/data/1508655/000119312523188221/d534568d8ka.htm" TargetMode="External"/><Relationship Id="rId70" Type="http://schemas.openxmlformats.org/officeDocument/2006/relationships/hyperlink" Target="http://www.sec.gov/ix?doc=/Archives/edgar/data/1508655/000119312523209093/d513738d8k.htm" TargetMode="External"/><Relationship Id="rId71" Type="http://schemas.openxmlformats.org/officeDocument/2006/relationships/hyperlink" Target="http://www.sec.gov/ix?doc=/Archives/edgar/data/1508655/000119312523212327/d480136d8k.htm" TargetMode="External"/><Relationship Id="rId72" Type="http://schemas.openxmlformats.org/officeDocument/2006/relationships/hyperlink" Target="http://www.sec.gov/Archives/edgar/data/1508655/000119312523100512/d498091ddef14a.htm" TargetMode="External"/><Relationship Id="rId202" Type="http://schemas.openxmlformats.org/officeDocument/2006/relationships/hyperlink" Target="http://www.sec.gov/Archives/edgar/data/1508655/000119312523100535/d393322ddef14a.htm" TargetMode="External"/><Relationship Id="rId204"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2024-01-08T07:59:30Z</dcterms:created>
  <dcterms:modified xsi:type="dcterms:W3CDTF">2024-01-08T07:59:30Z</dcterms:modified>
</cp:coreProperties>
</file>