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09/13/2013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81.48</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1,019.62</w:t>
            </w:r>
          </w:p>
        </w:tc>
        <w:tc>
          <w:tcPr>
            <w:tcW w:w="1300" w:type="dxa"/>
            <w:vAlign w:val="bottom"/>
            <w:gridSpan w:val="3"/>
            <w:vMerge w:val="restart"/>
          </w:tcPr>
          <w:p>
            <w:pPr>
              <w:ind w:left="340"/>
              <w:spacing w:after="0"/>
              <w:rPr>
                <w:sz w:val="20"/>
                <w:szCs w:val="20"/>
                <w:color w:val="auto"/>
              </w:rPr>
            </w:pPr>
            <w:r>
              <w:rPr>
                <w:rFonts w:ascii="Arial" w:cs="Arial" w:eastAsia="Arial" w:hAnsi="Arial"/>
                <w:sz w:val="18"/>
                <w:szCs w:val="18"/>
                <w:color w:val="0000FF"/>
              </w:rPr>
              <w:t>1,729.64</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34,817 shares of Common Stock of the Issuer (the "TSL Shares"), including 1729.64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2019-12-16T08:02:46Z</dcterms:created>
  <dcterms:modified xsi:type="dcterms:W3CDTF">2019-12-16T08:02:46Z</dcterms:modified>
</cp:coreProperties>
</file>