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2)</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9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proxy statement (“</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and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being furnished to the stockholders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by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in connection with the solicitation of proxies from you, the 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Unless the context requires otherwise, we use the terms “we,” “our” or “us” throughout this Proxy Statement to refer to TSLX. The 2016 Annual Meeting will be held on September 2, 2016 at 10:00 am, Eastern Time, at the offices of Sutherland Asbill &amp; Brennan LLP located at 1114 Avenue of the Americas, 40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10036. Once TICC publicly discloses such date, TSLX will supplement the enclosed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3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This solicitation is dated July 13, 2016, and this Proxy Statement and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Stockholders on or about July 14, 2016.</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Company’s proposal to amend TICC’s Bylaws (as defined below) to implement a majority vote standard for the election of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 (the “</w:t>
      </w:r>
      <w:r>
        <w:rPr>
          <w:rFonts w:ascii="Arial" w:cs="Arial" w:eastAsia="Arial" w:hAnsi="Arial"/>
          <w:sz w:val="18"/>
          <w:szCs w:val="18"/>
          <w:u w:val="single" w:color="auto"/>
          <w:color w:val="auto"/>
        </w:rPr>
        <w:t>Bylaws Amendment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20" w:firstLine="464"/>
        <w:spacing w:after="0" w:line="26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TSLX is externally managed by TSL Advisers, LLC, a registered investment adviser with the SEC under the 1940 Act.</w:t>
      </w:r>
    </w:p>
    <w:p>
      <w:pPr>
        <w:spacing w:after="0" w:line="17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Stockholders on or about July 14, 2016.</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set forth in TICC’s proxy statement for the 2016 Annual Meeting, a preliminary copy of which was filed with the SEC on July 8, 2016 (the “</w:t>
      </w:r>
      <w:r>
        <w:rPr>
          <w:rFonts w:ascii="Arial" w:cs="Arial" w:eastAsia="Arial" w:hAnsi="Arial"/>
          <w:sz w:val="18"/>
          <w:szCs w:val="18"/>
          <w:u w:val="single" w:color="auto"/>
          <w:color w:val="auto"/>
        </w:rPr>
        <w:t>TICC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Proxy Statement</w:t>
      </w:r>
      <w:r>
        <w:rPr>
          <w:rFonts w:ascii="Arial" w:cs="Arial" w:eastAsia="Arial" w:hAnsi="Arial"/>
          <w:sz w:val="18"/>
          <w:szCs w:val="18"/>
          <w:color w:val="auto"/>
        </w:rPr>
        <w:t>”), the 2016 Annual Meeting will be held on September 2, 2016 at 10:00 am, Eastern Time, at the offices of Sutherland Asbill &amp; Brennan LLP located at 1114 Avenue of the Americas, 40th Floor, New York, New York 10036. Stockholders of record of TICC at the close of business on July 8, 2016 (the “</w:t>
      </w:r>
      <w:r>
        <w:rPr>
          <w:rFonts w:ascii="Arial" w:cs="Arial" w:eastAsia="Arial" w:hAnsi="Arial"/>
          <w:sz w:val="18"/>
          <w:szCs w:val="18"/>
          <w:u w:val="single" w:color="auto"/>
          <w:color w:val="auto"/>
        </w:rPr>
        <w:t>Record Date</w:t>
      </w:r>
      <w:r>
        <w:rPr>
          <w:rFonts w:ascii="Arial" w:cs="Arial" w:eastAsia="Arial" w:hAnsi="Arial"/>
          <w:sz w:val="18"/>
          <w:szCs w:val="18"/>
          <w:color w:val="auto"/>
        </w:rPr>
        <w:t>”) are entitled to notice of, and to vote at, the 2016 Annual Meeting or any adjournment or postponement thereof. Proxies returned by Stockholders who do not hold shares as of the Record Date will not be counted.</w:t>
      </w:r>
    </w:p>
    <w:p>
      <w:pPr>
        <w:spacing w:after="0" w:line="18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the Bylaws Amendment Proposal,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of directors of TICC (the “</w:t>
      </w:r>
      <w:r>
        <w:rPr>
          <w:rFonts w:ascii="Arial" w:cs="Arial" w:eastAsia="Arial" w:hAnsi="Arial"/>
          <w:sz w:val="18"/>
          <w:szCs w:val="18"/>
          <w:u w:val="single" w:color="auto"/>
          <w:color w:val="auto"/>
        </w:rPr>
        <w:t>Board</w:t>
      </w:r>
      <w:r>
        <w:rPr>
          <w:rFonts w:ascii="Arial" w:cs="Arial" w:eastAsia="Arial" w:hAnsi="Arial"/>
          <w:sz w:val="18"/>
          <w:szCs w:val="18"/>
          <w:color w:val="auto"/>
        </w:rPr>
        <w:t>”),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SUBMISSION OF YOUR PROXY IS IMPORTANT, NO MATTER HOW MANY SHARES OF COMMON STOCK YOU OWN.</w:t>
      </w:r>
    </w:p>
    <w:p>
      <w:pPr>
        <w:spacing w:after="0" w:line="22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NEXPOINT ADVISORS, L.P. (“NEXPOINT”),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in writing your instructions to the person responsible for your account and to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DO NOT RETURN ANY WHITE (OR OTHER COLOR) PROXY CARD YOU MAY RECEIVE FROM THE COMPANY OR NEXPOINT OR OTHERWISE AUTHORIZE ANY OTHER PROXY TO VOTE YOUR SHARES OF COMMON STOCK AT THE 2016 ANNUAL MEETING, NOT EVEN AS A SIGN OF PROTEST. IF YOU HAVE ALREADY RETURNED A WHITE (OR OTHER COLOR</w:t>
      </w:r>
      <w:r>
        <w:rPr>
          <w:rFonts w:ascii="Arial" w:cs="Arial" w:eastAsia="Arial" w:hAnsi="Arial"/>
          <w:sz w:val="18"/>
          <w:szCs w:val="18"/>
          <w:b w:val="1"/>
          <w:bCs w:val="1"/>
          <w:color w:val="auto"/>
        </w:rPr>
        <w:t>)</w:t>
      </w:r>
      <w:r>
        <w:rPr>
          <w:rFonts w:ascii="Arial" w:cs="Arial" w:eastAsia="Arial" w:hAnsi="Arial"/>
          <w:sz w:val="18"/>
          <w:szCs w:val="18"/>
          <w:color w:val="auto"/>
        </w:rPr>
        <w:t xml:space="preserve"> PROXY CARD TO THE COMPANY OR NEXPOINT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IN THE POSTAGE-PAID ENVELOPE PROVIDED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has been provided to you by us (and NOT the WHITE (or other color) proxy card that may have been provided to you by the Company or NexPoint or any other proxy card or form that may be provided to you) and authorize a proxy to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Mr. Millet,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6"/>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6"/>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NO. 2: THE COMPANY’S PROPOSAL TO AMEND THE BYLAWS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PROPOSAL NO. 4: TSLX’S PROPOSAL TO TERMINATE THE INVESTMENT ADVISORY AGREEMENT</w:t>
              </w:r>
            </w:hyperlink>
          </w:p>
        </w:tc>
        <w:tc>
          <w:tcPr>
            <w:tcW w:w="1640" w:type="dxa"/>
            <w:vAlign w:val="bottom"/>
            <w:tcBorders>
              <w:top w:val="single" w:sz="8" w:color="0000EE"/>
            </w:tcBorders>
            <w:gridSpan w:val="2"/>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PROPOSAL NO. 5: THE COMPANY’S PROPOSAL TO APPROVE THE ADJOURNMENT OF THE 2016 ANNUAL MEETING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6"/>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NO APPRAISAL OR DISSENTER’S RIGHTS</w:t>
              </w:r>
            </w:hyperlink>
          </w:p>
        </w:tc>
        <w:tc>
          <w:tcPr>
            <w:tcW w:w="75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AUDITORS</w:t>
              </w:r>
            </w:hyperlink>
          </w:p>
        </w:tc>
        <w:tc>
          <w:tcPr>
            <w:tcW w:w="1006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SOLICITATION OF PROXIES</w:t>
              </w:r>
            </w:hyperlink>
          </w:p>
        </w:tc>
        <w:tc>
          <w:tcPr>
            <w:tcW w:w="868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CERTAIN ADDITIONAL INFORMATION</w:t>
              </w:r>
            </w:hyperlink>
          </w:p>
        </w:tc>
        <w:tc>
          <w:tcPr>
            <w:tcW w:w="77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STOCKHOLDER PROPOSALS</w:t>
              </w:r>
            </w:hyperlink>
          </w:p>
        </w:tc>
        <w:tc>
          <w:tcPr>
            <w:tcW w:w="85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FORWARD-LOOKING STATEMENTS</w:t>
              </w:r>
            </w:hyperlink>
          </w:p>
        </w:tc>
        <w:tc>
          <w:tcPr>
            <w:tcW w:w="80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proposal to amend TICC’s Bylaws to implement a majority vote standard for the election of directors in uncontested elections;</w:t>
      </w:r>
    </w:p>
    <w:p>
      <w:pPr>
        <w:spacing w:after="0" w:line="236" w:lineRule="exact"/>
        <w:rPr>
          <w:rFonts w:ascii="Arial" w:cs="Arial" w:eastAsia="Arial" w:hAnsi="Arial"/>
          <w:sz w:val="17"/>
          <w:szCs w:val="17"/>
          <w:color w:val="auto"/>
        </w:rPr>
      </w:pPr>
    </w:p>
    <w:p>
      <w:pPr>
        <w:ind w:right="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and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pacing w:after="0" w:line="1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Please refer to the sections entitled “Proposal No. 1: Election of Director,” “Proposal No. 2: The Company’s Proposal to Amend the Bylaws,” “Proposal No. 3: The Company’s Proposal to Ratify the Appointment of PricewaterhouseCoopers LLP,” “Proposal No. 4: TSLX’s Proposal to Terminate the Investment Advisory Agreement” and “Proposal No. 5: The Company’s Proposal to Approve the Adjournment of the 2016 Annual Meeting” for a more complete description of these proposals.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proxy?</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submitting a proxy to vote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TICC Proxy Statement:</w:t>
      </w:r>
    </w:p>
    <w:p>
      <w:pPr>
        <w:spacing w:after="0" w:line="7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spacing w:after="0" w:line="187" w:lineRule="exact"/>
        <w:rPr>
          <w:sz w:val="20"/>
          <w:szCs w:val="20"/>
          <w:color w:val="auto"/>
        </w:rPr>
      </w:pPr>
    </w:p>
    <w:p>
      <w:pPr>
        <w:ind w:left="460" w:right="260"/>
        <w:spacing w:after="0" w:line="286" w:lineRule="auto"/>
        <w:rPr>
          <w:sz w:val="20"/>
          <w:szCs w:val="20"/>
          <w:color w:val="auto"/>
        </w:rPr>
      </w:pPr>
      <w:r>
        <w:rPr>
          <w:rFonts w:ascii="Arial" w:cs="Arial" w:eastAsia="Arial" w:hAnsi="Arial"/>
          <w:sz w:val="17"/>
          <w:szCs w:val="17"/>
          <w:color w:val="auto"/>
        </w:rPr>
        <w:t>In order to evaluate the materiality of any such relationship, our Board of Directors uses the definition of director independence set forth in the rules promulgated by the NASDAQ Stock Market. Rule 5605(a)(2) provides that a director of a business development company (“BDC”), shall be considered to be independent if he or she is not an “interested person” of TICC, as defined in Section 2(a)(19) of the 1940 Act.</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definitive copy of the TICC Proxy Statement that will be filed with the SEC will state the number of shares of Common Stock issued and outstanding as of the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or (2) telephone or Internet by following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All valid proxies received prior to the 2016 Annual Meeting will be voted. Proxies returned by Stockholders who do not hold shares as of the Record Date will not be counted.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YOUR SHARES OF COMMON STOCK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2016 Annual Meeting, will be held on September 2, 2016 at 10:00 am, Eastern Time, at the offices of Sutherland Asbill &amp; Brennan LLP located at 1114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10036.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previously returned a GOLD proxy card?</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TSLX mailed its definitive proxy statement, together with the accompanying GOLD proxy card, to TICC stockholders on or about June 20, 2016, before TICC had filed its preliminary proxy for the 2016 Annual Meeting. Because TSLX did so before the filing of TICC’s preliminary proxy statement, TSLX’s June 20 proxy statement and accompanying proxy card did not include the Bylaws Amendment Proposal as TSLX was unaware at that time, and had no reason to believe, that it would be presented at the 2016 Annual Meeting, particularly since the TICC Board has the exclusive power to amend TICC’s Bylaws.</w:t>
      </w:r>
    </w:p>
    <w:p>
      <w:pPr>
        <w:spacing w:after="0" w:line="188"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TSLX determined to proceed with its June mailing in light of TICC’s significant delays in filing its preliminary proxy statement, setting a record date and announcing the meeting date this year as compared to the dates by which it took such actions in each prior year of its existence. TICC has historically filed its proxy statement by the end of April and never later than May 18. In addition, this year will be the first year since TICC’s inception in 2003 that the annual meeting will be held later than June 18. The substantial delays this year were intentional and, we believe, in bad faith, in light of TSLX having properly submitted its nomination of a director candidate and proposal to terminate the Investment Advisory Agreement on February 3, 2016. Indeed, we believe this delay enabled Jonathan H. Cohen, Saul B. Rosenthal and Charles M. Royce, insiders with a significant financial stake in TICC Management, to acquire shares of TICC stock to vote at the 2016 Annual Meeting in order to dilute the voting interest of the other TICC stockholders and, therefore, to facilitate the entrenchment of management.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Now, after this substantial and deliberate delay, TICC has stated in its proxy statement that it may challenge votes on the proxy cards that we distributed on June 20, 2016. Put simply, we believe TICC’s claims are without merit and are just another attempt to entrench management. According to our Maryland counsel, Venable LLP, any proxy cards distributed by us on June 20, 2016 and returned by holders of TICC common stock as of the Record Date and not revoked are valid under the Maryland General Corporation Law and TSLX intends to have its proxy holders exercise those proxies at the 2016 Annual Meeting. However, TSLX has determined that it will not have its proxy holders exercise their discretionary authority under such proxies with respect to the Bylaws Amendment Proposal.</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stockholder who previously returned the June 20 proxy card and wishes to grant a proxy with respect to the Bylaws Amendment Proposal should sign, date and return the enclosed GOLD proxy card or authorize a proxy over the Internet or by telephone in the manner provided on the enclosed GOLD proxy card. The enclosed GOLD proxy card includes the Bylaws Amendment Proposal as well as the other four proposals. Please note that only the latest dated proxy you submit will be counted.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quorum must be present at the 2016 Annual Meeting for any business to be conducted. The presence at the 2016 Annual Meeting, in person or by proxy, of the holders of a majority of the shares of Common Stock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the Record Date will constitute a quorum. Abstentions and broker non-votes (as defined below), if any, will be counted as shares present for purposes of determining whether a quorum exists for the transaction of business. However, abstentions and broker non-votes are not counted as votes cast.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The Company’s Proposal to Amend the Bylaws, Proposal No. 4: TSLX’s Proposal to Terminate the Investment Advisory Agreement and Proposal No. 5: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 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approval of the Bylaws Amendment Proposal requires the affirmative vote of a majority of the votes cast at the 2016 Annual Meeting in person or by proxy on the proposal. Abstentions will have no effect on this proposal. Brokers are entitled to vote on the Bylaws Amendment Proposal even if no instructions are received from the beneficial holder of shares of Common Stock.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owner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submitting proxies?</w:t>
      </w:r>
    </w:p>
    <w:p>
      <w:pPr>
        <w:spacing w:after="0" w:line="121"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Internet:  Proxies submitted electronically via the Internet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left="720" w:hanging="256"/>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Telephone:  Proxies submitted electronically by telephone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firstLine="464"/>
        <w:spacing w:after="0" w:line="277" w:lineRule="auto"/>
        <w:tabs>
          <w:tab w:leader="none" w:pos="7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40" w:firstLine="464"/>
        <w:spacing w:after="0" w:line="286" w:lineRule="auto"/>
        <w:tabs>
          <w:tab w:leader="none" w:pos="7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180" w:hanging="325"/>
        <w:spacing w:after="0" w:line="282"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320" w:hanging="325"/>
        <w:spacing w:after="0" w:line="28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 in the postage-paid envelope provided;</w:t>
      </w:r>
    </w:p>
    <w:p>
      <w:pPr>
        <w:spacing w:after="0" w:line="7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revocation to the Company, c/o Bruce L. Rubin, Corporate Secretary, 8 Sound Shore Drive, Suite 225, Greenwich, Connecticut 06830;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(or other color) proxy card you may revoke it at any time by submitting a later-dated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AT THE 2016 ANNUAL MEETING, NOT EVEN AS A SIGN OF PROTEST. IF YOU HAVE ALREADY RETURNED A WHITE (OR OTHER COLOR) PROXY CARD TO THE COMPANY OR NEXPOINT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b w:val="1"/>
          <w:bCs w:val="1"/>
          <w:color w:val="auto"/>
        </w:rPr>
        <w:t>SUBMISSION OF YOUR PROXY IS IMPORTANT, NO MATTER HOW MANY SHARES YOU OWN. TSLX URGES YOU TO MARK, SIGN, DATE AND RETURN THE ENCLOSED GOLD PROXY CARD TODAY TO VOTE (1) “FOR” THE ELECTION OF TSLX’S NOMINEE, T. KELLEY MILLET, (2) “FOR” THE BYLAWS AMENDMENT PROPOSAL, (3) “FOR” THE ACCOUNTANT RATIFICATION PROPOSAL,</w:t>
      </w:r>
    </w:p>
    <w:p>
      <w:pPr>
        <w:spacing w:after="0" w:line="2" w:lineRule="exact"/>
        <w:rPr>
          <w:sz w:val="20"/>
          <w:szCs w:val="20"/>
          <w:color w:val="auto"/>
        </w:rPr>
      </w:pPr>
    </w:p>
    <w:p>
      <w:pPr>
        <w:ind w:right="1380" w:firstLine="8"/>
        <w:spacing w:after="0" w:line="261" w:lineRule="auto"/>
        <w:tabs>
          <w:tab w:leader="none" w:pos="2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AND (5) “AGAINST” THE ADJOURNMENT PROPOSAL.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2016 Annual Meeting: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August 5 to August 24, 2015, TSLX acquired 1,633,719 shares of Common Stock through purchases in the open market, which represented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2.72% of the number of shares of Common Stock outstanding as of August 6, 2015 and 3.2% of the number of shares of Common Stock outstanding as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this Proxy Statement.</w:t>
      </w:r>
      <w:r>
        <w:rPr>
          <w:rFonts w:ascii="Arial" w:cs="Arial" w:eastAsia="Arial" w:hAnsi="Arial"/>
          <w:sz w:val="15"/>
          <w:szCs w:val="15"/>
          <w:color w:val="auto"/>
        </w:rPr>
        <w:t>2</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On August 11, 2015, according to a press release issued on August 19, NexPoint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in order to evaluate NexPoint’s proposal.</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5660" w:right="2900" w:hanging="5652"/>
        <w:spacing w:after="0" w:line="449" w:lineRule="auto"/>
        <w:tabs>
          <w:tab w:leader="none" w:pos="215" w:val="left"/>
        </w:tabs>
        <w:numPr>
          <w:ilvl w:val="0"/>
          <w:numId w:val="15"/>
        </w:numPr>
        <w:rPr>
          <w:rFonts w:ascii="Arial" w:cs="Arial" w:eastAsia="Arial" w:hAnsi="Arial"/>
          <w:sz w:val="15"/>
          <w:szCs w:val="15"/>
          <w:color w:val="auto"/>
        </w:rPr>
      </w:pPr>
      <w:r>
        <w:rPr>
          <w:rFonts w:ascii="Arial" w:cs="Arial" w:eastAsia="Arial" w:hAnsi="Arial"/>
          <w:sz w:val="18"/>
          <w:szCs w:val="18"/>
          <w:color w:val="auto"/>
        </w:rPr>
        <w:t>On March 31, 2016, TSLX also acquired 59 shares of Common Stock through TICC’s dividend reinvestment plan. 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June 7, 2016, TSLX sent a letter to the Chairman of the Board in response to a private letter TSLX received from Mr. Novak on May 25, 2016, which was filed with the SEC on the same day.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June 20, 2016, TSLX and Mr. Millet filed with the SEC a definitive proxy statement, as amended on July 11, 2016 and July 13, 2016, related to TSLX and Mr. Millet’s solicitation of proxies from Stockholders with respect to the election of Mr. Millet to the Board and TSLX’s proposal to terminate the Investment Advisory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20, 2016, TSLX sent a letter to the Board highlighting the need for change at TICC, which was filed with the SEC on the same day.</w:t>
      </w:r>
    </w:p>
    <w:p>
      <w:pPr>
        <w:spacing w:after="0" w:line="23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June 27, 2016, Jonathan H. Cohen, Charles M. Royce and Saul B. Rosenthal filed a Schedule 13D with the SEC with respect to the acquisition of shares of Common Stock by these individuals.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12, 2016, TICC filed with the SEC a definitive proxy statement for the 2016 Annual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making this solicitation as the largest Stockholder of TICC and in the greater interest of all Stockholders. As of the date of this Proxy Statement, TSLX is the beneficial and economic owner of approximately 3.2% of the outstanding shares of Common Stock.</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59.2% versus 243.3% for the BDC Composite.</w:t>
      </w:r>
      <w:r>
        <w:rPr>
          <w:rFonts w:ascii="Arial" w:cs="Arial" w:eastAsia="Arial" w:hAnsi="Arial"/>
          <w:sz w:val="13"/>
          <w:szCs w:val="13"/>
          <w:color w:val="auto"/>
        </w:rPr>
        <w:t>3</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6.2% since that date.</w:t>
      </w:r>
      <w:r>
        <w:rPr>
          <w:rFonts w:ascii="Arial" w:cs="Arial" w:eastAsia="Arial" w:hAnsi="Arial"/>
          <w:sz w:val="13"/>
          <w:szCs w:val="13"/>
          <w:color w:val="auto"/>
        </w:rPr>
        <w:t>4</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34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TICC and benchmark returns indexed to November 21, 2003. Total return calculation includes share price appreciation and cumulative dividends paid. BDC Composite comprised of ACAS, AINV, ARCC, BKCC, FSC, GBDC, HTGC, MAIN, MCC, NMFC, PNNT, PSEC, SLRC, TCAP, and TCRD.</w:t>
      </w:r>
    </w:p>
    <w:p>
      <w:pPr>
        <w:spacing w:after="0" w:line="124" w:lineRule="exact"/>
        <w:rPr>
          <w:sz w:val="20"/>
          <w:szCs w:val="20"/>
          <w:color w:val="auto"/>
        </w:rPr>
      </w:pPr>
    </w:p>
    <w:p>
      <w:pPr>
        <w:ind w:left="5620" w:right="2280" w:hanging="5612"/>
        <w:spacing w:after="0" w:line="449" w:lineRule="auto"/>
        <w:tabs>
          <w:tab w:leader="none" w:pos="447" w:val="left"/>
        </w:tabs>
        <w:numPr>
          <w:ilvl w:val="0"/>
          <w:numId w:val="18"/>
        </w:numPr>
        <w:rPr>
          <w:rFonts w:ascii="Arial" w:cs="Arial" w:eastAsia="Arial" w:hAnsi="Arial"/>
          <w:sz w:val="15"/>
          <w:szCs w:val="15"/>
          <w:color w:val="auto"/>
        </w:rPr>
      </w:pPr>
      <w:r>
        <w:rPr>
          <w:rFonts w:ascii="Arial" w:cs="Arial" w:eastAsia="Arial" w:hAnsi="Arial"/>
          <w:sz w:val="18"/>
          <w:szCs w:val="18"/>
          <w:color w:val="auto"/>
        </w:rPr>
        <w:t>Calculated based on TICC’s closing price of $5.62 on July 12, 2016 and a closing price of $5.99 on December 22, 2015. 11</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53585" cy="2426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35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Since</w:t>
            </w: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Since IPO</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9"/>
              </w:rPr>
              <w:t>Total Return (%)</w:t>
            </w:r>
            <w:r>
              <w:rPr>
                <w:rFonts w:ascii="Arial" w:cs="Arial" w:eastAsia="Arial" w:hAnsi="Arial"/>
                <w:sz w:val="12"/>
                <w:szCs w:val="12"/>
                <w:b w:val="1"/>
                <w:bCs w:val="1"/>
                <w:color w:val="auto"/>
                <w:w w:val="99"/>
              </w:rPr>
              <w:t>(</w:t>
            </w:r>
            <w:r>
              <w:rPr>
                <w:rFonts w:ascii="Arial" w:cs="Arial" w:eastAsia="Arial" w:hAnsi="Arial"/>
                <w:sz w:val="14"/>
                <w:szCs w:val="14"/>
                <w:b w:val="1"/>
                <w:bCs w:val="1"/>
                <w:color w:val="auto"/>
                <w:w w:val="99"/>
              </w:rPr>
              <w:t>¹</w:t>
            </w:r>
            <w:r>
              <w:rPr>
                <w:rFonts w:ascii="Arial" w:cs="Arial" w:eastAsia="Arial" w:hAnsi="Arial"/>
                <w:sz w:val="12"/>
                <w:szCs w:val="12"/>
                <w:b w:val="1"/>
                <w:bCs w:val="1"/>
                <w:color w:val="auto"/>
                <w:w w:val="99"/>
              </w:rPr>
              <w:t>)</w:t>
            </w:r>
          </w:p>
        </w:tc>
        <w:tc>
          <w:tcPr>
            <w:tcW w:w="146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w:t>
            </w:r>
          </w:p>
        </w:tc>
        <w:tc>
          <w:tcPr>
            <w:tcW w:w="360" w:type="dxa"/>
            <w:vAlign w:val="bottom"/>
            <w:vMerge w:val="restart"/>
          </w:tcPr>
          <w:p>
            <w:pPr>
              <w:spacing w:after="0"/>
              <w:rPr>
                <w:sz w:val="10"/>
                <w:szCs w:val="10"/>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1Y</w:t>
            </w:r>
          </w:p>
        </w:tc>
        <w:tc>
          <w:tcPr>
            <w:tcW w:w="360" w:type="dxa"/>
            <w:vAlign w:val="bottom"/>
            <w:vMerge w:val="restart"/>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42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YTD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1Y</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3Y</w:t>
            </w:r>
          </w:p>
        </w:tc>
        <w:tc>
          <w:tcPr>
            <w:tcW w:w="9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Since</w:t>
            </w:r>
          </w:p>
        </w:tc>
        <w:tc>
          <w:tcPr>
            <w:tcW w:w="8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Since IPO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4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4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3.7%</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4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line="216" w:lineRule="exact"/>
              <w:rPr>
                <w:sz w:val="20"/>
                <w:szCs w:val="20"/>
                <w:color w:val="auto"/>
              </w:rPr>
            </w:pPr>
            <w:r>
              <w:rPr>
                <w:rFonts w:ascii="Arial" w:cs="Arial" w:eastAsia="Arial" w:hAnsi="Arial"/>
                <w:sz w:val="15"/>
                <w:szCs w:val="15"/>
                <w:color w:val="auto"/>
              </w:rPr>
              <w:t>BDC Composite</w:t>
            </w:r>
            <w:r>
              <w:rPr>
                <w:rFonts w:ascii="Arial" w:cs="Arial" w:eastAsia="Arial" w:hAnsi="Arial"/>
                <w:sz w:val="25"/>
                <w:szCs w:val="25"/>
                <w:color w:val="auto"/>
                <w:vertAlign w:val="superscript"/>
              </w:rPr>
              <w:t>(</w:t>
            </w:r>
            <w:r>
              <w:rPr>
                <w:rFonts w:ascii="Arial" w:cs="Arial" w:eastAsia="Arial" w:hAnsi="Arial"/>
                <w:sz w:val="15"/>
                <w:szCs w:val="15"/>
                <w:color w:val="auto"/>
              </w:rPr>
              <w:t>³</w:t>
            </w:r>
            <w:r>
              <w:rPr>
                <w:rFonts w:ascii="Arial" w:cs="Arial" w:eastAsia="Arial" w:hAnsi="Arial"/>
                <w:sz w:val="25"/>
                <w:szCs w:val="25"/>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243.3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(15.8)%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(184.1)%</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w w:val="98"/>
              </w:rPr>
              <w:t>(6.5)%</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(110.8)</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71.1</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117.4</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(58.2)</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 Note: Market data as of July 12,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676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95.4%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TICC’s willingness to repurchase shares during the fourth quarter of 2015 and during 2016, </w:t>
      </w:r>
      <w:r>
        <w:rPr>
          <w:rFonts w:ascii="Arial" w:cs="Arial" w:eastAsia="Arial" w:hAnsi="Arial"/>
          <w:sz w:val="16"/>
          <w:szCs w:val="16"/>
          <w:i w:val="1"/>
          <w:iCs w:val="1"/>
          <w:color w:val="auto"/>
        </w:rPr>
        <w:t>it is not lost on us nor on other Stockholders that TICC has refused to commit to continuing this strategy</w:t>
      </w:r>
      <w:r>
        <w:rPr>
          <w:rFonts w:ascii="Arial" w:cs="Arial" w:eastAsia="Arial" w:hAnsi="Arial"/>
          <w:sz w:val="16"/>
          <w:szCs w:val="16"/>
          <w:color w:val="auto"/>
        </w:rPr>
        <w:t>. It is unacceptable that TICC is not continuing to buy back stock at a 4.7% discount to NAV.</w:t>
      </w:r>
      <w:r>
        <w:rPr>
          <w:rFonts w:ascii="Arial" w:cs="Arial" w:eastAsia="Arial" w:hAnsi="Arial"/>
          <w:sz w:val="13"/>
          <w:szCs w:val="13"/>
          <w:color w:val="auto"/>
        </w:rPr>
        <w:t>7</w:t>
      </w:r>
      <w:r>
        <w:rPr>
          <w:rFonts w:ascii="Arial" w:cs="Arial" w:eastAsia="Arial" w:hAnsi="Arial"/>
          <w:sz w:val="16"/>
          <w:szCs w:val="16"/>
          <w:color w:val="auto"/>
        </w:rPr>
        <w:t xml:space="preserve"> Our estimate is that the 2016 repurchases have added 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6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0"/>
          <w:szCs w:val="20"/>
          <w:color w:val="auto"/>
        </w:rPr>
      </w:pPr>
    </w:p>
    <w:p>
      <w:pPr>
        <w:ind w:left="460" w:right="300" w:hanging="452"/>
        <w:spacing w:after="0" w:line="25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Calculated as of July 12, 2016, based on TICC’s daily closing price as a percentage of the then latest reported net asset value per share. Calculation includes both trading and non-trading days.</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Calculated based on TICC’s closing price of $5.62 per share on July 12, 2016 and TICC’s last reported net asset value of $5.89 per share as of</w:t>
      </w:r>
    </w:p>
    <w:p>
      <w:pPr>
        <w:spacing w:after="0" w:line="224" w:lineRule="exact"/>
        <w:rPr>
          <w:sz w:val="20"/>
          <w:szCs w:val="20"/>
          <w:color w:val="auto"/>
        </w:rPr>
      </w:pPr>
    </w:p>
    <w:p>
      <w:pPr>
        <w:ind w:left="460" w:right="68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$5.62 per share on July 12, 2016 and TICC’s last reported net asset value of $5.89 per share as of March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jc w:val="both"/>
        <w:ind w:left="460" w:right="800" w:hanging="452"/>
        <w:spacing w:after="0" w:line="282"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TSLX believes that Total Shareholder Fees &amp; Expenses and Total Economics for each company in the BDC Composite were calculated on a substantially equivalent basis to the methodology shown for TICC in </w:t>
      </w:r>
      <w:r>
        <w:rPr>
          <w:rFonts w:ascii="Arial" w:cs="Arial" w:eastAsia="Arial" w:hAnsi="Arial"/>
          <w:sz w:val="16"/>
          <w:szCs w:val="16"/>
          <w:u w:val="single" w:color="auto"/>
          <w:color w:val="auto"/>
        </w:rPr>
        <w:t>Annex D</w:t>
      </w:r>
      <w:r>
        <w:rPr>
          <w:rFonts w:ascii="Arial" w:cs="Arial" w:eastAsia="Arial" w:hAnsi="Arial"/>
          <w:sz w:val="16"/>
          <w:szCs w:val="16"/>
          <w:color w:val="auto"/>
        </w:rPr>
        <w:t>, including pro forma adjustments to exclude the effects of 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or incentive fee waiver, where applicable. Source: Company Filings. Capital IQ, Financial data as of 3/31/16.</w:t>
      </w:r>
    </w:p>
    <w:p>
      <w:pPr>
        <w:spacing w:after="0" w:line="8"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TICC itself told Stockholders that if they voted down the deal it would result in Stockholders left with the “same adviser” and “same Board.”</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then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170.5 percentage points since TICC’s initial public offering on a total returns basis, a whopping 6.3 percentage points per year of under-performance, the only appropriate response from the Board would have been to terminate the management contract with the Existing Adviser. Again, TICC’s net total return for investors was approximately 0.7%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89.8%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right="24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Novak’s 19,474 shares of Common Stock have a current market value of approximately $107,444, representing a mere 10.9% of the more than $1.0 million in aggregate compensation he has received from TICC during his 12-year tenure as a director.</w:t>
      </w:r>
      <w:r>
        <w:rPr>
          <w:rFonts w:ascii="Arial" w:cs="Arial" w:eastAsia="Arial" w:hAnsi="Arial"/>
          <w:sz w:val="14"/>
          <w:szCs w:val="14"/>
          <w:color w:val="auto"/>
        </w:rPr>
        <w:t>13</w:t>
      </w:r>
    </w:p>
    <w:p>
      <w:pPr>
        <w:spacing w:after="0" w:line="51" w:lineRule="exact"/>
        <w:rPr>
          <w:rFonts w:ascii="Arial" w:cs="Arial" w:eastAsia="Arial" w:hAnsi="Arial"/>
          <w:sz w:val="17"/>
          <w:szCs w:val="17"/>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7.3%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166"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July 12, 2016, based on ACSF’s closing price of $10.52 per share and a March 31, 2016 NAV of $11.72 per share.</w:t>
      </w:r>
    </w:p>
    <w:p>
      <w:pPr>
        <w:spacing w:after="0" w:line="9" w:lineRule="exact"/>
        <w:rPr>
          <w:rFonts w:ascii="Arial" w:cs="Arial" w:eastAsia="Arial" w:hAnsi="Arial"/>
          <w:sz w:val="15"/>
          <w:szCs w:val="15"/>
          <w:color w:val="auto"/>
        </w:rPr>
      </w:pPr>
    </w:p>
    <w:p>
      <w:pPr>
        <w:ind w:left="460" w:right="14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$5.62 on July 12,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DELAY IN SCHEDULING STOCKHOLDER MEETING</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Historically, TICC has held its annual meeting no later than June 18 and has announced the date of each of its annual meetings in the last 11 years by no later than May 2 of that year. The fact that TICC delayed setting the date for its 2016 Annual Meeting is another blatant abuse of Stockholders.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delaying the 2016 Annual Meeting, TICC has prevented Stockholders from having an earlier opportunity to voice their concerns at the 2016 Annual Meeting and to exercise their right to vote on critical proposals that directly affect their company. Simply put, we believe that the Board delayed the 2016 Annual Meeting to prevent Stockholders from having an earlier opportunity to vote in favor of our highly qualified director nominee and our proposal to terminate the contract of the failed Existing Adviser.</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the Board has clearly been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brighter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240" w:top="459" w:right="8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TICC Proxy Statement.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for the Company’s nominee or NexPoint’s nominee. If you have already submitted a WHITE (or other color) proxy card that may have been sent to you by the Company or NexPoint or otherwise authorized a proxy to vote your shares of Common Stock for the Company’s nominee or NexPoint’s nominee, it is not too late to change your vote. To revoke your prior proxy and change your vote, simply mark, sign and date the enclosed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and return it in the postage-paid envelope provided to you by us or follow the instructions located on the</w:t>
      </w:r>
      <w:r>
        <w:rPr>
          <w:rFonts w:ascii="Arial" w:cs="Arial" w:eastAsia="Arial" w:hAnsi="Arial"/>
          <w:sz w:val="17"/>
          <w:szCs w:val="17"/>
          <w:b w:val="1"/>
          <w:bCs w:val="1"/>
          <w:color w:val="auto"/>
        </w:rPr>
        <w:t xml:space="preserve"> GOLD </w:t>
      </w:r>
      <w:r>
        <w:rPr>
          <w:rFonts w:ascii="Arial" w:cs="Arial" w:eastAsia="Arial" w:hAnsi="Arial"/>
          <w:sz w:val="17"/>
          <w:szCs w:val="17"/>
          <w:color w:val="auto"/>
        </w:rPr>
        <w:t>proxy card to authorize a</w:t>
      </w:r>
      <w:r>
        <w:rPr>
          <w:rFonts w:ascii="Arial" w:cs="Arial" w:eastAsia="Arial" w:hAnsi="Arial"/>
          <w:sz w:val="17"/>
          <w:szCs w:val="17"/>
          <w:b w:val="1"/>
          <w:bCs w:val="1"/>
          <w:color w:val="auto"/>
        </w:rPr>
        <w:t xml:space="preserve"> </w:t>
      </w:r>
      <w:r>
        <w:rPr>
          <w:rFonts w:ascii="Arial" w:cs="Arial" w:eastAsia="Arial" w:hAnsi="Arial"/>
          <w:sz w:val="17"/>
          <w:szCs w:val="17"/>
          <w:color w:val="auto"/>
        </w:rPr>
        <w:t>proxy by telephone or Internet. Only your latest dated proxy will be counted.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THE COMPANY’S PROPOSAL TO AMEND THE BYLAWS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discussed in further detail in the TICC Proxy Statement, Stockholders are being asked to vote to approve an amendment to the Bylaws to change the standard for the election of directors in uncontested elections from a plurality voting standard to a majority voting standard.</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2.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2.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WE STRONGLY URGE YOU TO RETURN A PROXY “FOR” PROPOSAL NO. 2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AMEND THE BYLAWS.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discussed further in the TICC Proxy Statement, Stockholders are being asked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PROPOSAL NO. 3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RATIFY THE APPOINTMENT OF PRICEWATERHOUSECOOPERS LLP.</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4: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By soliciting votes in favor of the BSP transaction, the Company has itself acknowledged that another potential advisory arrangement exists that is preferable to the current arrangement with the Existing Adviser. Although in that solicitation, the Special Committee indicated it believed “[n]o alternative currently exists that the Special Committee would approve or recommend because no current proposal is preferable to the status quo other than the approval of BSP as the new manager,” we do not believe that to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case and we note that, as part of its advocacy in favor of that solicitation, the Company told Stockholders that failing to approve the BSP transaction would result in Stockholders being left with the “[s]tatus quo: </w:t>
      </w:r>
      <w:r>
        <w:rPr>
          <w:rFonts w:ascii="Arial" w:cs="Arial" w:eastAsia="Arial" w:hAnsi="Arial"/>
          <w:sz w:val="18"/>
          <w:szCs w:val="18"/>
          <w:b w:val="1"/>
          <w:bCs w:val="1"/>
          <w:color w:val="auto"/>
        </w:rPr>
        <w:t>higher</w:t>
      </w:r>
      <w:r>
        <w:rPr>
          <w:rFonts w:ascii="Arial" w:cs="Arial" w:eastAsia="Arial" w:hAnsi="Arial"/>
          <w:sz w:val="18"/>
          <w:szCs w:val="18"/>
          <w:color w:val="auto"/>
        </w:rPr>
        <w:t xml:space="preserve"> fee structure . . . [the] same advisor, and [the] same Board.” TSLX believes that, now that the Board has acknowledged that another, more favorable alternative advisory arrangement exists, it should follow through by terminating the Existing Adviser and exploring the full range of alternatives that we believe are available to the Company.</w:t>
      </w:r>
    </w:p>
    <w:p>
      <w:pPr>
        <w:spacing w:after="0" w:line="187"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According to the TICC Proxy Statement, terminating the Investment Advisory Agreement will have the following effect on the 2012 Debt Securitization.</w:t>
      </w:r>
    </w:p>
    <w:p>
      <w:pPr>
        <w:spacing w:after="0" w:line="62"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The Company acts as Collateral Manager for TICC CLO 2012-1 LLC, the Company’s wholly-owned, special purpose financing subsidiary (“TICC CLO 2012-1”) in a debt securitization transaction that was completed on August 23, 2012, subsequently increased in an upsizing transaction that was completed on February 25, 2013, and increased in a second upsizing transaction that was completed on May 28, 2013 (the “2012 Debt Securitization”). If the Investment Advisory Agreement were terminated, it is expected that certain current TICC Management principals (i.e., Jonathan H. Cohen and Saul B. Rosenthal) would no longer be actively involved in TICC’s operations or serve as TICC’s officers, which could lead to a removal of the Company as the Collateral Manager for the TICC CLO 2012-1. Certain “key individuals” (i.e., Jonathan H. Cohen and Saul B. Rosenthal) ceasing to be engaged in the day-to-day senior management of the Company (which would occur, as described herein, if the Investment Advisory Agreement were terminated) constitutes a “for cause” termination event under the Collateral Management Agreement (the “Collateral Management Agreement”), dated as of August 23, 2012, by and between the Collateral Manager and TICC CLO 2012-1 for the 2012 Debt Securitization. If this event occurred following the termination of the Investment Advisory Agreement, a majority of the holders of the most senior class of notes issued in the 2012 Debt Securitization (referred to as the “Controlling Class”) would have the right to terminate the Company for “cause” as Collateral Manager. The Class A-1 Notes, which are held by unaffiliated, third-party investors are currently the Controlling Class.</w:t>
      </w:r>
    </w:p>
    <w:p>
      <w:pPr>
        <w:spacing w:after="0" w:line="18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5: THE COMPANY’S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As discussed further in the TICC Proxy Statement, Stockholders are being asked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Proxy Statement.</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5. Please refer to the TICC Proxy Statement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5.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“AGAINST” PROPOSAL NO. 5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“AGAINST” THE COMPANY’S PROPOSAL TO APPROVE THE ADJOURNMENT OF THE 2016 ANNUAL MEETING.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According to information contained in the TICC Proxy Statement, the Audit Committee of the Board has selected PricewaterhouseCoopers LLP to serve as the Company’s independent registered public accounting firm to examine the books, records and accounts of the Company and its subsidiaries for the fiscal year ending December 31, 2016, subject to ratification by Stockholders at the 2016 Annual Meeting. It is expected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concerning PricewaterhouseCoopers LLP has been reproduced from the TICC Proxy Statement:</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PricewaterhouseCoopers LLP has advised us that neither the firm nor any present member or associate of it has any material financial interest, direct or indirect, in the Company or its affiliates. [...]</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73"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 […]</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retained MacKenzie Partners, Inc. for solicitation and advisory services in connection with solicitations relating to the 2016 Annual Meeting. MacKenzie Partners, Inc. is to receive a fee of up to approximately $350,000, inclusive of reimbursement for its reasonable out-of-pocket expenses, for its services to TSLX in connection with the solicitation.</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 Partners, Inc. will employ approximately 35 persons to solicit Stockholders for the 2016 Annual Meeting.</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entire expense of soliciting proxies for the 2016 Annual Meeting by TSLX, or on TSLX’s behalf, is being borne by TSLX. Although no precise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 can be made at the present time, the total expenditures in furtherance of, or in connection with, this solicitation are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As of the date hereof, TSLX has incurred approximately $500,000 of total expenditures in furtherance of, or in connection with, this solicitation.</w:t>
      </w:r>
    </w:p>
    <w:p>
      <w:pPr>
        <w:spacing w:after="0" w:line="23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SOLICITATION</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TSLX mailed its definitive proxy statement, together with the accompanying GOLD proxy card, to TICC stockholders on or about June 20, 2016, before TICC had filed its preliminary proxy for the 2016 Annual Meeting. Because TSLX did so before the filing of TICC’s preliminary proxy statement, TSLX’s June 20 proxy statement and accompanying proxy card did not include the Bylaws Amendment Proposal as TSLX was unaware at that time, and had no reason to believe, that it would be presented at the 2016 Annual Meeting, particularly since the TICC Board has the exclusive power to amend TICC’s Bylaws.</w:t>
      </w:r>
    </w:p>
    <w:p>
      <w:pPr>
        <w:spacing w:after="0" w:line="188"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TSLX determined to proceed with its June mailing in light of TICC’s significant delays in filing its preliminary proxy statement, setting a record date and announcing the meeting date this year as compared to the dates by which it took such actions in each prior year of its existence. TICC has historically filed its proxy statement by the end of April and never later than May 18. In addition, this year will be the first year since TICC’s inception in 2003 that the annual meeting will be held later than June 18. The substantial delays this year were intentional and, we believe, in bad faith, in light of TSLX having properly submitted its nomination of a director candidate and proposal to terminate the Investment Advisory Agreement on February 3, 2016. Indeed, we believe this delay enabled Jonathan H. Cohen, Saul B. Rosenthal and Charles M. Royce, insiders with a significant financial stake in TICC Management, to acquire shares of TICC stock to vote at the 2016 Annual Meeting in order to dilute the voting interest of the other TICC stockholders and, therefore, to facilitate the entrenchment of management.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Now, after this substantial and deliberate delay, TICC has stated in its proxy statement that it may challenge votes on the proxy cards that we distributed on June 20, 2016. Put simply, we believe TICC’s claims are without merit and are just another attempt to entrench management. According to our Maryland counsel, Venable LLP, any proxy cards distributed by us on June 20, 2016 and returned by holders of TICC common stock as of the Record Date and not revoked are valid under the Maryland General Corporation Law and TSLX intends to have its proxy holders exercise those proxies at the 2016 Annual Meeting. However, TSLX has determined that it will not have its proxy holders exercise their discretionary authority under such proxies with respect to the Bylaws Amendment Proposal.</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stockholder who previously returned the June 20 proxy card and wishes to grant a proxy with respect to the Bylaws Amendment Proposal should sign, date and return the enclosed GOLD proxy card or authorize a proxy over the Internet or by telephone in the manner provided on the enclosed GOLD proxy card. The enclosed GOLD proxy card includes the Bylaws Amendment Proposal as well as the other four proposals. Please note that only the latest dated proxy you submit will be counted.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TICC Proxy Statement contains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information on how to obtain directions to be able to attend the 2016 Annual Meeting and vote in person and information on the effect of terminating the Investment Advisory Agreement under the TICC CLO 2012-1 LLC contract. Stockholders should refer to the Company’s public filings in order to review this disclosure. TSLX has no knowledge of, or responsibility for, the accuracy of the Company’s disclosures in its proxy materials.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of Stockholders, TICC is a Maryland corporation with its principal executive office located at 8 Sound Shore Drive, Suite 255, Greenwich, Connecticut 06830.</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TICC is subject to the informational requirements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in accordance therewith is required to file reports, proxy statements and other information with the SEC. Reports, registration statements, proxy statements and other information filed by TICC with the SEC, including the TICC Proxy Statement, are and will be publicly available at the SEC’s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This Proxy Statement is dated July 13, 2016. You should not assume that the information contained in this Proxy Statement is accurate as of any date other than such date, and the mailing of this Proxy Statement to Stockholders shall not create any implication to the contrary.</w:t>
      </w:r>
    </w:p>
    <w:p>
      <w:pPr>
        <w:spacing w:after="0" w:line="14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YOUR VOTE IS IMPORTANT, NO MATTER HOW MANY SHARES YOU OWN. TSLX URGES YOU TO MARK, SIGN, DATE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 TO AUTHORIZE A PROXY TO VOTE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reproduced from the TICC Proxy Statement:</w:t>
      </w:r>
    </w:p>
    <w:p>
      <w:pPr>
        <w:spacing w:after="0" w:line="62"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Any stockholder proposals submitted pursuant to the SEC’s Rule 14a-8 for inclusion in the Company’s proxy statement and form of proxy for the 2017 annual meeting of stockholders must be received by the Company on or before March 14, 2017. Such proposals must also comply with the requirements as to form and substance established by the SEC if such proposals are to be included in the Company’s proxy statement and form of proxy. The submission of a proposal does not guarantee its inclusion in the Company’s proxy statement or presentation at the 2017 annual meeting of stockholders. Any such proposal should be mailed to: TICC Capital Corp., c/o Bruce L. Rubin, Corporate Secretary, 8 Sound Shore Drive, Suite 255, Greenwich, Connecticut 06830. In order for any proposal by a stockholder made outside of Rule 14a-8 under the Exchange Act to be considered “timely” within the meaning of Rule 14a-4(c) under the Exchange Act, it must be received by us not later than May 28, 2017. If your proposal is not “timely” within the meaning of Rule 14a-4(c), then proxies solicited by us for the 2017 annual meeting of stockholders may confer discretionary authority to us to vote on that proposal.</w:t>
      </w:r>
    </w:p>
    <w:p>
      <w:pPr>
        <w:spacing w:after="0" w:line="19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Stockholder proposals or director nominations for the Company to be presented at the 2017 annual meeting of stockholders, other than stockholder proposals submitted pursuant to the SEC’s Rule 14a-8, must be delivered to, or mailed and received at, the principal executive offices of the Company not less than 90 days nor more than 120 days prior to the first anniversary of the date of mailing of the notice for the preceding year’s annual meeting of stockholders. For the 2017 annual meeting of stockholders, the Company must receive such proposals and nominations between March 14, 2017 and April 13, 2017. If the date of the mailing of the notice for the 2017 annual meeting is advanced or delayed by more than 30 days from the first anniversary of the date of mailing of the notice for the preceding year’s annual meeting, notice by the stockholder to be timely must be so delivered not earlier than the 120th day prior to the date of mailing of the notice for the 2017 annual meeting and not later than the close of business on the later of the 90th day prior to the date of mailing of the notice for the 2017 annual meeting or the 10th day following the day on which public announcement of the date of mailing of the notice for such meeting is first made.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Once TICC publicly discloses the deadlines that were left blank by TICC in the above excerpt, TSLX will supplement this Proxy Statement to include such information and file revised definitive proxy materials with the SEC. The incorporation of this information in this Proxy Statement should not be construed as an admission by TSLX that such procedures are legal, valid or binding.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as amended,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July 13,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Because it would be the Board’s prerogative to select and evaluate potential candidates subject to the procedures described in the section entitled “Proposal No. 2,” however, TSLX has not, to date, considered other candidates that it might propose as a replacement for the Existing Adviser.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According to the TICC Proxy Statement, the following table sets forth as of the Record Date the beneficial ownership of each current director, the director nominees, the Company’s executive officers, each person known to the Company to beneficially own 5% or more of the outstanding shares of Common Stock, and the executive officers and directors as a group. TICC has not yet publicly filed the TICC Proxy Statement with the SEC. Once TICC publicly files such a proxy statement, TSLX will supplement this Proxy Statement to include any relevant additional or revised information from the TICC Proxy Statement and file revised definitive proxy materials with the SEC.</w:t>
      </w:r>
    </w:p>
    <w:p>
      <w:pPr>
        <w:spacing w:after="0" w:line="18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Number of Common</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Beneficially</w:t>
            </w:r>
            <w:r>
              <w:rPr>
                <w:rFonts w:ascii="Arial" w:cs="Arial" w:eastAsia="Arial" w:hAnsi="Arial"/>
                <w:sz w:val="12"/>
                <w:szCs w:val="12"/>
                <w:b w:val="1"/>
                <w:bCs w:val="1"/>
                <w:color w:val="auto"/>
                <w:w w:val="92"/>
              </w:rPr>
              <w:t>(1)</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(3)(7)</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1,036,513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973,436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r>
              <w:rPr>
                <w:rFonts w:ascii="Arial" w:cs="Arial" w:eastAsia="Arial" w:hAnsi="Arial"/>
                <w:sz w:val="15"/>
                <w:szCs w:val="15"/>
                <w:color w:val="auto"/>
              </w:rPr>
              <w:t>(5)</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19,474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15,937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833,650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Bruce L. Rubin</w:t>
            </w:r>
            <w:r>
              <w:rPr>
                <w:rFonts w:ascii="Arial" w:cs="Arial" w:eastAsia="Arial" w:hAnsi="Arial"/>
                <w:sz w:val="15"/>
                <w:szCs w:val="15"/>
                <w:color w:val="auto"/>
              </w:rPr>
              <w:t>(6)</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8,900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2,954,013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1"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less than one percent.</w:t>
      </w:r>
    </w:p>
    <w:p>
      <w:pPr>
        <w:spacing w:after="0" w:line="22" w:lineRule="exact"/>
        <w:rPr>
          <w:sz w:val="20"/>
          <w:szCs w:val="20"/>
          <w:color w:val="auto"/>
        </w:rPr>
      </w:pPr>
    </w:p>
    <w:p>
      <w:pPr>
        <w:ind w:left="800" w:right="200" w:hanging="454"/>
        <w:spacing w:after="0" w:line="281" w:lineRule="auto"/>
        <w:tabs>
          <w:tab w:leader="none" w:pos="800" w:val="left"/>
        </w:tabs>
        <w:numPr>
          <w:ilvl w:val="0"/>
          <w:numId w:val="43"/>
        </w:numPr>
        <w:rPr>
          <w:rFonts w:ascii="Arial" w:cs="Arial" w:eastAsia="Arial" w:hAnsi="Arial"/>
          <w:sz w:val="15"/>
          <w:szCs w:val="15"/>
          <w:i w:val="1"/>
          <w:iCs w:val="1"/>
          <w:color w:val="auto"/>
        </w:rPr>
      </w:pPr>
      <w:r>
        <w:rPr>
          <w:rFonts w:ascii="Arial" w:cs="Arial" w:eastAsia="Arial" w:hAnsi="Arial"/>
          <w:sz w:val="15"/>
          <w:szCs w:val="15"/>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5"/>
          <w:szCs w:val="15"/>
          <w:i w:val="1"/>
          <w:iCs w:val="1"/>
          <w:color w:val="auto"/>
        </w:rPr>
      </w:pPr>
    </w:p>
    <w:p>
      <w:pPr>
        <w:ind w:left="800" w:hanging="454"/>
        <w:spacing w:after="0"/>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Based on a total of 51,479,409 shares of Common Stock issued and outstanding on the Record Date.</w:t>
      </w:r>
    </w:p>
    <w:p>
      <w:pPr>
        <w:spacing w:after="0" w:line="18" w:lineRule="exact"/>
        <w:rPr>
          <w:rFonts w:ascii="Arial" w:cs="Arial" w:eastAsia="Arial" w:hAnsi="Arial"/>
          <w:sz w:val="16"/>
          <w:szCs w:val="16"/>
          <w:i w:val="1"/>
          <w:iCs w:val="1"/>
          <w:color w:val="auto"/>
        </w:rPr>
      </w:pPr>
    </w:p>
    <w:p>
      <w:pPr>
        <w:ind w:left="800" w:right="380" w:hanging="454"/>
        <w:spacing w:after="0" w:line="264"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407 shares held by BDC Partners, LLC which may be deemed to be beneficially owned by Messrs. Cohen and Rosenthal by virtue of their ownership interests therein.</w:t>
      </w:r>
    </w:p>
    <w:p>
      <w:pPr>
        <w:ind w:left="800" w:right="220" w:hanging="454"/>
        <w:spacing w:after="0" w:line="264"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Mr. Royce may be deemed to beneficially own 432,821 shares held by Royce Family Investments, LLC and 62,001 shares held by Royce Family Fund, Inc. Mr. Royce disclaims beneficial ownership of any shares directly held by Royce Family Fund, Inc. The address for both of these entities is 8 Sound Shore Drive, Suite 140, Greenwich, CT 06830.</w:t>
      </w:r>
    </w:p>
    <w:p>
      <w:pPr>
        <w:ind w:left="800" w:hanging="454"/>
        <w:spacing w:after="0"/>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These shares are held by Mr. Novak’s spouse, which Mr. Novak may be deemed to beneficially own.</w:t>
      </w:r>
    </w:p>
    <w:p>
      <w:pPr>
        <w:spacing w:after="0" w:line="18" w:lineRule="exact"/>
        <w:rPr>
          <w:rFonts w:ascii="Arial" w:cs="Arial" w:eastAsia="Arial" w:hAnsi="Arial"/>
          <w:sz w:val="16"/>
          <w:szCs w:val="16"/>
          <w:i w:val="1"/>
          <w:iCs w:val="1"/>
          <w:color w:val="auto"/>
        </w:rPr>
      </w:pPr>
    </w:p>
    <w:p>
      <w:pPr>
        <w:ind w:left="800" w:hanging="454"/>
        <w:spacing w:after="0"/>
        <w:tabs>
          <w:tab w:leader="none" w:pos="8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Mr. Rubin may be deemed to beneficially own 688 shares held by his children. Mr. Rubin disclaims beneficial ownership of any shares directly held by his children.</w:t>
      </w:r>
    </w:p>
    <w:p>
      <w:pPr>
        <w:spacing w:after="0" w:line="41" w:lineRule="exact"/>
        <w:rPr>
          <w:rFonts w:ascii="Arial" w:cs="Arial" w:eastAsia="Arial" w:hAnsi="Arial"/>
          <w:sz w:val="14"/>
          <w:szCs w:val="14"/>
          <w:i w:val="1"/>
          <w:iCs w:val="1"/>
          <w:color w:val="auto"/>
        </w:rPr>
      </w:pPr>
    </w:p>
    <w:p>
      <w:pPr>
        <w:jc w:val="both"/>
        <w:ind w:left="800" w:right="200" w:hanging="454"/>
        <w:spacing w:after="0" w:line="272"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allocable portion of the shares held in a joint tenants in common account in which Messrs. Cohen, Rosenthal and Royce each have a 40%, 40% and 20% pecuniary interest, respectively. There are an aggregate of 1,815,267 shares held in such account. The number of shares reported above for each of Messrs. Cohen, Rosenthal and Royce includes only each of their respective pecuniary interests in such account, in addition to any shares such persons may be deemed to beneficially own.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$5.50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80"/>
          </w:cols>
          <w:pgMar w:left="240" w:top="45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TSLX RECOMMENDS THAT YOU RETURN A PROXY (1) “FOR” THE ELECTION OF TSLX’S NOMINEE, T. KELLEY MILLET, (2) “FOR” THE BYLAWS AMENDMENT PROPOSAL, (3) “FOR” THE ACCOUNTANT RATIFICATION PROPOSAL, (4) “FOR” TSLX’S PROPOSAL TO TERMINATE THE INVESTMENT ADVISORY AGREEMENT AND (5)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(212) 929-5500 (Call Collect)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stockholder of TICC Capital Corp.,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7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3 AND 4 AND “AGAINST” PROPOSAL NO. 5.</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7"/>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election of TPG Specialty Lending, Inc.’s (“</w:t>
      </w:r>
      <w:r>
        <w:rPr>
          <w:rFonts w:ascii="Arial" w:cs="Arial" w:eastAsia="Arial" w:hAnsi="Arial"/>
          <w:sz w:val="16"/>
          <w:szCs w:val="16"/>
          <w:u w:val="single" w:color="auto"/>
          <w:color w:val="auto"/>
        </w:rPr>
        <w:t>TSLX</w:t>
      </w:r>
      <w:r>
        <w:rPr>
          <w:rFonts w:ascii="Arial" w:cs="Arial" w:eastAsia="Arial" w:hAnsi="Arial"/>
          <w:sz w:val="16"/>
          <w:szCs w:val="16"/>
          <w:color w:val="auto"/>
        </w:rPr>
        <w:t>”) nominee, T. Kelley Millet, to serve as a director on the Company’s board of directors.</w:t>
      </w:r>
    </w:p>
    <w:p>
      <w:pPr>
        <w:spacing w:after="0" w:line="271"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proposal to amend TICC’s Bylaws to implement a majority vote standard for the election of directors in uncontested elections.</w:t>
      </w:r>
    </w:p>
    <w:p>
      <w:pPr>
        <w:sectPr>
          <w:pgSz w:w="11900" w:h="16838" w:orient="portrait"/>
          <w:cols w:equalWidth="0" w:num="1">
            <w:col w:w="11320"/>
          </w:cols>
          <w:pgMar w:left="240" w:top="459" w:right="33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00" w:lineRule="exact"/>
        <w:rPr>
          <w:sz w:val="20"/>
          <w:szCs w:val="20"/>
          <w:color w:val="auto"/>
        </w:rPr>
      </w:pPr>
    </w:p>
    <w:p>
      <w:pPr>
        <w:spacing w:after="0" w:line="299" w:lineRule="exact"/>
        <w:rPr>
          <w:sz w:val="20"/>
          <w:szCs w:val="20"/>
          <w:color w:val="auto"/>
        </w:rPr>
      </w:pPr>
    </w:p>
    <w:p>
      <w:pPr>
        <w:ind w:left="460" w:right="24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4.</w:t>
      </w:r>
    </w:p>
    <w:p>
      <w:pPr>
        <w:spacing w:after="0" w:line="2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5.</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12"/>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56"/>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4"/>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3"/>
      <w:numFmt w:val="bullet"/>
      <w:start w:val="1"/>
    </w:lvl>
  </w:abstractNum>
  <w:abstractNum w:abstractNumId="17">
    <w:nsid w:val="5577F8E1"/>
    <w:multiLevelType w:val="hybridMultilevel"/>
    <w:lvl w:ilvl="0">
      <w:lvlJc w:val="left"/>
      <w:lvlText w:val="4"/>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5"/>
      <w:numFmt w:val="bullet"/>
      <w:start w:val="1"/>
    </w:lvl>
  </w:abstractNum>
  <w:abstractNum w:abstractNumId="20">
    <w:nsid w:val="3804823E"/>
    <w:multiLevelType w:val="hybridMultilevel"/>
    <w:lvl w:ilvl="0">
      <w:lvlJc w:val="left"/>
      <w:lvlText w:val="6"/>
      <w:numFmt w:val="bullet"/>
      <w:start w:val="1"/>
    </w:lvl>
  </w:abstractNum>
  <w:abstractNum w:abstractNumId="21">
    <w:nsid w:val="77465F01"/>
    <w:multiLevelType w:val="hybridMultilevel"/>
    <w:lvl w:ilvl="0">
      <w:lvlJc w:val="left"/>
      <w:lvlText w:val="7"/>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9"/>
      <w:numFmt w:val="bullet"/>
      <w:start w:val="1"/>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upperLetter"/>
      <w:start w:val="2"/>
    </w:lvl>
  </w:abstractNum>
  <w:abstractNum w:abstractNumId="38">
    <w:nsid w:val="7A6D8D3C"/>
    <w:multiLevelType w:val="hybridMultilevel"/>
    <w:lvl w:ilvl="0">
      <w:lvlJc w:val="left"/>
      <w:lvlText w:val="%1."/>
      <w:numFmt w:val="upp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upperLetter"/>
      <w:start w:val="6"/>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2"/>
    </w:lvl>
  </w:abstractNum>
  <w:abstractNum w:abstractNumId="49">
    <w:nsid w:val="1BA026FA"/>
    <w:multiLevelType w:val="hybridMultilevel"/>
    <w:lvl w:ilvl="0">
      <w:lvlJc w:val="left"/>
      <w:lvlText w:val="%1."/>
      <w:numFmt w:val="decimal"/>
      <w:start w:val="3"/>
    </w:lvl>
  </w:abstractNum>
  <w:abstractNum w:abstractNumId="50">
    <w:nsid w:val="79A1DEAA"/>
    <w:multiLevelType w:val="hybridMultilevel"/>
    <w:lvl w:ilvl="0">
      <w:lvlJc w:val="left"/>
      <w:lvlText w:val="%1."/>
      <w:numFmt w:val="decimal"/>
      <w:start w:val="4"/>
    </w:lvl>
  </w:abstractNum>
  <w:abstractNum w:abstractNumId="51">
    <w:nsid w:val="75C6C33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2019-12-20T23:17:10Z</dcterms:created>
  <dcterms:modified xsi:type="dcterms:W3CDTF">2019-12-20T23:17:10Z</dcterms:modified>
</cp:coreProperties>
</file>