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220" w:hanging="564"/>
        <w:spacing w:after="0" w:line="308" w:lineRule="auto"/>
        <w:tabs>
          <w:tab w:leader="none" w:pos="6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60"/>
          </w:cols>
          <w:pgMar w:left="320" w:top="230" w:right="519" w:bottom="254"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300" w:type="dxa"/>
            <w:vAlign w:val="bottom"/>
          </w:tcPr>
          <w:p>
            <w:pPr>
              <w:jc w:val="right"/>
              <w:ind w:right="1230"/>
              <w:spacing w:after="0"/>
              <w:rPr>
                <w:sz w:val="20"/>
                <w:szCs w:val="20"/>
                <w:color w:val="auto"/>
              </w:rPr>
            </w:pPr>
            <w:r>
              <w:rPr>
                <w:rFonts w:ascii="Arial" w:cs="Arial" w:eastAsia="Arial" w:hAnsi="Arial"/>
                <w:sz w:val="18"/>
                <w:szCs w:val="18"/>
                <w:color w:val="auto"/>
              </w:rPr>
              <w:t>, 2020</w:t>
            </w:r>
          </w:p>
        </w:tc>
        <w:tc>
          <w:tcPr>
            <w:tcW w:w="69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300" w:type="dxa"/>
            <w:vAlign w:val="bottom"/>
          </w:tcPr>
          <w:p>
            <w:pPr>
              <w:jc w:val="center"/>
              <w:ind w:right="670"/>
              <w:spacing w:after="0"/>
              <w:rPr>
                <w:sz w:val="20"/>
                <w:szCs w:val="20"/>
                <w:color w:val="auto"/>
              </w:rPr>
            </w:pPr>
            <w:r>
              <w:rPr>
                <w:rFonts w:ascii="Arial" w:cs="Arial" w:eastAsia="Arial" w:hAnsi="Arial"/>
                <w:sz w:val="18"/>
                <w:szCs w:val="18"/>
                <w:color w:val="auto"/>
                <w:w w:val="90"/>
              </w:rPr>
              <w:t>To Our Stockholders:</w:t>
            </w:r>
          </w:p>
        </w:tc>
        <w:tc>
          <w:tcPr>
            <w:tcW w:w="6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9240" w:type="dxa"/>
            <w:vAlign w:val="bottom"/>
            <w:gridSpan w:val="2"/>
          </w:tcPr>
          <w:p>
            <w:pPr>
              <w:jc w:val="right"/>
              <w:ind w:right="190"/>
              <w:spacing w:after="0"/>
              <w:rPr>
                <w:sz w:val="20"/>
                <w:szCs w:val="20"/>
                <w:color w:val="auto"/>
              </w:rPr>
            </w:pPr>
            <w:r>
              <w:rPr>
                <w:rFonts w:ascii="Arial" w:cs="Arial" w:eastAsia="Arial" w:hAnsi="Arial"/>
                <w:sz w:val="18"/>
                <w:szCs w:val="18"/>
                <w:color w:val="auto"/>
                <w:w w:val="95"/>
              </w:rPr>
              <w:t>We are pleased to invite you to attend a Special Meeting of Stockholders of TPG Specialty Lending, Inc. to be held on</w:t>
            </w:r>
          </w:p>
        </w:tc>
        <w:tc>
          <w:tcPr>
            <w:tcW w:w="960" w:type="dxa"/>
            <w:vAlign w:val="bottom"/>
          </w:tcPr>
          <w:p>
            <w:pPr>
              <w:ind w:left="300"/>
              <w:spacing w:after="0"/>
              <w:rPr>
                <w:sz w:val="20"/>
                <w:szCs w:val="20"/>
                <w:color w:val="auto"/>
              </w:rPr>
            </w:pPr>
            <w:r>
              <w:rPr>
                <w:rFonts w:ascii="Arial" w:cs="Arial" w:eastAsia="Arial" w:hAnsi="Arial"/>
                <w:sz w:val="18"/>
                <w:szCs w:val="18"/>
                <w:color w:val="auto"/>
                <w:w w:val="85"/>
              </w:rPr>
              <w:t>, 2020, at</w:t>
            </w:r>
          </w:p>
        </w:tc>
      </w:tr>
      <w:tr>
        <w:trPr>
          <w:trHeight w:val="230"/>
        </w:trPr>
        <w:tc>
          <w:tcPr>
            <w:tcW w:w="2300" w:type="dxa"/>
            <w:vAlign w:val="bottom"/>
          </w:tcPr>
          <w:p>
            <w:pPr>
              <w:ind w:left="900"/>
              <w:spacing w:after="0"/>
              <w:rPr>
                <w:sz w:val="20"/>
                <w:szCs w:val="20"/>
                <w:color w:val="auto"/>
              </w:rPr>
            </w:pPr>
            <w:r>
              <w:rPr>
                <w:rFonts w:ascii="Arial" w:cs="Arial" w:eastAsia="Arial" w:hAnsi="Arial"/>
                <w:sz w:val="18"/>
                <w:szCs w:val="18"/>
                <w:color w:val="auto"/>
              </w:rPr>
              <w:t>, local time, at</w:t>
            </w:r>
          </w:p>
        </w:tc>
        <w:tc>
          <w:tcPr>
            <w:tcW w:w="6940" w:type="dxa"/>
            <w:vAlign w:val="bottom"/>
          </w:tcPr>
          <w:p>
            <w:pPr>
              <w:jc w:val="right"/>
              <w:ind w:right="64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r>
    </w:tbl>
    <w:p>
      <w:pPr>
        <w:spacing w:after="0" w:line="20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2020</w:t>
      </w:r>
    </w:p>
    <w:p>
      <w:pPr>
        <w:sectPr>
          <w:pgSz w:w="11900" w:h="16838" w:orient="portrait"/>
          <w:cols w:equalWidth="0" w:num="1">
            <w:col w:w="11120"/>
          </w:cols>
          <w:pgMar w:left="32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6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3"/>
        </w:trPr>
        <w:tc>
          <w:tcPr>
            <w:tcW w:w="93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2"/>
              </w:rPr>
              <w:t>Important Notice Regarding the Availability of Proxy Material for the Special Meeting of Stockholders to Be Held on</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r>
        <w:trPr>
          <w:trHeight w:val="432"/>
        </w:trPr>
        <w:tc>
          <w:tcPr>
            <w:tcW w:w="4040" w:type="dxa"/>
            <w:vAlign w:val="bottom"/>
            <w:gridSpan w:val="2"/>
          </w:tcPr>
          <w:p>
            <w:pPr>
              <w:ind w:left="560"/>
              <w:spacing w:after="0"/>
              <w:rPr>
                <w:sz w:val="20"/>
                <w:szCs w:val="20"/>
                <w:color w:val="auto"/>
              </w:rPr>
            </w:pPr>
            <w:r>
              <w:rPr>
                <w:rFonts w:ascii="Arial" w:cs="Arial" w:eastAsia="Arial" w:hAnsi="Arial"/>
                <w:sz w:val="18"/>
                <w:szCs w:val="18"/>
                <w:color w:val="auto"/>
              </w:rPr>
              <w:t>Our proxy statement is available online at</w:t>
            </w:r>
          </w:p>
        </w:tc>
        <w:tc>
          <w:tcPr>
            <w:tcW w:w="5340" w:type="dxa"/>
            <w:vAlign w:val="bottom"/>
          </w:tcPr>
          <w:p>
            <w:pPr>
              <w:jc w:val="right"/>
              <w:ind w:right="47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060"/>
          </w:cols>
          <w:pgMar w:left="320" w:top="44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340" w:type="dxa"/>
            <w:vAlign w:val="bottom"/>
            <w:gridSpan w:val="3"/>
          </w:tcPr>
          <w:p>
            <w:pPr>
              <w:ind w:left="2800"/>
              <w:spacing w:after="0"/>
              <w:rPr>
                <w:sz w:val="20"/>
                <w:szCs w:val="20"/>
                <w:color w:val="auto"/>
              </w:rPr>
            </w:pPr>
            <w:r>
              <w:rPr>
                <w:rFonts w:ascii="Arial" w:cs="Arial" w:eastAsia="Arial" w:hAnsi="Arial"/>
                <w:sz w:val="18"/>
                <w:szCs w:val="18"/>
                <w:b w:val="1"/>
                <w:bCs w:val="1"/>
                <w:color w:val="auto"/>
              </w:rPr>
              <w:t>Notice of a Special Meeting of Stockholders</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29"/>
        </w:trPr>
        <w:tc>
          <w:tcPr>
            <w:tcW w:w="4340" w:type="dxa"/>
            <w:vAlign w:val="bottom"/>
            <w:gridSpan w:val="2"/>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8"/>
        </w:trPr>
        <w:tc>
          <w:tcPr>
            <w:tcW w:w="9380" w:type="dxa"/>
            <w:vAlign w:val="bottom"/>
            <w:gridSpan w:val="4"/>
          </w:tcPr>
          <w:p>
            <w:pPr>
              <w:spacing w:after="0"/>
              <w:rPr>
                <w:sz w:val="20"/>
                <w:szCs w:val="20"/>
                <w:color w:val="auto"/>
              </w:rPr>
            </w:pPr>
            <w:r>
              <w:rPr>
                <w:rFonts w:ascii="Arial" w:cs="Arial" w:eastAsia="Arial" w:hAnsi="Arial"/>
                <w:sz w:val="18"/>
                <w:szCs w:val="18"/>
                <w:color w:val="auto"/>
              </w:rPr>
              <w:t>TO OUR STOCKHOLDERS: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9380" w:type="dxa"/>
            <w:vAlign w:val="bottom"/>
            <w:gridSpan w:val="4"/>
          </w:tcPr>
          <w:p>
            <w:pPr>
              <w:ind w:left="440"/>
              <w:spacing w:after="0"/>
              <w:rPr>
                <w:sz w:val="20"/>
                <w:szCs w:val="20"/>
                <w:color w:val="auto"/>
              </w:rPr>
            </w:pPr>
            <w:r>
              <w:rPr>
                <w:rFonts w:ascii="Arial" w:cs="Arial" w:eastAsia="Arial" w:hAnsi="Arial"/>
                <w:sz w:val="18"/>
                <w:szCs w:val="18"/>
                <w:color w:val="auto"/>
                <w:w w:val="98"/>
              </w:rPr>
              <w:t>NOTICE IS HEREBY GIVEN that a Special Meeting of Stockholders of TPG Specialty Lending, Inc. will be held at</w:t>
            </w:r>
          </w:p>
        </w:tc>
        <w:tc>
          <w:tcPr>
            <w:tcW w:w="960" w:type="dxa"/>
            <w:vAlign w:val="bottom"/>
          </w:tcPr>
          <w:p>
            <w:pPr>
              <w:ind w:left="500"/>
              <w:spacing w:after="0"/>
              <w:rPr>
                <w:sz w:val="20"/>
                <w:szCs w:val="20"/>
                <w:color w:val="auto"/>
              </w:rPr>
            </w:pPr>
            <w:r>
              <w:rPr>
                <w:rFonts w:ascii="Arial" w:cs="Arial" w:eastAsia="Arial" w:hAnsi="Arial"/>
                <w:sz w:val="18"/>
                <w:szCs w:val="18"/>
                <w:color w:val="auto"/>
              </w:rPr>
              <w:t>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2020, at</w:t>
            </w: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 local time. The Special Meeting of Stockholders is being held for the following purpose:</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94" w:lineRule="exact"/>
        <w:rPr>
          <w:sz w:val="20"/>
          <w:szCs w:val="20"/>
          <w:color w:val="auto"/>
        </w:rPr>
      </w:pPr>
    </w:p>
    <w:p>
      <w:pPr>
        <w:jc w:val="both"/>
        <w:ind w:left="560" w:right="100" w:firstLine="419"/>
        <w:spacing w:after="0" w:line="259" w:lineRule="auto"/>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ectPr>
          <w:pgSz w:w="11900" w:h="16838" w:orient="portrait"/>
          <w:cols w:equalWidth="0" w:num="1">
            <w:col w:w="11140"/>
          </w:cols>
          <w:pgMar w:left="320" w:top="459" w:right="439" w:bottom="1440" w:gutter="0" w:footer="0" w:header="0"/>
        </w:sectPr>
      </w:pP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Only stockholders of record at the close of business on or any postponement or adjournment thereof.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2020, are entitled to notice of and to vote at the Special Meeting of Stockholders</w:t>
      </w:r>
    </w:p>
    <w:p>
      <w:pPr>
        <w:spacing w:after="0" w:line="463" w:lineRule="exact"/>
        <w:rPr>
          <w:sz w:val="20"/>
          <w:szCs w:val="20"/>
          <w:color w:val="auto"/>
        </w:rPr>
      </w:pPr>
    </w:p>
    <w:p>
      <w:pPr>
        <w:sectPr>
          <w:pgSz w:w="11900" w:h="16838" w:orient="portrait"/>
          <w:cols w:equalWidth="0" w:num="2">
            <w:col w:w="4500" w:space="580"/>
            <w:col w:w="6060"/>
          </w:cols>
          <w:pgMar w:left="320" w:top="459" w:right="439" w:bottom="1440" w:gutter="0" w:footer="0" w:header="0"/>
          <w:type w:val="continuous"/>
        </w:sectPr>
      </w:pPr>
    </w:p>
    <w:p>
      <w:pPr>
        <w:ind w:left="120" w:right="60" w:firstLine="440"/>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2"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2020</w:t>
      </w:r>
    </w:p>
    <w:p>
      <w:pPr>
        <w:spacing w:after="0" w:line="207"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4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2"/>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for a Special Meeting of Stockholders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Security Ownership of Certain Beneficial Owners and Management</w:t>
              </w:r>
            </w:hyperlink>
          </w:p>
        </w:tc>
        <w:tc>
          <w:tcPr>
            <w:tcW w:w="578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2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1—Authorization of the Company to Sell or Otherwise Issue Shares of its Common Stock at a Price Below its Then-Current Net</w:t>
              </w:r>
            </w:hyperlink>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Asset Value Per Share in One or More Offerings, in Each Case Subject to the Approval of its Board of Directors and Subject to the</w:t>
              </w:r>
            </w:hyperlink>
          </w:p>
        </w:tc>
        <w:tc>
          <w:tcPr>
            <w:tcW w:w="10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Other Business</w:t>
              </w:r>
            </w:hyperlink>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Stockholder Proposals and Nominations for the 2021 Annual Meeting of Stockholders</w:t>
              </w:r>
            </w:hyperlink>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Annual Report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Householding of Proxy Materials</w:t>
              </w:r>
            </w:hyperlink>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Privacy Principles</w:t>
              </w:r>
            </w:hyperlink>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460" w:firstLine="440"/>
        <w:spacing w:after="0" w:line="291"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a Special Meeting of Stockholders (the</w:t>
      </w:r>
    </w:p>
    <w:p>
      <w:pPr>
        <w:ind w:left="120"/>
        <w:spacing w:after="0" w:line="255" w:lineRule="auto"/>
        <w:rPr>
          <w:sz w:val="20"/>
          <w:szCs w:val="20"/>
          <w:color w:val="auto"/>
        </w:rPr>
      </w:pPr>
      <w:r>
        <w:rPr>
          <w:rFonts w:ascii="Arial" w:cs="Arial" w:eastAsia="Arial" w:hAnsi="Arial"/>
          <w:sz w:val="18"/>
          <w:szCs w:val="18"/>
          <w:color w:val="auto"/>
        </w:rPr>
        <w:t>“Meeting” or “Special Meeting”) to be held at on , 2020, at , local time. Only holders of record of our common stock at the close of business on , 2020,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560"/>
        <w:spacing w:after="0"/>
        <w:tabs>
          <w:tab w:leader="none" w:pos="9660" w:val="left"/>
        </w:tabs>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w:t>
      </w:r>
      <w:r>
        <w:rPr>
          <w:sz w:val="20"/>
          <w:szCs w:val="20"/>
          <w:color w:val="auto"/>
        </w:rPr>
        <w:tab/>
      </w:r>
      <w:r>
        <w:rPr>
          <w:rFonts w:ascii="Arial" w:cs="Arial" w:eastAsia="Arial" w:hAnsi="Arial"/>
          <w:sz w:val="16"/>
          <w:szCs w:val="16"/>
          <w:color w:val="auto"/>
        </w:rPr>
        <w:t>, 2020. This proxy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statement, including the accompanying form of proxy (collectively, the “Proxy Statement”), will first be made available to stockholders on or about</w:t>
      </w:r>
    </w:p>
    <w:p>
      <w:pPr>
        <w:spacing w:after="0" w:line="21" w:lineRule="exact"/>
        <w:rPr>
          <w:sz w:val="20"/>
          <w:szCs w:val="20"/>
          <w:color w:val="auto"/>
        </w:rPr>
      </w:pPr>
    </w:p>
    <w:p>
      <w:pPr>
        <w:ind w:left="660"/>
        <w:spacing w:after="0"/>
        <w:tabs>
          <w:tab w:leader="none" w:pos="5500" w:val="left"/>
        </w:tabs>
        <w:rPr>
          <w:sz w:val="20"/>
          <w:szCs w:val="20"/>
          <w:color w:val="auto"/>
        </w:rPr>
      </w:pPr>
      <w:r>
        <w:rPr>
          <w:rFonts w:ascii="Arial" w:cs="Arial" w:eastAsia="Arial" w:hAnsi="Arial"/>
          <w:sz w:val="18"/>
          <w:szCs w:val="18"/>
          <w:color w:val="auto"/>
        </w:rPr>
        <w:t>, 2020. The Proxy Statement can be accessed online at</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120" w:right="100" w:firstLine="436"/>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37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533"/>
        </w:trPr>
        <w:tc>
          <w:tcPr>
            <w:tcW w:w="510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Information Regarding This Proxy</w:t>
            </w:r>
          </w:p>
        </w:tc>
        <w:tc>
          <w:tcPr>
            <w:tcW w:w="4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9100" w:type="dxa"/>
            <w:vAlign w:val="bottom"/>
            <w:gridSpan w:val="3"/>
          </w:tcPr>
          <w:p>
            <w:pPr>
              <w:ind w:left="560"/>
              <w:spacing w:after="0"/>
              <w:rPr>
                <w:sz w:val="20"/>
                <w:szCs w:val="20"/>
                <w:color w:val="auto"/>
              </w:rPr>
            </w:pPr>
            <w:r>
              <w:rPr>
                <w:rFonts w:ascii="Arial" w:cs="Arial" w:eastAsia="Arial" w:hAnsi="Arial"/>
                <w:sz w:val="18"/>
                <w:szCs w:val="18"/>
                <w:color w:val="auto"/>
                <w:w w:val="96"/>
              </w:rPr>
              <w:t>The Company will pay the expenses of soliciting proxies to be voted at the Meeting. The Company has retained</w:t>
            </w:r>
          </w:p>
        </w:tc>
        <w:tc>
          <w:tcPr>
            <w:tcW w:w="1700" w:type="dxa"/>
            <w:vAlign w:val="bottom"/>
          </w:tcPr>
          <w:p>
            <w:pPr>
              <w:ind w:left="500"/>
              <w:spacing w:after="0"/>
              <w:rPr>
                <w:sz w:val="20"/>
                <w:szCs w:val="20"/>
                <w:color w:val="auto"/>
              </w:rPr>
            </w:pPr>
            <w:r>
              <w:rPr>
                <w:rFonts w:ascii="Arial" w:cs="Arial" w:eastAsia="Arial" w:hAnsi="Arial"/>
                <w:sz w:val="18"/>
                <w:szCs w:val="18"/>
                <w:color w:val="auto"/>
                <w:w w:val="88"/>
              </w:rPr>
              <w:t>to assist with the</w:t>
            </w:r>
          </w:p>
        </w:tc>
      </w:tr>
      <w:tr>
        <w:trPr>
          <w:trHeight w:val="230"/>
        </w:trPr>
        <w:tc>
          <w:tcPr>
            <w:tcW w:w="5100" w:type="dxa"/>
            <w:vAlign w:val="bottom"/>
            <w:gridSpan w:val="2"/>
          </w:tcPr>
          <w:p>
            <w:pPr>
              <w:ind w:left="120"/>
              <w:spacing w:after="0"/>
              <w:rPr>
                <w:sz w:val="20"/>
                <w:szCs w:val="20"/>
                <w:color w:val="auto"/>
              </w:rPr>
            </w:pPr>
            <w:r>
              <w:rPr>
                <w:rFonts w:ascii="Arial" w:cs="Arial" w:eastAsia="Arial" w:hAnsi="Arial"/>
                <w:sz w:val="18"/>
                <w:szCs w:val="18"/>
                <w:color w:val="auto"/>
                <w:w w:val="97"/>
              </w:rPr>
              <w:t>distribution and collection of proxies for a fee of approximately $</w:t>
            </w:r>
          </w:p>
        </w:tc>
        <w:tc>
          <w:tcPr>
            <w:tcW w:w="4000" w:type="dxa"/>
            <w:vAlign w:val="bottom"/>
          </w:tcPr>
          <w:p>
            <w:pPr>
              <w:ind w:left="280"/>
              <w:spacing w:after="0"/>
              <w:rPr>
                <w:sz w:val="20"/>
                <w:szCs w:val="20"/>
                <w:color w:val="auto"/>
              </w:rPr>
            </w:pPr>
            <w:r>
              <w:rPr>
                <w:rFonts w:ascii="Arial" w:cs="Arial" w:eastAsia="Arial" w:hAnsi="Arial"/>
                <w:sz w:val="18"/>
                <w:szCs w:val="18"/>
                <w:color w:val="auto"/>
              </w:rPr>
              <w:t>, plus reimbursement of expenses.</w:t>
            </w:r>
          </w:p>
        </w:tc>
        <w:tc>
          <w:tcPr>
            <w:tcW w:w="17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320" w:firstLine="440"/>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7" w:lineRule="exact"/>
        <w:rPr>
          <w:sz w:val="20"/>
          <w:szCs w:val="20"/>
          <w:color w:val="auto"/>
        </w:rPr>
      </w:pPr>
    </w:p>
    <w:p>
      <w:pPr>
        <w:ind w:left="120" w:right="340" w:firstLine="440"/>
        <w:spacing w:after="0" w:line="258" w:lineRule="auto"/>
        <w:rPr>
          <w:sz w:val="20"/>
          <w:szCs w:val="20"/>
          <w:color w:val="auto"/>
        </w:rPr>
      </w:pPr>
      <w:r>
        <w:rPr>
          <w:rFonts w:ascii="Arial" w:cs="Arial" w:eastAsia="Arial" w:hAnsi="Arial"/>
          <w:sz w:val="18"/>
          <w:szCs w:val="18"/>
          <w:color w:val="auto"/>
        </w:rPr>
        <w:t>The Company has engaged the services of to assist in the solicitation of proxies. The Company has estimated that it will pay approximately $ , plus reimbursement of certain expenses and fees for additional services requested. Please note that may solicit</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19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part of our effort to maintain a safe and healthy environment at the Meeting, we are closely monitoring statements issued by the World Health Organization (who.int), the Centers for Disease Control and Prevention (cdc.gov) and other federal, state and local government authorities regarding the coronavirus (COVID-19) outbreak. For that reason, we reserve the right to reconsider the date, time, and/or means of convening the Meeting, including by holding the meeting virtually over the internet via webcast. If we take this step, we will announce the decision to do so in advance, and details on how to participate will be issued by press release, posted on our website, and filed with the SEC as additional proxy material. We also encourage attendees to review guidance from public health authorities on this issue. We urge you to retain your control or proxy voting number after you vote in case changes are made to the meeting format and such information is again required.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You can contact us by mail sent to the attention of the Secretary of the Company, Ken Burke,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or by email at kburke@tpg.com. You can call us by dialing (212) 601-4753. You can access our proxy materials online at</w:t>
      </w:r>
    </w:p>
    <w:p>
      <w:pPr>
        <w:ind w:left="102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4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w:t>
      </w:r>
    </w:p>
    <w:p>
      <w:pPr>
        <w:ind w:left="120" w:right="100"/>
        <w:spacing w:after="0" w:line="252" w:lineRule="auto"/>
        <w:rPr>
          <w:sz w:val="20"/>
          <w:szCs w:val="20"/>
          <w:color w:val="auto"/>
        </w:rPr>
      </w:pPr>
      <w:r>
        <w:rPr>
          <w:rFonts w:ascii="Arial" w:cs="Arial" w:eastAsia="Arial" w:hAnsi="Arial"/>
          <w:sz w:val="18"/>
          <w:szCs w:val="18"/>
          <w:color w:val="auto"/>
        </w:rPr>
        <w:t>or to dispose or direct the disposition thereof or has the right to acquire these powers within 60 days. The following table sets forth, as of , 2020,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percentage ownership is based on shares of common stock outstanding as of , 2020.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Individual or Identity of Group</w:t>
            </w:r>
          </w:p>
        </w:tc>
        <w:tc>
          <w:tcPr>
            <w:tcW w:w="6000" w:type="dxa"/>
            <w:vAlign w:val="bottom"/>
            <w:vMerge w:val="restart"/>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16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0"/>
        </w:trPr>
        <w:tc>
          <w:tcPr>
            <w:tcW w:w="8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Jennifer Gordon</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David Stiepleman </w:t>
            </w:r>
            <w:r>
              <w:rPr>
                <w:rFonts w:ascii="Arial" w:cs="Arial" w:eastAsia="Arial" w:hAnsi="Arial"/>
                <w:sz w:val="15"/>
                <w:szCs w:val="15"/>
                <w:color w:val="auto"/>
              </w:rPr>
              <w:t>(4)</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11,079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Hurley Doddy</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8,088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John Ross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26,701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Judy Slotkin</w:t>
            </w:r>
          </w:p>
        </w:tc>
        <w:tc>
          <w:tcPr>
            <w:tcW w:w="1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(5)</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14,907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(16 persons) </w:t>
            </w:r>
            <w:r>
              <w:rPr>
                <w:rFonts w:ascii="Arial" w:cs="Arial" w:eastAsia="Arial" w:hAnsi="Arial"/>
                <w:sz w:val="15"/>
                <w:szCs w:val="15"/>
                <w:color w:val="auto"/>
              </w:rPr>
              <w:t>(6)(7)</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2,940,556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(8)</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5,749,659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(9)</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5,463,196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(10)</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4,300,000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right="20" w:hanging="424"/>
        <w:spacing w:after="0" w:line="29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8"/>
          <w:szCs w:val="18"/>
          <w:color w:val="auto"/>
        </w:rPr>
        <w:t>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3" w:lineRule="exact"/>
        <w:rPr>
          <w:sz w:val="20"/>
          <w:szCs w:val="20"/>
          <w:color w:val="auto"/>
        </w:rPr>
      </w:pPr>
    </w:p>
    <w:p>
      <w:pPr>
        <w:ind w:left="540" w:right="26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540" w:right="2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right="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30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8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TSL Advisers, LLC holds 2,716,977 shares of common stock, or the TSL Advisers Shares.</w:t>
      </w:r>
    </w:p>
    <w:p>
      <w:pPr>
        <w:spacing w:after="0" w:line="102" w:lineRule="exact"/>
        <w:rPr>
          <w:rFonts w:ascii="Arial" w:cs="Arial" w:eastAsia="Arial" w:hAnsi="Arial"/>
          <w:sz w:val="18"/>
          <w:szCs w:val="18"/>
          <w:color w:val="auto"/>
        </w:rPr>
      </w:pPr>
    </w:p>
    <w:p>
      <w:pPr>
        <w:ind w:left="560" w:right="4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a three person board of directors, whose members include Alan Waxman. Any decision or determination by the board of directors of TSSP HoldCo Management requires unanimous approval of the directors in attendance once a quorum is established.</w:t>
      </w:r>
    </w:p>
    <w:p>
      <w:pPr>
        <w:spacing w:after="0" w:line="78" w:lineRule="exact"/>
        <w:rPr>
          <w:rFonts w:ascii="Arial" w:cs="Arial" w:eastAsia="Arial" w:hAnsi="Arial"/>
          <w:sz w:val="18"/>
          <w:szCs w:val="18"/>
          <w:color w:val="auto"/>
        </w:rPr>
      </w:pPr>
    </w:p>
    <w:p>
      <w:pPr>
        <w:jc w:val="both"/>
        <w:ind w:left="560" w:right="140"/>
        <w:spacing w:after="0" w:line="263"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23"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7, 2020 by FMR LLC and Abigail P. Johnson. FMR LLC had (i) sole power to vote 610,382 shares and (ii) sole power to dispose of 5,463,196 shares. Abigail P. Johnson had sole power to dispose of 5,463,196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7" w:lineRule="exact"/>
        <w:rPr>
          <w:rFonts w:ascii="Arial" w:cs="Arial" w:eastAsia="Arial" w:hAnsi="Arial"/>
          <w:sz w:val="16"/>
          <w:szCs w:val="16"/>
          <w:color w:val="auto"/>
        </w:rPr>
      </w:pPr>
    </w:p>
    <w:p>
      <w:pPr>
        <w:ind w:left="540" w:right="140" w:hanging="424"/>
        <w:spacing w:after="0" w:line="26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 may be required with respect to a particular issuance under applicable law,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9" w:lineRule="exact"/>
        <w:rPr>
          <w:sz w:val="20"/>
          <w:szCs w:val="20"/>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Since the events of 2008 and 2009, there have been continuing periods of volatility, some lasting longer and with a greater degree of magnitude than others, including current market conditions that have been driven by the impact of COVID-19, and the widespread interruption to the functioning of the U.S. and global economies. In addition to the current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2019 the Company declared total dividends of $1.75 per share of its common stock (including a fourth quarter variable supplemental dividend of $0.06 declared in the first quarter of 2020).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New York Stock Exchange (“NYSE”)</w:t>
      </w:r>
    </w:p>
    <w:tbl>
      <w:tblPr>
        <w:tblLayout w:type="fixed"/>
        <w:tblInd w:w="120" w:type="dxa"/>
        <w:tblCellMar>
          <w:top w:w="0" w:type="dxa"/>
          <w:left w:w="0" w:type="dxa"/>
          <w:bottom w:w="0" w:type="dxa"/>
          <w:right w:w="0" w:type="dxa"/>
        </w:tblCellMar>
      </w:tblPr>
      <w:tr>
        <w:trPr>
          <w:trHeight w:val="202"/>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w w:val="95"/>
              </w:rPr>
              <w:t>and the closing sales price as a premium (discount) to NAV. On</w:t>
            </w:r>
          </w:p>
        </w:tc>
        <w:tc>
          <w:tcPr>
            <w:tcW w:w="6180" w:type="dxa"/>
            <w:vAlign w:val="bottom"/>
            <w:gridSpan w:val="14"/>
          </w:tcPr>
          <w:p>
            <w:pPr>
              <w:ind w:left="300"/>
              <w:spacing w:after="0" w:line="202" w:lineRule="exact"/>
              <w:rPr>
                <w:sz w:val="20"/>
                <w:szCs w:val="20"/>
                <w:color w:val="auto"/>
              </w:rPr>
            </w:pPr>
            <w:r>
              <w:rPr>
                <w:rFonts w:ascii="Arial" w:cs="Arial" w:eastAsia="Arial" w:hAnsi="Arial"/>
                <w:sz w:val="18"/>
                <w:szCs w:val="18"/>
                <w:color w:val="auto"/>
                <w:w w:val="92"/>
              </w:rPr>
              <w:t>, 2020, the last reported closing sales price of the Company’s common stock on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the NYSE was $</w:t>
            </w:r>
          </w:p>
        </w:tc>
        <w:tc>
          <w:tcPr>
            <w:tcW w:w="5500" w:type="dxa"/>
            <w:vAlign w:val="bottom"/>
            <w:gridSpan w:val="6"/>
          </w:tcPr>
          <w:p>
            <w:pPr>
              <w:ind w:left="100"/>
              <w:spacing w:after="0"/>
              <w:rPr>
                <w:sz w:val="20"/>
                <w:szCs w:val="20"/>
                <w:color w:val="auto"/>
              </w:rPr>
            </w:pPr>
            <w:r>
              <w:rPr>
                <w:rFonts w:ascii="Arial" w:cs="Arial" w:eastAsia="Arial" w:hAnsi="Arial"/>
                <w:sz w:val="18"/>
                <w:szCs w:val="18"/>
                <w:color w:val="auto"/>
                <w:w w:val="97"/>
              </w:rPr>
              <w:t>per share, which represented a [discount] [premium] of approximately</w:t>
            </w:r>
          </w:p>
        </w:tc>
        <w:tc>
          <w:tcPr>
            <w:tcW w:w="3340" w:type="dxa"/>
            <w:vAlign w:val="bottom"/>
            <w:gridSpan w:val="7"/>
          </w:tcPr>
          <w:p>
            <w:pPr>
              <w:ind w:left="60"/>
              <w:spacing w:after="0"/>
              <w:rPr>
                <w:sz w:val="20"/>
                <w:szCs w:val="20"/>
                <w:color w:val="auto"/>
              </w:rPr>
            </w:pPr>
            <w:r>
              <w:rPr>
                <w:rFonts w:ascii="Arial" w:cs="Arial" w:eastAsia="Arial" w:hAnsi="Arial"/>
                <w:sz w:val="18"/>
                <w:szCs w:val="18"/>
                <w:color w:val="auto"/>
                <w:w w:val="90"/>
              </w:rPr>
              <w:t>% to the NAV reported by the Company as of</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December 31, 2019.</w:t>
            </w: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Range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24"/>
                <w:szCs w:val="24"/>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5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First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$16.04</w:t>
            </w:r>
          </w:p>
        </w:tc>
        <w:tc>
          <w:tcPr>
            <w:tcW w:w="860" w:type="dxa"/>
            <w:vAlign w:val="bottom"/>
            <w:gridSpan w:val="2"/>
          </w:tcPr>
          <w:p>
            <w:pPr>
              <w:spacing w:after="0"/>
              <w:rPr>
                <w:sz w:val="20"/>
                <w:szCs w:val="20"/>
                <w:color w:val="auto"/>
              </w:rPr>
            </w:pPr>
            <w:r>
              <w:rPr>
                <w:rFonts w:ascii="Arial" w:cs="Arial" w:eastAsia="Arial" w:hAnsi="Arial"/>
                <w:sz w:val="18"/>
                <w:szCs w:val="18"/>
                <w:color w:val="auto"/>
              </w:rPr>
              <w:t>$20.39</w:t>
            </w:r>
          </w:p>
        </w:tc>
        <w:tc>
          <w:tcPr>
            <w:tcW w:w="860" w:type="dxa"/>
            <w:vAlign w:val="bottom"/>
            <w:gridSpan w:val="2"/>
          </w:tcPr>
          <w:p>
            <w:pPr>
              <w:spacing w:after="0"/>
              <w:rPr>
                <w:sz w:val="20"/>
                <w:szCs w:val="20"/>
                <w:color w:val="auto"/>
              </w:rPr>
            </w:pPr>
            <w:r>
              <w:rPr>
                <w:rFonts w:ascii="Arial" w:cs="Arial" w:eastAsia="Arial" w:hAnsi="Arial"/>
                <w:sz w:val="18"/>
                <w:szCs w:val="18"/>
                <w:color w:val="auto"/>
              </w:rPr>
              <w:t>$18.27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$16.15</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$20.99</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Third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$16.09</w:t>
            </w:r>
          </w:p>
        </w:tc>
        <w:tc>
          <w:tcPr>
            <w:tcW w:w="860" w:type="dxa"/>
            <w:vAlign w:val="bottom"/>
            <w:gridSpan w:val="2"/>
          </w:tcPr>
          <w:p>
            <w:pPr>
              <w:spacing w:after="0"/>
              <w:rPr>
                <w:sz w:val="20"/>
                <w:szCs w:val="20"/>
                <w:color w:val="auto"/>
              </w:rPr>
            </w:pPr>
            <w:r>
              <w:rPr>
                <w:rFonts w:ascii="Arial" w:cs="Arial" w:eastAsia="Arial" w:hAnsi="Arial"/>
                <w:sz w:val="18"/>
                <w:szCs w:val="18"/>
                <w:color w:val="auto"/>
              </w:rPr>
              <w:t>$21.61</w:t>
            </w:r>
          </w:p>
        </w:tc>
        <w:tc>
          <w:tcPr>
            <w:tcW w:w="860" w:type="dxa"/>
            <w:vAlign w:val="bottom"/>
            <w:gridSpan w:val="2"/>
          </w:tcPr>
          <w:p>
            <w:pPr>
              <w:spacing w:after="0"/>
              <w:rPr>
                <w:sz w:val="20"/>
                <w:szCs w:val="20"/>
                <w:color w:val="auto"/>
              </w:rPr>
            </w:pPr>
            <w:r>
              <w:rPr>
                <w:rFonts w:ascii="Arial" w:cs="Arial" w:eastAsia="Arial" w:hAnsi="Arial"/>
                <w:sz w:val="18"/>
                <w:szCs w:val="18"/>
                <w:color w:val="auto"/>
              </w:rPr>
              <w:t>$19.94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$16.09</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$21.12</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2018</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Second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$16.36</w:t>
            </w:r>
          </w:p>
        </w:tc>
        <w:tc>
          <w:tcPr>
            <w:tcW w:w="860" w:type="dxa"/>
            <w:vAlign w:val="bottom"/>
            <w:gridSpan w:val="2"/>
          </w:tcPr>
          <w:p>
            <w:pPr>
              <w:spacing w:after="0"/>
              <w:rPr>
                <w:sz w:val="20"/>
                <w:szCs w:val="20"/>
                <w:color w:val="auto"/>
              </w:rPr>
            </w:pPr>
            <w:r>
              <w:rPr>
                <w:rFonts w:ascii="Arial" w:cs="Arial" w:eastAsia="Arial" w:hAnsi="Arial"/>
                <w:sz w:val="18"/>
                <w:szCs w:val="18"/>
                <w:color w:val="auto"/>
              </w:rPr>
              <w:t>$19.19</w:t>
            </w:r>
          </w:p>
        </w:tc>
        <w:tc>
          <w:tcPr>
            <w:tcW w:w="860" w:type="dxa"/>
            <w:vAlign w:val="bottom"/>
            <w:gridSpan w:val="2"/>
          </w:tcPr>
          <w:p>
            <w:pPr>
              <w:spacing w:after="0"/>
              <w:rPr>
                <w:sz w:val="20"/>
                <w:szCs w:val="20"/>
                <w:color w:val="auto"/>
              </w:rPr>
            </w:pPr>
            <w:r>
              <w:rPr>
                <w:rFonts w:ascii="Arial" w:cs="Arial" w:eastAsia="Arial" w:hAnsi="Arial"/>
                <w:sz w:val="18"/>
                <w:szCs w:val="18"/>
                <w:color w:val="auto"/>
              </w:rPr>
              <w:t>$17.51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$16.47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$20.71</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Fourth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$16.25</w:t>
            </w:r>
          </w:p>
        </w:tc>
        <w:tc>
          <w:tcPr>
            <w:tcW w:w="860" w:type="dxa"/>
            <w:vAlign w:val="bottom"/>
            <w:gridSpan w:val="2"/>
          </w:tcPr>
          <w:p>
            <w:pPr>
              <w:spacing w:after="0"/>
              <w:rPr>
                <w:sz w:val="20"/>
                <w:szCs w:val="20"/>
                <w:color w:val="auto"/>
              </w:rPr>
            </w:pPr>
            <w:r>
              <w:rPr>
                <w:rFonts w:ascii="Arial" w:cs="Arial" w:eastAsia="Arial" w:hAnsi="Arial"/>
                <w:sz w:val="18"/>
                <w:szCs w:val="18"/>
                <w:color w:val="auto"/>
              </w:rPr>
              <w:t>$21.00</w:t>
            </w:r>
          </w:p>
        </w:tc>
        <w:tc>
          <w:tcPr>
            <w:tcW w:w="860" w:type="dxa"/>
            <w:vAlign w:val="bottom"/>
            <w:gridSpan w:val="2"/>
          </w:tcPr>
          <w:p>
            <w:pPr>
              <w:spacing w:after="0"/>
              <w:rPr>
                <w:sz w:val="20"/>
                <w:szCs w:val="20"/>
                <w:color w:val="auto"/>
              </w:rPr>
            </w:pPr>
            <w:r>
              <w:rPr>
                <w:rFonts w:ascii="Arial" w:cs="Arial" w:eastAsia="Arial" w:hAnsi="Arial"/>
                <w:sz w:val="18"/>
                <w:szCs w:val="18"/>
                <w:color w:val="auto"/>
              </w:rPr>
              <w:t>$18.09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First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$16.34</w:t>
            </w:r>
          </w:p>
        </w:tc>
        <w:tc>
          <w:tcPr>
            <w:tcW w:w="860" w:type="dxa"/>
            <w:vAlign w:val="bottom"/>
            <w:gridSpan w:val="2"/>
          </w:tcPr>
          <w:p>
            <w:pPr>
              <w:spacing w:after="0"/>
              <w:rPr>
                <w:sz w:val="20"/>
                <w:szCs w:val="20"/>
                <w:color w:val="auto"/>
              </w:rPr>
            </w:pPr>
            <w:r>
              <w:rPr>
                <w:rFonts w:ascii="Arial" w:cs="Arial" w:eastAsia="Arial" w:hAnsi="Arial"/>
                <w:sz w:val="18"/>
                <w:szCs w:val="18"/>
                <w:color w:val="auto"/>
              </w:rPr>
              <w:t>$20.99</w:t>
            </w:r>
          </w:p>
        </w:tc>
        <w:tc>
          <w:tcPr>
            <w:tcW w:w="860" w:type="dxa"/>
            <w:vAlign w:val="bottom"/>
            <w:gridSpan w:val="2"/>
          </w:tcPr>
          <w:p>
            <w:pPr>
              <w:spacing w:after="0"/>
              <w:rPr>
                <w:sz w:val="20"/>
                <w:szCs w:val="20"/>
                <w:color w:val="auto"/>
              </w:rPr>
            </w:pPr>
            <w:r>
              <w:rPr>
                <w:rFonts w:ascii="Arial" w:cs="Arial" w:eastAsia="Arial" w:hAnsi="Arial"/>
                <w:sz w:val="18"/>
                <w:szCs w:val="18"/>
                <w:color w:val="auto"/>
              </w:rPr>
              <w:t>$18.44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$16.68</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$20.29</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$19.49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Third Quarter</w:t>
            </w:r>
          </w:p>
        </w:tc>
        <w:tc>
          <w:tcPr>
            <w:tcW w:w="316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$16.72</w:t>
            </w:r>
          </w:p>
        </w:tc>
        <w:tc>
          <w:tcPr>
            <w:tcW w:w="860" w:type="dxa"/>
            <w:vAlign w:val="bottom"/>
            <w:gridSpan w:val="2"/>
          </w:tcPr>
          <w:p>
            <w:pPr>
              <w:spacing w:after="0"/>
              <w:rPr>
                <w:sz w:val="20"/>
                <w:szCs w:val="20"/>
                <w:color w:val="auto"/>
              </w:rPr>
            </w:pPr>
            <w:r>
              <w:rPr>
                <w:rFonts w:ascii="Arial" w:cs="Arial" w:eastAsia="Arial" w:hAnsi="Arial"/>
                <w:sz w:val="18"/>
                <w:szCs w:val="18"/>
                <w:color w:val="auto"/>
              </w:rPr>
              <w:t>$21.01</w:t>
            </w:r>
          </w:p>
        </w:tc>
        <w:tc>
          <w:tcPr>
            <w:tcW w:w="860" w:type="dxa"/>
            <w:vAlign w:val="bottom"/>
            <w:gridSpan w:val="2"/>
          </w:tcPr>
          <w:p>
            <w:pPr>
              <w:spacing w:after="0"/>
              <w:rPr>
                <w:sz w:val="20"/>
                <w:szCs w:val="20"/>
                <w:color w:val="auto"/>
              </w:rPr>
            </w:pPr>
            <w:r>
              <w:rPr>
                <w:rFonts w:ascii="Arial" w:cs="Arial" w:eastAsia="Arial" w:hAnsi="Arial"/>
                <w:sz w:val="18"/>
                <w:szCs w:val="18"/>
                <w:color w:val="auto"/>
              </w:rPr>
              <w:t>$19.36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$16.83</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$21.83</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2020</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5"/>
              </w:rPr>
              <w:t>First Quarter (through</w:t>
            </w:r>
          </w:p>
        </w:tc>
        <w:tc>
          <w:tcPr>
            <w:tcW w:w="316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 2020)</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NAV has not yet been calculated for this period. NAV for the first quarter of 2020 will be available with the filing of the Company’s Quarterly</w:t>
      </w:r>
    </w:p>
    <w:p>
      <w:pPr>
        <w:spacing w:after="0" w:line="2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w w:val="94"/>
              </w:rPr>
              <w:t>Report on Form 10-Q for such quarter, which the Company estimates will be filed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w:t>
      </w:r>
      <w:r>
        <w:rPr>
          <w:rFonts w:ascii="Arial" w:cs="Arial" w:eastAsia="Arial" w:hAnsi="Arial"/>
          <w:sz w:val="17"/>
          <w:szCs w:val="17"/>
          <w:color w:val="auto"/>
        </w:rPr>
        <w:t xml:space="preserve"> </w:t>
      </w:r>
      <w:r>
        <w:rPr>
          <w:rFonts w:ascii="Arial" w:cs="Arial" w:eastAsia="Arial" w:hAnsi="Arial"/>
          <w:sz w:val="17"/>
          <w:szCs w:val="17"/>
          <w:b w:val="1"/>
          <w:bCs w:val="1"/>
          <w:color w:val="auto"/>
        </w:rPr>
        <w:t>at which shares may be sold 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example assumes that the issuer has 66.5 million shares outstanding, $2.3 billion in total assets and $1.2 billion in total liabilities (all figures correspond to actual data for the Company as of December 31, 2019). The net asset value and NAV per share are thus $1.1 billion and $16.83 per share as of December 31, 2019. The chart illustrates the dilutive effect on Stockholder A of (a) an offering of 3.3 million shares of common stock (5% of the outstanding shares) at $15.99 per share after offering expenses and commissions (a 5% discount from NAV per share), (b) an offering of 6.7 million shares of common stock (10% of the outstanding shares) at $15.15 per share after offering expenses and commissions (a 10% discount from NAV per share), (c) an offering of 13.3 million shares of common stock (20% of the outstanding shares) at $13.46 per share after offering expenses and commissions (a 20% discount from NAV per share), and (d) an offering of 16.6 million shares of common stock (25% of the outstanding shares) at $12.62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10% Discount</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98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16.83</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15.94</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15.99</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3,326,230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6,652,459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13,304,918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16,631,148</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66,524,591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69,850,821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73,177,050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79,829,509</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83,155,739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16.79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16.67</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66,525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66,525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Total Net Asset Value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1,119,297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1,116,653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1,109,154</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1,082,035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1,063,385</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8"/>
              </w:rPr>
              <w:t>Total Investment by Stockholder A (Assumed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to be $16.83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1,119,297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1,119,297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1,119,297</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1,119,297</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1,119,297</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(10,143)</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(37,262)</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(55,911)</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9"/>
              </w:rPr>
              <w:t>Investment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(Assumed to be $16.83 per Share 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16.83</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16.83</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 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16.79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16.67</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16.27</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15.98</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(0.16)</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(0.56)</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(0.85)</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13.3 million shares) rather than its 0.10% proportionate share and (b) 150% of such percentage (i.e., 0.15% of an offering of 13.3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14.17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14.17</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13,304,918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13,304,918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66,524,591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79,829,509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79,829,509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98"/>
        </w:trPr>
        <w:tc>
          <w:tcPr>
            <w:tcW w:w="4880" w:type="dxa"/>
            <w:vAlign w:val="bottom"/>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73,177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86,482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1,119,297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1,190,238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1,406,644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$16.83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1,119,297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1,213,579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1,402,145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(23,342)</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4,498</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to be $16.83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16.58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16.21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(0.32)</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92" w:lineRule="exact"/>
        <w:rPr>
          <w:sz w:val="20"/>
          <w:szCs w:val="20"/>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60"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STOCKHOLDER PROPOSALS AND NOMINATIONS FOR THE 2021 ANNUAL MEETING OF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2021 annual</w:t>
      </w:r>
    </w:p>
    <w:p>
      <w:pPr>
        <w:spacing w:after="0" w:line="3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meeting of stockholders pursuant to Rule 14a-8 of the SEC’s rules must be received by us at our principal executive offices no later than , 2020.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2100 McKinney Avenue, Suite 1500, Dallas, TX 75201.</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2021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require that the proposal or recommendation for nomination must be received by our Secretary at our principal executive offices at</w:t>
      </w:r>
    </w:p>
    <w:p>
      <w:pPr>
        <w:spacing w:after="0" w:line="46" w:lineRule="exact"/>
        <w:rPr>
          <w:sz w:val="20"/>
          <w:szCs w:val="20"/>
          <w:color w:val="auto"/>
        </w:rPr>
      </w:pPr>
    </w:p>
    <w:p>
      <w:pPr>
        <w:ind w:left="120"/>
        <w:spacing w:after="0"/>
        <w:tabs>
          <w:tab w:leader="none" w:pos="2900" w:val="left"/>
        </w:tabs>
        <w:rPr>
          <w:sz w:val="20"/>
          <w:szCs w:val="20"/>
          <w:color w:val="auto"/>
        </w:rPr>
      </w:pPr>
      <w:r>
        <w:rPr>
          <w:rFonts w:ascii="Arial" w:cs="Arial" w:eastAsia="Arial" w:hAnsi="Arial"/>
          <w:sz w:val="18"/>
          <w:szCs w:val="18"/>
          <w:color w:val="auto"/>
        </w:rPr>
        <w:t>the above address no later than</w:t>
      </w:r>
      <w:r>
        <w:rPr>
          <w:sz w:val="20"/>
          <w:szCs w:val="20"/>
          <w:color w:val="auto"/>
        </w:rPr>
        <w:tab/>
      </w:r>
      <w:r>
        <w:rPr>
          <w:rFonts w:ascii="Arial" w:cs="Arial" w:eastAsia="Arial" w:hAnsi="Arial"/>
          <w:sz w:val="16"/>
          <w:szCs w:val="16"/>
          <w:color w:val="auto"/>
        </w:rPr>
        <w:t>, 2021, unless the date of our 2021 annual meeting is more than 30 days before or more than 60 days after</w:t>
      </w:r>
    </w:p>
    <w:p>
      <w:pPr>
        <w:spacing w:after="0" w:line="9" w:lineRule="exact"/>
        <w:rPr>
          <w:sz w:val="20"/>
          <w:szCs w:val="20"/>
          <w:color w:val="auto"/>
        </w:rPr>
      </w:pPr>
    </w:p>
    <w:p>
      <w:pPr>
        <w:ind w:left="120" w:right="180" w:firstLine="536"/>
        <w:spacing w:after="0" w:line="255"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2021, the anniversary of our 2020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2019 to any stockholder upon request. Requests should be directed to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0"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jc w:val="right"/>
              <w:ind w:right="4550"/>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3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TPG SPECIALTY LENDING</w:t>
            </w:r>
          </w:p>
        </w:tc>
        <w:tc>
          <w:tcPr>
            <w:tcW w:w="420" w:type="dxa"/>
            <w:vAlign w:val="bottom"/>
          </w:tcPr>
          <w:p>
            <w:pPr>
              <w:spacing w:after="0"/>
              <w:rPr>
                <w:sz w:val="24"/>
                <w:szCs w:val="24"/>
                <w:color w:val="auto"/>
              </w:rPr>
            </w:pPr>
          </w:p>
        </w:tc>
      </w:tr>
      <w:tr>
        <w:trPr>
          <w:trHeight w:val="432"/>
        </w:trPr>
        <w:tc>
          <w:tcPr>
            <w:tcW w:w="1070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 xml:space="preserve">Important Notice Regarding the Availability of Proxy Materials for the Special Meeting: </w:t>
            </w:r>
            <w:r>
              <w:rPr>
                <w:rFonts w:ascii="Arial" w:cs="Arial" w:eastAsia="Arial" w:hAnsi="Arial"/>
                <w:sz w:val="18"/>
                <w:szCs w:val="18"/>
                <w:color w:val="auto"/>
                <w:w w:val="94"/>
              </w:rPr>
              <w:t>The Notice and Proxy Statement is available at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1360" w:type="dxa"/>
            <w:vAlign w:val="bottom"/>
          </w:tcPr>
          <w:p>
            <w:pPr>
              <w:spacing w:after="0"/>
              <w:rPr>
                <w:sz w:val="24"/>
                <w:szCs w:val="24"/>
                <w:color w:val="auto"/>
              </w:rPr>
            </w:pPr>
          </w:p>
        </w:tc>
        <w:tc>
          <w:tcPr>
            <w:tcW w:w="93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rPr>
              <w:t>TPG SPECIALTY LENDING, INC.</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3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88"/>
              </w:rPr>
              <w:t>Special Meeting of Stockholders</w:t>
            </w:r>
          </w:p>
        </w:tc>
        <w:tc>
          <w:tcPr>
            <w:tcW w:w="420" w:type="dxa"/>
            <w:vAlign w:val="bottom"/>
          </w:tcPr>
          <w:p>
            <w:pPr>
              <w:spacing w:after="0"/>
              <w:rPr>
                <w:sz w:val="24"/>
                <w:szCs w:val="24"/>
                <w:color w:val="auto"/>
              </w:rPr>
            </w:pPr>
          </w:p>
        </w:tc>
      </w:tr>
      <w:tr>
        <w:trPr>
          <w:trHeight w:val="432"/>
        </w:trPr>
        <w:tc>
          <w:tcPr>
            <w:tcW w:w="60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 2020</w:t>
            </w:r>
          </w:p>
        </w:tc>
        <w:tc>
          <w:tcPr>
            <w:tcW w:w="4700" w:type="dxa"/>
            <w:vAlign w:val="bottom"/>
          </w:tcPr>
          <w:p>
            <w:pPr>
              <w:ind w:left="480"/>
              <w:spacing w:after="0"/>
              <w:rPr>
                <w:sz w:val="20"/>
                <w:szCs w:val="20"/>
                <w:color w:val="auto"/>
              </w:rPr>
            </w:pPr>
            <w:r>
              <w:rPr>
                <w:rFonts w:ascii="Arial" w:cs="Arial" w:eastAsia="Arial" w:hAnsi="Arial"/>
                <w:sz w:val="18"/>
                <w:szCs w:val="18"/>
                <w:b w:val="1"/>
                <w:bCs w:val="1"/>
                <w:color w:val="auto"/>
              </w:rPr>
              <w:t>ET</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3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89"/>
              </w:rPr>
              <w:t>This proxy is solicited by the Board of Directors</w:t>
            </w:r>
          </w:p>
        </w:tc>
        <w:tc>
          <w:tcPr>
            <w:tcW w:w="4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140"/>
        <w:spacing w:after="0" w:line="291"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w:t>
      </w:r>
    </w:p>
    <w:p>
      <w:pPr>
        <w:ind w:left="1060" w:right="120" w:hanging="944"/>
        <w:spacing w:after="0" w:line="250" w:lineRule="auto"/>
        <w:rPr>
          <w:sz w:val="20"/>
          <w:szCs w:val="20"/>
          <w:color w:val="auto"/>
        </w:rPr>
      </w:pPr>
      <w:r>
        <w:rPr>
          <w:rFonts w:ascii="Arial" w:cs="Arial" w:eastAsia="Arial" w:hAnsi="Arial"/>
          <w:sz w:val="18"/>
          <w:szCs w:val="18"/>
          <w:color w:val="auto"/>
        </w:rPr>
        <w:t>LENDING, INC. that the stockholders are entitled to vote at a Special Meeting of Stockholders to be held at</w:t>
      </w:r>
      <w:r>
        <w:rPr>
          <w:sz w:val="20"/>
          <w:szCs w:val="20"/>
          <w:color w:val="auto"/>
        </w:rPr>
        <w:t xml:space="preserve"> </w:t>
      </w:r>
      <w:r>
        <w:rPr>
          <w:rFonts w:ascii="Arial" w:cs="Arial" w:eastAsia="Arial" w:hAnsi="Arial"/>
          <w:sz w:val="18"/>
          <w:szCs w:val="18"/>
          <w:color w:val="auto"/>
        </w:rPr>
        <w:t>local time on , 2020 at and any adjournment or postponement thereof.</w:t>
      </w:r>
    </w:p>
    <w:p>
      <w:pPr>
        <w:spacing w:after="0" w:line="200" w:lineRule="exact"/>
        <w:rPr>
          <w:sz w:val="20"/>
          <w:szCs w:val="20"/>
          <w:color w:val="auto"/>
        </w:rPr>
      </w:pPr>
    </w:p>
    <w:p>
      <w:pPr>
        <w:spacing w:after="0" w:line="214"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20"/>
          </w:cols>
          <w:pgMar w:left="320" w:top="44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INTERNET</w:t>
      </w:r>
    </w:p>
    <w:p>
      <w:pPr>
        <w:spacing w:after="0" w:line="121" w:lineRule="exact"/>
        <w:rPr>
          <w:sz w:val="20"/>
          <w:szCs w:val="20"/>
          <w:color w:val="auto"/>
        </w:rPr>
      </w:pPr>
    </w:p>
    <w:p>
      <w:pPr>
        <w:ind w:left="120"/>
        <w:spacing w:after="0"/>
        <w:tabs>
          <w:tab w:leader="none" w:pos="958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Vote by 11:59 P.M. ET on</w:t>
      </w:r>
      <w:r>
        <w:rPr>
          <w:sz w:val="20"/>
          <w:szCs w:val="20"/>
          <w:color w:val="auto"/>
        </w:rPr>
        <w:tab/>
      </w:r>
      <w:r>
        <w:rPr>
          <w:rFonts w:ascii="Arial" w:cs="Arial" w:eastAsia="Arial" w:hAnsi="Arial"/>
          <w:sz w:val="16"/>
          <w:szCs w:val="16"/>
          <w:color w:val="auto"/>
        </w:rPr>
        <w:t>. Have your proxy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card in hand when you access the web site and follow the instructions to obtain your records and to create an electronic voting instruction form.</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0920"/>
          </w:cols>
          <w:pgMar w:left="320" w:top="459" w:right="659" w:bottom="1440" w:gutter="0" w:footer="0" w:header="0"/>
        </w:sectPr>
      </w:pP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and then follow the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 you call</w:t>
      </w:r>
    </w:p>
    <w:p>
      <w:pPr>
        <w:spacing w:after="0" w:line="493" w:lineRule="exact"/>
        <w:rPr>
          <w:sz w:val="20"/>
          <w:szCs w:val="20"/>
          <w:color w:val="auto"/>
        </w:rPr>
      </w:pPr>
    </w:p>
    <w:p>
      <w:pPr>
        <w:sectPr>
          <w:pgSz w:w="11900" w:h="16838" w:orient="portrait"/>
          <w:cols w:equalWidth="0" w:num="2">
            <w:col w:w="6840" w:space="720"/>
            <w:col w:w="3360"/>
          </w:cols>
          <w:pgMar w:left="320" w:top="459" w:right="65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0920"/>
          </w:cols>
          <w:pgMar w:left="320" w:top="459" w:right="659" w:bottom="1440" w:gutter="0" w:footer="0" w:header="0"/>
          <w:type w:val="continuous"/>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ectPr>
          <w:pgSz w:w="11900" w:h="16838" w:orient="portrait"/>
          <w:cols w:equalWidth="0" w:num="2">
            <w:col w:w="8140" w:space="720"/>
            <w:col w:w="2060"/>
          </w:cols>
          <w:pgMar w:left="320" w:top="459" w:right="6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jc w:val="both"/>
        <w:ind w:left="580" w:hanging="464"/>
        <w:spacing w:after="0" w:line="25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620" w:val="left"/>
          <w:tab w:leader="none" w:pos="172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620" w:val="left"/>
          <w:tab w:leader="none" w:pos="1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91" w:lineRule="exact"/>
        <w:rPr>
          <w:sz w:val="20"/>
          <w:szCs w:val="20"/>
          <w:color w:val="auto"/>
        </w:rPr>
      </w:pPr>
    </w:p>
    <w:p>
      <w:pPr>
        <w:sectPr>
          <w:pgSz w:w="11900" w:h="16838" w:orient="portrait"/>
          <w:cols w:equalWidth="0" w:num="2">
            <w:col w:w="7500" w:space="580"/>
            <w:col w:w="3060"/>
          </w:cols>
          <w:pgMar w:left="320" w:top="459" w:right="439" w:bottom="1440" w:gutter="0" w:footer="0" w:header="0"/>
          <w:type w:val="continuous"/>
        </w:sectPr>
      </w:pPr>
    </w:p>
    <w:p>
      <w:pPr>
        <w:ind w:left="12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ind w:left="120"/>
        <w:spacing w:after="0"/>
        <w:tabs>
          <w:tab w:leader="none" w:pos="8060" w:val="left"/>
          <w:tab w:leader="none" w:pos="870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080"/>
        <w:spacing w:after="0" w:line="181" w:lineRule="exact"/>
        <w:tabs>
          <w:tab w:leader="none" w:pos="8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3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05"/>
        </w:trPr>
        <w:tc>
          <w:tcPr>
            <w:tcW w:w="37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8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2020-03-31T15:08:04Z</dcterms:created>
  <dcterms:modified xsi:type="dcterms:W3CDTF">2020-03-31T15:08:04Z</dcterms:modified>
</cp:coreProperties>
</file>