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 240.13d-1(b), (c) AND (d) AND AMENDMENTS THERETO FILED PURSUANT TO</w:t>
      </w:r>
    </w:p>
    <w:p>
      <w:pPr>
        <w:spacing w:after="0" w:line="9" w:lineRule="exact"/>
        <w:rPr>
          <w:sz w:val="24"/>
          <w:szCs w:val="24"/>
          <w:color w:val="auto"/>
        </w:rPr>
      </w:pPr>
    </w:p>
    <w:p>
      <w:pPr>
        <w:ind w:left="4880" w:right="4880" w:firstLine="394"/>
        <w:spacing w:after="0" w:line="323" w:lineRule="auto"/>
        <w:tabs>
          <w:tab w:leader="none" w:pos="540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240.13d-2 (Amendment No. 3) *</w:t>
      </w:r>
    </w:p>
    <w:p>
      <w:pPr>
        <w:spacing w:after="0" w:line="200" w:lineRule="exact"/>
        <w:rPr>
          <w:sz w:val="24"/>
          <w:szCs w:val="24"/>
          <w:color w:val="auto"/>
        </w:rPr>
      </w:pP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TPG Specialty Lending,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$0.01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None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2013</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40" w:hanging="208"/>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540" w:hanging="208"/>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540" w:hanging="208"/>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4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4"/>
        </w:trPr>
        <w:tc>
          <w:tcPr>
            <w:tcW w:w="2320" w:type="dxa"/>
            <w:vAlign w:val="bottom"/>
            <w:tcBorders>
              <w:top w:val="single" w:sz="8" w:color="auto"/>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CUSIP NO. N/A</w:t>
            </w:r>
          </w:p>
        </w:tc>
        <w:tc>
          <w:tcPr>
            <w:tcW w:w="560" w:type="dxa"/>
            <w:vAlign w:val="bottom"/>
          </w:tcPr>
          <w:p>
            <w:pPr>
              <w:spacing w:after="0"/>
              <w:rPr>
                <w:sz w:val="24"/>
                <w:szCs w:val="24"/>
                <w:color w:val="auto"/>
              </w:rPr>
            </w:pPr>
          </w:p>
        </w:tc>
        <w:tc>
          <w:tcPr>
            <w:tcW w:w="8540" w:type="dxa"/>
            <w:vAlign w:val="bottom"/>
          </w:tcPr>
          <w:p>
            <w:pPr>
              <w:ind w:left="268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41"/>
        </w:trPr>
        <w:tc>
          <w:tcPr>
            <w:tcW w:w="480" w:type="dxa"/>
            <w:vAlign w:val="bottom"/>
            <w:tcBorders>
              <w:left w:val="single" w:sz="8" w:color="auto"/>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720" w:type="dxa"/>
            <w:vAlign w:val="bottom"/>
            <w:tcBorders>
              <w:bottom w:val="single" w:sz="8" w:color="auto"/>
              <w:right w:val="single" w:sz="8" w:color="auto"/>
            </w:tcBorders>
          </w:tcPr>
          <w:p>
            <w:pPr>
              <w:spacing w:after="0"/>
              <w:rPr>
                <w:sz w:val="3"/>
                <w:szCs w:val="3"/>
                <w:color w:val="auto"/>
              </w:rPr>
            </w:pPr>
          </w:p>
        </w:tc>
        <w:tc>
          <w:tcPr>
            <w:tcW w:w="560" w:type="dxa"/>
            <w:vAlign w:val="bottom"/>
          </w:tcPr>
          <w:p>
            <w:pPr>
              <w:spacing w:after="0"/>
              <w:rPr>
                <w:sz w:val="3"/>
                <w:szCs w:val="3"/>
                <w:color w:val="auto"/>
              </w:rPr>
            </w:pPr>
          </w:p>
        </w:tc>
        <w:tc>
          <w:tcPr>
            <w:tcW w:w="8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20" w:type="dxa"/>
            <w:vAlign w:val="bottom"/>
            <w:tcBorders>
              <w:bottom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80" w:type="dxa"/>
            <w:vAlign w:val="bottom"/>
            <w:tcBorders>
              <w:left w:val="single" w:sz="8" w:color="auto"/>
            </w:tcBorders>
          </w:tcPr>
          <w:p>
            <w:pPr>
              <w:ind w:left="260"/>
              <w:spacing w:after="0" w:line="195" w:lineRule="exact"/>
              <w:rPr>
                <w:sz w:val="20"/>
                <w:szCs w:val="20"/>
                <w:color w:val="auto"/>
              </w:rPr>
            </w:pPr>
            <w:r>
              <w:rPr>
                <w:rFonts w:ascii="Arial" w:cs="Arial" w:eastAsia="Arial" w:hAnsi="Arial"/>
                <w:sz w:val="18"/>
                <w:szCs w:val="18"/>
                <w:b w:val="1"/>
                <w:bCs w:val="1"/>
                <w:color w:val="auto"/>
              </w:rPr>
              <w:t>1</w:t>
            </w:r>
          </w:p>
        </w:tc>
        <w:tc>
          <w:tcPr>
            <w:tcW w:w="120" w:type="dxa"/>
            <w:vAlign w:val="bottom"/>
            <w:tcBorders>
              <w:right w:val="single" w:sz="8" w:color="auto"/>
            </w:tcBorders>
          </w:tcPr>
          <w:p>
            <w:pPr>
              <w:spacing w:after="0"/>
              <w:rPr>
                <w:sz w:val="16"/>
                <w:szCs w:val="16"/>
                <w:color w:val="auto"/>
              </w:rPr>
            </w:pPr>
          </w:p>
        </w:tc>
        <w:tc>
          <w:tcPr>
            <w:tcW w:w="10820" w:type="dxa"/>
            <w:vAlign w:val="bottom"/>
            <w:tcBorders>
              <w:right w:val="single" w:sz="8" w:color="auto"/>
            </w:tcBorders>
            <w:gridSpan w:val="3"/>
          </w:tcPr>
          <w:p>
            <w:pPr>
              <w:ind w:left="12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82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Oregon Public Employees' Retirement Fund</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10820" w:type="dxa"/>
            <w:vAlign w:val="bottom"/>
            <w:tcBorders>
              <w:bottom w:val="single" w:sz="8" w:color="auto"/>
              <w:right w:val="single" w:sz="8" w:color="auto"/>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tcBorders>
          </w:tcPr>
          <w:p>
            <w:pPr>
              <w:ind w:left="260"/>
              <w:spacing w:after="0" w:line="182" w:lineRule="exact"/>
              <w:rPr>
                <w:sz w:val="20"/>
                <w:szCs w:val="20"/>
                <w:color w:val="auto"/>
              </w:rPr>
            </w:pPr>
            <w:r>
              <w:rPr>
                <w:rFonts w:ascii="Arial" w:cs="Arial" w:eastAsia="Arial" w:hAnsi="Arial"/>
                <w:sz w:val="18"/>
                <w:szCs w:val="18"/>
                <w:b w:val="1"/>
                <w:bCs w:val="1"/>
                <w:color w:val="auto"/>
              </w:rPr>
              <w:t>2</w:t>
            </w:r>
          </w:p>
        </w:tc>
        <w:tc>
          <w:tcPr>
            <w:tcW w:w="120" w:type="dxa"/>
            <w:vAlign w:val="bottom"/>
            <w:tcBorders>
              <w:right w:val="single" w:sz="8" w:color="auto"/>
            </w:tcBorders>
          </w:tcPr>
          <w:p>
            <w:pPr>
              <w:spacing w:after="0"/>
              <w:rPr>
                <w:sz w:val="15"/>
                <w:szCs w:val="15"/>
                <w:color w:val="auto"/>
              </w:rPr>
            </w:pPr>
          </w:p>
        </w:tc>
        <w:tc>
          <w:tcPr>
            <w:tcW w:w="10820" w:type="dxa"/>
            <w:vAlign w:val="bottom"/>
            <w:tcBorders>
              <w:right w:val="single" w:sz="8" w:color="auto"/>
            </w:tcBorders>
            <w:gridSpan w:val="3"/>
          </w:tcPr>
          <w:p>
            <w:pPr>
              <w:ind w:left="120"/>
              <w:spacing w:after="0" w:line="18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196"/>
        </w:trPr>
        <w:tc>
          <w:tcPr>
            <w:tcW w:w="480" w:type="dxa"/>
            <w:vAlign w:val="bottom"/>
            <w:tcBorders>
              <w:left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40" w:type="dxa"/>
            <w:vAlign w:val="bottom"/>
            <w:tcBorders>
              <w:right w:val="single" w:sz="8" w:color="auto"/>
            </w:tcBorders>
          </w:tcPr>
          <w:p>
            <w:pPr>
              <w:ind w:left="2840"/>
              <w:spacing w:after="0" w:line="196"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540" w:type="dxa"/>
            <w:vAlign w:val="bottom"/>
            <w:tcBorders>
              <w:right w:val="single" w:sz="8" w:color="auto"/>
            </w:tcBorders>
          </w:tcPr>
          <w:p>
            <w:pPr>
              <w:ind w:left="28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2"/>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tcBorders>
          </w:tcPr>
          <w:p>
            <w:pPr>
              <w:ind w:left="26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right w:val="single" w:sz="8" w:color="auto"/>
            </w:tcBorders>
          </w:tcPr>
          <w:p>
            <w:pPr>
              <w:spacing w:after="0"/>
              <w:rPr>
                <w:sz w:val="20"/>
                <w:szCs w:val="20"/>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560" w:type="dxa"/>
            <w:vAlign w:val="bottom"/>
          </w:tcPr>
          <w:p>
            <w:pPr>
              <w:spacing w:after="0"/>
              <w:rPr>
                <w:sz w:val="20"/>
                <w:szCs w:val="20"/>
                <w:color w:val="auto"/>
              </w:rPr>
            </w:pPr>
          </w:p>
        </w:tc>
        <w:tc>
          <w:tcPr>
            <w:tcW w:w="8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0820" w:type="dxa"/>
            <w:vAlign w:val="bottom"/>
            <w:tcBorders>
              <w:bottom w:val="single" w:sz="8" w:color="auto"/>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tcBorders>
          </w:tcPr>
          <w:p>
            <w:pPr>
              <w:ind w:left="26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right w:val="single" w:sz="8" w:color="auto"/>
            </w:tcBorders>
          </w:tcPr>
          <w:p>
            <w:pPr>
              <w:spacing w:after="0"/>
              <w:rPr>
                <w:sz w:val="20"/>
                <w:szCs w:val="20"/>
                <w:color w:val="auto"/>
              </w:rPr>
            </w:pPr>
          </w:p>
        </w:tc>
        <w:tc>
          <w:tcPr>
            <w:tcW w:w="1082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05"/>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USA</w:t>
            </w:r>
          </w:p>
        </w:tc>
        <w:tc>
          <w:tcPr>
            <w:tcW w:w="560" w:type="dxa"/>
            <w:vAlign w:val="bottom"/>
            <w:tcBorders>
              <w:bottom w:val="single" w:sz="8" w:color="auto"/>
            </w:tcBorders>
          </w:tcPr>
          <w:p>
            <w:pPr>
              <w:spacing w:after="0"/>
              <w:rPr>
                <w:sz w:val="24"/>
                <w:szCs w:val="24"/>
                <w:color w:val="auto"/>
              </w:rPr>
            </w:pPr>
          </w:p>
        </w:tc>
        <w:tc>
          <w:tcPr>
            <w:tcW w:w="8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w:t>
            </w:r>
          </w:p>
        </w:tc>
        <w:tc>
          <w:tcPr>
            <w:tcW w:w="8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2,945,342 shares</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w w:val="96"/>
              </w:rPr>
              <w:t>NUMBER OF</w:t>
            </w:r>
          </w:p>
        </w:tc>
        <w:tc>
          <w:tcPr>
            <w:tcW w:w="560" w:type="dxa"/>
            <w:vAlign w:val="bottom"/>
            <w:tcBorders>
              <w:bottom w:val="single" w:sz="8" w:color="auto"/>
              <w:right w:val="single" w:sz="8" w:color="auto"/>
            </w:tcBorders>
          </w:tcPr>
          <w:p>
            <w:pPr>
              <w:spacing w:after="0"/>
              <w:rPr>
                <w:sz w:val="18"/>
                <w:szCs w:val="18"/>
                <w:color w:val="auto"/>
              </w:rPr>
            </w:pPr>
          </w:p>
        </w:tc>
        <w:tc>
          <w:tcPr>
            <w:tcW w:w="8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right w:val="single" w:sz="8" w:color="auto"/>
            </w:tcBorders>
            <w:vMerge w:val="continue"/>
          </w:tcPr>
          <w:p>
            <w:pPr>
              <w:spacing w:after="0"/>
              <w:rPr>
                <w:sz w:val="15"/>
                <w:szCs w:val="15"/>
                <w:color w:val="auto"/>
              </w:rPr>
            </w:pPr>
          </w:p>
        </w:tc>
        <w:tc>
          <w:tcPr>
            <w:tcW w:w="560" w:type="dxa"/>
            <w:vAlign w:val="bottom"/>
            <w:tcBorders>
              <w:right w:val="single" w:sz="8" w:color="auto"/>
            </w:tcBorders>
          </w:tcPr>
          <w:p>
            <w:pPr>
              <w:jc w:val="right"/>
              <w:ind w:right="170"/>
              <w:spacing w:after="0" w:line="182" w:lineRule="exact"/>
              <w:rPr>
                <w:sz w:val="20"/>
                <w:szCs w:val="20"/>
                <w:color w:val="auto"/>
              </w:rPr>
            </w:pPr>
            <w:r>
              <w:rPr>
                <w:rFonts w:ascii="Arial" w:cs="Arial" w:eastAsia="Arial" w:hAnsi="Arial"/>
                <w:sz w:val="18"/>
                <w:szCs w:val="18"/>
                <w:b w:val="1"/>
                <w:bCs w:val="1"/>
                <w:color w:val="auto"/>
              </w:rPr>
              <w:t>6</w:t>
            </w:r>
          </w:p>
        </w:tc>
        <w:tc>
          <w:tcPr>
            <w:tcW w:w="854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1"/>
              </w:rPr>
              <w:t>SHARES</w:t>
            </w:r>
          </w:p>
        </w:tc>
        <w:tc>
          <w:tcPr>
            <w:tcW w:w="560" w:type="dxa"/>
            <w:vAlign w:val="bottom"/>
            <w:tcBorders>
              <w:right w:val="single" w:sz="8" w:color="auto"/>
            </w:tcBorders>
          </w:tcPr>
          <w:p>
            <w:pPr>
              <w:spacing w:after="0"/>
              <w:rPr>
                <w:sz w:val="18"/>
                <w:szCs w:val="18"/>
                <w:color w:val="auto"/>
              </w:rPr>
            </w:pPr>
          </w:p>
        </w:tc>
        <w:tc>
          <w:tcPr>
            <w:tcW w:w="8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840" w:type="dxa"/>
            <w:vAlign w:val="bottom"/>
            <w:tcBorders>
              <w:right w:val="single" w:sz="8" w:color="auto"/>
            </w:tcBorders>
            <w:gridSpan w:val="2"/>
          </w:tcPr>
          <w:p>
            <w:pPr>
              <w:jc w:val="center"/>
              <w:ind w:right="390"/>
              <w:spacing w:after="0"/>
              <w:rPr>
                <w:sz w:val="20"/>
                <w:szCs w:val="20"/>
                <w:color w:val="auto"/>
              </w:rPr>
            </w:pPr>
            <w:r>
              <w:rPr>
                <w:rFonts w:ascii="Arial" w:cs="Arial" w:eastAsia="Arial" w:hAnsi="Arial"/>
                <w:sz w:val="18"/>
                <w:szCs w:val="18"/>
                <w:color w:val="auto"/>
              </w:rPr>
              <w:t>BENEFICIALLY</w:t>
            </w:r>
          </w:p>
        </w:tc>
        <w:tc>
          <w:tcPr>
            <w:tcW w:w="560" w:type="dxa"/>
            <w:vAlign w:val="bottom"/>
            <w:tcBorders>
              <w:right w:val="single" w:sz="8" w:color="auto"/>
            </w:tcBorders>
          </w:tcPr>
          <w:p>
            <w:pPr>
              <w:spacing w:after="0"/>
              <w:rPr>
                <w:sz w:val="18"/>
                <w:szCs w:val="18"/>
                <w:color w:val="auto"/>
              </w:rPr>
            </w:pPr>
          </w:p>
        </w:tc>
        <w:tc>
          <w:tcPr>
            <w:tcW w:w="8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7"/>
              </w:rPr>
              <w:t>OWNED BY</w:t>
            </w:r>
          </w:p>
        </w:tc>
        <w:tc>
          <w:tcPr>
            <w:tcW w:w="560" w:type="dxa"/>
            <w:vAlign w:val="bottom"/>
            <w:tcBorders>
              <w:right w:val="single" w:sz="8" w:color="auto"/>
            </w:tcBorders>
          </w:tcPr>
          <w:p>
            <w:pPr>
              <w:spacing w:after="0"/>
              <w:rPr>
                <w:sz w:val="18"/>
                <w:szCs w:val="18"/>
                <w:color w:val="auto"/>
              </w:rPr>
            </w:pPr>
          </w:p>
        </w:tc>
        <w:tc>
          <w:tcPr>
            <w:tcW w:w="8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w w:val="95"/>
              </w:rPr>
              <w:t>EACH</w:t>
            </w:r>
          </w:p>
        </w:tc>
        <w:tc>
          <w:tcPr>
            <w:tcW w:w="560" w:type="dxa"/>
            <w:vAlign w:val="bottom"/>
            <w:tcBorders>
              <w:right w:val="single" w:sz="8" w:color="auto"/>
            </w:tcBorders>
          </w:tcPr>
          <w:p>
            <w:pPr>
              <w:spacing w:after="0"/>
              <w:rPr>
                <w:sz w:val="18"/>
                <w:szCs w:val="18"/>
                <w:color w:val="auto"/>
              </w:rPr>
            </w:pPr>
          </w:p>
        </w:tc>
        <w:tc>
          <w:tcPr>
            <w:tcW w:w="8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right w:val="single" w:sz="8" w:color="auto"/>
            </w:tcBorders>
            <w:vMerge w:val="restart"/>
          </w:tcPr>
          <w:p>
            <w:pPr>
              <w:jc w:val="center"/>
              <w:ind w:right="510"/>
              <w:spacing w:after="0"/>
              <w:rPr>
                <w:sz w:val="20"/>
                <w:szCs w:val="20"/>
                <w:color w:val="auto"/>
              </w:rPr>
            </w:pPr>
            <w:r>
              <w:rPr>
                <w:rFonts w:ascii="Arial" w:cs="Arial" w:eastAsia="Arial" w:hAnsi="Arial"/>
                <w:sz w:val="18"/>
                <w:szCs w:val="18"/>
                <w:color w:val="auto"/>
                <w:w w:val="93"/>
              </w:rPr>
              <w:t>REPORTING</w:t>
            </w:r>
          </w:p>
        </w:tc>
        <w:tc>
          <w:tcPr>
            <w:tcW w:w="560" w:type="dxa"/>
            <w:vAlign w:val="bottom"/>
            <w:tcBorders>
              <w:bottom w:val="single" w:sz="8" w:color="auto"/>
              <w:right w:val="single" w:sz="8" w:color="auto"/>
            </w:tcBorders>
          </w:tcPr>
          <w:p>
            <w:pPr>
              <w:spacing w:after="0"/>
              <w:rPr>
                <w:sz w:val="2"/>
                <w:szCs w:val="2"/>
                <w:color w:val="auto"/>
              </w:rPr>
            </w:pPr>
          </w:p>
        </w:tc>
        <w:tc>
          <w:tcPr>
            <w:tcW w:w="8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Borders>
              <w:right w:val="single" w:sz="8" w:color="auto"/>
            </w:tcBorders>
            <w:vMerge w:val="continue"/>
          </w:tcPr>
          <w:p>
            <w:pPr>
              <w:spacing w:after="0"/>
              <w:rPr>
                <w:sz w:val="15"/>
                <w:szCs w:val="15"/>
                <w:color w:val="auto"/>
              </w:rPr>
            </w:pPr>
          </w:p>
        </w:tc>
        <w:tc>
          <w:tcPr>
            <w:tcW w:w="560" w:type="dxa"/>
            <w:vAlign w:val="bottom"/>
            <w:tcBorders>
              <w:right w:val="single" w:sz="8" w:color="auto"/>
            </w:tcBorders>
          </w:tcPr>
          <w:p>
            <w:pPr>
              <w:jc w:val="right"/>
              <w:ind w:right="170"/>
              <w:spacing w:after="0" w:line="182" w:lineRule="exact"/>
              <w:rPr>
                <w:sz w:val="20"/>
                <w:szCs w:val="20"/>
                <w:color w:val="auto"/>
              </w:rPr>
            </w:pPr>
            <w:r>
              <w:rPr>
                <w:rFonts w:ascii="Arial" w:cs="Arial" w:eastAsia="Arial" w:hAnsi="Arial"/>
                <w:sz w:val="18"/>
                <w:szCs w:val="18"/>
                <w:b w:val="1"/>
                <w:bCs w:val="1"/>
                <w:color w:val="auto"/>
              </w:rPr>
              <w:t>7</w:t>
            </w:r>
          </w:p>
        </w:tc>
        <w:tc>
          <w:tcPr>
            <w:tcW w:w="8540" w:type="dxa"/>
            <w:vAlign w:val="bottom"/>
            <w:tcBorders>
              <w:right w:val="single" w:sz="8" w:color="auto"/>
            </w:tcBorders>
          </w:tcPr>
          <w:p>
            <w:pPr>
              <w:ind w:left="1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2"/>
        </w:trPr>
        <w:tc>
          <w:tcPr>
            <w:tcW w:w="48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right w:val="single" w:sz="8" w:color="auto"/>
            </w:tcBorders>
          </w:tcPr>
          <w:p>
            <w:pPr>
              <w:jc w:val="center"/>
              <w:ind w:right="510"/>
              <w:spacing w:after="0" w:line="201" w:lineRule="exact"/>
              <w:rPr>
                <w:sz w:val="20"/>
                <w:szCs w:val="20"/>
                <w:color w:val="auto"/>
              </w:rPr>
            </w:pPr>
            <w:r>
              <w:rPr>
                <w:rFonts w:ascii="Arial" w:cs="Arial" w:eastAsia="Arial" w:hAnsi="Arial"/>
                <w:sz w:val="18"/>
                <w:szCs w:val="18"/>
                <w:color w:val="auto"/>
                <w:w w:val="89"/>
              </w:rPr>
              <w:t>PERSON</w:t>
            </w:r>
          </w:p>
        </w:tc>
        <w:tc>
          <w:tcPr>
            <w:tcW w:w="560" w:type="dxa"/>
            <w:vAlign w:val="bottom"/>
            <w:tcBorders>
              <w:right w:val="single" w:sz="8" w:color="auto"/>
            </w:tcBorders>
          </w:tcPr>
          <w:p>
            <w:pPr>
              <w:spacing w:after="0"/>
              <w:rPr>
                <w:sz w:val="17"/>
                <w:szCs w:val="17"/>
                <w:color w:val="auto"/>
              </w:rPr>
            </w:pPr>
          </w:p>
        </w:tc>
        <w:tc>
          <w:tcPr>
            <w:tcW w:w="8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80" w:type="dxa"/>
            <w:vAlign w:val="bottom"/>
            <w:tcBorders>
              <w:lef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Borders>
              <w:right w:val="single" w:sz="8" w:color="auto"/>
            </w:tcBorders>
          </w:tcPr>
          <w:p>
            <w:pPr>
              <w:jc w:val="center"/>
              <w:ind w:right="510"/>
              <w:spacing w:after="0"/>
              <w:rPr>
                <w:sz w:val="20"/>
                <w:szCs w:val="20"/>
                <w:color w:val="auto"/>
              </w:rPr>
            </w:pPr>
            <w:r>
              <w:rPr>
                <w:rFonts w:ascii="Arial" w:cs="Arial" w:eastAsia="Arial" w:hAnsi="Arial"/>
                <w:sz w:val="18"/>
                <w:szCs w:val="18"/>
                <w:color w:val="auto"/>
              </w:rPr>
              <w:t>WITH</w:t>
            </w:r>
          </w:p>
        </w:tc>
        <w:tc>
          <w:tcPr>
            <w:tcW w:w="560" w:type="dxa"/>
            <w:vAlign w:val="bottom"/>
            <w:tcBorders>
              <w:right w:val="single" w:sz="8" w:color="auto"/>
            </w:tcBorders>
          </w:tcPr>
          <w:p>
            <w:pPr>
              <w:spacing w:after="0"/>
              <w:rPr>
                <w:sz w:val="22"/>
                <w:szCs w:val="22"/>
                <w:color w:val="auto"/>
              </w:rPr>
            </w:pPr>
          </w:p>
        </w:tc>
        <w:tc>
          <w:tcPr>
            <w:tcW w:w="8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2,945,342 shares</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8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w:t>
            </w:r>
          </w:p>
        </w:tc>
        <w:tc>
          <w:tcPr>
            <w:tcW w:w="8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621"/>
        </w:trPr>
        <w:tc>
          <w:tcPr>
            <w:tcW w:w="480" w:type="dxa"/>
            <w:vAlign w:val="bottom"/>
            <w:tcBorders>
              <w:lef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5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16"/>
        </w:trPr>
        <w:tc>
          <w:tcPr>
            <w:tcW w:w="480" w:type="dxa"/>
            <w:vAlign w:val="bottom"/>
            <w:tcBorders>
              <w:left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8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tcBorders>
          </w:tcPr>
          <w:p>
            <w:pPr>
              <w:ind w:left="260"/>
              <w:spacing w:after="0"/>
              <w:rPr>
                <w:sz w:val="20"/>
                <w:szCs w:val="20"/>
                <w:color w:val="auto"/>
              </w:rPr>
            </w:pPr>
            <w:r>
              <w:rPr>
                <w:rFonts w:ascii="Arial" w:cs="Arial" w:eastAsia="Arial" w:hAnsi="Arial"/>
                <w:sz w:val="18"/>
                <w:szCs w:val="18"/>
                <w:b w:val="1"/>
                <w:bCs w:val="1"/>
                <w:color w:val="auto"/>
              </w:rPr>
              <w:t>9</w:t>
            </w:r>
          </w:p>
        </w:tc>
        <w:tc>
          <w:tcPr>
            <w:tcW w:w="120" w:type="dxa"/>
            <w:vAlign w:val="bottom"/>
            <w:tcBorders>
              <w:right w:val="single" w:sz="8" w:color="auto"/>
            </w:tcBorders>
          </w:tcPr>
          <w:p>
            <w:pPr>
              <w:spacing w:after="0"/>
              <w:rPr>
                <w:sz w:val="20"/>
                <w:szCs w:val="20"/>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color w:val="auto"/>
              </w:rPr>
              <w:t>AGGREGATE AMOUNT</w:t>
            </w:r>
          </w:p>
        </w:tc>
        <w:tc>
          <w:tcPr>
            <w:tcW w:w="85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0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720" w:type="dxa"/>
            <w:vAlign w:val="bottom"/>
          </w:tcPr>
          <w:p>
            <w:pPr>
              <w:ind w:left="120"/>
              <w:spacing w:after="0"/>
              <w:rPr>
                <w:sz w:val="20"/>
                <w:szCs w:val="20"/>
                <w:color w:val="auto"/>
              </w:rPr>
            </w:pPr>
            <w:r>
              <w:rPr>
                <w:rFonts w:ascii="Arial" w:cs="Arial" w:eastAsia="Arial" w:hAnsi="Arial"/>
                <w:sz w:val="18"/>
                <w:szCs w:val="18"/>
                <w:color w:val="auto"/>
              </w:rPr>
              <w:t>2,945,342 shares</w:t>
            </w:r>
          </w:p>
        </w:tc>
        <w:tc>
          <w:tcPr>
            <w:tcW w:w="560" w:type="dxa"/>
            <w:vAlign w:val="bottom"/>
          </w:tcPr>
          <w:p>
            <w:pPr>
              <w:spacing w:after="0"/>
              <w:rPr>
                <w:sz w:val="24"/>
                <w:szCs w:val="24"/>
                <w:color w:val="auto"/>
              </w:rPr>
            </w:pPr>
          </w:p>
        </w:tc>
        <w:tc>
          <w:tcPr>
            <w:tcW w:w="8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gridSpan w:val="2"/>
          </w:tcPr>
          <w:p>
            <w:pPr>
              <w:spacing w:after="0"/>
              <w:rPr>
                <w:sz w:val="24"/>
                <w:szCs w:val="24"/>
                <w:color w:val="auto"/>
              </w:rPr>
            </w:pPr>
          </w:p>
        </w:tc>
        <w:tc>
          <w:tcPr>
            <w:tcW w:w="8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80" w:type="dxa"/>
            <w:vAlign w:val="bottom"/>
            <w:tcBorders>
              <w:left w:val="single" w:sz="8" w:color="auto"/>
            </w:tcBorders>
          </w:tcPr>
          <w:p>
            <w:pPr>
              <w:ind w:left="280"/>
              <w:spacing w:after="0" w:line="182" w:lineRule="exact"/>
              <w:rPr>
                <w:sz w:val="20"/>
                <w:szCs w:val="20"/>
                <w:color w:val="auto"/>
              </w:rPr>
            </w:pPr>
            <w:r>
              <w:rPr>
                <w:rFonts w:ascii="Arial" w:cs="Arial" w:eastAsia="Arial" w:hAnsi="Arial"/>
                <w:sz w:val="18"/>
                <w:szCs w:val="18"/>
                <w:b w:val="1"/>
                <w:bCs w:val="1"/>
                <w:color w:val="auto"/>
                <w:w w:val="89"/>
              </w:rPr>
              <w:t>10</w:t>
            </w:r>
          </w:p>
        </w:tc>
        <w:tc>
          <w:tcPr>
            <w:tcW w:w="120" w:type="dxa"/>
            <w:vAlign w:val="bottom"/>
            <w:tcBorders>
              <w:right w:val="single" w:sz="8" w:color="auto"/>
            </w:tcBorders>
          </w:tcPr>
          <w:p>
            <w:pPr>
              <w:spacing w:after="0"/>
              <w:rPr>
                <w:sz w:val="15"/>
                <w:szCs w:val="15"/>
                <w:color w:val="auto"/>
              </w:rPr>
            </w:pPr>
          </w:p>
        </w:tc>
        <w:tc>
          <w:tcPr>
            <w:tcW w:w="10820" w:type="dxa"/>
            <w:vAlign w:val="bottom"/>
            <w:tcBorders>
              <w:right w:val="single" w:sz="8" w:color="auto"/>
            </w:tcBorders>
            <w:gridSpan w:val="3"/>
          </w:tcPr>
          <w:p>
            <w:pPr>
              <w:ind w:left="120"/>
              <w:spacing w:after="0" w:line="182" w:lineRule="exact"/>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540" w:type="dxa"/>
            <w:vAlign w:val="bottom"/>
            <w:tcBorders>
              <w:right w:val="single" w:sz="8" w:color="auto"/>
            </w:tcBorders>
          </w:tcPr>
          <w:p>
            <w:pPr>
              <w:ind w:left="3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2"/>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gridSpan w:val="2"/>
          </w:tcPr>
          <w:p>
            <w:pPr>
              <w:spacing w:after="0"/>
              <w:rPr>
                <w:sz w:val="24"/>
                <w:szCs w:val="24"/>
                <w:color w:val="auto"/>
              </w:rPr>
            </w:pPr>
          </w:p>
        </w:tc>
        <w:tc>
          <w:tcPr>
            <w:tcW w:w="8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tcBorders>
          </w:tcPr>
          <w:p>
            <w:pPr>
              <w:ind w:left="280"/>
              <w:spacing w:after="0"/>
              <w:rPr>
                <w:sz w:val="20"/>
                <w:szCs w:val="20"/>
                <w:color w:val="auto"/>
              </w:rPr>
            </w:pPr>
            <w:r>
              <w:rPr>
                <w:rFonts w:ascii="Arial" w:cs="Arial" w:eastAsia="Arial" w:hAnsi="Arial"/>
                <w:sz w:val="18"/>
                <w:szCs w:val="18"/>
                <w:b w:val="1"/>
                <w:bCs w:val="1"/>
                <w:color w:val="auto"/>
                <w:w w:val="89"/>
              </w:rPr>
              <w:t>11</w:t>
            </w:r>
          </w:p>
        </w:tc>
        <w:tc>
          <w:tcPr>
            <w:tcW w:w="120" w:type="dxa"/>
            <w:vAlign w:val="bottom"/>
            <w:tcBorders>
              <w:right w:val="single" w:sz="8" w:color="auto"/>
            </w:tcBorders>
          </w:tcPr>
          <w:p>
            <w:pPr>
              <w:spacing w:after="0"/>
              <w:rPr>
                <w:sz w:val="20"/>
                <w:szCs w:val="20"/>
                <w:color w:val="auto"/>
              </w:rPr>
            </w:pPr>
          </w:p>
        </w:tc>
        <w:tc>
          <w:tcPr>
            <w:tcW w:w="1082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720" w:type="dxa"/>
            <w:vAlign w:val="bottom"/>
          </w:tcPr>
          <w:p>
            <w:pPr>
              <w:ind w:left="760"/>
              <w:spacing w:after="0"/>
              <w:rPr>
                <w:sz w:val="20"/>
                <w:szCs w:val="20"/>
                <w:color w:val="auto"/>
              </w:rPr>
            </w:pPr>
            <w:r>
              <w:rPr>
                <w:rFonts w:ascii="Arial" w:cs="Arial" w:eastAsia="Arial" w:hAnsi="Arial"/>
                <w:sz w:val="18"/>
                <w:szCs w:val="18"/>
                <w:color w:val="auto"/>
              </w:rPr>
              <w:t>7.1%</w:t>
            </w:r>
          </w:p>
        </w:tc>
        <w:tc>
          <w:tcPr>
            <w:tcW w:w="560" w:type="dxa"/>
            <w:vAlign w:val="bottom"/>
          </w:tcPr>
          <w:p>
            <w:pPr>
              <w:spacing w:after="0"/>
              <w:rPr>
                <w:sz w:val="24"/>
                <w:szCs w:val="24"/>
                <w:color w:val="auto"/>
              </w:rPr>
            </w:pPr>
          </w:p>
        </w:tc>
        <w:tc>
          <w:tcPr>
            <w:tcW w:w="8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gridSpan w:val="2"/>
          </w:tcPr>
          <w:p>
            <w:pPr>
              <w:spacing w:after="0"/>
              <w:rPr>
                <w:sz w:val="24"/>
                <w:szCs w:val="24"/>
                <w:color w:val="auto"/>
              </w:rPr>
            </w:pPr>
          </w:p>
        </w:tc>
        <w:tc>
          <w:tcPr>
            <w:tcW w:w="8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0" w:type="dxa"/>
            <w:vAlign w:val="bottom"/>
            <w:tcBorders>
              <w:left w:val="single" w:sz="8" w:color="auto"/>
            </w:tcBorders>
          </w:tcPr>
          <w:p>
            <w:pPr>
              <w:ind w:left="280"/>
              <w:spacing w:after="0"/>
              <w:rPr>
                <w:sz w:val="20"/>
                <w:szCs w:val="20"/>
                <w:color w:val="auto"/>
              </w:rPr>
            </w:pPr>
            <w:r>
              <w:rPr>
                <w:rFonts w:ascii="Arial" w:cs="Arial" w:eastAsia="Arial" w:hAnsi="Arial"/>
                <w:sz w:val="18"/>
                <w:szCs w:val="18"/>
                <w:b w:val="1"/>
                <w:bCs w:val="1"/>
                <w:color w:val="auto"/>
                <w:w w:val="89"/>
              </w:rPr>
              <w:t>12</w:t>
            </w:r>
          </w:p>
        </w:tc>
        <w:tc>
          <w:tcPr>
            <w:tcW w:w="120" w:type="dxa"/>
            <w:vAlign w:val="bottom"/>
            <w:tcBorders>
              <w:right w:val="single" w:sz="8" w:color="auto"/>
            </w:tcBorders>
          </w:tcPr>
          <w:p>
            <w:pPr>
              <w:spacing w:after="0"/>
              <w:rPr>
                <w:sz w:val="20"/>
                <w:szCs w:val="20"/>
                <w:color w:val="auto"/>
              </w:rPr>
            </w:pPr>
          </w:p>
        </w:tc>
        <w:tc>
          <w:tcPr>
            <w:tcW w:w="1082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0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720" w:type="dxa"/>
            <w:vAlign w:val="bottom"/>
          </w:tcPr>
          <w:p>
            <w:pPr>
              <w:ind w:left="760"/>
              <w:spacing w:after="0"/>
              <w:rPr>
                <w:sz w:val="20"/>
                <w:szCs w:val="20"/>
                <w:color w:val="auto"/>
              </w:rPr>
            </w:pPr>
            <w:r>
              <w:rPr>
                <w:rFonts w:ascii="Arial" w:cs="Arial" w:eastAsia="Arial" w:hAnsi="Arial"/>
                <w:sz w:val="18"/>
                <w:szCs w:val="18"/>
                <w:color w:val="auto"/>
              </w:rPr>
              <w:t>EP</w:t>
            </w:r>
          </w:p>
        </w:tc>
        <w:tc>
          <w:tcPr>
            <w:tcW w:w="560" w:type="dxa"/>
            <w:vAlign w:val="bottom"/>
          </w:tcPr>
          <w:p>
            <w:pPr>
              <w:spacing w:after="0"/>
              <w:rPr>
                <w:sz w:val="24"/>
                <w:szCs w:val="24"/>
                <w:color w:val="auto"/>
              </w:rPr>
            </w:pPr>
          </w:p>
        </w:tc>
        <w:tc>
          <w:tcPr>
            <w:tcW w:w="8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 w:type="dxa"/>
            <w:vAlign w:val="bottom"/>
            <w:tcBorders>
              <w:left w:val="single" w:sz="8" w:color="auto"/>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58"/>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1 (a).</w:t>
      </w:r>
      <w:r>
        <w:rPr>
          <w:sz w:val="20"/>
          <w:szCs w:val="20"/>
          <w:color w:val="auto"/>
        </w:rPr>
        <w:tab/>
      </w:r>
      <w:r>
        <w:rPr>
          <w:rFonts w:ascii="Arial" w:cs="Arial" w:eastAsia="Arial" w:hAnsi="Arial"/>
          <w:sz w:val="16"/>
          <w:szCs w:val="16"/>
          <w:b w:val="1"/>
          <w:bCs w:val="1"/>
          <w:color w:val="auto"/>
        </w:rPr>
        <w:t xml:space="preserve">Name of Issuer: </w:t>
      </w:r>
      <w:r>
        <w:rPr>
          <w:rFonts w:ascii="Arial" w:cs="Arial" w:eastAsia="Arial" w:hAnsi="Arial"/>
          <w:sz w:val="16"/>
          <w:szCs w:val="16"/>
          <w:color w:val="auto"/>
        </w:rPr>
        <w:t>TPG Specialty Lending, Inc.</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 (b).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Fort Worth, TX 76102</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 (a).</w:t>
      </w:r>
      <w:r>
        <w:rPr>
          <w:sz w:val="20"/>
          <w:szCs w:val="20"/>
          <w:color w:val="auto"/>
        </w:rPr>
        <w:tab/>
      </w:r>
      <w:r>
        <w:rPr>
          <w:rFonts w:ascii="Arial" w:cs="Arial" w:eastAsia="Arial" w:hAnsi="Arial"/>
          <w:sz w:val="16"/>
          <w:szCs w:val="16"/>
          <w:b w:val="1"/>
          <w:bCs w:val="1"/>
          <w:color w:val="auto"/>
        </w:rPr>
        <w:t xml:space="preserve">Name of Person Filing: </w:t>
      </w:r>
      <w:r>
        <w:rPr>
          <w:rFonts w:ascii="Arial" w:cs="Arial" w:eastAsia="Arial" w:hAnsi="Arial"/>
          <w:sz w:val="16"/>
          <w:szCs w:val="16"/>
          <w:color w:val="auto"/>
        </w:rPr>
        <w:t>Oregon Public Employees' Retirement Fund</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 (b).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 Labor and Industries Building</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350 Winter Street, NE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Salem, OR 97301</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 (c).</w:t>
      </w:r>
      <w:r>
        <w:rPr>
          <w:sz w:val="20"/>
          <w:szCs w:val="20"/>
          <w:color w:val="auto"/>
        </w:rPr>
        <w:tab/>
      </w:r>
      <w:r>
        <w:rPr>
          <w:rFonts w:ascii="Arial" w:cs="Arial" w:eastAsia="Arial" w:hAnsi="Arial"/>
          <w:sz w:val="16"/>
          <w:szCs w:val="16"/>
          <w:b w:val="1"/>
          <w:bCs w:val="1"/>
          <w:color w:val="auto"/>
        </w:rPr>
        <w:t xml:space="preserve">Citizenship: </w:t>
      </w:r>
      <w:r>
        <w:rPr>
          <w:rFonts w:ascii="Arial" w:cs="Arial" w:eastAsia="Arial" w:hAnsi="Arial"/>
          <w:sz w:val="16"/>
          <w:szCs w:val="16"/>
          <w:color w:val="auto"/>
        </w:rPr>
        <w:t>USA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 (d).</w:t>
      </w:r>
      <w:r>
        <w:rPr>
          <w:sz w:val="20"/>
          <w:szCs w:val="20"/>
          <w:color w:val="auto"/>
        </w:rPr>
        <w:tab/>
      </w: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Common Stock, $.01 par value</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 (e).</w:t>
      </w:r>
      <w:r>
        <w:rPr>
          <w:sz w:val="20"/>
          <w:szCs w:val="20"/>
          <w:color w:val="auto"/>
        </w:rPr>
        <w:tab/>
      </w: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N/A</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97" w:lineRule="exact"/>
        <w:rPr>
          <w:sz w:val="20"/>
          <w:szCs w:val="20"/>
          <w:color w:val="auto"/>
        </w:rPr>
      </w:pPr>
    </w:p>
    <w:p>
      <w:pPr>
        <w:ind w:left="1160" w:hanging="571"/>
        <w:spacing w:after="0" w:line="207" w:lineRule="exact"/>
        <w:tabs>
          <w:tab w:leader="none" w:pos="11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160" w:hanging="571"/>
        <w:spacing w:after="0" w:line="207" w:lineRule="exact"/>
        <w:tabs>
          <w:tab w:leader="none" w:pos="11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160" w:hanging="571"/>
        <w:spacing w:after="0" w:line="207" w:lineRule="exact"/>
        <w:tabs>
          <w:tab w:leader="none" w:pos="11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160" w:hanging="571"/>
        <w:spacing w:after="0" w:line="207" w:lineRule="exact"/>
        <w:tabs>
          <w:tab w:leader="none" w:pos="11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160" w:hanging="571"/>
        <w:spacing w:after="0" w:line="207" w:lineRule="exact"/>
        <w:tabs>
          <w:tab w:leader="none" w:pos="11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25" w:lineRule="exact"/>
        <w:rPr>
          <w:rFonts w:ascii="Arial" w:cs="Arial" w:eastAsia="Arial" w:hAnsi="Arial"/>
          <w:sz w:val="18"/>
          <w:szCs w:val="18"/>
          <w:color w:val="auto"/>
        </w:rPr>
      </w:pPr>
    </w:p>
    <w:p>
      <w:pPr>
        <w:ind w:left="1160" w:hanging="571"/>
        <w:spacing w:after="0" w:line="207" w:lineRule="exact"/>
        <w:tabs>
          <w:tab w:leader="none" w:pos="11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160" w:hanging="571"/>
        <w:spacing w:after="0" w:line="207" w:lineRule="exact"/>
        <w:tabs>
          <w:tab w:leader="none" w:pos="11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160" w:hanging="571"/>
        <w:spacing w:after="0" w:line="207" w:lineRule="exact"/>
        <w:tabs>
          <w:tab w:leader="none" w:pos="11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720" w:hanging="1131"/>
        <w:spacing w:after="0" w:line="223" w:lineRule="exact"/>
        <w:tabs>
          <w:tab w:leader="none" w:pos="1153"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03" w:lineRule="exact"/>
        <w:rPr>
          <w:rFonts w:ascii="Arial" w:cs="Arial" w:eastAsia="Arial" w:hAnsi="Arial"/>
          <w:sz w:val="18"/>
          <w:szCs w:val="18"/>
          <w:color w:val="auto"/>
        </w:rPr>
      </w:pPr>
    </w:p>
    <w:p>
      <w:pPr>
        <w:ind w:left="1160" w:hanging="571"/>
        <w:spacing w:after="0" w:line="207" w:lineRule="exact"/>
        <w:tabs>
          <w:tab w:leader="none" w:pos="11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§240.13d-1(b)(1)(ii)(J);</w:t>
      </w:r>
    </w:p>
    <w:p>
      <w:pPr>
        <w:spacing w:after="0" w:line="225" w:lineRule="exact"/>
        <w:rPr>
          <w:rFonts w:ascii="Arial" w:cs="Arial" w:eastAsia="Arial" w:hAnsi="Arial"/>
          <w:sz w:val="18"/>
          <w:szCs w:val="18"/>
          <w:color w:val="auto"/>
        </w:rPr>
      </w:pPr>
    </w:p>
    <w:p>
      <w:pPr>
        <w:ind w:left="1160" w:hanging="571"/>
        <w:spacing w:after="0" w:line="207" w:lineRule="exact"/>
        <w:tabs>
          <w:tab w:leader="none" w:pos="116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§240.13d-1(b)(1)(ii)(K).</w:t>
      </w: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filing for a non-U.S. institution in accordance with §240.13d-1(b)(1)(ii)(J), please specify the type of institution.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Amount beneficially owned</w:t>
      </w:r>
      <w:r>
        <w:rPr>
          <w:rFonts w:ascii="Arial" w:cs="Arial" w:eastAsia="Arial" w:hAnsi="Arial"/>
          <w:sz w:val="18"/>
          <w:szCs w:val="18"/>
          <w:color w:val="auto"/>
        </w:rPr>
        <w:t>: 2,945,342 shares</w:t>
      </w:r>
    </w:p>
    <w:p>
      <w:pPr>
        <w:spacing w:after="0" w:line="225" w:lineRule="exact"/>
        <w:rPr>
          <w:rFonts w:ascii="Arial" w:cs="Arial" w:eastAsia="Arial" w:hAnsi="Arial"/>
          <w:sz w:val="18"/>
          <w:szCs w:val="18"/>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Percent of class</w:t>
      </w:r>
      <w:r>
        <w:rPr>
          <w:rFonts w:ascii="Arial" w:cs="Arial" w:eastAsia="Arial" w:hAnsi="Arial"/>
          <w:sz w:val="18"/>
          <w:szCs w:val="18"/>
          <w:color w:val="auto"/>
        </w:rPr>
        <w:t>: 7.1%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ind w:left="340"/>
              <w:spacing w:after="0"/>
              <w:rPr>
                <w:sz w:val="20"/>
                <w:szCs w:val="20"/>
                <w:color w:val="auto"/>
              </w:rPr>
            </w:pPr>
            <w:r>
              <w:rPr>
                <w:rFonts w:ascii="Arial" w:cs="Arial" w:eastAsia="Arial" w:hAnsi="Arial"/>
                <w:sz w:val="18"/>
                <w:szCs w:val="18"/>
                <w:color w:val="auto"/>
              </w:rPr>
              <w:t>(c)</w:t>
            </w:r>
          </w:p>
        </w:tc>
        <w:tc>
          <w:tcPr>
            <w:tcW w:w="4680" w:type="dxa"/>
            <w:vAlign w:val="bottom"/>
          </w:tcPr>
          <w:p>
            <w:pPr>
              <w:ind w:left="180"/>
              <w:spacing w:after="0"/>
              <w:rPr>
                <w:sz w:val="20"/>
                <w:szCs w:val="20"/>
                <w:color w:val="auto"/>
              </w:rPr>
            </w:pPr>
            <w:r>
              <w:rPr>
                <w:rFonts w:ascii="Arial" w:cs="Arial" w:eastAsia="Arial" w:hAnsi="Arial"/>
                <w:sz w:val="18"/>
                <w:szCs w:val="18"/>
                <w:b w:val="1"/>
                <w:bCs w:val="1"/>
                <w:color w:val="auto"/>
              </w:rPr>
              <w:t>Number of shares as to which such person has</w:t>
            </w:r>
            <w:r>
              <w:rPr>
                <w:rFonts w:ascii="Arial" w:cs="Arial" w:eastAsia="Arial" w:hAnsi="Arial"/>
                <w:sz w:val="18"/>
                <w:szCs w:val="18"/>
                <w:color w:val="auto"/>
              </w:rPr>
              <w:t>:</w:t>
            </w:r>
          </w:p>
        </w:tc>
        <w:tc>
          <w:tcPr>
            <w:tcW w:w="5940" w:type="dxa"/>
            <w:vAlign w:val="bottom"/>
          </w:tcPr>
          <w:p>
            <w:pPr>
              <w:spacing w:after="0"/>
              <w:rPr>
                <w:sz w:val="20"/>
                <w:szCs w:val="20"/>
                <w:color w:val="auto"/>
              </w:rPr>
            </w:pPr>
          </w:p>
        </w:tc>
      </w:tr>
      <w:tr>
        <w:trPr>
          <w:trHeight w:val="418"/>
        </w:trPr>
        <w:tc>
          <w:tcPr>
            <w:tcW w:w="800" w:type="dxa"/>
            <w:vAlign w:val="bottom"/>
          </w:tcPr>
          <w:p>
            <w:pPr>
              <w:spacing w:after="0"/>
              <w:rPr>
                <w:sz w:val="24"/>
                <w:szCs w:val="24"/>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(i) Sole power to vote or to direct the vote</w:t>
            </w:r>
          </w:p>
        </w:tc>
        <w:tc>
          <w:tcPr>
            <w:tcW w:w="5940" w:type="dxa"/>
            <w:vAlign w:val="bottom"/>
          </w:tcPr>
          <w:p>
            <w:pPr>
              <w:ind w:left="40"/>
              <w:spacing w:after="0"/>
              <w:rPr>
                <w:sz w:val="20"/>
                <w:szCs w:val="20"/>
                <w:color w:val="auto"/>
              </w:rPr>
            </w:pPr>
            <w:r>
              <w:rPr>
                <w:rFonts w:ascii="Arial" w:cs="Arial" w:eastAsia="Arial" w:hAnsi="Arial"/>
                <w:sz w:val="18"/>
                <w:szCs w:val="18"/>
                <w:color w:val="auto"/>
              </w:rPr>
              <w:t>2,945,342 shares</w:t>
            </w:r>
          </w:p>
        </w:tc>
      </w:tr>
      <w:tr>
        <w:trPr>
          <w:trHeight w:val="216"/>
        </w:trPr>
        <w:tc>
          <w:tcPr>
            <w:tcW w:w="80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(ii) Shared power to vote or to direct the vote</w:t>
            </w:r>
          </w:p>
        </w:tc>
        <w:tc>
          <w:tcPr>
            <w:tcW w:w="5940" w:type="dxa"/>
            <w:vAlign w:val="bottom"/>
          </w:tcPr>
          <w:p>
            <w:pPr>
              <w:ind w:left="40"/>
              <w:spacing w:after="0"/>
              <w:rPr>
                <w:sz w:val="20"/>
                <w:szCs w:val="20"/>
                <w:color w:val="auto"/>
              </w:rPr>
            </w:pPr>
            <w:r>
              <w:rPr>
                <w:rFonts w:ascii="Arial" w:cs="Arial" w:eastAsia="Arial" w:hAnsi="Arial"/>
                <w:sz w:val="18"/>
                <w:szCs w:val="18"/>
                <w:color w:val="auto"/>
              </w:rPr>
              <w:t>0 shares</w:t>
            </w:r>
          </w:p>
        </w:tc>
      </w:tr>
      <w:tr>
        <w:trPr>
          <w:trHeight w:val="216"/>
        </w:trPr>
        <w:tc>
          <w:tcPr>
            <w:tcW w:w="800" w:type="dxa"/>
            <w:vAlign w:val="bottom"/>
          </w:tcPr>
          <w:p>
            <w:pPr>
              <w:spacing w:after="0"/>
              <w:rPr>
                <w:sz w:val="18"/>
                <w:szCs w:val="18"/>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(iii) Sole power to dispose or to direct the disposition of</w:t>
            </w:r>
          </w:p>
        </w:tc>
        <w:tc>
          <w:tcPr>
            <w:tcW w:w="5940" w:type="dxa"/>
            <w:vAlign w:val="bottom"/>
          </w:tcPr>
          <w:p>
            <w:pPr>
              <w:ind w:left="40"/>
              <w:spacing w:after="0"/>
              <w:rPr>
                <w:sz w:val="20"/>
                <w:szCs w:val="20"/>
                <w:color w:val="auto"/>
              </w:rPr>
            </w:pPr>
            <w:r>
              <w:rPr>
                <w:rFonts w:ascii="Arial" w:cs="Arial" w:eastAsia="Arial" w:hAnsi="Arial"/>
                <w:sz w:val="18"/>
                <w:szCs w:val="18"/>
                <w:color w:val="auto"/>
              </w:rPr>
              <w:t>2,945,342 shares</w:t>
            </w:r>
          </w:p>
        </w:tc>
      </w:tr>
      <w:tr>
        <w:trPr>
          <w:trHeight w:val="230"/>
        </w:trPr>
        <w:tc>
          <w:tcPr>
            <w:tcW w:w="800" w:type="dxa"/>
            <w:vAlign w:val="bottom"/>
          </w:tcPr>
          <w:p>
            <w:pPr>
              <w:spacing w:after="0"/>
              <w:rPr>
                <w:sz w:val="20"/>
                <w:szCs w:val="20"/>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w w:val="97"/>
              </w:rPr>
              <w:t>(iv) Shared power to dispose or to direct the disposition of</w:t>
            </w:r>
          </w:p>
        </w:tc>
        <w:tc>
          <w:tcPr>
            <w:tcW w:w="5940" w:type="dxa"/>
            <w:vAlign w:val="bottom"/>
          </w:tcPr>
          <w:p>
            <w:pPr>
              <w:ind w:left="40"/>
              <w:spacing w:after="0"/>
              <w:rPr>
                <w:sz w:val="20"/>
                <w:szCs w:val="20"/>
                <w:color w:val="auto"/>
              </w:rPr>
            </w:pPr>
            <w:r>
              <w:rPr>
                <w:rFonts w:ascii="Arial" w:cs="Arial" w:eastAsia="Arial" w:hAnsi="Arial"/>
                <w:sz w:val="18"/>
                <w:szCs w:val="18"/>
                <w:color w:val="auto"/>
              </w:rPr>
              <w:t>0 shares</w:t>
            </w: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680" w:type="dxa"/>
            <w:vAlign w:val="bottom"/>
          </w:tcPr>
          <w:p>
            <w:pPr>
              <w:ind w:left="180"/>
              <w:spacing w:after="0"/>
              <w:rPr>
                <w:sz w:val="20"/>
                <w:szCs w:val="20"/>
                <w:color w:val="auto"/>
              </w:rPr>
            </w:pPr>
            <w:r>
              <w:rPr>
                <w:rFonts w:ascii="Arial" w:cs="Arial" w:eastAsia="Arial" w:hAnsi="Arial"/>
                <w:sz w:val="18"/>
                <w:szCs w:val="18"/>
                <w:b w:val="1"/>
                <w:bCs w:val="1"/>
                <w:color w:val="auto"/>
              </w:rPr>
              <w:t>Ownership of Five Percent or Less of a Class</w:t>
            </w:r>
          </w:p>
        </w:tc>
        <w:tc>
          <w:tcPr>
            <w:tcW w:w="5940" w:type="dxa"/>
            <w:vAlign w:val="bottom"/>
          </w:tcPr>
          <w:p>
            <w:pPr>
              <w:spacing w:after="0"/>
              <w:rPr>
                <w:sz w:val="24"/>
                <w:szCs w:val="24"/>
                <w:color w:val="auto"/>
              </w:rPr>
            </w:pPr>
          </w:p>
        </w:tc>
      </w:tr>
      <w:tr>
        <w:trPr>
          <w:trHeight w:val="418"/>
        </w:trPr>
        <w:tc>
          <w:tcPr>
            <w:tcW w:w="800" w:type="dxa"/>
            <w:vAlign w:val="bottom"/>
          </w:tcPr>
          <w:p>
            <w:pPr>
              <w:spacing w:after="0"/>
              <w:rPr>
                <w:sz w:val="24"/>
                <w:szCs w:val="24"/>
                <w:color w:val="auto"/>
              </w:rPr>
            </w:pP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 more than</w:t>
            </w:r>
          </w:p>
        </w:tc>
      </w:tr>
      <w:tr>
        <w:trPr>
          <w:trHeight w:val="230"/>
        </w:trPr>
        <w:tc>
          <w:tcPr>
            <w:tcW w:w="800" w:type="dxa"/>
            <w:vAlign w:val="bottom"/>
          </w:tcPr>
          <w:p>
            <w:pPr>
              <w:spacing w:after="0"/>
              <w:rPr>
                <w:sz w:val="20"/>
                <w:szCs w:val="20"/>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w w:val="93"/>
              </w:rPr>
              <w:t>five percent of the class of securities, check the following [ ].</w:t>
            </w:r>
          </w:p>
        </w:tc>
        <w:tc>
          <w:tcPr>
            <w:tcW w:w="594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4680" w:type="dxa"/>
            <w:vAlign w:val="bottom"/>
          </w:tcPr>
          <w:p>
            <w:pPr>
              <w:ind w:left="500"/>
              <w:spacing w:after="0"/>
              <w:rPr>
                <w:sz w:val="20"/>
                <w:szCs w:val="20"/>
                <w:color w:val="auto"/>
              </w:rPr>
            </w:pPr>
            <w:r>
              <w:rPr>
                <w:rFonts w:ascii="Arial" w:cs="Arial" w:eastAsia="Arial" w:hAnsi="Arial"/>
                <w:sz w:val="18"/>
                <w:szCs w:val="18"/>
                <w:color w:val="auto"/>
              </w:rPr>
              <w:t>Not applicable.</w:t>
            </w:r>
          </w:p>
        </w:tc>
        <w:tc>
          <w:tcPr>
            <w:tcW w:w="594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620" w:type="dxa"/>
            <w:vAlign w:val="bottom"/>
            <w:gridSpan w:val="2"/>
          </w:tcPr>
          <w:p>
            <w:pPr>
              <w:ind w:left="18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32"/>
        </w:trPr>
        <w:tc>
          <w:tcPr>
            <w:tcW w:w="800" w:type="dxa"/>
            <w:vAlign w:val="bottom"/>
          </w:tcPr>
          <w:p>
            <w:pPr>
              <w:spacing w:after="0"/>
              <w:rPr>
                <w:sz w:val="24"/>
                <w:szCs w:val="24"/>
                <w:color w:val="auto"/>
              </w:rPr>
            </w:pPr>
          </w:p>
        </w:tc>
        <w:tc>
          <w:tcPr>
            <w:tcW w:w="4680" w:type="dxa"/>
            <w:vAlign w:val="bottom"/>
          </w:tcPr>
          <w:p>
            <w:pPr>
              <w:ind w:left="500"/>
              <w:spacing w:after="0"/>
              <w:rPr>
                <w:sz w:val="20"/>
                <w:szCs w:val="20"/>
                <w:color w:val="auto"/>
              </w:rPr>
            </w:pPr>
            <w:r>
              <w:rPr>
                <w:rFonts w:ascii="Arial" w:cs="Arial" w:eastAsia="Arial" w:hAnsi="Arial"/>
                <w:sz w:val="18"/>
                <w:szCs w:val="18"/>
                <w:color w:val="auto"/>
              </w:rPr>
              <w:t>Not applicable.</w:t>
            </w:r>
          </w:p>
        </w:tc>
        <w:tc>
          <w:tcPr>
            <w:tcW w:w="5940" w:type="dxa"/>
            <w:vAlign w:val="bottom"/>
          </w:tcPr>
          <w:p>
            <w:pPr>
              <w:spacing w:after="0"/>
              <w:rPr>
                <w:sz w:val="24"/>
                <w:szCs w:val="24"/>
                <w:color w:val="auto"/>
              </w:rPr>
            </w:pPr>
          </w:p>
        </w:tc>
      </w:tr>
      <w:tr>
        <w:trPr>
          <w:trHeight w:val="414"/>
        </w:trPr>
        <w:tc>
          <w:tcPr>
            <w:tcW w:w="8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620" w:type="dxa"/>
            <w:vAlign w:val="bottom"/>
            <w:gridSpan w:val="2"/>
          </w:tcPr>
          <w:p>
            <w:pPr>
              <w:ind w:left="180"/>
              <w:spacing w:after="0"/>
              <w:rPr>
                <w:sz w:val="20"/>
                <w:szCs w:val="20"/>
                <w:color w:val="auto"/>
              </w:rPr>
            </w:pPr>
            <w:r>
              <w:rPr>
                <w:rFonts w:ascii="Arial" w:cs="Arial" w:eastAsia="Arial" w:hAnsi="Arial"/>
                <w:sz w:val="18"/>
                <w:szCs w:val="18"/>
                <w:b w:val="1"/>
                <w:bCs w:val="1"/>
                <w:color w:val="auto"/>
                <w:w w:val="91"/>
              </w:rPr>
              <w:t>Identification and Classification of the Subsidiary Which Acquired the Security Being Reported on by the Parent Holding Company or</w:t>
            </w:r>
          </w:p>
        </w:tc>
      </w:tr>
      <w:tr>
        <w:trPr>
          <w:trHeight w:val="234"/>
        </w:trPr>
        <w:tc>
          <w:tcPr>
            <w:tcW w:w="800" w:type="dxa"/>
            <w:vAlign w:val="bottom"/>
          </w:tcPr>
          <w:p>
            <w:pPr>
              <w:spacing w:after="0"/>
              <w:rPr>
                <w:sz w:val="20"/>
                <w:szCs w:val="20"/>
                <w:color w:val="auto"/>
              </w:rPr>
            </w:pPr>
          </w:p>
        </w:tc>
        <w:tc>
          <w:tcPr>
            <w:tcW w:w="4680" w:type="dxa"/>
            <w:vAlign w:val="bottom"/>
          </w:tcPr>
          <w:p>
            <w:pPr>
              <w:ind w:left="180"/>
              <w:spacing w:after="0"/>
              <w:rPr>
                <w:sz w:val="20"/>
                <w:szCs w:val="20"/>
                <w:color w:val="auto"/>
              </w:rPr>
            </w:pPr>
            <w:r>
              <w:rPr>
                <w:rFonts w:ascii="Arial" w:cs="Arial" w:eastAsia="Arial" w:hAnsi="Arial"/>
                <w:sz w:val="18"/>
                <w:szCs w:val="18"/>
                <w:b w:val="1"/>
                <w:bCs w:val="1"/>
                <w:color w:val="auto"/>
              </w:rPr>
              <w:t>Control Person</w:t>
            </w:r>
          </w:p>
        </w:tc>
        <w:tc>
          <w:tcPr>
            <w:tcW w:w="594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4680" w:type="dxa"/>
            <w:vAlign w:val="bottom"/>
          </w:tcPr>
          <w:p>
            <w:pPr>
              <w:ind w:left="500"/>
              <w:spacing w:after="0"/>
              <w:rPr>
                <w:sz w:val="20"/>
                <w:szCs w:val="20"/>
                <w:color w:val="auto"/>
              </w:rPr>
            </w:pPr>
            <w:r>
              <w:rPr>
                <w:rFonts w:ascii="Arial" w:cs="Arial" w:eastAsia="Arial" w:hAnsi="Arial"/>
                <w:sz w:val="18"/>
                <w:szCs w:val="18"/>
                <w:color w:val="auto"/>
              </w:rPr>
              <w:t>Not applicable.</w:t>
            </w:r>
          </w:p>
        </w:tc>
        <w:tc>
          <w:tcPr>
            <w:tcW w:w="594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680" w:type="dxa"/>
            <w:vAlign w:val="bottom"/>
          </w:tcPr>
          <w:p>
            <w:pPr>
              <w:ind w:left="180"/>
              <w:spacing w:after="0"/>
              <w:rPr>
                <w:sz w:val="20"/>
                <w:szCs w:val="20"/>
                <w:color w:val="auto"/>
              </w:rPr>
            </w:pPr>
            <w:r>
              <w:rPr>
                <w:rFonts w:ascii="Arial" w:cs="Arial" w:eastAsia="Arial" w:hAnsi="Arial"/>
                <w:sz w:val="18"/>
                <w:szCs w:val="18"/>
                <w:b w:val="1"/>
                <w:bCs w:val="1"/>
                <w:color w:val="auto"/>
                <w:w w:val="91"/>
              </w:rPr>
              <w:t>Identification and Classification of Members of the Group</w:t>
            </w:r>
          </w:p>
        </w:tc>
        <w:tc>
          <w:tcPr>
            <w:tcW w:w="5940" w:type="dxa"/>
            <w:vAlign w:val="bottom"/>
          </w:tcPr>
          <w:p>
            <w:pPr>
              <w:spacing w:after="0"/>
              <w:rPr>
                <w:sz w:val="24"/>
                <w:szCs w:val="24"/>
                <w:color w:val="auto"/>
              </w:rPr>
            </w:pPr>
          </w:p>
        </w:tc>
      </w:tr>
      <w:tr>
        <w:trPr>
          <w:trHeight w:val="432"/>
        </w:trPr>
        <w:tc>
          <w:tcPr>
            <w:tcW w:w="800" w:type="dxa"/>
            <w:vAlign w:val="bottom"/>
          </w:tcPr>
          <w:p>
            <w:pPr>
              <w:spacing w:after="0"/>
              <w:rPr>
                <w:sz w:val="24"/>
                <w:szCs w:val="24"/>
                <w:color w:val="auto"/>
              </w:rPr>
            </w:pPr>
          </w:p>
        </w:tc>
        <w:tc>
          <w:tcPr>
            <w:tcW w:w="4680" w:type="dxa"/>
            <w:vAlign w:val="bottom"/>
          </w:tcPr>
          <w:p>
            <w:pPr>
              <w:ind w:left="500"/>
              <w:spacing w:after="0"/>
              <w:rPr>
                <w:sz w:val="20"/>
                <w:szCs w:val="20"/>
                <w:color w:val="auto"/>
              </w:rPr>
            </w:pPr>
            <w:r>
              <w:rPr>
                <w:rFonts w:ascii="Arial" w:cs="Arial" w:eastAsia="Arial" w:hAnsi="Arial"/>
                <w:sz w:val="18"/>
                <w:szCs w:val="18"/>
                <w:color w:val="auto"/>
              </w:rPr>
              <w:t>Not applicable.</w:t>
            </w:r>
          </w:p>
        </w:tc>
        <w:tc>
          <w:tcPr>
            <w:tcW w:w="594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4680" w:type="dxa"/>
            <w:vAlign w:val="bottom"/>
          </w:tcPr>
          <w:p>
            <w:pPr>
              <w:ind w:left="180"/>
              <w:spacing w:after="0"/>
              <w:rPr>
                <w:sz w:val="20"/>
                <w:szCs w:val="20"/>
                <w:color w:val="auto"/>
              </w:rPr>
            </w:pPr>
            <w:r>
              <w:rPr>
                <w:rFonts w:ascii="Arial" w:cs="Arial" w:eastAsia="Arial" w:hAnsi="Arial"/>
                <w:sz w:val="18"/>
                <w:szCs w:val="18"/>
                <w:b w:val="1"/>
                <w:bCs w:val="1"/>
                <w:color w:val="auto"/>
              </w:rPr>
              <w:t>Notice of Dissolution of Group</w:t>
            </w:r>
          </w:p>
        </w:tc>
        <w:tc>
          <w:tcPr>
            <w:tcW w:w="5940" w:type="dxa"/>
            <w:vAlign w:val="bottom"/>
          </w:tcPr>
          <w:p>
            <w:pPr>
              <w:spacing w:after="0"/>
              <w:rPr>
                <w:sz w:val="24"/>
                <w:szCs w:val="24"/>
                <w:color w:val="auto"/>
              </w:rPr>
            </w:pPr>
          </w:p>
        </w:tc>
      </w:tr>
      <w:tr>
        <w:trPr>
          <w:trHeight w:val="432"/>
        </w:trPr>
        <w:tc>
          <w:tcPr>
            <w:tcW w:w="800" w:type="dxa"/>
            <w:vAlign w:val="bottom"/>
          </w:tcPr>
          <w:p>
            <w:pPr>
              <w:spacing w:after="0"/>
              <w:rPr>
                <w:sz w:val="24"/>
                <w:szCs w:val="24"/>
                <w:color w:val="auto"/>
              </w:rPr>
            </w:pPr>
          </w:p>
        </w:tc>
        <w:tc>
          <w:tcPr>
            <w:tcW w:w="4680" w:type="dxa"/>
            <w:vAlign w:val="bottom"/>
          </w:tcPr>
          <w:p>
            <w:pPr>
              <w:ind w:left="500"/>
              <w:spacing w:after="0"/>
              <w:rPr>
                <w:sz w:val="20"/>
                <w:szCs w:val="20"/>
                <w:color w:val="auto"/>
              </w:rPr>
            </w:pPr>
            <w:r>
              <w:rPr>
                <w:rFonts w:ascii="Arial" w:cs="Arial" w:eastAsia="Arial" w:hAnsi="Arial"/>
                <w:sz w:val="18"/>
                <w:szCs w:val="18"/>
                <w:color w:val="auto"/>
              </w:rPr>
              <w:t>Not applicable.</w:t>
            </w:r>
          </w:p>
        </w:tc>
        <w:tc>
          <w:tcPr>
            <w:tcW w:w="5940" w:type="dxa"/>
            <w:vAlign w:val="bottom"/>
          </w:tcPr>
          <w:p>
            <w:pPr>
              <w:spacing w:after="0"/>
              <w:rPr>
                <w:sz w:val="24"/>
                <w:szCs w:val="24"/>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4680" w:type="dxa"/>
            <w:vAlign w:val="bottom"/>
          </w:tcPr>
          <w:p>
            <w:pPr>
              <w:ind w:left="180"/>
              <w:spacing w:after="0"/>
              <w:rPr>
                <w:sz w:val="20"/>
                <w:szCs w:val="20"/>
                <w:color w:val="auto"/>
              </w:rPr>
            </w:pPr>
            <w:r>
              <w:rPr>
                <w:rFonts w:ascii="Arial" w:cs="Arial" w:eastAsia="Arial" w:hAnsi="Arial"/>
                <w:sz w:val="18"/>
                <w:szCs w:val="18"/>
                <w:b w:val="1"/>
                <w:bCs w:val="1"/>
                <w:color w:val="auto"/>
              </w:rPr>
              <w:t>Certification</w:t>
            </w:r>
          </w:p>
        </w:tc>
        <w:tc>
          <w:tcPr>
            <w:tcW w:w="5940" w:type="dxa"/>
            <w:vAlign w:val="bottom"/>
          </w:tcPr>
          <w:p>
            <w:pPr>
              <w:spacing w:after="0"/>
              <w:rPr>
                <w:sz w:val="24"/>
                <w:szCs w:val="24"/>
                <w:color w:val="auto"/>
              </w:rPr>
            </w:pPr>
          </w:p>
        </w:tc>
      </w:tr>
      <w:tr>
        <w:trPr>
          <w:trHeight w:val="418"/>
        </w:trPr>
        <w:tc>
          <w:tcPr>
            <w:tcW w:w="800" w:type="dxa"/>
            <w:vAlign w:val="bottom"/>
          </w:tcPr>
          <w:p>
            <w:pPr>
              <w:spacing w:after="0"/>
              <w:rPr>
                <w:sz w:val="24"/>
                <w:szCs w:val="24"/>
                <w:color w:val="auto"/>
              </w:rPr>
            </w:pP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w w:val="95"/>
              </w:rPr>
              <w:t>By signing below, I certify that, to the best of my knowledge and belief, the securities referred to above were acquired and are held in the</w:t>
            </w:r>
          </w:p>
        </w:tc>
      </w:tr>
      <w:tr>
        <w:trPr>
          <w:trHeight w:val="216"/>
        </w:trPr>
        <w:tc>
          <w:tcPr>
            <w:tcW w:w="800" w:type="dxa"/>
            <w:vAlign w:val="bottom"/>
          </w:tcPr>
          <w:p>
            <w:pPr>
              <w:spacing w:after="0"/>
              <w:rPr>
                <w:sz w:val="18"/>
                <w:szCs w:val="18"/>
                <w:color w:val="auto"/>
              </w:rPr>
            </w:pP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w w:val="91"/>
              </w:rPr>
              <w:t>ordinary course of business and were not acquired and were not held for the purpose of or with the effect of changing or influencing the control</w:t>
            </w:r>
          </w:p>
        </w:tc>
      </w:tr>
      <w:tr>
        <w:trPr>
          <w:trHeight w:val="216"/>
        </w:trPr>
        <w:tc>
          <w:tcPr>
            <w:tcW w:w="800" w:type="dxa"/>
            <w:vAlign w:val="bottom"/>
          </w:tcPr>
          <w:p>
            <w:pPr>
              <w:spacing w:after="0"/>
              <w:rPr>
                <w:sz w:val="18"/>
                <w:szCs w:val="18"/>
                <w:color w:val="auto"/>
              </w:rPr>
            </w:pPr>
          </w:p>
        </w:tc>
        <w:tc>
          <w:tcPr>
            <w:tcW w:w="10620" w:type="dxa"/>
            <w:vAlign w:val="bottom"/>
            <w:gridSpan w:val="2"/>
          </w:tcPr>
          <w:p>
            <w:pPr>
              <w:ind w:left="180"/>
              <w:spacing w:after="0"/>
              <w:rPr>
                <w:sz w:val="20"/>
                <w:szCs w:val="20"/>
                <w:color w:val="auto"/>
              </w:rPr>
            </w:pPr>
            <w:r>
              <w:rPr>
                <w:rFonts w:ascii="Arial" w:cs="Arial" w:eastAsia="Arial" w:hAnsi="Arial"/>
                <w:sz w:val="18"/>
                <w:szCs w:val="18"/>
                <w:color w:val="auto"/>
                <w:w w:val="90"/>
              </w:rPr>
              <w:t>of the issuer of the securities and were not acquired and are not held in connection with or as a participant in any transaction having that purpose</w:t>
            </w:r>
          </w:p>
        </w:tc>
      </w:tr>
      <w:tr>
        <w:trPr>
          <w:trHeight w:val="230"/>
        </w:trPr>
        <w:tc>
          <w:tcPr>
            <w:tcW w:w="800" w:type="dxa"/>
            <w:vAlign w:val="bottom"/>
          </w:tcPr>
          <w:p>
            <w:pPr>
              <w:spacing w:after="0"/>
              <w:rPr>
                <w:sz w:val="20"/>
                <w:szCs w:val="20"/>
                <w:color w:val="auto"/>
              </w:rPr>
            </w:pPr>
          </w:p>
        </w:tc>
        <w:tc>
          <w:tcPr>
            <w:tcW w:w="4680" w:type="dxa"/>
            <w:vAlign w:val="bottom"/>
          </w:tcPr>
          <w:p>
            <w:pPr>
              <w:ind w:left="180"/>
              <w:spacing w:after="0"/>
              <w:rPr>
                <w:sz w:val="20"/>
                <w:szCs w:val="20"/>
                <w:color w:val="auto"/>
              </w:rPr>
            </w:pPr>
            <w:r>
              <w:rPr>
                <w:rFonts w:ascii="Arial" w:cs="Arial" w:eastAsia="Arial" w:hAnsi="Arial"/>
                <w:sz w:val="18"/>
                <w:szCs w:val="18"/>
                <w:color w:val="auto"/>
              </w:rPr>
              <w:t>or effect.</w:t>
            </w:r>
          </w:p>
        </w:tc>
        <w:tc>
          <w:tcPr>
            <w:tcW w:w="5940" w:type="dxa"/>
            <w:vAlign w:val="bottom"/>
          </w:tcPr>
          <w:p>
            <w:pPr>
              <w:spacing w:after="0"/>
              <w:rPr>
                <w:sz w:val="20"/>
                <w:szCs w:val="20"/>
                <w:color w:val="auto"/>
              </w:rPr>
            </w:pPr>
          </w:p>
        </w:tc>
      </w:tr>
      <w:tr>
        <w:trPr>
          <w:trHeight w:val="648"/>
        </w:trPr>
        <w:tc>
          <w:tcPr>
            <w:tcW w:w="8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17,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John D. Skjervem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D. Skjervem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Investment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2019-12-08T00:46:37Z</dcterms:created>
  <dcterms:modified xsi:type="dcterms:W3CDTF">2019-12-08T00:46:37Z</dcterms:modified>
</cp:coreProperties>
</file>