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right="24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-3980815</wp:posOffset>
            </wp:positionV>
            <wp:extent cx="6431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-3535045</wp:posOffset>
            </wp:positionV>
            <wp:extent cx="6431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-2951480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-2505710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-2059940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-584835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306705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180"/>
          </w:cols>
          <w:pgMar w:left="240" w:top="230" w:right="479" w:bottom="86"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321310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24,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are pleased to invite you to attend a Special Meeting of Stockholders of TPG Specialty Lending, Inc. to be held on October 8, 2018, at 9:30 a.m., local time, at the offices of Cleary Gottlieb Steen &amp; Hamilton LLP, 450 Park Ave, 28th floor, New York, NY 10022.</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pages include a formal notice of the meeting and our proxy statement. The Notice of Internet Availability of Proxy Materials you received in the mail and this proxy statement describe the matter on the agenda for the meeting.</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On March 23, 2018, an amendment to the Investment Company Act of 1940, as amended (the “1940 Act”), was signed into law, which permits a business development company, or “BDC”, like us to take actions to increase the amount of indebtedness and other senior securities that we may issue. For the reasons explained in the accompanying proxy statement, we believe this is a positive development and, accordingly, we are seeking your approval to take advantage of this development at the earliest possible time.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At the meeting, you will be asked to consider and vote upon a proposal to allow the Company to increase leverage by approving the application to the Company of a minimum asset coverage ratio of 150%, pursuant to Section 61(a)(2) of the 1940 Act, to become effective the date after the Special Meeting, which would permit the Company to double the maximum amount of leverage that it is currently permitted to incur.</w:t>
      </w:r>
    </w:p>
    <w:p>
      <w:pPr>
        <w:spacing w:after="0" w:line="166"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5715</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24, 2018</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Important Notice Regarding the Availability of Proxy Material for the Special Meeting of Stockholders to Be Held on October 8, 2018.</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proxy statement is available online at www.proxyvote.com.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NOTICE IS HEREBY GIVEN that a Special Meeting of Stockholders of TPG Specialty Lending, Inc. will be held at the offices of Cleary Gottlieb Steen &amp; Hamilton LLP, 450 Park Ave, 28th floor, New York, NY 10022 on October 8, 2018, at 9:30 a.m., local time. The Special Meeting of Stockholders is being held for the following purpose:</w:t>
      </w:r>
    </w:p>
    <w:p>
      <w:pPr>
        <w:spacing w:after="0" w:line="73" w:lineRule="exact"/>
        <w:rPr>
          <w:sz w:val="20"/>
          <w:szCs w:val="20"/>
          <w:color w:val="auto"/>
        </w:rPr>
      </w:pPr>
    </w:p>
    <w:p>
      <w:pPr>
        <w:ind w:left="640" w:right="120" w:firstLine="428"/>
        <w:spacing w:after="0" w:line="259"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upon a proposal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pacing w:after="0" w:line="187"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Only stockholders of record at the close of business on August 21, 2018, are entitled to notice of and to vote at the Special Meeting of Stockholders or any postponement or adjournment thereof.</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On August 1, 2018, the Company’s Board of Directors, including the “required majority” thereof (as defined in Section 57(o) of the Investment Company Act of 1940, as amended (the “1940 Act”)), approved the application of the minimum asset coverage ratio of 150% to the Company. As a result, regardless of the outcome of the proposal, the Company will be subject to the minimum asset coverage ratio of 150% for purposes of the 1940 Act leverage limitation as of August 1, 2019. In order to provide the Company with maximum leverage flexibility at the earliest possible date, the Board also authorized the Company to seek the approval of its stockholders so that the Company may increase its leverage limitation under the 1940 Act sooner than August 1, 2019. If the proposal is approved by the stockholders, the authorization will be effective the date after the Special Meeting. If the proposal is not approved by the stockholders, the Company will continue to operate within the 200% minimum asset coverage ratio until the earlier of</w:t>
      </w:r>
    </w:p>
    <w:p>
      <w:pPr>
        <w:spacing w:after="0" w:line="3" w:lineRule="exact"/>
        <w:rPr>
          <w:sz w:val="20"/>
          <w:szCs w:val="20"/>
          <w:color w:val="auto"/>
        </w:rPr>
      </w:pPr>
    </w:p>
    <w:p>
      <w:pPr>
        <w:ind w:left="200" w:right="400" w:firstLine="4"/>
        <w:spacing w:after="0" w:line="261"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time as it receives stockholder approval of a similar proposal at a future meeting or (2) August 1, 2019, which is one year after the date on which the Board of Directors approved the application of the 150% minimum asset coverage ratio to the Company.</w:t>
      </w:r>
    </w:p>
    <w:p>
      <w:pPr>
        <w:spacing w:after="0" w:line="18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Upon the effectiveness of the lower minimum asset coverage ratio requirement (either after the Special Meeting or on August 1, 2019), the Company would revise its financial policy to increase its target debt-to-equity range from 0.75x to 0.85x, to 0.90x to 1.25x. In addition, the Adviser intends to waive a portion of the Management Fee payable under the Company’s Investment Advisory Agreement by reducing the Management Fee on assets financed using leverage over 200% asset coverage (in other words, over 1.0x debt-to- equity). Currently, the Management Fee payable to the Adviser is an annual rate of 1.5%, based on the average value of the Company’s gross assets calculated using the values at the end of the two most recently completed</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calendar quarters, adjusted for any share issuances or repurchases during the period.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 The fee waiver will be permanent and will have the effect of reducing the Management Fee payable to the Adviser from 1.5% to 1.0% on assets financed using greater leverage than the Company currently is permitted to incur under the existing 200% asset coverage ratio.</w:t>
      </w:r>
    </w:p>
    <w:p>
      <w:pPr>
        <w:spacing w:after="0" w:line="189" w:lineRule="exact"/>
        <w:rPr>
          <w:sz w:val="20"/>
          <w:szCs w:val="20"/>
          <w:color w:val="auto"/>
        </w:rPr>
      </w:pPr>
    </w:p>
    <w:p>
      <w:pPr>
        <w:ind w:left="200" w:right="100" w:firstLine="441"/>
        <w:spacing w:after="0" w:line="258" w:lineRule="auto"/>
        <w:rPr>
          <w:sz w:val="20"/>
          <w:szCs w:val="20"/>
          <w:color w:val="auto"/>
        </w:rPr>
      </w:pPr>
      <w:r>
        <w:rPr>
          <w:rFonts w:ascii="Arial" w:cs="Arial" w:eastAsia="Arial" w:hAnsi="Arial"/>
          <w:sz w:val="18"/>
          <w:szCs w:val="18"/>
          <w:b w:val="1"/>
          <w:bCs w:val="1"/>
          <w:color w:val="auto"/>
        </w:rPr>
        <w:t xml:space="preserve">Your vote is extremely important to us. </w:t>
      </w:r>
      <w:r>
        <w:rPr>
          <w:rFonts w:ascii="Arial" w:cs="Arial" w:eastAsia="Arial" w:hAnsi="Arial"/>
          <w:sz w:val="18"/>
          <w:szCs w:val="18"/>
          <w:color w:val="auto"/>
        </w:rPr>
        <w:t>If you are unable to attend the Special Meeting of Stockholders, we encourage you to vote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292"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24, 2018</w:t>
      </w:r>
    </w:p>
    <w:p>
      <w:pPr>
        <w:spacing w:after="0" w:line="207"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140"/>
          </w:cols>
          <w:pgMar w:left="24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80" w:type="dxa"/>
            <w:vAlign w:val="bottom"/>
            <w:gridSpan w:val="7"/>
            <w:vMerge w:val="restart"/>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Proxy Statement for a Special Meeting of Stockholders</w:t>
              </w:r>
            </w:hyperlink>
          </w:p>
        </w:tc>
        <w:tc>
          <w:tcPr>
            <w:tcW w:w="6460" w:type="dxa"/>
            <w:vAlign w:val="bottom"/>
            <w:gridSpan w:val="6"/>
            <w:vMerge w:val="restart"/>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980" w:type="dxa"/>
            <w:vAlign w:val="bottom"/>
            <w:tcBorders>
              <w:bottom w:val="single" w:sz="8" w:color="0000EE"/>
            </w:tcBorders>
            <w:gridSpan w:val="7"/>
            <w:vMerge w:val="continue"/>
          </w:tcPr>
          <w:p>
            <w:pPr>
              <w:spacing w:after="0"/>
              <w:rPr>
                <w:sz w:val="13"/>
                <w:szCs w:val="13"/>
                <w:color w:val="auto"/>
              </w:rPr>
            </w:pPr>
          </w:p>
        </w:tc>
        <w:tc>
          <w:tcPr>
            <w:tcW w:w="6460" w:type="dxa"/>
            <w:vAlign w:val="bottom"/>
            <w:gridSpan w:val="6"/>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0440" w:type="dxa"/>
            <w:vAlign w:val="bottom"/>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Security Ownership of Certain Beneficial Owners and Management</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13"/>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Proposal No. 1—Authorization of the Company to Increase Leverage by Approving the Application to the Company of a Minimum Asset</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Coverage Ratio of 150%, Pursuant to Section 61(a)(2) of the Investment Company Act of 1940, as amended, to Become Effective the Date</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60" w:type="dxa"/>
            <w:vAlign w:val="bottom"/>
            <w:gridSpan w:val="12"/>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After the Special Meeting, Which Would Permit the Company to Double the Maximum Amount of Leverage That It Is Currently Permitted</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to Incur</w:t>
              </w:r>
            </w:hyperlink>
          </w:p>
        </w:tc>
        <w:tc>
          <w:tcPr>
            <w:tcW w:w="22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Other Business</w:t>
              </w:r>
            </w:hyperlink>
          </w:p>
        </w:tc>
        <w:tc>
          <w:tcPr>
            <w:tcW w:w="9340" w:type="dxa"/>
            <w:vAlign w:val="bottom"/>
            <w:gridSpan w:val="9"/>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44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Stockholder Proposals and Nominations for the 2019 Annual Meeting of Stockholders</w:t>
              </w:r>
            </w:hyperlink>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6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Annual Report</w:t>
              </w:r>
            </w:hyperlink>
          </w:p>
        </w:tc>
        <w:tc>
          <w:tcPr>
            <w:tcW w:w="4220" w:type="dxa"/>
            <w:vAlign w:val="bottom"/>
            <w:gridSpan w:val="4"/>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4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Householding of Proxy Materials</w:t>
              </w:r>
            </w:hyperlink>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Privacy Principles</w:t>
              </w:r>
            </w:hyperlink>
          </w:p>
        </w:tc>
        <w:tc>
          <w:tcPr>
            <w:tcW w:w="1080" w:type="dxa"/>
            <w:vAlign w:val="bottom"/>
            <w:tcBorders>
              <w:top w:val="single" w:sz="8" w:color="0000EE"/>
            </w:tcBorders>
          </w:tcPr>
          <w:p>
            <w:pPr>
              <w:spacing w:after="0"/>
              <w:rPr>
                <w:sz w:val="17"/>
                <w:szCs w:val="17"/>
                <w:color w:val="auto"/>
              </w:rPr>
            </w:pPr>
          </w:p>
        </w:tc>
        <w:tc>
          <w:tcPr>
            <w:tcW w:w="8040" w:type="dxa"/>
            <w:vAlign w:val="bottom"/>
            <w:gridSpan w:val="7"/>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accompanying proxy is solicited on behalf of the Board of Directors (the “Board”) of TPG Specialty Lending, Inc., which is sometimes referred to in this proxy statement as “TSL,” “TSLX,” “we,” “us,” “our,” or the “Company,” for use at a Special Meeting of Stockholders (the “Meeting” or “Special Meeting”) to be held at the offices of Cleary Gottlieb Steen &amp; Hamilton LLP, 450 Park Ave, 28th floor, New York, NY 10022 on October 8, 2018, at 9:30 a.m., local time. Only holders of record of our common stock at the close of business on August 21, 2018, which is the record date, will be entitled to vote at the Meeting. At the close of business on the record date, we had 65,127,082 shares of common stock outstanding and entitled to vote.</w:t>
      </w:r>
    </w:p>
    <w:p>
      <w:pPr>
        <w:spacing w:after="0" w:line="193"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August 24, 2018. This proxy statement, including the accompanying form of proxy (collectively, the “Proxy Statement”), will first be made available to stockholders on or about August 24, 2018. The Proxy Statement can be accessed online at www.proxyvote.com.</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to allow the Company to increase leverage by approving the application to the Company of a minimum asset coverage ratio of 150%, pursuant to Section 61(a)(2) of the Investment Company Act of 1940, as amended (the “1940 Act”), to become effective the date after the Special Meeting, which would permit the Company to double the maximum amount of leverage that it is currently permitted to incur. Should any matter not described above be properly presented at the Meeting, the named proxies will vote in accordance with their judgment as permitted.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jc w:val="both"/>
        <w:ind w:left="200" w:right="180" w:firstLine="444"/>
        <w:spacing w:after="0" w:line="312" w:lineRule="auto"/>
        <w:tabs>
          <w:tab w:leader="none" w:pos="8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consider and vote upon a proposal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 majority of the outstanding shares of common stock must be present or represented by proxy at the Meeting in order to have a quorum. If you have properly voted by proxy online, by phone, or via mail, you will</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 xml:space="preserve">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Arial" w:cs="Arial" w:eastAsia="Arial" w:hAnsi="Arial"/>
          <w:sz w:val="16"/>
          <w:szCs w:val="16"/>
          <w:b w:val="1"/>
          <w:bCs w:val="1"/>
          <w:color w:val="auto"/>
        </w:rPr>
        <w:t>For this reason, it is imperative that stockholders vote or provide instructions to their broker as to how to vote.</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may vote “for” or “against,” or abstain from voting on, Proposal 1 (to allow the Company to increase leverage by approving the application to the Company of a minimum asset coverage ratio of 150%, pursuant to Section 61(a)(2) of the 1940 Act, to become effective the date after the Special Meeting, which would permit the Company to double the maximum amount of leverage that it is currently permitted to incur). The affirmative vote of the majority of shares represented at the meeting and voting on Proposal 1 will determine the outcome of the proposal. For the proposal, “abstain” votes and broker non-votes, if any, will count as shares represented at the meeting for purpose of establishing a quorum but will have no effect on the outcome of the vote.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named proxies for the Meeting are Jennifer Gordon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$50,000, plus reimbursement of expenses.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You can contact us by mail sent to the attention of the Secretary of the Company, Jennifer Gordon,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You can call us by dialing (212) 601-4753. You can access our proxy materials online at www.proxyvote.com.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August 21, 2018,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The percentage ownership is based on 65,127,082 shares of common stock outstanding as of August 21, 2018.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7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60" w:type="dxa"/>
            <w:vAlign w:val="bottom"/>
            <w:gridSpan w:val="2"/>
          </w:tcPr>
          <w:p>
            <w:pPr>
              <w:jc w:val="center"/>
              <w:ind w:left="1491"/>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7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680" w:type="dxa"/>
            <w:vAlign w:val="bottom"/>
            <w:gridSpan w:val="3"/>
          </w:tcPr>
          <w:p>
            <w:pPr>
              <w:jc w:val="center"/>
              <w:ind w:left="431"/>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8"/>
        </w:trPr>
        <w:tc>
          <w:tcPr>
            <w:tcW w:w="6800" w:type="dxa"/>
            <w:vAlign w:val="bottom"/>
            <w:gridSpan w:val="3"/>
            <w:vMerge w:val="continue"/>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7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Michael Fishman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36,366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Richard Higginbotham</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John Ross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Ronald Tanemura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86,516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Ian Simmonds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2,583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Robert (Bo) Stanley </w:t>
            </w:r>
            <w:r>
              <w:rPr>
                <w:rFonts w:ascii="Arial" w:cs="Arial" w:eastAsia="Arial" w:hAnsi="Arial"/>
                <w:sz w:val="15"/>
                <w:szCs w:val="15"/>
                <w:color w:val="auto"/>
              </w:rPr>
              <w:t>(3)</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All Directors and Executive Officers as a Group (13 persons) </w:t>
            </w:r>
            <w:r>
              <w:rPr>
                <w:rFonts w:ascii="Arial" w:cs="Arial" w:eastAsia="Arial" w:hAnsi="Arial"/>
                <w:sz w:val="15"/>
                <w:szCs w:val="15"/>
                <w:color w:val="auto"/>
              </w:rPr>
              <w:t>(4)(5)</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2,907,574</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(6)</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5,006,805</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(7)</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Wells Fargo &amp; Company </w:t>
            </w:r>
            <w:r>
              <w:rPr>
                <w:rFonts w:ascii="Arial" w:cs="Arial" w:eastAsia="Arial" w:hAnsi="Arial"/>
                <w:sz w:val="15"/>
                <w:szCs w:val="15"/>
                <w:color w:val="auto"/>
              </w:rPr>
              <w:t>(8)</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4,231,242</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Universities Superannuation Scheme Ltd. </w:t>
            </w:r>
            <w:r>
              <w:rPr>
                <w:rFonts w:ascii="Arial" w:cs="Arial" w:eastAsia="Arial" w:hAnsi="Arial"/>
                <w:sz w:val="15"/>
                <w:szCs w:val="15"/>
                <w:color w:val="auto"/>
              </w:rPr>
              <w:t>(9)</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3,488,476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640" w:right="20" w:hanging="436"/>
        <w:spacing w:after="0" w:line="26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20" w:hanging="436"/>
        <w:spacing w:after="0" w:line="258"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3,907 shares of common stock beneficially owned by Mr. Stanley have been pledged as security in connection with a line of credit with a third party financial institution unaffiliated with the Company.</w:t>
      </w:r>
    </w:p>
    <w:p>
      <w:pPr>
        <w:ind w:left="640" w:right="14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19,196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TSL Advisers holds 2,732,307 shares of common stock, or the TSL Advisers Shares.</w:t>
      </w:r>
    </w:p>
    <w:p>
      <w:pPr>
        <w:spacing w:after="0" w:line="9" w:lineRule="exact"/>
        <w:rPr>
          <w:rFonts w:ascii="Arial" w:cs="Arial" w:eastAsia="Arial" w:hAnsi="Arial"/>
          <w:sz w:val="18"/>
          <w:szCs w:val="18"/>
          <w:color w:val="auto"/>
        </w:rPr>
      </w:pPr>
    </w:p>
    <w:p>
      <w:pPr>
        <w:ind w:left="640" w:right="80"/>
        <w:spacing w:after="0" w:line="250"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(“TSSP”),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Arial" w:cs="Arial" w:eastAsia="Arial" w:hAnsi="Arial"/>
          <w:sz w:val="18"/>
          <w:szCs w:val="18"/>
          <w:color w:val="auto"/>
        </w:rPr>
      </w:pPr>
    </w:p>
    <w:p>
      <w:pPr>
        <w:jc w:val="both"/>
        <w:ind w:left="640" w:right="100"/>
        <w:spacing w:after="0" w:line="250"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640" w:right="680" w:hanging="436"/>
        <w:spacing w:after="0" w:line="265"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upon a Schedule 13F filed with the SEC on August 1, 2018 by Wells Fargo &amp; Company on its own behalf and on behalf of certain subsidiaries. The address of Wells Fargo &amp; Company is 420 Montgomery Street, San Francisco, CA 94163.</w:t>
      </w:r>
    </w:p>
    <w:p>
      <w:pPr>
        <w:ind w:left="640" w:right="80" w:hanging="436"/>
        <w:spacing w:after="0" w:line="25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17, 2015 by Universities Superannuation Scheme Ltd, or USSL, as trustee for Universities Superannuation Scheme, or USS, and USS Investment Management Limited, or USSIM, and a Schedule 13F filed with the SEC on July 24, 2018 by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left="480" w:right="40"/>
        <w:spacing w:after="0" w:line="254" w:lineRule="auto"/>
        <w:rPr>
          <w:sz w:val="20"/>
          <w:szCs w:val="20"/>
          <w:color w:val="auto"/>
        </w:rPr>
      </w:pPr>
      <w:r>
        <w:rPr>
          <w:rFonts w:ascii="Arial" w:cs="Arial" w:eastAsia="Arial" w:hAnsi="Arial"/>
          <w:sz w:val="18"/>
          <w:szCs w:val="18"/>
          <w:b w:val="1"/>
          <w:bCs w:val="1"/>
          <w:color w:val="auto"/>
        </w:rPr>
        <w:t>AUTHORIZATION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pacing w:after="0" w:line="200" w:lineRule="exact"/>
        <w:rPr>
          <w:sz w:val="20"/>
          <w:szCs w:val="20"/>
          <w:color w:val="auto"/>
        </w:rPr>
      </w:pPr>
    </w:p>
    <w:p>
      <w:pPr>
        <w:spacing w:after="0" w:line="206"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is a closed-end investment company that has elected to be regulated as a business development company or “BDC” under the 1940 Act. As a BDC, regulations under the 1940 Act limit the Company’s ability to use borrowing, also known as leverage, in significant respects. With certain limited exceptions, the Company is currently only allowed to borrow amounts, including by issuing bank debt, debt securities or preferred stock (collectively, “senior securities”), where its asset coverage, as defined in the 1940 Act, equals at least 200% after the borrowing. For purposes of the 1940 Act, “asset coverage” means the ratio of (1) the total assets of a BDC, less all liabilities and indebtedness not represented by senior securities, to (2) the aggregate amount of senior securities representing indebtedness and, if applicable, preferred stock.</w:t>
      </w:r>
    </w:p>
    <w:p>
      <w:pPr>
        <w:spacing w:after="0" w:line="16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On March 23, 2018, the passage of the Small Business Credit Availability Act (the “SBCAA”) amended Section 61(a) of the 1940 Act to allow a BDC to increase the maximum amount of leverage it may incur under the 1940 Act by electing to be subject to a lower minimum asset coverage ratio of 150%, subject to receipt of certain board or stockholder approvals and satisfaction of certain other conditions. Under the existing 200% minimum asset coverage ratio, the Company is permitted to borrow up to one dollar for investment purposes for every one dollar of investor equity, and under the 150% minimum asset coverage ratio, the Company will be permitted to borrow up to two dollars for investment purposes for every one dollar of investor equity. In other words, Section 61(a) of the 1940 Act permits BDCs to potentially increase their debt-to-equity ratio from a maximum of 1:1 to a maximum of 2:1 as a result of the amendments adopted pursuant to the SBCAA.</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the SBCAA, the Board, including a “required majority” thereof (as defined in Section 57(o) of the 1940 Act), may vote to approve an increase in the Company’s leverage capacity, and such approval would become effective after one year. In accordance with Section 57(o) of the 1940 Act, the approval of the “required majority” of the Company’s Board requires the approval of both (i) a majority of the Company’s directors who are not “interested persons” of the Company, as such term is defined in Section 2(a)(19) of the 1940 Act, and (ii) a majority of the Company’s directors who have no financial interest in the increase in the Company’s leverage capacity. In addition, the Company is allowed to increase its leverage capacity if stockholders representing at least a majority of the votes cast, when quorum is met, approve a proposal to do so. If the Company receives stockholder approval, it would be allowed to increase its leverage capacity on the first day after such approval. In both cases, the Company would be required to make certain disclosures on its website and in SEC filings regarding, among other things, the receipt of approval to increase leverage, its leverage capacity and usage, and risks related to leverage.</w:t>
      </w:r>
    </w:p>
    <w:p>
      <w:pPr>
        <w:spacing w:after="0" w:line="178" w:lineRule="exact"/>
        <w:rPr>
          <w:sz w:val="20"/>
          <w:szCs w:val="20"/>
          <w:color w:val="auto"/>
        </w:rPr>
      </w:pPr>
    </w:p>
    <w:p>
      <w:pPr>
        <w:ind w:left="200" w:firstLine="441"/>
        <w:spacing w:after="0" w:line="281" w:lineRule="auto"/>
        <w:rPr>
          <w:sz w:val="20"/>
          <w:szCs w:val="20"/>
          <w:color w:val="auto"/>
        </w:rPr>
      </w:pPr>
      <w:r>
        <w:rPr>
          <w:rFonts w:ascii="Arial" w:cs="Arial" w:eastAsia="Arial" w:hAnsi="Arial"/>
          <w:sz w:val="17"/>
          <w:szCs w:val="17"/>
          <w:b w:val="1"/>
          <w:bCs w:val="1"/>
          <w:color w:val="auto"/>
        </w:rPr>
        <w:t>On August 1, 2018, the Board, including the required majority thereof, approved the application of the minimum asset coverage ratio of 150% to the Company. As a result, regardless of the outcome of this proposal, the Company will be subject to the minimum asset coverage ratio of 150% for purposes of the 1940 Act leverage limitation as of August 1, 2019. This means that, as of August 1, 2019, the Company will be permitted to incur double the maximum amount of leverage that the Company is able to incur currently.</w:t>
      </w:r>
    </w:p>
    <w:p>
      <w:pPr>
        <w:spacing w:after="0" w:line="16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order to provide the Company with maximum leverage flexibility at the earliest possible date, the Board also authorized the Company to seek the approval of its stockholders so that the Company may increase its leverage limitation under the 1940 Act sooner than August 1, 2019. </w:t>
      </w:r>
      <w:r>
        <w:rPr>
          <w:rFonts w:ascii="Arial" w:cs="Arial" w:eastAsia="Arial" w:hAnsi="Arial"/>
          <w:sz w:val="17"/>
          <w:szCs w:val="17"/>
          <w:b w:val="1"/>
          <w:bCs w:val="1"/>
          <w:color w:val="auto"/>
        </w:rPr>
        <w:t>If the</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 is approved by stockholders, the authorization would be effective as of the day after this Special Meeting and the Company will be permitted to incur double the maximum amount of leverage that the Company is able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incur currently approximately ten months earlier than if the Company’s stockholders do not vote to approve this proposal.</w:t>
      </w:r>
    </w:p>
    <w:p>
      <w:pPr>
        <w:spacing w:after="0" w:line="229"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If the proposal is not approved by the stockholders, the Company will continue to operate within the 200% minimum asset coverage ratio until the earlier of (1) such time as it receives stockholder approval of a similar proposal at a future meeting or (2) August 1, 2019, which is one year after the date on which the Board of Directors approved the application of the 150% minimum asset coverage ratio to the Company.</w:t>
      </w:r>
    </w:p>
    <w:p>
      <w:pPr>
        <w:spacing w:after="0" w:line="166" w:lineRule="exact"/>
        <w:rPr>
          <w:sz w:val="20"/>
          <w:szCs w:val="20"/>
          <w:color w:val="auto"/>
        </w:rPr>
      </w:pPr>
    </w:p>
    <w:p>
      <w:pPr>
        <w:ind w:left="200" w:right="100" w:firstLine="441"/>
        <w:spacing w:after="0" w:line="269" w:lineRule="auto"/>
        <w:rPr>
          <w:sz w:val="20"/>
          <w:szCs w:val="20"/>
          <w:color w:val="auto"/>
        </w:rPr>
      </w:pPr>
      <w:r>
        <w:rPr>
          <w:rFonts w:ascii="Arial" w:cs="Arial" w:eastAsia="Arial" w:hAnsi="Arial"/>
          <w:sz w:val="17"/>
          <w:szCs w:val="17"/>
          <w:color w:val="auto"/>
        </w:rPr>
        <w:t>Upon the effectiveness of the lower minimum asset coverage ratio requirement (either after the Special Meeting or on August 1, 2019), the Company would revise its financial policy to increase its target debt-to-equity range from 0.75x to 0.85x, to 0.90x to 1.25x. In addition, the Adviser intends to waive a portion of the Management Fee payable under the Company’s Investment Advisory Agreement by reducing the Management Fee on assets financed using leverage over 200% asset coverage (in other words, over 1.0x debt-to-equity). Currently, the Management Fee payable to the Adviser is an annual rate of 1.5%, based on the average value of the Company’s gross assets calculated using the values at the end of the two most recently completed calendar quarters, adjusted for any share issuances or repurchases during the period.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 The fee waiver will be permanent and will have the effect of reducing the Management Fee payable to the Adviser from 1.5% to 1.0% on assets financed using greater leverage than the Company currently is permitted to incur under the existing 200% asset coverage ratio.</w:t>
      </w:r>
    </w:p>
    <w:p>
      <w:pPr>
        <w:spacing w:after="0" w:line="18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Furthermore, after the 150% minimum asset coverage ratio is in effect, although the Company would be authorized to incur leverage up to an asset coverage ratio of 150% under the 1940 Act, the Company would need to amend the terms of its Revolving Credit Facility, which currently limits the Company to a minimum asset coverage ratio of 200%.</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Illustrations of the Effect of Lowering the Minimum Asset Coverage Ratio</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following information:</w:t>
      </w:r>
    </w:p>
    <w:p>
      <w:pPr>
        <w:spacing w:after="0" w:line="131" w:lineRule="exact"/>
        <w:rPr>
          <w:sz w:val="20"/>
          <w:szCs w:val="20"/>
          <w:color w:val="auto"/>
        </w:rPr>
      </w:pPr>
    </w:p>
    <w:p>
      <w:pPr>
        <w:ind w:left="1060" w:right="34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total assets, total debt outstanding (in dollars and as a percentage of total assets), net assets and asset coverage ratio as of June 30, 2018;</w:t>
      </w:r>
    </w:p>
    <w:p>
      <w:pPr>
        <w:spacing w:after="0" w:line="75"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assuming that, as of June 30, 2018, the Company had incurred the maximum amount of borrowings that could be incurred by the Company under the current 200% minimum asset coverage ratio, the Company’s pro forma total assets, total debt outstanding (with the maximum amount of additional borrowings that would be permitted to incur in dollars and as a percentage of total assets), net assets and asset coverage ratio; and</w:t>
      </w:r>
    </w:p>
    <w:p>
      <w:pPr>
        <w:spacing w:after="0" w:line="92" w:lineRule="exact"/>
        <w:rPr>
          <w:rFonts w:ascii="Arial" w:cs="Arial" w:eastAsia="Arial" w:hAnsi="Arial"/>
          <w:sz w:val="18"/>
          <w:szCs w:val="18"/>
          <w:color w:val="auto"/>
        </w:rPr>
      </w:pPr>
    </w:p>
    <w:p>
      <w:pPr>
        <w:ind w:left="1060" w:right="120" w:hanging="316"/>
        <w:spacing w:after="0" w:line="31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assuming that, as of June 30, 2018, the Company had incurred the maximum amount of borrowings that could be incurred by the Company under a 150% minimum asset coverage ratio, the Company’s pro forma total assets, total debt outstanding (with the maximum amount of additional borrowings that would be permitted to incur in dollars and as a percentage of total assets), net assets and asset coverage ratio.</w:t>
      </w:r>
    </w:p>
    <w:p>
      <w:pPr>
        <w:spacing w:after="0" w:line="14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evaluating the information presented below, it is important to recognize that the maximum amount of borrowings that could be incurred by the Company is presented for comparative and informational purposes only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and such information is not a representation of the amount of borrowings that the Company intends to incur or that would be available to the Company to be incurred.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4"/>
          </w:tcPr>
          <w:p>
            <w:pPr>
              <w:jc w:val="center"/>
              <w:ind w:left="779"/>
              <w:spacing w:after="0"/>
              <w:rPr>
                <w:sz w:val="20"/>
                <w:szCs w:val="20"/>
                <w:color w:val="auto"/>
              </w:rPr>
            </w:pPr>
            <w:r>
              <w:rPr>
                <w:rFonts w:ascii="Arial" w:cs="Arial" w:eastAsia="Arial" w:hAnsi="Arial"/>
                <w:sz w:val="14"/>
                <w:szCs w:val="14"/>
                <w:b w:val="1"/>
                <w:bCs w:val="1"/>
                <w:i w:val="1"/>
                <w:iCs w:val="1"/>
                <w:color w:val="auto"/>
                <w:w w:val="93"/>
              </w:rPr>
              <w:t xml:space="preserve">Pro Forma </w:t>
            </w:r>
            <w:r>
              <w:rPr>
                <w:rFonts w:ascii="Arial" w:cs="Arial" w:eastAsia="Arial" w:hAnsi="Arial"/>
                <w:sz w:val="14"/>
                <w:szCs w:val="14"/>
                <w:b w:val="1"/>
                <w:bCs w:val="1"/>
                <w:color w:val="auto"/>
                <w:w w:val="93"/>
              </w:rPr>
              <w:t>Amounts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Selected Consolidated</w:t>
            </w: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60" w:type="dxa"/>
            <w:vAlign w:val="bottom"/>
            <w:gridSpan w:val="4"/>
          </w:tcPr>
          <w:p>
            <w:pPr>
              <w:jc w:val="center"/>
              <w:ind w:left="799"/>
              <w:spacing w:after="0" w:line="149" w:lineRule="exact"/>
              <w:rPr>
                <w:sz w:val="20"/>
                <w:szCs w:val="20"/>
                <w:color w:val="auto"/>
              </w:rPr>
            </w:pPr>
            <w:r>
              <w:rPr>
                <w:rFonts w:ascii="Arial" w:cs="Arial" w:eastAsia="Arial" w:hAnsi="Arial"/>
                <w:sz w:val="14"/>
                <w:szCs w:val="14"/>
                <w:b w:val="1"/>
                <w:bCs w:val="1"/>
                <w:color w:val="auto"/>
                <w:w w:val="90"/>
              </w:rPr>
              <w:t>as of June 30, 2018</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2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Assuming that the Company had incurred the maximum</w:t>
            </w: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Financial Statement Data</w:t>
            </w: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2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amount of borrowings that could be incurred by the</w:t>
            </w: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2960" w:type="dxa"/>
            <w:vAlign w:val="bottom"/>
            <w:gridSpan w:val="4"/>
            <w:vMerge w:val="restart"/>
          </w:tcPr>
          <w:p>
            <w:pPr>
              <w:jc w:val="center"/>
              <w:ind w:left="596"/>
              <w:spacing w:after="0"/>
              <w:rPr>
                <w:sz w:val="20"/>
                <w:szCs w:val="20"/>
                <w:color w:val="auto"/>
              </w:rPr>
            </w:pPr>
            <w:r>
              <w:rPr>
                <w:rFonts w:ascii="Arial" w:cs="Arial" w:eastAsia="Arial" w:hAnsi="Arial"/>
                <w:sz w:val="14"/>
                <w:szCs w:val="14"/>
                <w:b w:val="1"/>
                <w:bCs w:val="1"/>
                <w:color w:val="auto"/>
                <w:w w:val="93"/>
              </w:rPr>
              <w:t>Actual Amounts</w:t>
            </w: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622"/>
              <w:spacing w:after="0"/>
              <w:rPr>
                <w:sz w:val="20"/>
                <w:szCs w:val="20"/>
                <w:color w:val="auto"/>
              </w:rPr>
            </w:pPr>
            <w:r>
              <w:rPr>
                <w:rFonts w:ascii="Arial" w:cs="Arial" w:eastAsia="Arial" w:hAnsi="Arial"/>
                <w:sz w:val="14"/>
                <w:szCs w:val="14"/>
                <w:b w:val="1"/>
                <w:bCs w:val="1"/>
                <w:color w:val="auto"/>
                <w:w w:val="93"/>
              </w:rPr>
              <w:t>Company</w:t>
            </w: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96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Under the Current 200%</w:t>
            </w:r>
          </w:p>
        </w:tc>
        <w:tc>
          <w:tcPr>
            <w:tcW w:w="900" w:type="dxa"/>
            <w:vAlign w:val="bottom"/>
          </w:tcPr>
          <w:p>
            <w:pPr>
              <w:spacing w:after="0"/>
              <w:rPr>
                <w:sz w:val="10"/>
                <w:szCs w:val="10"/>
                <w:color w:val="auto"/>
              </w:rPr>
            </w:pPr>
          </w:p>
        </w:tc>
        <w:tc>
          <w:tcPr>
            <w:tcW w:w="18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9"/>
              </w:rPr>
              <w:t>Under a 150% 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2"/>
                <w:szCs w:val="12"/>
                <w:color w:val="auto"/>
              </w:rPr>
            </w:pPr>
          </w:p>
        </w:tc>
        <w:tc>
          <w:tcPr>
            <w:tcW w:w="1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Minimum Asset Coverage</w:t>
            </w:r>
          </w:p>
        </w:tc>
        <w:tc>
          <w:tcPr>
            <w:tcW w:w="9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i w:val="1"/>
                <w:iCs w:val="1"/>
                <w:color w:val="auto"/>
              </w:rPr>
              <w:t>(dollar amounts in thousands)</w:t>
            </w:r>
          </w:p>
        </w:tc>
        <w:tc>
          <w:tcPr>
            <w:tcW w:w="1320" w:type="dxa"/>
            <w:vAlign w:val="bottom"/>
          </w:tcPr>
          <w:p>
            <w:pPr>
              <w:spacing w:after="0"/>
              <w:rPr>
                <w:sz w:val="14"/>
                <w:szCs w:val="1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June 30, 2018</w:t>
            </w:r>
            <w:r>
              <w:rPr>
                <w:rFonts w:ascii="Arial" w:cs="Arial" w:eastAsia="Arial" w:hAnsi="Arial"/>
                <w:sz w:val="12"/>
                <w:szCs w:val="12"/>
                <w:b w:val="1"/>
                <w:bCs w:val="1"/>
                <w:color w:val="auto"/>
                <w:w w:val="92"/>
              </w:rPr>
              <w:t>(1)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Ratio</w:t>
            </w:r>
            <w:r>
              <w:rPr>
                <w:rFonts w:ascii="Arial" w:cs="Arial" w:eastAsia="Arial" w:hAnsi="Arial"/>
                <w:sz w:val="12"/>
                <w:szCs w:val="12"/>
                <w:b w:val="1"/>
                <w:bCs w:val="1"/>
                <w:color w:val="auto"/>
                <w:w w:val="96"/>
              </w:rPr>
              <w:t>(2)</w:t>
            </w:r>
          </w:p>
        </w:tc>
        <w:tc>
          <w:tcPr>
            <w:tcW w:w="900" w:type="dxa"/>
            <w:vAlign w:val="bottom"/>
          </w:tcPr>
          <w:p>
            <w:pPr>
              <w:spacing w:after="0"/>
              <w:rPr>
                <w:sz w:val="14"/>
                <w:szCs w:val="14"/>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Asset Coverage Ratio</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1,978,479</w:t>
            </w:r>
          </w:p>
        </w:tc>
        <w:tc>
          <w:tcPr>
            <w:tcW w:w="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2,124,083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3,186,125</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Debt Outstanding</w:t>
            </w:r>
          </w:p>
        </w:tc>
        <w:tc>
          <w:tcPr>
            <w:tcW w:w="1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876,880</w:t>
            </w:r>
          </w:p>
        </w:tc>
        <w:tc>
          <w:tcPr>
            <w:tcW w:w="640" w:type="dxa"/>
            <w:vAlign w:val="bottom"/>
          </w:tcPr>
          <w:p>
            <w:pPr>
              <w:spacing w:after="0"/>
              <w:rPr>
                <w:sz w:val="18"/>
                <w:szCs w:val="18"/>
                <w:color w:val="auto"/>
              </w:rPr>
            </w:pPr>
          </w:p>
        </w:tc>
        <w:tc>
          <w:tcPr>
            <w:tcW w:w="72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1,062,042</w:t>
            </w:r>
          </w:p>
        </w:tc>
        <w:tc>
          <w:tcPr>
            <w:tcW w:w="220" w:type="dxa"/>
            <w:vAlign w:val="bottom"/>
          </w:tcPr>
          <w:p>
            <w:pPr>
              <w:spacing w:after="0"/>
              <w:rPr>
                <w:sz w:val="18"/>
                <w:szCs w:val="18"/>
                <w:color w:val="auto"/>
              </w:rPr>
            </w:pPr>
          </w:p>
        </w:tc>
        <w:tc>
          <w:tcPr>
            <w:tcW w:w="138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2,124,083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5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1,062,042</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1,062,042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1,062,042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Asset Coverage Ratio</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221%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0.83x</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1.00x</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2.00x</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June 30, 2018, the Company’s total outstanding indebtedness represented 44.3% of the Company’s total assets.</w:t>
      </w:r>
    </w:p>
    <w:p>
      <w:pPr>
        <w:spacing w:after="0" w:line="23" w:lineRule="exact"/>
        <w:rPr>
          <w:rFonts w:ascii="Arial" w:cs="Arial" w:eastAsia="Arial" w:hAnsi="Arial"/>
          <w:sz w:val="18"/>
          <w:szCs w:val="18"/>
          <w:color w:val="auto"/>
        </w:rPr>
      </w:pPr>
    </w:p>
    <w:p>
      <w:pPr>
        <w:ind w:left="640" w:right="440" w:hanging="436"/>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the Company’s total outstanding indebtedness of $876.9 million as of June 30, 2018 and applying the currently applicable 200% minimum asset coverage ratio, the Company could have incurred up to an additional $185.2 million of borrowings. The maximum amount of additional borrowings of $185.2 million would have represented 8.7% of total assets.</w:t>
      </w:r>
    </w:p>
    <w:p>
      <w:pPr>
        <w:spacing w:after="0" w:line="1" w:lineRule="exact"/>
        <w:rPr>
          <w:rFonts w:ascii="Arial" w:cs="Arial" w:eastAsia="Arial" w:hAnsi="Arial"/>
          <w:sz w:val="18"/>
          <w:szCs w:val="18"/>
          <w:color w:val="auto"/>
        </w:rPr>
      </w:pPr>
    </w:p>
    <w:p>
      <w:pPr>
        <w:ind w:left="640" w:right="20" w:hanging="436"/>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the Company’s total outstanding indebtedness of $876.9 million as of June 30, 2018 and applying a 150% minimum asset coverage ratio, the Company could have incurred up to an additional $1.2 billion of borrowings. The maximum amount of additional borrowings of $1.2 billion would have represented 39.1% of total assets.</w:t>
      </w:r>
    </w:p>
    <w:p>
      <w:pPr>
        <w:spacing w:after="0" w:line="190" w:lineRule="exact"/>
        <w:rPr>
          <w:sz w:val="20"/>
          <w:szCs w:val="20"/>
          <w:color w:val="auto"/>
        </w:rPr>
      </w:pPr>
    </w:p>
    <w:p>
      <w:pPr>
        <w:ind w:left="200" w:right="320" w:firstLine="441"/>
        <w:spacing w:after="0" w:line="255" w:lineRule="auto"/>
        <w:rPr>
          <w:sz w:val="20"/>
          <w:szCs w:val="20"/>
          <w:color w:val="auto"/>
        </w:rPr>
      </w:pPr>
      <w:r>
        <w:rPr>
          <w:rFonts w:ascii="Arial" w:cs="Arial" w:eastAsia="Arial" w:hAnsi="Arial"/>
          <w:sz w:val="18"/>
          <w:szCs w:val="18"/>
          <w:color w:val="auto"/>
        </w:rPr>
        <w:t>In order to assist investors in understanding the effects of leverage, the following table illustrates the effect of leverage on returns from an investment in the Company’s common stock, assuming (1) the Company’s actual borrowings as of June 30, 2018, (2) the Company incurred the maximum amount of borrowings under the currently applicable minimum asset coverage ratio of 200% and (3) the Company incurred the maximum amount of borrowings under a minimum asset coverage ratio of 150%, each at various annual returns as of June 30, 2018,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0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Assumed Return on Portfolio</w:t>
      </w:r>
    </w:p>
    <w:p>
      <w:pPr>
        <w:jc w:val="center"/>
        <w:ind w:left="7320"/>
        <w:spacing w:after="0" w:line="236" w:lineRule="auto"/>
        <w:rPr>
          <w:sz w:val="20"/>
          <w:szCs w:val="20"/>
          <w:color w:val="auto"/>
        </w:rPr>
      </w:pPr>
      <w:r>
        <w:rPr>
          <w:rFonts w:ascii="Arial" w:cs="Arial" w:eastAsia="Arial" w:hAnsi="Arial"/>
          <w:sz w:val="14"/>
          <w:szCs w:val="14"/>
          <w:b w:val="1"/>
          <w:bCs w:val="1"/>
          <w:color w:val="auto"/>
        </w:rPr>
        <w:t>(net of expenses)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-10%</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-5%</w:t>
            </w:r>
          </w:p>
        </w:tc>
        <w:tc>
          <w:tcPr>
            <w:tcW w:w="1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0%</w:t>
            </w:r>
          </w:p>
        </w:tc>
        <w:tc>
          <w:tcPr>
            <w:tcW w:w="1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5%</w:t>
            </w:r>
          </w:p>
        </w:tc>
        <w:tc>
          <w:tcPr>
            <w:tcW w:w="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10%</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Corresponding return to stockholder, based on actual borrowings as of June 30, 2018 </w:t>
            </w:r>
            <w:r>
              <w:rPr>
                <w:rFonts w:ascii="Arial" w:cs="Arial" w:eastAsia="Arial" w:hAnsi="Arial"/>
                <w:sz w:val="15"/>
                <w:szCs w:val="15"/>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60" w:type="dxa"/>
            <w:vAlign w:val="bottom"/>
          </w:tcPr>
          <w:p>
            <w:pPr>
              <w:spacing w:after="0" w:line="201" w:lineRule="exact"/>
              <w:rPr>
                <w:sz w:val="20"/>
                <w:szCs w:val="20"/>
                <w:color w:val="auto"/>
              </w:rPr>
            </w:pPr>
            <w:r>
              <w:rPr>
                <w:rFonts w:ascii="Arial" w:cs="Arial" w:eastAsia="Arial" w:hAnsi="Arial"/>
                <w:sz w:val="18"/>
                <w:szCs w:val="18"/>
                <w:color w:val="auto"/>
                <w:w w:val="97"/>
              </w:rPr>
              <w:t>Corresponding return to stockholder, pro forma assuming the Company incurred the maximum</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amount of borrowings under the current 200% minimum asset coverage ratio</w:t>
            </w:r>
            <w:r>
              <w:rPr>
                <w:rFonts w:ascii="Arial" w:cs="Arial" w:eastAsia="Arial" w:hAnsi="Arial"/>
                <w:sz w:val="15"/>
                <w:szCs w:val="15"/>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Corresponding return to stockholder, pro forma assuming the Company incurred the maximum</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 of borrowings under a 150% minimum asset coverage ratio</w:t>
            </w:r>
            <w:r>
              <w:rPr>
                <w:rFonts w:ascii="Arial" w:cs="Arial" w:eastAsia="Arial" w:hAnsi="Arial"/>
                <w:sz w:val="15"/>
                <w:szCs w:val="15"/>
                <w:color w:val="auto"/>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20"/>
                <w:szCs w:val="20"/>
                <w:color w:val="auto"/>
              </w:rPr>
            </w:pPr>
          </w:p>
        </w:tc>
      </w:tr>
    </w:tbl>
    <w:p>
      <w:pPr>
        <w:spacing w:after="0" w:line="107" w:lineRule="exact"/>
        <w:rPr>
          <w:sz w:val="20"/>
          <w:szCs w:val="20"/>
          <w:color w:val="auto"/>
        </w:rPr>
      </w:pPr>
    </w:p>
    <w:p>
      <w:pPr>
        <w:ind w:left="640" w:right="220" w:hanging="436"/>
        <w:spacing w:after="0" w:line="25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Assumes, as of June 30, 2018, (i) $2.0 billion in total assets, (ii) $876.9 million in outstanding indebtedness, (iii) $1.1 billion in net assets and (iv) annualized interest cost of 4.08%, under the terms of the Company’s debt for the three months ended June 30, 2018, excluding fees (such as fees on undrawn amounts and amortization of upfront fees) and giving effect to the swap-adjusted interest rates on the Company’s outstanding notes. The Company’s investments would have had to produce annual returns of approximately 1.8% to cover annual interest payments on the outstanding debt.</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hanging="436"/>
        <w:spacing w:after="0" w:line="285"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Assuming, on a pro forma basis, that (a) the Company had incurred the maximum amount of borrowings that could be incurred by the Company as of June 30, 2018 under the existing 200% minimum asset coverage ratio, and (b) the additional borrowings compared to the actual amount of borrowings incurred by the Company as of June 30, 2018 are fully invested, the Company would have (i) $2.1 billion in total assets, (ii) $1.1 billlion in outstanding indebtedness, (iii) $1.1 billion in net assets, and (iv) an annualized interest cost of 4.08%. The Company’s investments would have had to produce annual returns of approximately 2.1% to cover annual interest payments on the outstanding debt.</w:t>
      </w:r>
    </w:p>
    <w:p>
      <w:pPr>
        <w:spacing w:after="0" w:line="2" w:lineRule="exact"/>
        <w:rPr>
          <w:rFonts w:ascii="Arial" w:cs="Arial" w:eastAsia="Arial" w:hAnsi="Arial"/>
          <w:sz w:val="16"/>
          <w:szCs w:val="16"/>
          <w:color w:val="auto"/>
        </w:rPr>
      </w:pPr>
    </w:p>
    <w:p>
      <w:pPr>
        <w:ind w:left="640" w:right="20" w:hanging="436"/>
        <w:spacing w:after="0" w:line="29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Assuming, on a pro forma basis, that (a) the Company had incurred the maximum amount of borrowings that could be incurred by the Company as of June 30, 2018 under a 150% minimum asset coverage ratio, and (b) the additional borrowings compared to the actual amount of borrowings incurred by the Company as of June 30, 2018 are fully invested, the Company would have (i) $3.2 billion in total assets, (ii) $2.1 billion in outstanding indebtedness, (iii) $1.1 billion in net assets, and (iv) an annualized interest cost of 4.08%. The Company’s investments would have had to produce annual returns of approximately 2.7% to cover annual interest payments on the outstanding debt.</w:t>
      </w:r>
    </w:p>
    <w:p>
      <w:pPr>
        <w:spacing w:after="0" w:line="27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Fees and Expenses Table</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the Company’s common stock will bear directly or indirectly, based on the assumptions set forth below. The pro forma information showing the maximum amount of borrowings that could be incurred by the Company is presented for comparative and informational purposes only and such information is not a representation of the amount of borrowings that the Company intends to incur or that would be available to the Company to be incurred.</w:t>
      </w:r>
    </w:p>
    <w:p>
      <w:pPr>
        <w:spacing w:after="0" w:line="17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Company cautions you that some of the percentages indicated in the table below are estimates and may vary. The following table should not be considered a representation of the Company’s future expenses, which may be greater or less than shown. Future expenses will depend on many factors, including the use of leverage, which may vary periodically depending on market conditions, the Company’s portfolio composition and the Adviser’s assessment of risks and returns. Except where the context suggests otherwise, whenever this proxy statement contains a reference to fees or expenses paid by “us,” the “Company” or “TPG Specialty Lending, Inc.,” stockholders will indirectly bear these fees or expenses as investors in TPG Specialty Lending, Inc.</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20" w:type="dxa"/>
            <w:vAlign w:val="bottom"/>
            <w:gridSpan w:val="5"/>
          </w:tcPr>
          <w:p>
            <w:pPr>
              <w:jc w:val="center"/>
              <w:ind w:right="190"/>
              <w:spacing w:after="0"/>
              <w:rPr>
                <w:sz w:val="20"/>
                <w:szCs w:val="20"/>
                <w:color w:val="auto"/>
              </w:rPr>
            </w:pPr>
            <w:r>
              <w:rPr>
                <w:rFonts w:ascii="Arial" w:cs="Arial" w:eastAsia="Arial" w:hAnsi="Arial"/>
                <w:sz w:val="14"/>
                <w:szCs w:val="14"/>
                <w:b w:val="1"/>
                <w:bCs w:val="1"/>
                <w:i w:val="1"/>
                <w:iCs w:val="1"/>
                <w:color w:val="auto"/>
                <w:w w:val="89"/>
              </w:rPr>
              <w:t xml:space="preserve">Pro Forma </w:t>
            </w:r>
            <w:r>
              <w:rPr>
                <w:rFonts w:ascii="Arial" w:cs="Arial" w:eastAsia="Arial" w:hAnsi="Arial"/>
                <w:sz w:val="14"/>
                <w:szCs w:val="14"/>
                <w:b w:val="1"/>
                <w:bCs w:val="1"/>
                <w:color w:val="auto"/>
                <w:w w:val="89"/>
              </w:rPr>
              <w:t>annualized expenses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gridSpan w:val="5"/>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assuming that the Company had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gridSpan w:val="5"/>
          </w:tcPr>
          <w:p>
            <w:pPr>
              <w:jc w:val="center"/>
              <w:ind w:right="190"/>
              <w:spacing w:after="0" w:line="149" w:lineRule="exact"/>
              <w:rPr>
                <w:sz w:val="20"/>
                <w:szCs w:val="20"/>
                <w:color w:val="auto"/>
              </w:rPr>
            </w:pPr>
            <w:r>
              <w:rPr>
                <w:rFonts w:ascii="Arial" w:cs="Arial" w:eastAsia="Arial" w:hAnsi="Arial"/>
                <w:sz w:val="14"/>
                <w:szCs w:val="14"/>
                <w:b w:val="1"/>
                <w:bCs w:val="1"/>
                <w:color w:val="auto"/>
                <w:w w:val="93"/>
              </w:rPr>
              <w:t>incurred the maximum 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gridSpan w:val="5"/>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borrowings that could be incurred 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2"/>
            <w:vMerge w:val="restart"/>
          </w:tcPr>
          <w:p>
            <w:pPr>
              <w:jc w:val="center"/>
              <w:ind w:right="430"/>
              <w:spacing w:after="0"/>
              <w:rPr>
                <w:sz w:val="20"/>
                <w:szCs w:val="20"/>
                <w:color w:val="auto"/>
              </w:rPr>
            </w:pPr>
            <w:r>
              <w:rPr>
                <w:rFonts w:ascii="Arial" w:cs="Arial" w:eastAsia="Arial" w:hAnsi="Arial"/>
                <w:sz w:val="14"/>
                <w:szCs w:val="14"/>
                <w:b w:val="1"/>
                <w:bCs w:val="1"/>
                <w:color w:val="auto"/>
                <w:w w:val="89"/>
              </w:rPr>
              <w:t>Annualized expenses</w:t>
            </w:r>
          </w:p>
        </w:tc>
        <w:tc>
          <w:tcPr>
            <w:tcW w:w="380" w:type="dxa"/>
            <w:vAlign w:val="bottom"/>
          </w:tcPr>
          <w:p>
            <w:pPr>
              <w:spacing w:after="0"/>
              <w:rPr>
                <w:sz w:val="14"/>
                <w:szCs w:val="14"/>
                <w:color w:val="auto"/>
              </w:rPr>
            </w:pPr>
          </w:p>
        </w:tc>
        <w:tc>
          <w:tcPr>
            <w:tcW w:w="2120" w:type="dxa"/>
            <w:vAlign w:val="bottom"/>
            <w:tcBorders>
              <w:bottom w:val="single" w:sz="8" w:color="auto"/>
            </w:tcBorders>
            <w:gridSpan w:val="2"/>
          </w:tcPr>
          <w:p>
            <w:pPr>
              <w:jc w:val="center"/>
              <w:ind w:left="1044"/>
              <w:spacing w:after="0"/>
              <w:rPr>
                <w:sz w:val="20"/>
                <w:szCs w:val="20"/>
                <w:color w:val="auto"/>
              </w:rPr>
            </w:pPr>
            <w:r>
              <w:rPr>
                <w:rFonts w:ascii="Arial" w:cs="Arial" w:eastAsia="Arial" w:hAnsi="Arial"/>
                <w:sz w:val="14"/>
                <w:szCs w:val="14"/>
                <w:b w:val="1"/>
                <w:bCs w:val="1"/>
                <w:color w:val="auto"/>
                <w:w w:val="94"/>
              </w:rPr>
              <w:t>the Company</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120" w:type="dxa"/>
            <w:vAlign w:val="bottom"/>
            <w:gridSpan w:val="2"/>
            <w:vMerge w:val="restart"/>
          </w:tcPr>
          <w:p>
            <w:pPr>
              <w:jc w:val="center"/>
              <w:ind w:right="710"/>
              <w:spacing w:after="0"/>
              <w:rPr>
                <w:sz w:val="20"/>
                <w:szCs w:val="20"/>
                <w:color w:val="auto"/>
              </w:rPr>
            </w:pPr>
            <w:r>
              <w:rPr>
                <w:rFonts w:ascii="Arial" w:cs="Arial" w:eastAsia="Arial" w:hAnsi="Arial"/>
                <w:sz w:val="14"/>
                <w:szCs w:val="14"/>
                <w:b w:val="1"/>
                <w:bCs w:val="1"/>
                <w:color w:val="auto"/>
                <w:w w:val="95"/>
              </w:rPr>
              <w:t>Under the current</w:t>
            </w:r>
          </w:p>
        </w:tc>
        <w:tc>
          <w:tcPr>
            <w:tcW w:w="100" w:type="dxa"/>
            <w:vAlign w:val="bottom"/>
          </w:tcPr>
          <w:p>
            <w:pPr>
              <w:spacing w:after="0"/>
              <w:rPr>
                <w:sz w:val="9"/>
                <w:szCs w:val="9"/>
                <w:color w:val="auto"/>
              </w:rPr>
            </w:pPr>
          </w:p>
        </w:tc>
        <w:tc>
          <w:tcPr>
            <w:tcW w:w="1300" w:type="dxa"/>
            <w:vAlign w:val="bottom"/>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7"/>
              </w:rPr>
              <w:t>Under a 150%</w:t>
            </w: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annual expenses (as a percentage of net assets</w:t>
            </w:r>
          </w:p>
        </w:tc>
        <w:tc>
          <w:tcPr>
            <w:tcW w:w="2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based on actual expenses</w:t>
            </w:r>
          </w:p>
        </w:tc>
        <w:tc>
          <w:tcPr>
            <w:tcW w:w="38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gridSpan w:val="2"/>
          </w:tcPr>
          <w:p>
            <w:pPr>
              <w:jc w:val="center"/>
              <w:ind w:right="430"/>
              <w:spacing w:after="0" w:line="145" w:lineRule="exact"/>
              <w:rPr>
                <w:sz w:val="20"/>
                <w:szCs w:val="20"/>
                <w:color w:val="auto"/>
              </w:rPr>
            </w:pPr>
            <w:r>
              <w:rPr>
                <w:rFonts w:ascii="Arial" w:cs="Arial" w:eastAsia="Arial" w:hAnsi="Arial"/>
                <w:sz w:val="14"/>
                <w:szCs w:val="14"/>
                <w:b w:val="1"/>
                <w:bCs w:val="1"/>
                <w:color w:val="auto"/>
                <w:w w:val="91"/>
              </w:rPr>
              <w:t>for the six months ended</w:t>
            </w:r>
          </w:p>
        </w:tc>
        <w:tc>
          <w:tcPr>
            <w:tcW w:w="2500" w:type="dxa"/>
            <w:vAlign w:val="bottom"/>
            <w:gridSpan w:val="3"/>
          </w:tcPr>
          <w:p>
            <w:pPr>
              <w:jc w:val="center"/>
              <w:ind w:right="330"/>
              <w:spacing w:after="0" w:line="145" w:lineRule="exact"/>
              <w:rPr>
                <w:sz w:val="20"/>
                <w:szCs w:val="20"/>
                <w:color w:val="auto"/>
              </w:rPr>
            </w:pPr>
            <w:r>
              <w:rPr>
                <w:rFonts w:ascii="Arial" w:cs="Arial" w:eastAsia="Arial" w:hAnsi="Arial"/>
                <w:sz w:val="14"/>
                <w:szCs w:val="14"/>
                <w:b w:val="1"/>
                <w:bCs w:val="1"/>
                <w:color w:val="auto"/>
                <w:w w:val="93"/>
              </w:rPr>
              <w:t>200% minimum asset</w:t>
            </w:r>
          </w:p>
        </w:tc>
        <w:tc>
          <w:tcPr>
            <w:tcW w:w="100" w:type="dxa"/>
            <w:vAlign w:val="bottom"/>
          </w:tcPr>
          <w:p>
            <w:pPr>
              <w:spacing w:after="0"/>
              <w:rPr>
                <w:sz w:val="12"/>
                <w:szCs w:val="12"/>
                <w:color w:val="auto"/>
              </w:rPr>
            </w:pPr>
          </w:p>
        </w:tc>
        <w:tc>
          <w:tcPr>
            <w:tcW w:w="1300" w:type="dxa"/>
            <w:vAlign w:val="bottom"/>
            <w:gridSpan w:val="2"/>
          </w:tcPr>
          <w:p>
            <w:pPr>
              <w:jc w:val="center"/>
              <w:ind w:right="190"/>
              <w:spacing w:after="0" w:line="145" w:lineRule="exact"/>
              <w:rPr>
                <w:sz w:val="20"/>
                <w:szCs w:val="20"/>
                <w:color w:val="auto"/>
              </w:rPr>
            </w:pPr>
            <w:r>
              <w:rPr>
                <w:rFonts w:ascii="Arial" w:cs="Arial" w:eastAsia="Arial" w:hAnsi="Arial"/>
                <w:sz w:val="14"/>
                <w:szCs w:val="14"/>
                <w:b w:val="1"/>
                <w:bCs w:val="1"/>
                <w:color w:val="auto"/>
                <w:w w:val="92"/>
              </w:rPr>
              <w:t>minimum asset</w:t>
            </w:r>
          </w:p>
        </w:tc>
        <w:tc>
          <w:tcPr>
            <w:tcW w:w="0" w:type="dxa"/>
            <w:vAlign w:val="bottom"/>
          </w:tcPr>
          <w:p>
            <w:pPr>
              <w:spacing w:after="0"/>
              <w:rPr>
                <w:sz w:val="1"/>
                <w:szCs w:val="1"/>
                <w:color w:val="auto"/>
              </w:rPr>
            </w:pPr>
          </w:p>
        </w:tc>
      </w:tr>
      <w:tr>
        <w:trPr>
          <w:trHeight w:val="162"/>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attributable to common stock)</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204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92"/>
              </w:rPr>
              <w:t>June 30, 2018</w:t>
            </w:r>
            <w:r>
              <w:rPr>
                <w:rFonts w:ascii="Arial" w:cs="Arial" w:eastAsia="Arial" w:hAnsi="Arial"/>
                <w:sz w:val="12"/>
                <w:szCs w:val="12"/>
                <w:b w:val="1"/>
                <w:bCs w:val="1"/>
                <w:color w:val="auto"/>
                <w:w w:val="92"/>
              </w:rPr>
              <w:t>(2)</w:t>
            </w:r>
          </w:p>
        </w:tc>
        <w:tc>
          <w:tcPr>
            <w:tcW w:w="380" w:type="dxa"/>
            <w:vAlign w:val="bottom"/>
          </w:tcPr>
          <w:p>
            <w:pPr>
              <w:spacing w:after="0"/>
              <w:rPr>
                <w:sz w:val="14"/>
                <w:szCs w:val="14"/>
                <w:color w:val="auto"/>
              </w:rPr>
            </w:pPr>
          </w:p>
        </w:tc>
        <w:tc>
          <w:tcPr>
            <w:tcW w:w="2120" w:type="dxa"/>
            <w:vAlign w:val="bottom"/>
            <w:gridSpan w:val="2"/>
          </w:tcPr>
          <w:p>
            <w:pPr>
              <w:jc w:val="center"/>
              <w:ind w:right="690"/>
              <w:spacing w:after="0"/>
              <w:rPr>
                <w:sz w:val="20"/>
                <w:szCs w:val="20"/>
                <w:color w:val="auto"/>
              </w:rPr>
            </w:pPr>
            <w:r>
              <w:rPr>
                <w:rFonts w:ascii="Arial" w:cs="Arial" w:eastAsia="Arial" w:hAnsi="Arial"/>
                <w:sz w:val="14"/>
                <w:szCs w:val="14"/>
                <w:b w:val="1"/>
                <w:bCs w:val="1"/>
                <w:color w:val="auto"/>
                <w:w w:val="92"/>
              </w:rPr>
              <w:t>coverage ratio</w:t>
            </w:r>
            <w:r>
              <w:rPr>
                <w:rFonts w:ascii="Arial" w:cs="Arial" w:eastAsia="Arial" w:hAnsi="Arial"/>
                <w:sz w:val="12"/>
                <w:szCs w:val="12"/>
                <w:b w:val="1"/>
                <w:bCs w:val="1"/>
                <w:color w:val="auto"/>
                <w:w w:val="92"/>
              </w:rPr>
              <w:t>(3)</w:t>
            </w:r>
          </w:p>
        </w:tc>
        <w:tc>
          <w:tcPr>
            <w:tcW w:w="140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2"/>
              </w:rPr>
              <w:t>coverage ratio</w:t>
            </w:r>
            <w:r>
              <w:rPr>
                <w:rFonts w:ascii="Arial" w:cs="Arial" w:eastAsia="Arial" w:hAnsi="Arial"/>
                <w:sz w:val="12"/>
                <w:szCs w:val="12"/>
                <w:b w:val="1"/>
                <w:bCs w:val="1"/>
                <w:color w:val="auto"/>
                <w:w w:val="92"/>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bottom w:val="single" w:sz="8" w:color="CCEEFF"/>
            </w:tcBorders>
            <w:shd w:val="clear" w:color="auto" w:fill="000000"/>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Management Fee payable under the Investment Advisory</w:t>
            </w:r>
          </w:p>
        </w:tc>
        <w:tc>
          <w:tcPr>
            <w:tcW w:w="4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2.63</w:t>
            </w:r>
          </w:p>
        </w:tc>
        <w:tc>
          <w:tcPr>
            <w:tcW w:w="52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3.00</w:t>
            </w:r>
          </w:p>
        </w:tc>
        <w:tc>
          <w:tcPr>
            <w:tcW w:w="780" w:type="dxa"/>
            <w:vAlign w:val="bottom"/>
            <w:shd w:val="clear" w:color="auto" w:fill="CCEEFF"/>
          </w:tcPr>
          <w:p>
            <w:pPr>
              <w:jc w:val="right"/>
              <w:ind w:right="550"/>
              <w:spacing w:after="0" w:line="176" w:lineRule="exact"/>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w:t>
            </w:r>
            <w:r>
              <w:rPr>
                <w:rFonts w:ascii="Arial" w:cs="Arial" w:eastAsia="Arial" w:hAnsi="Arial"/>
                <w:sz w:val="15"/>
                <w:szCs w:val="15"/>
                <w:color w:val="auto"/>
              </w:rPr>
              <w:t>(5)</w:t>
            </w:r>
          </w:p>
        </w:tc>
        <w:tc>
          <w:tcPr>
            <w:tcW w:w="4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2"/>
          </w:tcPr>
          <w:p>
            <w:pPr>
              <w:spacing w:after="0" w:line="201" w:lineRule="exact"/>
              <w:rPr>
                <w:sz w:val="20"/>
                <w:szCs w:val="20"/>
                <w:color w:val="auto"/>
              </w:rPr>
            </w:pPr>
            <w:r>
              <w:rPr>
                <w:rFonts w:ascii="Arial" w:cs="Arial" w:eastAsia="Arial" w:hAnsi="Arial"/>
                <w:sz w:val="18"/>
                <w:szCs w:val="18"/>
                <w:color w:val="auto"/>
              </w:rPr>
              <w:t>Incentive Fee payable under the Investment Advisory</w:t>
            </w:r>
          </w:p>
        </w:tc>
        <w:tc>
          <w:tcPr>
            <w:tcW w:w="2520" w:type="dxa"/>
            <w:vAlign w:val="bottom"/>
            <w:gridSpan w:val="3"/>
          </w:tcPr>
          <w:p>
            <w:pPr>
              <w:jc w:val="right"/>
              <w:ind w:right="270"/>
              <w:spacing w:after="0" w:line="201" w:lineRule="exact"/>
              <w:rPr>
                <w:sz w:val="20"/>
                <w:szCs w:val="20"/>
                <w:color w:val="auto"/>
              </w:rPr>
            </w:pPr>
            <w:r>
              <w:rPr>
                <w:rFonts w:ascii="Arial" w:cs="Arial" w:eastAsia="Arial" w:hAnsi="Arial"/>
                <w:sz w:val="18"/>
                <w:szCs w:val="18"/>
                <w:color w:val="auto"/>
              </w:rPr>
              <w:t>2.69%</w:t>
            </w:r>
          </w:p>
        </w:tc>
        <w:tc>
          <w:tcPr>
            <w:tcW w:w="2500" w:type="dxa"/>
            <w:vAlign w:val="bottom"/>
            <w:gridSpan w:val="3"/>
          </w:tcPr>
          <w:p>
            <w:pPr>
              <w:jc w:val="right"/>
              <w:ind w:right="550"/>
              <w:spacing w:after="0" w:line="201" w:lineRule="exact"/>
              <w:rPr>
                <w:sz w:val="20"/>
                <w:szCs w:val="20"/>
                <w:color w:val="auto"/>
              </w:rPr>
            </w:pPr>
            <w:r>
              <w:rPr>
                <w:rFonts w:ascii="Arial" w:cs="Arial" w:eastAsia="Arial" w:hAnsi="Arial"/>
                <w:sz w:val="18"/>
                <w:szCs w:val="18"/>
                <w:color w:val="auto"/>
              </w:rPr>
              <w:t>2.95%</w:t>
            </w:r>
          </w:p>
        </w:tc>
        <w:tc>
          <w:tcPr>
            <w:tcW w:w="1400" w:type="dxa"/>
            <w:vAlign w:val="bottom"/>
            <w:gridSpan w:val="3"/>
          </w:tcPr>
          <w:p>
            <w:pPr>
              <w:jc w:val="right"/>
              <w:ind w:right="30"/>
              <w:spacing w:after="0" w:line="201"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Agreement</w:t>
            </w:r>
            <w:r>
              <w:rPr>
                <w:rFonts w:ascii="Arial" w:cs="Arial" w:eastAsia="Arial" w:hAnsi="Arial"/>
                <w:sz w:val="15"/>
                <w:szCs w:val="15"/>
                <w:color w:val="auto"/>
              </w:rPr>
              <w:t>(6)</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r>
              <w:rPr>
                <w:rFonts w:ascii="Arial" w:cs="Arial" w:eastAsia="Arial" w:hAnsi="Arial"/>
                <w:sz w:val="15"/>
                <w:szCs w:val="15"/>
                <w:color w:val="auto"/>
              </w:rPr>
              <w:t>(7)</w:t>
            </w:r>
          </w:p>
        </w:tc>
        <w:tc>
          <w:tcPr>
            <w:tcW w:w="25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3.81%</w:t>
            </w:r>
          </w:p>
        </w:tc>
        <w:tc>
          <w:tcPr>
            <w:tcW w:w="250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3.88%</w:t>
            </w:r>
          </w:p>
        </w:tc>
        <w:tc>
          <w:tcPr>
            <w:tcW w:w="1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expenses</w:t>
            </w:r>
            <w:r>
              <w:rPr>
                <w:rFonts w:ascii="Arial" w:cs="Arial" w:eastAsia="Arial" w:hAnsi="Arial"/>
                <w:sz w:val="15"/>
                <w:szCs w:val="15"/>
                <w:color w:val="auto"/>
              </w:rPr>
              <w:t>(8)</w:t>
            </w:r>
          </w:p>
        </w:tc>
        <w:tc>
          <w:tcPr>
            <w:tcW w:w="2520" w:type="dxa"/>
            <w:vAlign w:val="bottom"/>
            <w:gridSpan w:val="3"/>
          </w:tcPr>
          <w:p>
            <w:pPr>
              <w:jc w:val="right"/>
              <w:ind w:right="270"/>
              <w:spacing w:after="0"/>
              <w:rPr>
                <w:sz w:val="20"/>
                <w:szCs w:val="20"/>
                <w:color w:val="auto"/>
              </w:rPr>
            </w:pPr>
            <w:r>
              <w:rPr>
                <w:rFonts w:ascii="Arial" w:cs="Arial" w:eastAsia="Arial" w:hAnsi="Arial"/>
                <w:sz w:val="18"/>
                <w:szCs w:val="18"/>
                <w:color w:val="auto"/>
              </w:rPr>
              <w:t>1.55%</w:t>
            </w:r>
          </w:p>
        </w:tc>
        <w:tc>
          <w:tcPr>
            <w:tcW w:w="2500" w:type="dxa"/>
            <w:vAlign w:val="bottom"/>
            <w:gridSpan w:val="3"/>
          </w:tcPr>
          <w:p>
            <w:pPr>
              <w:jc w:val="right"/>
              <w:ind w:right="550"/>
              <w:spacing w:after="0"/>
              <w:rPr>
                <w:sz w:val="20"/>
                <w:szCs w:val="20"/>
                <w:color w:val="auto"/>
              </w:rPr>
            </w:pPr>
            <w:r>
              <w:rPr>
                <w:rFonts w:ascii="Arial" w:cs="Arial" w:eastAsia="Arial" w:hAnsi="Arial"/>
                <w:sz w:val="18"/>
                <w:szCs w:val="18"/>
                <w:color w:val="auto"/>
              </w:rPr>
              <w:t>1.68%</w:t>
            </w:r>
          </w:p>
        </w:tc>
        <w:tc>
          <w:tcPr>
            <w:tcW w:w="1400" w:type="dxa"/>
            <w:vAlign w:val="bottom"/>
            <w:gridSpan w:val="3"/>
          </w:tcPr>
          <w:p>
            <w:pPr>
              <w:jc w:val="right"/>
              <w:ind w:right="3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annual expenses</w:t>
            </w:r>
          </w:p>
        </w:tc>
        <w:tc>
          <w:tcPr>
            <w:tcW w:w="25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10.69%</w:t>
            </w:r>
          </w:p>
        </w:tc>
        <w:tc>
          <w:tcPr>
            <w:tcW w:w="250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11.51%</w:t>
            </w:r>
          </w:p>
        </w:tc>
        <w:tc>
          <w:tcPr>
            <w:tcW w:w="1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Fee waivers</w:t>
            </w:r>
            <w:r>
              <w:rPr>
                <w:rFonts w:ascii="Arial" w:cs="Arial" w:eastAsia="Arial" w:hAnsi="Arial"/>
                <w:sz w:val="15"/>
                <w:szCs w:val="15"/>
                <w:color w:val="auto"/>
              </w:rPr>
              <w:t>(9)</w:t>
            </w:r>
          </w:p>
        </w:tc>
        <w:tc>
          <w:tcPr>
            <w:tcW w:w="480" w:type="dxa"/>
            <w:vAlign w:val="bottom"/>
          </w:tcPr>
          <w:p>
            <w:pPr>
              <w:spacing w:after="0"/>
              <w:rPr>
                <w:sz w:val="18"/>
                <w:szCs w:val="18"/>
                <w:color w:val="auto"/>
              </w:rPr>
            </w:pPr>
          </w:p>
        </w:tc>
        <w:tc>
          <w:tcPr>
            <w:tcW w:w="20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1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annual expenses (net of fee waivers)</w:t>
            </w:r>
          </w:p>
        </w:tc>
        <w:tc>
          <w:tcPr>
            <w:tcW w:w="25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10.69%</w:t>
            </w:r>
          </w:p>
        </w:tc>
        <w:tc>
          <w:tcPr>
            <w:tcW w:w="250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11.51%</w:t>
            </w:r>
          </w:p>
        </w:tc>
        <w:tc>
          <w:tcPr>
            <w:tcW w:w="1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340" w:hanging="436"/>
        <w:spacing w:after="0" w:line="258"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the Company’s net assets of $1.1 billion as of June 30, 2018.</w:t>
      </w:r>
    </w:p>
    <w:p>
      <w:pPr>
        <w:spacing w:after="0" w:line="1" w:lineRule="exact"/>
        <w:rPr>
          <w:rFonts w:ascii="Arial" w:cs="Arial" w:eastAsia="Arial" w:hAnsi="Arial"/>
          <w:sz w:val="18"/>
          <w:szCs w:val="18"/>
          <w:color w:val="auto"/>
        </w:rPr>
      </w:pPr>
    </w:p>
    <w:p>
      <w:pPr>
        <w:ind w:left="640" w:right="200" w:hanging="436"/>
        <w:spacing w:after="0" w:line="261"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 this column are based on actual expenses incurred for the six months ended June 30, 2018, annualized for a full year. As of June 30, 2018, the Company’s asset coverage was 221%.</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74"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Expenses in this column are based on expenses incurred for the six months ended June 30, 2018, annualized for a full year, assuming the Company had incurred the maximum amount of borrowings that could be incurred under the existing 200% minimum asset coverage ratio.</w:t>
      </w:r>
    </w:p>
    <w:p>
      <w:pPr>
        <w:ind w:left="640" w:hanging="436"/>
        <w:spacing w:after="0" w:line="265"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Expenses in this column are based on expenses incurred for the six months ended June 30, 2018, annualized for a full year, assuming the Company had incurred the maximum amount of borrowings that could be incurred under a 150% minimum asset coverage ratio.</w:t>
      </w:r>
    </w:p>
    <w:p>
      <w:pPr>
        <w:ind w:left="640" w:right="320" w:hanging="436"/>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current base management fee is 1.5% of the average value of the Company’s gross assets (including cash and cash equivalents and assets purchased with borrowed amounts) using the values at the end of the two most recently completed calendar quarters, adjusted for any share issuances or repurchases during the period. The management fees reflected in the table are calculated by determining the ratio that the management fees for the six months ended June 30, 2018, annualized for a full year, bears to the Company’s net assets attributable to common stock (rather than gross assets).</w:t>
      </w:r>
    </w:p>
    <w:p>
      <w:pPr>
        <w:spacing w:after="0" w:line="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pro forma base management fees reflected in the table are based on total assets of $2.1 billion and $3.2 billion, respectively.</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may have capital gains and interest income that could result in the payment of an Incentive Fee to the Adviser in the twelve months after the date of this proxy statement. However, the Incentive Fee payable to the Adviser is based on the Company’s performance and will not be paid unless the Company achieves certain goals.</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9"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32" w:lineRule="exact"/>
        <w:rPr>
          <w:rFonts w:ascii="Arial" w:cs="Arial" w:eastAsia="Arial" w:hAnsi="Arial"/>
          <w:sz w:val="18"/>
          <w:szCs w:val="18"/>
          <w:color w:val="auto"/>
        </w:rPr>
      </w:pPr>
    </w:p>
    <w:p>
      <w:pPr>
        <w:jc w:val="both"/>
        <w:ind w:left="640" w:right="240"/>
        <w:spacing w:after="0" w:line="250" w:lineRule="auto"/>
        <w:rPr>
          <w:rFonts w:ascii="Arial" w:cs="Arial" w:eastAsia="Arial" w:hAnsi="Arial"/>
          <w:sz w:val="18"/>
          <w:szCs w:val="18"/>
          <w:color w:val="auto"/>
        </w:rPr>
      </w:pPr>
      <w:r>
        <w:rPr>
          <w:rFonts w:ascii="Arial" w:cs="Arial" w:eastAsia="Arial" w:hAnsi="Arial"/>
          <w:sz w:val="18"/>
          <w:szCs w:val="18"/>
          <w:color w:val="auto"/>
        </w:rPr>
        <w:t>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1" w:lineRule="exact"/>
        <w:rPr>
          <w:rFonts w:ascii="Arial" w:cs="Arial" w:eastAsia="Arial" w:hAnsi="Arial"/>
          <w:sz w:val="18"/>
          <w:szCs w:val="18"/>
          <w:color w:val="auto"/>
        </w:rPr>
      </w:pPr>
    </w:p>
    <w:p>
      <w:pPr>
        <w:ind w:left="640" w:right="100"/>
        <w:spacing w:after="0" w:line="265" w:lineRule="auto"/>
        <w:rPr>
          <w:rFonts w:ascii="Arial" w:cs="Arial" w:eastAsia="Arial" w:hAnsi="Arial"/>
          <w:sz w:val="18"/>
          <w:szCs w:val="18"/>
          <w:color w:val="auto"/>
        </w:rPr>
      </w:pPr>
      <w:r>
        <w:rPr>
          <w:rFonts w:ascii="Arial" w:cs="Arial" w:eastAsia="Arial" w:hAnsi="Arial"/>
          <w:sz w:val="17"/>
          <w:szCs w:val="17"/>
          <w:color w:val="auto"/>
        </w:rPr>
        <w:t>The second component, or the “Capital Gains Fee”,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The Company accrues, but does not pay, a Capital Gains Fee with respect to unrealized appreciation because a Capital Gains Fee would be owed to the Adviser if the Company were to sell the relevant investment and realize a capital gain.</w:t>
      </w:r>
    </w:p>
    <w:p>
      <w:pPr>
        <w:spacing w:after="0" w:line="1" w:lineRule="exact"/>
        <w:rPr>
          <w:rFonts w:ascii="Arial" w:cs="Arial" w:eastAsia="Arial" w:hAnsi="Arial"/>
          <w:sz w:val="18"/>
          <w:szCs w:val="18"/>
          <w:color w:val="auto"/>
        </w:rPr>
      </w:pPr>
    </w:p>
    <w:p>
      <w:pPr>
        <w:ind w:left="640" w:right="380"/>
        <w:spacing w:after="0" w:line="265" w:lineRule="auto"/>
        <w:rPr>
          <w:rFonts w:ascii="Arial" w:cs="Arial" w:eastAsia="Arial" w:hAnsi="Arial"/>
          <w:sz w:val="18"/>
          <w:szCs w:val="18"/>
          <w:color w:val="auto"/>
        </w:rPr>
      </w:pPr>
      <w:r>
        <w:rPr>
          <w:rFonts w:ascii="Arial" w:cs="Arial" w:eastAsia="Arial" w:hAnsi="Arial"/>
          <w:sz w:val="17"/>
          <w:szCs w:val="17"/>
          <w:color w:val="auto"/>
        </w:rPr>
        <w:t>The incentive fees reflected in the table are calculated by determining the ratio that the incentive fees for the six months ended June 30, 2018, annualized for a full year, bears to the Company’s net assets attributable to common stock (rather than gross assets).</w:t>
      </w:r>
    </w:p>
    <w:p>
      <w:pPr>
        <w:ind w:left="640" w:right="60"/>
        <w:spacing w:after="0" w:line="250" w:lineRule="auto"/>
        <w:rPr>
          <w:rFonts w:ascii="Arial" w:cs="Arial" w:eastAsia="Arial" w:hAnsi="Arial"/>
          <w:sz w:val="18"/>
          <w:szCs w:val="18"/>
          <w:color w:val="auto"/>
        </w:rPr>
      </w:pPr>
      <w:r>
        <w:rPr>
          <w:rFonts w:ascii="Arial" w:cs="Arial" w:eastAsia="Arial" w:hAnsi="Arial"/>
          <w:sz w:val="18"/>
          <w:szCs w:val="18"/>
          <w:color w:val="auto"/>
        </w:rPr>
        <w:t>In calculating the pro forma incentive fees for the six months ended June 30, 2018 as a result of the Company’s incurring additional borrowings, the Company has assumed that the same weighted-average yield that was earned on the investments held during the six months ended June 30, 2018 is generated on incremental investments made using proceeds from such additional borrowings. For example, the pro forma total investment income for the six months ended June 30, 2018 is calculated by applying the ratio of “total investment income” for the six months ended June 30, 2018 to “total investments at fair value” as of June 30, 2018 to the pro forma assets as of June 30, 2018. This same ratio is used to calculate other pro forma expenses for the six months ended June 30, 2018, such as professional fees, directors’ fees and other general and administrative expenses.</w:t>
      </w:r>
    </w:p>
    <w:p>
      <w:pPr>
        <w:spacing w:after="0" w:line="3" w:lineRule="exact"/>
        <w:rPr>
          <w:rFonts w:ascii="Arial" w:cs="Arial" w:eastAsia="Arial" w:hAnsi="Arial"/>
          <w:sz w:val="18"/>
          <w:szCs w:val="18"/>
          <w:color w:val="auto"/>
        </w:rPr>
      </w:pPr>
    </w:p>
    <w:p>
      <w:pPr>
        <w:ind w:left="640" w:right="240" w:hanging="436"/>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payments on borrowed funds is based on interest expense for the six months ended June 30, 2018, annualized for a full year, under the Company’s credit facilities excluding fees (such as fees on undrawn amounts and amortization of upfront fees) and including the swap-adjusted interest expense related to the Company’s outstanding notes.</w:t>
      </w:r>
    </w:p>
    <w:p>
      <w:pPr>
        <w:spacing w:after="0" w:line="1" w:lineRule="exact"/>
        <w:rPr>
          <w:rFonts w:ascii="Arial" w:cs="Arial" w:eastAsia="Arial" w:hAnsi="Arial"/>
          <w:sz w:val="18"/>
          <w:szCs w:val="18"/>
          <w:color w:val="auto"/>
        </w:rPr>
      </w:pPr>
    </w:p>
    <w:p>
      <w:pPr>
        <w:ind w:left="640" w:right="300"/>
        <w:spacing w:after="0" w:line="277" w:lineRule="auto"/>
        <w:rPr>
          <w:rFonts w:ascii="Arial" w:cs="Arial" w:eastAsia="Arial" w:hAnsi="Arial"/>
          <w:sz w:val="18"/>
          <w:szCs w:val="18"/>
          <w:color w:val="auto"/>
        </w:rPr>
      </w:pPr>
      <w:r>
        <w:rPr>
          <w:rFonts w:ascii="Arial" w:cs="Arial" w:eastAsia="Arial" w:hAnsi="Arial"/>
          <w:sz w:val="17"/>
          <w:szCs w:val="17"/>
          <w:color w:val="auto"/>
        </w:rPr>
        <w:t>For the six months ended June 30, 2018, the weighted average interest rate on the Company’s debt was 3.88%. In calculating the pro forma interest payments on borrowed funds for the six months ended June 30, 2018 as a result of the Company’s incurring additional borrowings, the Company has assumed that interest costs will remain similar to those prior to approval of this proposal.</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540"/>
        <w:spacing w:after="0" w:line="291" w:lineRule="auto"/>
        <w:rPr>
          <w:sz w:val="20"/>
          <w:szCs w:val="20"/>
          <w:color w:val="auto"/>
        </w:rPr>
      </w:pPr>
      <w:r>
        <w:rPr>
          <w:rFonts w:ascii="Arial" w:cs="Arial" w:eastAsia="Arial" w:hAnsi="Arial"/>
          <w:sz w:val="16"/>
          <w:szCs w:val="16"/>
          <w:color w:val="auto"/>
        </w:rPr>
        <w:t>The Company may borrow additional funds from time to time to make investments to the extent it determines that the economic situation is conducive to doing so. The Company’s stockholders indirectly bear the costs of borrowings under any debt instruments it may enter into.</w:t>
      </w:r>
    </w:p>
    <w:p>
      <w:pPr>
        <w:ind w:left="640" w:right="120" w:hanging="436"/>
        <w:spacing w:after="0" w:line="265"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overhead expenses, such as payments under the Administration Agreement for certain expenses incurred by the Adviser, and excise taxes. The expenses in this table are based on actual other expenses and excise taxes for the six months ended June 30, 2018, annualized for a full year. Refer to note (6) above for the calculation of pro forma expenses for the six months ended June 30, 2018.</w:t>
      </w:r>
    </w:p>
    <w:p>
      <w:pPr>
        <w:ind w:left="640" w:right="140" w:hanging="436"/>
        <w:spacing w:after="0" w:line="25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“150% minimum asset coverage ratio” pro forma column reflects the Adviser’s waiver of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 The fee waiver will be permanent and will have the effect of reducing the Management Fee payable to the Adviser from 1.5% to 1.0% on all assets financed using more leverage than the Company currently is permitted to incur under the existing 200% asset coverage ratio.</w:t>
      </w:r>
    </w:p>
    <w:p>
      <w:pPr>
        <w:spacing w:after="0" w:line="30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Example</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The following example demonstrates the projected dollar amount of total cumulative expenses over various periods with respect to a hypothetical investment in the Company’s common stock, assuming (1) the Company’s actual borrowings, (2) the Company incurs the maximum amount of borrowings under the existing minimum asset coverage ratio of 200% and (3) the Company incurs the maximum amount of borrowings under a minimum asset coverage ratio of 150%. In calculating the following expense amounts, the Company has assumed that its annual operating expenses would remain at the levels set forth in the table above, except for the Incentive Fee. Transaction expenses are not included in the following example.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An investor would pay the following expenses on a $1,000 common stock investment, assuming a 5% annual return from realized capital gains:</w:t>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gridSpan w:val="3"/>
          </w:tcPr>
          <w:p>
            <w:pPr>
              <w:ind w:left="360"/>
              <w:spacing w:after="0"/>
              <w:rPr>
                <w:sz w:val="20"/>
                <w:szCs w:val="20"/>
                <w:color w:val="auto"/>
              </w:rPr>
            </w:pPr>
            <w:r>
              <w:rPr>
                <w:rFonts w:ascii="Arial" w:cs="Arial" w:eastAsia="Arial" w:hAnsi="Arial"/>
                <w:sz w:val="14"/>
                <w:szCs w:val="14"/>
                <w:b w:val="1"/>
                <w:bCs w:val="1"/>
                <w:color w:val="auto"/>
                <w:w w:val="86"/>
              </w:rPr>
              <w:t>3 years</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5 years</w:t>
            </w:r>
          </w:p>
        </w:tc>
        <w:tc>
          <w:tcPr>
            <w:tcW w:w="940" w:type="dxa"/>
            <w:vAlign w:val="bottom"/>
            <w:gridSpan w:val="4"/>
          </w:tcPr>
          <w:p>
            <w:pPr>
              <w:ind w:left="360"/>
              <w:spacing w:after="0"/>
              <w:rPr>
                <w:sz w:val="20"/>
                <w:szCs w:val="20"/>
                <w:color w:val="auto"/>
              </w:rPr>
            </w:pPr>
            <w:r>
              <w:rPr>
                <w:rFonts w:ascii="Arial" w:cs="Arial" w:eastAsia="Arial" w:hAnsi="Arial"/>
                <w:sz w:val="14"/>
                <w:szCs w:val="14"/>
                <w:b w:val="1"/>
                <w:bCs w:val="1"/>
                <w:color w:val="auto"/>
                <w:w w:val="99"/>
              </w:rPr>
              <w:t>10 years</w:t>
            </w: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Based on the Actual Borrowings as of June 30, 2018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840" w:type="dxa"/>
            <w:vAlign w:val="bottom"/>
          </w:tcPr>
          <w:p>
            <w:pPr>
              <w:spacing w:after="0" w:line="201" w:lineRule="exact"/>
              <w:rPr>
                <w:sz w:val="20"/>
                <w:szCs w:val="20"/>
                <w:color w:val="auto"/>
              </w:rPr>
            </w:pPr>
            <w:r>
              <w:rPr>
                <w:rFonts w:ascii="Arial" w:cs="Arial" w:eastAsia="Arial" w:hAnsi="Arial"/>
                <w:sz w:val="18"/>
                <w:szCs w:val="18"/>
                <w:color w:val="auto"/>
                <w:w w:val="99"/>
              </w:rPr>
              <w:t>Pro Forma Assuming Maximum Borrowings Permitted Based on the Existing 200% Minimum Asset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Coverage Ratio</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94</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271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432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3"/>
              </w:rPr>
              <w:t>Pro Forma Assuming Maximum Borrowings Permitted Based on a 150% Minimum Asset Coverage Ratio</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152</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619</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the Company’s common stock will bear directly or indirectly. While the example assumes, as required by the SEC, a 5% annual return, the Company’s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the Company’s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the Company achieves sufficient returns on investments, including through the realization of capital gains, to trigger an Incentive Fee of a material amount, expenses, and returns to investors, would be higher. In addition, while the example assumes reinvestment of all dividends and distributions at net asset value, under certain circumstances, reinvestment of dividends and other distributions under the Company’s dividend reinvestment plan may occur at a price per share that differs from net asset value.</w:t>
      </w:r>
    </w:p>
    <w:p>
      <w:pPr>
        <w:spacing w:after="0" w:line="18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While the pro forma examples in the above tables assume the maximum amount of borrowings under minimum asset coverage ratios of 200% and 150%, the Company believes that any use of increased leverage will generally depend on market conditions at the applicable time and management, in consultation with the Board,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will determine the appropriate level of leverage for the Company based on a variety of factors. As such, even if the proposal is approved, the Company may continue to operate with lower levels of leverage (i.e., higher asset coverage ratios).</w:t>
      </w:r>
    </w:p>
    <w:p>
      <w:pPr>
        <w:spacing w:after="0" w:line="166" w:lineRule="exact"/>
        <w:rPr>
          <w:sz w:val="20"/>
          <w:szCs w:val="20"/>
          <w:color w:val="auto"/>
        </w:rPr>
      </w:pPr>
    </w:p>
    <w:p>
      <w:pPr>
        <w:ind w:left="200" w:right="500" w:firstLine="441"/>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future expenses, and actual expenses (including the cost of debt, if any, and other expenses) may be greater or less than those shown.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 and Rationale for the Proposal</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Board has approved this proposal as in the best interests of the Company and its stockholders and recommends it to the stockholders for their approval.</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Board believes that authorizing the Company to increase its leverage limitation under the 1940 Act earlier than August 1, 2019 is in the best interests of the Company and its stockholders. In coming to this conclusion, the Board considered and evaluated various factors, including but not limited to the following:</w:t>
      </w:r>
    </w:p>
    <w:p>
      <w:pPr>
        <w:spacing w:after="0" w:line="87" w:lineRule="exact"/>
        <w:rPr>
          <w:sz w:val="20"/>
          <w:szCs w:val="20"/>
          <w:color w:val="auto"/>
        </w:rPr>
      </w:pPr>
    </w:p>
    <w:p>
      <w:pPr>
        <w:ind w:left="1060" w:right="46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increase the regulatory cushion through a lower minimum asset coverage requirement reduces risks from adverse market movements;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impact on returns on equity, and the relative benefits of increasing the fundamental earnings power of the business compared to the risks associated with greater leverage;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risks relative to the benefits associated with the use of increased leverage;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on fees payable under the Investment Advisory Agreement and other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greater investment opportunities due to having additional flexibility to manage capital resources;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take advantage of attractive investment and acquisition opportunities due to market conditions;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current middle market direct lending landscape.</w:t>
      </w:r>
    </w:p>
    <w:p>
      <w:pPr>
        <w:spacing w:after="0" w:line="333"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Ability to Increase the Regulatory Cushion Through a Lower Minimum Asset Coverage Requirement Reduces Risks from Adverse Market Movements</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application of the 150% minimum asset coverage ratio would enable the Company to better withstand potential adverse market movements while still meeting its asset coverage requirements. For example, as of June 30, 2018, the Company’s asset coverage ratio was 221%, which, under the current 200% minimum asset coverage ratio, provided a 9.6% cushion based on fair value of investments. Under a 150% minimum asset coverage ratio, all else being equal, that cushion would be 32.2% based on fair value of investments.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Company believes lowering the minimum asset coverage requirement provides meaningful regulatory relief to the Company as it removes the most significant existential or outside risk that a BDC structure faces — the risk that broader market events and individual portfolio company specific credit issues puts downward pressure on the fair value of investments that could result in a breach of statutory asset coverage requirements. Such a breach could severely limit the ability of a BDC to operate, constraining further borrowings and, as a result, the ability to pay distributions to stockholders and interest to lenders. The relief provided through the lower asset coverage requirement increases the regulatory cushion, or room above the minimum asset coverage requirement, available to the Company, meaning that the amount of decline in the fair value of assets that can be absorbed before the asset coverage requirement is breached is significantly expanded. As a result, the Company believes the relief represents a positive development for stockholders.</w:t>
      </w:r>
    </w:p>
    <w:p>
      <w:pPr>
        <w:spacing w:after="0" w:line="192"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table below illustrates the change in expected cushion based on the company’s existing target leverage range and revised target leverage range upon effectiveness of a 150% asset coverage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134620</wp:posOffset>
            </wp:positionV>
            <wp:extent cx="4776470" cy="2238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7647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Potential Impact on Returns on Equity and the Relative Benefits of Increasing the Fundamental Earnings Power of the Business Compared to the Risks Associated with Greater Leverage</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Board considered the potential impact of additional leverage on the Company’s net investment income and discussed how access to greater leverage has the potential to increase and sustain the Company’s investment yield and returns to common stockholders. Funds that use leverage generally aim to earn an investment return on money raised through leverage that exceeds the costs of leveraging, and thereby to increase returns to common stockholders. The Board discussed that any investment returns in excess of the costs of leverage would benefit the holders of the common stock; however, to the extent the costs of leverage exceed such investment returns, those costs would be borne by and reduce the returns to the holders of the common stock.</w:t>
      </w:r>
    </w:p>
    <w:p>
      <w:pPr>
        <w:spacing w:after="0" w:line="19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table illustrates the Company’s ability to continue its current dividend policy at differing levels of leverage (debt-to-equity) and credit losses by comparing the Company’s dividend yields for the twelve months ended June 30, 2018 to illustrative annual returns on equity (“ROEs”) under various scenarios, which are based on the assumptions set forth in the notes to the table:</w:t>
      </w:r>
    </w:p>
    <w:p>
      <w:pPr>
        <w:spacing w:after="0" w:line="87"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Cells in green show scenarios where ROEs would exceed the total dividend yield (including base and supplemental dividends) of 10.0%.</w:t>
      </w:r>
    </w:p>
    <w:p>
      <w:pPr>
        <w:spacing w:after="0" w:line="153" w:lineRule="exact"/>
        <w:rPr>
          <w:rFonts w:ascii="Arial" w:cs="Arial" w:eastAsia="Arial" w:hAnsi="Arial"/>
          <w:sz w:val="16"/>
          <w:szCs w:val="16"/>
          <w:color w:val="auto"/>
        </w:rPr>
      </w:pPr>
    </w:p>
    <w:p>
      <w:pPr>
        <w:ind w:left="1060" w:right="100" w:hanging="424"/>
        <w:spacing w:after="0" w:line="34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Cells in orange show scenarios where ROEs would exceed the base dividend yield of 8.7%. Because the Company’s supplemental dividend rate varies based on portfolio return each quarter, no change to the Company’s current dividend framework would be required.</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Cells in yellow show scenarios where ROEs would be less than the base dividend yield. These scenarios would require a reduction in the Company’s current base dividend.</w:t>
      </w:r>
    </w:p>
    <w:p>
      <w:pPr>
        <w:spacing w:after="0" w:line="75"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Cells in red show scenarios where ROEs would be less than zero. In these scenarios, the Company would consider taking additional measures to preserve the value of the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-19050</wp:posOffset>
            </wp:positionV>
            <wp:extent cx="4707890" cy="3112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07890" cy="311277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Illustrative ROE based on all-in yield on assets of 11.9%, operating expenses of 0.60% on assets, cost of debt of 5.05% and the Company’s existing fee structure (1.5% management fee and 17.5% incentive fee), without the impact of any fee waivers, in each case based on the debt-to-equity ratio shown in the table above.</w:t>
      </w:r>
    </w:p>
    <w:p>
      <w:pPr>
        <w:spacing w:after="0" w:line="73" w:lineRule="exact"/>
        <w:rPr>
          <w:sz w:val="20"/>
          <w:szCs w:val="20"/>
          <w:color w:val="auto"/>
        </w:rPr>
      </w:pPr>
    </w:p>
    <w:p>
      <w:pPr>
        <w:sectPr>
          <w:pgSz w:w="11900" w:h="16838" w:orient="portrait"/>
          <w:cols w:equalWidth="0" w:num="2">
            <w:col w:w="680" w:space="400"/>
            <w:col w:w="10100"/>
          </w:cols>
          <w:pgMar w:left="240" w:top="459" w:right="47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The ROE impact of credit losses on portfolio is based on the debt-to-equity ratio shown in the table above.</w:t>
      </w:r>
    </w:p>
    <w:p>
      <w:pPr>
        <w:spacing w:after="0" w:line="117" w:lineRule="exact"/>
        <w:rPr>
          <w:sz w:val="20"/>
          <w:szCs w:val="20"/>
          <w:color w:val="auto"/>
        </w:rPr>
      </w:pPr>
    </w:p>
    <w:p>
      <w:pPr>
        <w:ind w:left="1080" w:right="240"/>
        <w:spacing w:after="0" w:line="264" w:lineRule="auto"/>
        <w:rPr>
          <w:sz w:val="20"/>
          <w:szCs w:val="20"/>
          <w:color w:val="auto"/>
        </w:rPr>
      </w:pPr>
      <w:r>
        <w:rPr>
          <w:rFonts w:ascii="Arial" w:cs="Arial" w:eastAsia="Arial" w:hAnsi="Arial"/>
          <w:sz w:val="18"/>
          <w:szCs w:val="18"/>
          <w:color w:val="auto"/>
        </w:rPr>
        <w:t>Dividend Yield calculated based on base dividends paid of $1.56 per share for the twelve month period ended June 30, 2018 and supplemental dividends of $0.24 per share paid during the twelve month period ended June 30, 2018, divided by 6/29/2018 closing stock price of $17.94.</w:t>
      </w:r>
    </w:p>
    <w:p>
      <w:pPr>
        <w:sectPr>
          <w:pgSz w:w="11900" w:h="16838" w:orient="portrait"/>
          <w:cols w:equalWidth="0" w:num="1">
            <w:col w:w="11180"/>
          </w:cols>
          <w:pgMar w:left="240" w:top="459" w:right="479" w:bottom="1440" w:gutter="0" w:footer="0" w:header="0"/>
          <w:type w:val="continuous"/>
        </w:sectPr>
      </w:pP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indicated in the table above, assuming a limited level of credit losses, if the Company were to operate at the top end of its target leverage range (1.25x debt-to-equity) under its revised financial policy, the additional leverage would add approximately 150-250 basis points of annual ROE, compared to operating at 0.75x debt-to-equity.</w:t>
      </w:r>
    </w:p>
    <w:p>
      <w:pPr>
        <w:spacing w:after="0" w:line="181"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In addition, as marked in the table, the Company’s analysis shows that, all else being equal, additional leverage would be accretive to ROEs at levels of annual credit losses up to approximately 4.00% in any given year (in other words, ROE is higher at higher levels of leverage at all levels of annual credit losses up to approximately 4.00%). Since the Company began investing activities in 2011, it has experienced average annualized net realized gains of approximately 48 basis points.</w:t>
      </w:r>
    </w:p>
    <w:p>
      <w:pPr>
        <w:spacing w:after="0" w:line="18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Finally, operating at the top end of the Company’s target leverage range under its revised financial policy would provide incremental cushion to the Company’s current base dividend level, as annual credit losses could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increase by approximately 50% (as compared to operating at 0.75x leverage) and the Company would still be able to maintain its current base dividend level of $0.39 per share per quarter. In other words, as shown in the table, when operating at 0.75x leverage, the Company could experience credit losses of up to approximately 1.50% before requiring a reduction in the existing base dividend, as compared to credit losses of up to approximately 2.00% when operating at 1.25x leverage.</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for the twelve months ended June 30, 2018, the Company declared total dividends of $1.79 per share of its common stock. Although the Company will continue to seek to generate income sufficient to pay dividends in the future, the proceeds of future debt offerings, and the investments thereof, could enable the Company to maintain and possibly grow its dividends, which may include a return of capital.</w:t>
      </w:r>
    </w:p>
    <w:p>
      <w:pPr>
        <w:spacing w:after="0" w:line="18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Adviser informed the Board that the Company would only expect to incur additional indebtedness if the Adviser believes that, over time, the costs of carrying the assets to be acquired through leverage are likely to be lower than the Company’s expected incremental investment yield and returns on equity.</w:t>
      </w:r>
    </w:p>
    <w:p>
      <w:pPr>
        <w:spacing w:after="0" w:line="18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While no assurances can be given that the investment yield and returns on equity attributable to borrowing would exceed the costs of such leverage, the Board concluded that the benefits of increased leverage outweigh the risks.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Risks Relative to the Benefits Associated With the Use of Increased Leverage</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Board considered how increased leverage could increase the risks associated with investing in the Company’s common stock. For example, if the value of the Company’s assets decreases, leverage will cause the Company’s net asset value to decline more sharply than it otherwise would have without leverage or with lower leverage, increasing the risk of investing in the Company’s common stock. Similarly, any decrease in the Company’s revenue would cause its net income to decline more sharply than it would have if the Company had not borrowed or had borrowed less. In addition, the Company would have to service any additional debt that it incurs, including interest expense on debt and dividends on preferred stock, that the Company may issue, as well as the fees and costs related to the entry into or amendments to debt facilities. These expenses (which may be higher than the expenses on the Company’s current borrowings due to the rising interest rate environment) would decrease net investment income, and the Company’s ability to pay such expenses will depend largely on the Company’s financial performance and will be subject to prevailing economic conditions and competitive pressures.</w:t>
      </w:r>
    </w:p>
    <w:p>
      <w:pPr>
        <w:spacing w:after="0" w:line="19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Since the Company already uses leverage in optimizing its investment portfolio, there are no material new risks associated with the moderate change in financial policy through the increase and expansion of the target leverage range. As a result, the Board concluded that the potential benefits of increased leverage outweigh these risks. Management also discussed with the Board its plan to continue the Company’s current investment strategy and framework and ensure that the Company maintains sound risk management processes to navigate the risks associated with expanded leverage. To that end, the Board established a formal risk management committee, whose purpose is to assist the Board in its oversight of the Company’s overall risk tolerance and management of capital, liquidity, and funding planning and strategy. The charter of this newly established committee has also been published and is available on the Company’s website.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Impact on Fees Payable under the Investment Advisory Agreement and Other Expenses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Board considered the impact of the use of higher leverage on the Company’s base management fee and incentive fee payable to the Adviser, noting that additional leverage would increase the base management fee and could increase the incentive fees.</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incentive fees payable by the Company to the Adviser may create an incentive for the Adviser to pursue investments that are riskier or more speculative than would be the case in the absence of such compensation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arrangement. The incentive fees payable to the Adviser are calculated based on a percentage of the Company’s pre-incentive fee net investment income in excess of a quarterly “hurdle rate” expressed as a rate of return on the value of the Company’s net assets at the end of the immediately preceding calendar quarter. Accordingly, because an increase in leverage would increase gross assets and may increase net investment income without increasing net assets, an increase in leverage would magnify positive returns, increasing the likelihood that the Company would meet or exceed the hurdle rate applicable to the incentive fee based on interest income, which may result in an increase in the amount of incentive fee payable to the Adviser.</w:t>
      </w:r>
    </w:p>
    <w:p>
      <w:pPr>
        <w:spacing w:after="0" w:line="15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base management fee payable to the Adviser pursuant to the Investment Advisory Agreement is currently calculated at an annual rate of 1.5% (0.375% per quarter) of the average value of the Company’s gross assets (including cash and cash equivalents and assets purchased with borrowed amounts) using the values at the end of the two most recently completed calendar quarters, adjusted for any share issuances or repurchases during the period. As such, incurring additional leverage would increase the management fee payable to the Adviser.</w:t>
      </w:r>
    </w:p>
    <w:p>
      <w:pPr>
        <w:spacing w:after="0" w:line="17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Adviser intends to waive a portion of the Management Fee payable under the Company’s Investment Advisory Agreement by reducing the Management Fee on assets financed using leverage over 200% asset coverage (in other words, over 1.0x debt-to-equity). Currently, the Management Fee payable to the Adviser is an annual rate of 1.5%, based on the average value of the Company’s gross assets calculated using the values at the end of the two most recently completed calendar quarters, adjusted for any share issuances or repurchases during the period.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 The fee waiver will be permanent and will have the effect of reducing the Management Fee payable to the Adviser from 1.5% to 1.0% on assets financed using greater leverage than the Company currently is permitted to incur under the existing 200% asset coverage ratio.</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Since the Company already uses leverage in optimizing its investment portfolio, there are no material new risks associated with increased leverage on the base management and incentive fees payable to the Adviser or the Adviser’s incentives. The Adviser also informed the Board that it intends to manage the Company in the same disciplined manner as it has prior to the effectiveness of the lower minimum asset coverage ratio. The Board also noted that sourcing additional investment opportunities to deploy any additional capital will require additional time and effort on the part of the Adviser and its investment personnel.</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for Greater Investment Opportunities Due to Having Additional Flexibility to Manage Capital Resources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By increasing the Company’s maximum permitted leverage, the application of the 150% minimum asset coverage ratio would provide the Company with larger capital resources. Based on the Company’s balance sheet as of June 30, 2018, reducing the minimum asset coverage ratio from 200% to 150% would allow the Company to borrow approximately $1.2 billion in additional capital, subject to compliance with the covenants under its debt facilities. With more capital to make investments, the Company could be a more meaningful capital provider and such additional capital would allow it to compete more effectively for high-quality investment opportunities. The greater deal flow would also enable the Company to participate more meaningfully in the private debt markets and to make larger loans to its portfolio companies with no loss of diversification of the overall portfolio.</w:t>
      </w:r>
    </w:p>
    <w:p>
      <w:pPr>
        <w:spacing w:after="0" w:line="165" w:lineRule="exact"/>
        <w:rPr>
          <w:sz w:val="20"/>
          <w:szCs w:val="20"/>
          <w:color w:val="auto"/>
        </w:rPr>
      </w:pPr>
    </w:p>
    <w:p>
      <w:pPr>
        <w:ind w:left="200" w:right="480" w:firstLine="441"/>
        <w:spacing w:after="0" w:line="279" w:lineRule="auto"/>
        <w:rPr>
          <w:sz w:val="20"/>
          <w:szCs w:val="20"/>
          <w:color w:val="auto"/>
        </w:rPr>
      </w:pPr>
      <w:r>
        <w:rPr>
          <w:rFonts w:ascii="Arial" w:cs="Arial" w:eastAsia="Arial" w:hAnsi="Arial"/>
          <w:sz w:val="17"/>
          <w:szCs w:val="17"/>
          <w:color w:val="auto"/>
        </w:rPr>
        <w:t>The Company plans to raise its incremental leverage gradually and grow assets over time by entering into investments that enhance the diversification profile of its portfolio when the Company believes there are attractive market opportunities. At this new target leverage range, the Company believes it will be able to maintain its investment grade ratings. Outside of this change to the Company’s target debt-to-equity range, the Company does not plan to make any changes to its investment strategy, dividend framework or funding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approach. The Company will continue to focus on directly originated, first lien senior secured investments with attractive risk-adjusted returns.</w:t>
      </w:r>
    </w:p>
    <w:p>
      <w:pPr>
        <w:spacing w:after="0" w:line="23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Board noted that approximately 93% of the Company’s total assets at fair value were invested in first-lien debt as of June 30, 2018, and that a portfolio comprised of such assets is well suited to take advantage of additional leverage. As a result, with additional leverage, the Company may continue to seek investments in lower risk, lower yielding loans. The Board further noted that the increase in total assets available for investment as a result of incurring additional leverage would increase the assets available for investment in assets considered “non-qualifying assets” for purposes of Section 55 of the 1940 Act, which will also give the Company greater flexibility when evaluating investment opportunities.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Ability to Take Advantage of Attractive Investment and Acquisition Opportunities Due to Market Conditions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Board considered that the capital raised through additional debt financing may help the Company generate additional investment and acquisition opportunities and would allow the Company to better manage its capital and to only undertake equity capital raises when market conditions are optimal for doing so.</w:t>
      </w:r>
    </w:p>
    <w:p>
      <w:pPr>
        <w:spacing w:after="0" w:line="18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net asset value per share.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7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While market conditions have largely recovered from the events of 2008 and 2009, there have been continuing periods of volatility, some lasting longer than others. In particular, the Company has seen periods during the last few years where BDCs, including the Company, have traded below net asset value per share due to such stock market volatility. While the Company’s shares of common stock are currently trading above net asset value per share, there can be no assurance that they will continue to do so and there can be no assurance that these adverse market conditions will not repeat themselves or worsen in the future. If adverse market conditions re-occur or increase in severity and duration prior to August 1, 2019, the Company may not have access to sufficient equity capital in order to maintain compliance with the current 200% minimum asset coverage ratio and take advantage of attractive investment opportunities that are created during these periods. In addition, the equity capital that will be available, if any, may be available only at an issuance price below net asset value per share. Stockholder approval of this proposal would provide the Company with the flexibility, prior to August 1, 2019, to raise additional debt capital to invest in such attractive investment opportunities, which typically need to be made expeditiously.</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Current Middle Market Direct Lending Landscape</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Board considered the middle market direct lending landscape in which the Company operates. The Company’s primary competitors in providing financing to middle-market companies include public and private entities, other BDCs, commercial banks, commercial financing companies and insurance companies. Many of the Company’s competitors are substantially larger and have considerably greater financial, technical and marketing resources than the Company. For example, some competitors may have a lower cost of funds and access to</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funding sources that will not be available to the Company. In addition, some competitors may have higher risk tolerances or different risk assessments than the Company, which could allow them to consider a wider variety of investments than the Company. Furthermore, many of the Company’s competitors are not subject to the regulatory restrictions to which the Company is subject under the 1940 Act. Enabling the Company to incur additional indebtedness is expected to increase the competitiveness of the Company. Moreover, if other BDCs take advantage of the ability to incur additional indebtedness and the Company does not have the flexibility to do so, its competitiveness relative to such BDCs may be reduced.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result, the Board concluded that the potential benefits of increased leverage outweigh these risks.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Company’s Revolving Credit Facility currently contains a covenant limiting the Company’s minimum asset coverage ratio to 200%. The Company plans to seek an amendment to the facility to lower the covenant ratio to 150% but the Company may not be able to amend its Revolving Credit Facility to change this covenant and take advantage of the benefits described above, and even if the Company is successful in amending the credit facility, it will incur costs to do so and the other terms of such amended facility, such as interest rate, may not be as favorable to the Company as the current terms. An inability on the part of the Company to amend the contractual asset coverage limitation and access additional leverage could limit the Company’s ability to take advantage of the benefits described above related to its ability to incur additional leverage. Amendments to the Revolving Credit Facility to reduce the asset coverage covenant in the Revolving Credit Facility may result in the lenders demanding higher interest rates being applied to the borrowings under the facility, which, in turn, would increase the Company’s borrowing costs and limit the benefits of increased leverage.</w:t>
      </w:r>
    </w:p>
    <w:p>
      <w:pPr>
        <w:spacing w:after="0" w:line="166"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Board also noted that holders of any senior securities, including any additional senior securities that the Company may be able to issue as a result of the reduced asset coverage requirements, will have fixed-dollar claims on the Company’s assets that are superior to the claims of the stockholders. As a result, in the case of a liquidation event, holders of these senior securities would receive proceeds to the extent of their fixed claims before any distributions are made to the stockholders, and the issuance of additional senior securities may result in fewer proceeds remaining for distribution to the stockholders if the assets purchased with the capital raised from such issuances decline in value.</w:t>
      </w:r>
    </w:p>
    <w:p>
      <w:pPr>
        <w:spacing w:after="0" w:line="173"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Upon approval of the application of the 150% minimum asset coverage ratio to the Company, the Company will need to comply with additional disclosure requirements, including with respect to both current reports on Form 8-K and ongoing periodic reports on Form 10-Q and Form 10-K. The Board noted that, based on discussions with the Adviser, none of these requirements are burdensome and the additional disclosure is appropriate.</w:t>
      </w:r>
    </w:p>
    <w:p>
      <w:pPr>
        <w:spacing w:after="0" w:line="147"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Based on its consideration of each of the above factors and such other information as the Board deemed relevant, the Board concluded that this proposal is in the best interests of the Company and the stockholders and recommended that the stockholders approve this proposal.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proposal. For the proposal, “abstain” votes and broker non-votes, if any, will count as shares represented at the meeting for purpose of establishing a quorum but will have no effect on the outcome of the vote.</w:t>
      </w:r>
    </w:p>
    <w:p>
      <w:pPr>
        <w:spacing w:after="0" w:line="177"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b w:val="1"/>
          <w:bCs w:val="1"/>
          <w:color w:val="auto"/>
        </w:rPr>
        <w:t>The Board recommends voting FOR this proposal to allow the Company to increase leverage by approving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2019 ANNUAL MEETING OF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2019 annual meeting of stockholders pursuant to Rule 14a-8 of the SEC’s rules must be received by us at our principal executive offices no later than December 4, 2018.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Jennifer Gordon, TPG Specialty Lending, Inc., 301 Commerce Street, Suite 3300, Fort Worth, TX 76102.</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2019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Our Bylaws require that the proposal or recommendation for nomination must be received by our Secretary at our principal executive offices at the above address no later than February 16, 2019, unless the date of our 2019 annual meeting is more than 30 days before or more than 60 days after May 17, 2019, the anniversary of our 2018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2017 to any stockholder upon request. Requests should be directed to the Secretary of the Company, Jennifer Gordon,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IRTSL@tpg.com.</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1" w:lineRule="exact"/>
        <w:rPr>
          <w:sz w:val="20"/>
          <w:szCs w:val="20"/>
          <w:color w:val="auto"/>
        </w:rPr>
      </w:pPr>
    </w:p>
    <w:p>
      <w:pPr>
        <w:ind w:left="200" w:right="140" w:firstLine="441"/>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TPG SPECIALTY LENDING</w:t>
      </w:r>
    </w:p>
    <w:p>
      <w:pPr>
        <w:spacing w:after="0" w:line="117" w:lineRule="exact"/>
        <w:rPr>
          <w:sz w:val="20"/>
          <w:szCs w:val="20"/>
          <w:color w:val="auto"/>
        </w:rPr>
      </w:pPr>
    </w:p>
    <w:p>
      <w:pPr>
        <w:ind w:left="200" w:right="74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w:t>
      </w:r>
      <w:r>
        <w:rPr>
          <w:rFonts w:ascii="Arial" w:cs="Arial" w:eastAsia="Arial" w:hAnsi="Arial"/>
          <w:sz w:val="18"/>
          <w:szCs w:val="18"/>
          <w:color w:val="auto"/>
        </w:rPr>
        <w:t>The Notice and Proxy Statement is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October 8, 2018 at 9:30 a.m. EDT</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stockholders hereby appoint Jennifer Gordon and Ken Burke, or either of them, as proxies, each with the power to appoint his or her substitute, and hereby authorize them to represent and to vote, as designated on the reverse side of this ballot, all of the shares of common stock of TPG SPECIALTY LENDING, INC. that the stockholders are entitled to vote at a Special Meeting of Stockholders to be held at 9:30 a.m. EDT on October 8, 2018 at the offices of Cleary Gottlieb Steen &amp; Hamilton LLP, 450 Park Ave, 28th floor, New York, NY 10022 and any adjournment or postponement thereof.</w:t>
      </w:r>
    </w:p>
    <w:p>
      <w:pPr>
        <w:spacing w:after="0" w:line="258" w:lineRule="exact"/>
        <w:rPr>
          <w:sz w:val="20"/>
          <w:szCs w:val="20"/>
          <w:color w:val="auto"/>
        </w:rPr>
      </w:pPr>
    </w:p>
    <w:p>
      <w:pPr>
        <w:ind w:left="200" w:right="52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140"/>
          </w:cols>
          <w:pgMar w:left="24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Use the Internet to transmit your voting instructions and for electronic delivery of information. Vote by 11:59 P.M. ET on 10/07/2018. Have your proxy card in hand when you access the web site and follow the instructions to obtain your records and to create an electronic voting instruction form.</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PHONE – 1-800-690-6903</w:t>
      </w:r>
    </w:p>
    <w:p>
      <w:pPr>
        <w:spacing w:after="0" w:line="22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Use any touch-tone telephone to transmit your voting instructions. Vote by 11:59 P.M. ET on 10/07/2018. Have your proxy card in hand when you call and then follow the instructions.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1">
            <w:col w:w="11100"/>
          </w:cols>
          <w:pgMar w:left="240" w:top="459" w:right="5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110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Keep This Portion For Your Records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CARD IS VALID ONLY WHEN SIGNED AND DATED.</w:t>
      </w:r>
    </w:p>
    <w:p>
      <w:pPr>
        <w:sectPr>
          <w:pgSz w:w="11900" w:h="16838" w:orient="portrait"/>
          <w:cols w:equalWidth="0" w:num="1">
            <w:col w:w="11220"/>
          </w:cols>
          <w:pgMar w:left="240" w:top="459" w:right="43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660" w:hanging="456"/>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approve the application to the Company of a minimum asset coverage ratio of 150%, pursuant to Section 61(a)(2) of the Investment Company Act of 1940, as amended, to become effective the date after the Special Meeting, which would permit the Company to double the maximum amount of leverage that it is currently permitted to incur.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tabs>
          <w:tab w:leader="none" w:pos="520" w:val="left"/>
          <w:tab w:leader="none" w:pos="162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7"/>
          <w:szCs w:val="17"/>
          <w:color w:val="auto"/>
        </w:rPr>
        <w:t>ABSTAIN</w:t>
      </w:r>
    </w:p>
    <w:p>
      <w:pPr>
        <w:spacing w:after="0" w:line="98" w:lineRule="exact"/>
        <w:rPr>
          <w:sz w:val="20"/>
          <w:szCs w:val="20"/>
          <w:color w:val="auto"/>
        </w:rPr>
      </w:pPr>
    </w:p>
    <w:p>
      <w:pPr>
        <w:spacing w:after="0" w:line="181" w:lineRule="exact"/>
        <w:tabs>
          <w:tab w:leader="none" w:pos="520" w:val="left"/>
          <w:tab w:leader="none" w:pos="16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483" w:lineRule="exact"/>
        <w:rPr>
          <w:sz w:val="20"/>
          <w:szCs w:val="20"/>
          <w:color w:val="auto"/>
        </w:rPr>
      </w:pPr>
    </w:p>
    <w:p>
      <w:pPr>
        <w:sectPr>
          <w:pgSz w:w="11900" w:h="16838" w:orient="portrait"/>
          <w:cols w:equalWidth="0" w:num="2">
            <w:col w:w="7860" w:space="520"/>
            <w:col w:w="2840"/>
          </w:cols>
          <w:pgMar w:left="240" w:top="459" w:right="439" w:bottom="1440" w:gutter="0" w:footer="0" w:header="0"/>
          <w:type w:val="continuous"/>
        </w:sectPr>
      </w:pPr>
    </w:p>
    <w:p>
      <w:pPr>
        <w:ind w:left="200" w:right="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58" w:lineRule="exact"/>
        <w:rPr>
          <w:sz w:val="20"/>
          <w:szCs w:val="20"/>
          <w:color w:val="auto"/>
        </w:rPr>
      </w:pPr>
    </w:p>
    <w:p>
      <w:pPr>
        <w:ind w:left="200"/>
        <w:spacing w:after="0"/>
        <w:tabs>
          <w:tab w:leader="none" w:pos="8360" w:val="left"/>
          <w:tab w:leader="none" w:pos="890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8" w:lineRule="exact"/>
        <w:rPr>
          <w:sz w:val="20"/>
          <w:szCs w:val="20"/>
          <w:color w:val="auto"/>
        </w:rPr>
      </w:pPr>
    </w:p>
    <w:p>
      <w:pPr>
        <w:ind w:left="8380"/>
        <w:spacing w:after="0" w:line="181" w:lineRule="exact"/>
        <w:tabs>
          <w:tab w:leader="none" w:pos="8900" w:val="left"/>
        </w:tabs>
        <w:rPr>
          <w:sz w:val="20"/>
          <w:szCs w:val="20"/>
          <w:color w:val="auto"/>
        </w:rPr>
      </w:pPr>
      <w:r>
        <w:rPr>
          <w:rFonts w:ascii="MS PGothic" w:cs="MS PGothic" w:eastAsia="MS PGothic" w:hAnsi="MS PGothic"/>
          <w:sz w:val="18"/>
          <w:szCs w:val="18"/>
          <w:color w:val="auto"/>
        </w:rPr>
        <w:t>☐</w:t>
        <w:tab/>
        <w:t>☐</w:t>
      </w:r>
    </w:p>
    <w:p>
      <w:pPr>
        <w:spacing w:after="0" w:line="29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4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205"/>
        </w:trPr>
        <w:tc>
          <w:tcPr>
            <w:tcW w:w="454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 [Please Sign Within Box]</w:t>
            </w:r>
          </w:p>
        </w:tc>
        <w:tc>
          <w:tcPr>
            <w:tcW w:w="20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DATE</w:t>
            </w:r>
          </w:p>
        </w:tc>
        <w:tc>
          <w:tcPr>
            <w:tcW w:w="198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SIGNATURE</w:t>
            </w:r>
          </w:p>
        </w:tc>
        <w:tc>
          <w:tcPr>
            <w:tcW w:w="198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DATE</w:t>
            </w:r>
          </w:p>
        </w:tc>
      </w:tr>
      <w:tr>
        <w:trPr>
          <w:trHeight w:val="234"/>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ectPr>
          <w:pgSz w:w="11900" w:h="16838" w:orient="portrait"/>
          <w:cols w:equalWidth="0" w:num="1">
            <w:col w:w="11220"/>
          </w:cols>
          <w:pgMar w:left="240" w:top="459" w:right="4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1"/>
          <w:szCs w:val="21"/>
          <w:color w:val="auto"/>
        </w:rPr>
        <w:t>CLEARY GOTTLIEB STEEN &amp; HAMILTON LLP</w:t>
      </w:r>
    </w:p>
    <w:p>
      <w:pPr>
        <w:spacing w:after="0" w:line="200" w:lineRule="exact"/>
        <w:rPr>
          <w:sz w:val="20"/>
          <w:szCs w:val="20"/>
          <w:color w:val="auto"/>
        </w:rPr>
      </w:pPr>
    </w:p>
    <w:p>
      <w:pPr>
        <w:spacing w:after="0" w:line="313"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One Liberty Plaza</w:t>
      </w:r>
    </w:p>
    <w:p>
      <w:pPr>
        <w:spacing w:after="0" w:line="22"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New York, NY 10006-1470</w:t>
      </w:r>
    </w:p>
    <w:p>
      <w:pPr>
        <w:spacing w:after="0" w:line="19" w:lineRule="exact"/>
        <w:rPr>
          <w:sz w:val="20"/>
          <w:szCs w:val="20"/>
          <w:color w:val="auto"/>
        </w:rPr>
      </w:pPr>
    </w:p>
    <w:p>
      <w:pPr>
        <w:ind w:left="2360" w:hanging="181"/>
        <w:spacing w:after="0"/>
        <w:tabs>
          <w:tab w:leader="none" w:pos="2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+1 212 225 2000</w:t>
      </w:r>
    </w:p>
    <w:p>
      <w:pPr>
        <w:spacing w:after="0" w:line="18" w:lineRule="exact"/>
        <w:rPr>
          <w:rFonts w:ascii="Arial" w:cs="Arial" w:eastAsia="Arial" w:hAnsi="Arial"/>
          <w:sz w:val="16"/>
          <w:szCs w:val="16"/>
          <w:color w:val="auto"/>
        </w:rPr>
      </w:pPr>
    </w:p>
    <w:p>
      <w:pPr>
        <w:ind w:left="2360" w:hanging="180"/>
        <w:spacing w:after="0"/>
        <w:tabs>
          <w:tab w:leader="none" w:pos="2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+1 212 225 3999</w:t>
      </w:r>
    </w:p>
    <w:p>
      <w:pPr>
        <w:spacing w:after="0" w:line="13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clearygottlieb.com</w:t>
      </w:r>
    </w:p>
    <w:p>
      <w:pPr>
        <w:spacing w:after="0" w:line="383" w:lineRule="exact"/>
        <w:rPr>
          <w:sz w:val="20"/>
          <w:szCs w:val="20"/>
          <w:color w:val="auto"/>
        </w:rPr>
      </w:pPr>
    </w:p>
    <w:p>
      <w:pPr>
        <w:jc w:val="center"/>
        <w:ind w:left="600" w:right="540"/>
        <w:spacing w:after="0" w:line="275" w:lineRule="auto"/>
        <w:rPr>
          <w:sz w:val="20"/>
          <w:szCs w:val="20"/>
          <w:color w:val="auto"/>
        </w:rPr>
      </w:pPr>
      <w:r>
        <w:rPr>
          <w:rFonts w:ascii="Arial" w:cs="Arial" w:eastAsia="Arial" w:hAnsi="Arial"/>
          <w:sz w:val="10"/>
          <w:szCs w:val="10"/>
          <w:color w:val="auto"/>
        </w:rPr>
        <w:t>WASHINGTON, D.C. • PARIS  • BRUSSELS • LONDON • MOSCOW FRANKFURT • COLOGNE • ROME • MILAN •  HONG KONG BEIJING • BUENOS AIRES • SĀO PAULO • ABU DHABI • SEOUL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2160" w:right="1560" w:firstLine="6"/>
        <w:spacing w:after="0" w:line="369" w:lineRule="auto"/>
        <w:tabs>
          <w:tab w:leader="none" w:pos="2371" w:val="left"/>
        </w:tabs>
        <w:numPr>
          <w:ilvl w:val="0"/>
          <w:numId w:val="27"/>
        </w:numPr>
        <w:rPr>
          <w:rFonts w:ascii="Arial" w:cs="Arial" w:eastAsia="Arial" w:hAnsi="Arial"/>
          <w:sz w:val="14"/>
          <w:szCs w:val="14"/>
          <w:color w:val="auto"/>
        </w:rPr>
      </w:pPr>
      <w:r>
        <w:rPr>
          <w:rFonts w:ascii="Arial" w:cs="Arial" w:eastAsia="Arial" w:hAnsi="Arial"/>
          <w:sz w:val="14"/>
          <w:szCs w:val="14"/>
          <w:color w:val="auto"/>
        </w:rPr>
        <w:t>+1 212 225 2286 afleisher@cgsh.com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40" w:type="dxa"/>
            <w:vAlign w:val="bottom"/>
          </w:tcPr>
          <w:p>
            <w:pPr>
              <w:spacing w:after="0"/>
              <w:rPr>
                <w:sz w:val="20"/>
                <w:szCs w:val="20"/>
                <w:color w:val="auto"/>
              </w:rPr>
            </w:pPr>
            <w:r>
              <w:rPr>
                <w:rFonts w:ascii="Arial" w:cs="Arial" w:eastAsia="Arial" w:hAnsi="Arial"/>
                <w:sz w:val="11"/>
                <w:szCs w:val="11"/>
                <w:color w:val="auto"/>
              </w:rPr>
              <w:t>VICTOR I. LEWKOW</w:t>
            </w:r>
          </w:p>
        </w:tc>
        <w:tc>
          <w:tcPr>
            <w:tcW w:w="1840" w:type="dxa"/>
            <w:vAlign w:val="bottom"/>
          </w:tcPr>
          <w:p>
            <w:pPr>
              <w:ind w:left="100"/>
              <w:spacing w:after="0"/>
              <w:rPr>
                <w:sz w:val="20"/>
                <w:szCs w:val="20"/>
                <w:color w:val="auto"/>
              </w:rPr>
            </w:pPr>
            <w:r>
              <w:rPr>
                <w:rFonts w:ascii="Arial" w:cs="Arial" w:eastAsia="Arial" w:hAnsi="Arial"/>
                <w:sz w:val="11"/>
                <w:szCs w:val="11"/>
                <w:color w:val="auto"/>
              </w:rPr>
              <w:t>KIMBERLY BROWN BLACKLOW</w:t>
            </w:r>
          </w:p>
        </w:tc>
        <w:tc>
          <w:tcPr>
            <w:tcW w:w="1720" w:type="dxa"/>
            <w:vAlign w:val="bottom"/>
          </w:tcPr>
          <w:p>
            <w:pPr>
              <w:ind w:left="120"/>
              <w:spacing w:after="0"/>
              <w:rPr>
                <w:sz w:val="20"/>
                <w:szCs w:val="20"/>
                <w:color w:val="auto"/>
              </w:rPr>
            </w:pPr>
            <w:r>
              <w:rPr>
                <w:rFonts w:ascii="Arial" w:cs="Arial" w:eastAsia="Arial" w:hAnsi="Arial"/>
                <w:sz w:val="11"/>
                <w:szCs w:val="11"/>
                <w:color w:val="auto"/>
              </w:rPr>
              <w:t>COLIN D. LLOYD</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LEE C. BUCHHEIT</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ROBERT J. RAYMOND</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COREY M. GOODMAN</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THOMAS J. MOLONEY</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SUNG K. KANG</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RISHI ZUTSHI</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DAVID G. SABEL</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LEONARD C. JACOBY</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JANE VANLARE</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JONATHAN I. BLACKMAN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SANDRA L. FLOW</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DAVID H. HERRINGTON</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MICHAEL L. RYAN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FRANCISCO L. CESTERO</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KIMBERLY R. SPOERRI</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ROBERT P. DAVIS</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FRANCESCA L. ODELL</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AARON J. MEYERS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YARON Z. REICH</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WILLIAM L. MCRAE</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DANIEL C. REYNOLDS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RICHARD S. LINCER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JASON FACTOR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ABENA A. MAINOO</w:t>
            </w:r>
          </w:p>
        </w:tc>
      </w:tr>
      <w:tr>
        <w:trPr>
          <w:trHeight w:val="118"/>
        </w:trPr>
        <w:tc>
          <w:tcPr>
            <w:tcW w:w="1540" w:type="dxa"/>
            <w:vAlign w:val="bottom"/>
          </w:tcPr>
          <w:p>
            <w:pPr>
              <w:spacing w:after="0" w:line="118" w:lineRule="exact"/>
              <w:rPr>
                <w:sz w:val="20"/>
                <w:szCs w:val="20"/>
                <w:color w:val="auto"/>
              </w:rPr>
            </w:pPr>
            <w:r>
              <w:rPr>
                <w:rFonts w:ascii="Arial" w:cs="Arial" w:eastAsia="Arial" w:hAnsi="Arial"/>
                <w:sz w:val="11"/>
                <w:szCs w:val="11"/>
                <w:color w:val="auto"/>
              </w:rPr>
              <w:t>STEVEN G. HOROWITZ</w:t>
            </w:r>
          </w:p>
        </w:tc>
        <w:tc>
          <w:tcPr>
            <w:tcW w:w="1840" w:type="dxa"/>
            <w:vAlign w:val="bottom"/>
          </w:tcPr>
          <w:p>
            <w:pPr>
              <w:ind w:left="100"/>
              <w:spacing w:after="0" w:line="118" w:lineRule="exact"/>
              <w:rPr>
                <w:sz w:val="20"/>
                <w:szCs w:val="20"/>
                <w:color w:val="auto"/>
              </w:rPr>
            </w:pPr>
            <w:r>
              <w:rPr>
                <w:rFonts w:ascii="Arial" w:cs="Arial" w:eastAsia="Arial" w:hAnsi="Arial"/>
                <w:sz w:val="11"/>
                <w:szCs w:val="11"/>
                <w:color w:val="auto"/>
              </w:rPr>
              <w:t>JOON H. KIM</w:t>
            </w:r>
          </w:p>
        </w:tc>
        <w:tc>
          <w:tcPr>
            <w:tcW w:w="1720" w:type="dxa"/>
            <w:vAlign w:val="bottom"/>
          </w:tcPr>
          <w:p>
            <w:pPr>
              <w:ind w:left="120"/>
              <w:spacing w:after="0" w:line="118" w:lineRule="exact"/>
              <w:rPr>
                <w:sz w:val="20"/>
                <w:szCs w:val="20"/>
                <w:color w:val="auto"/>
              </w:rPr>
            </w:pPr>
            <w:r>
              <w:rPr>
                <w:rFonts w:ascii="Arial" w:cs="Arial" w:eastAsia="Arial" w:hAnsi="Arial"/>
                <w:sz w:val="11"/>
                <w:szCs w:val="11"/>
                <w:color w:val="auto"/>
              </w:rPr>
              <w:t>HUGH C. CONROY, JR.</w:t>
            </w:r>
          </w:p>
        </w:tc>
      </w:tr>
      <w:tr>
        <w:trPr>
          <w:trHeight w:val="126"/>
        </w:trPr>
        <w:tc>
          <w:tcPr>
            <w:tcW w:w="1540" w:type="dxa"/>
            <w:vAlign w:val="bottom"/>
          </w:tcPr>
          <w:p>
            <w:pPr>
              <w:spacing w:after="0"/>
              <w:rPr>
                <w:sz w:val="20"/>
                <w:szCs w:val="20"/>
                <w:color w:val="auto"/>
              </w:rPr>
            </w:pPr>
            <w:r>
              <w:rPr>
                <w:rFonts w:ascii="Arial" w:cs="Arial" w:eastAsia="Arial" w:hAnsi="Arial"/>
                <w:sz w:val="11"/>
                <w:szCs w:val="11"/>
                <w:color w:val="auto"/>
              </w:rPr>
              <w:t>JAMES A. DUNCAN</w:t>
            </w:r>
          </w:p>
        </w:tc>
        <w:tc>
          <w:tcPr>
            <w:tcW w:w="1840" w:type="dxa"/>
            <w:vAlign w:val="bottom"/>
          </w:tcPr>
          <w:p>
            <w:pPr>
              <w:ind w:left="100"/>
              <w:spacing w:after="0"/>
              <w:rPr>
                <w:sz w:val="20"/>
                <w:szCs w:val="20"/>
                <w:color w:val="auto"/>
              </w:rPr>
            </w:pPr>
            <w:r>
              <w:rPr>
                <w:rFonts w:ascii="Arial" w:cs="Arial" w:eastAsia="Arial" w:hAnsi="Arial"/>
                <w:sz w:val="11"/>
                <w:szCs w:val="11"/>
                <w:color w:val="auto"/>
              </w:rPr>
              <w:t>MARGARET S. PEPONIS</w:t>
            </w:r>
          </w:p>
        </w:tc>
        <w:tc>
          <w:tcPr>
            <w:tcW w:w="1720" w:type="dxa"/>
            <w:vAlign w:val="bottom"/>
          </w:tcPr>
          <w:p>
            <w:pPr>
              <w:jc w:val="center"/>
              <w:ind w:left="246"/>
              <w:spacing w:after="0"/>
              <w:rPr>
                <w:sz w:val="20"/>
                <w:szCs w:val="20"/>
                <w:color w:val="auto"/>
              </w:rPr>
            </w:pPr>
            <w:r>
              <w:rPr>
                <w:rFonts w:ascii="Arial" w:cs="Arial" w:eastAsia="Arial" w:hAnsi="Arial"/>
                <w:sz w:val="11"/>
                <w:szCs w:val="11"/>
                <w:b w:val="1"/>
                <w:bCs w:val="1"/>
                <w:color w:val="auto"/>
                <w:w w:val="95"/>
              </w:rPr>
              <w:t>RESIDENT PARTNERS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STEVEN M. LOEB</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LISA M. SCHWEITZER</w:t>
            </w:r>
          </w:p>
        </w:tc>
        <w:tc>
          <w:tcPr>
            <w:tcW w:w="1720" w:type="dxa"/>
            <w:vAlign w:val="bottom"/>
          </w:tcPr>
          <w:p>
            <w:pPr>
              <w:spacing w:after="0"/>
              <w:rPr>
                <w:sz w:val="10"/>
                <w:szCs w:val="10"/>
                <w:color w:val="auto"/>
              </w:rPr>
            </w:pP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CRAIG B. BROD</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JUAN G. GIRALDEZ</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SANDRA M. ROCKS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EDWARD J. ROSEN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DUANE MCLAUGHLIN</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S. DOUGLAS BORISKY</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NICOLAS GRABAR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BREON S. PEACE</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JUDITH KASSEL</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CHRISTOPHER E. AUSTIN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MEREDITH E. KOTLER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DAVID E. WEBB</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HOWARD S. ZELBO</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CHANTAL E. KORDULA</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w w:val="91"/>
              </w:rPr>
              <w:t>PENELOPE L. CHRISTOPHOROU</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DAVID E. BRODSKY</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BENET J. O’REILLY</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BOAZ S. MORAG</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ARTHUR H. KOHN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ADAM E. FLEISHER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MARY E. ALCOCK</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RICHARD J. COOPER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SEAN A. O’NEAL</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HEIDE H. ILGENFRITZ</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JEFFREY S. LEWIS</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GLENN P. MCGRORY</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KATHLEEN M. EMBERGER</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PAUL J. SHIM</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MATTHEW P. SALERNO</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WALLACE L. LARSON, JR.</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STEVEN L. WILNER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MICHAEL J. ALBANO</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AVRAM E. LUFT</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ERIKA W. NIJENHUIS</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VICTOR L. HOU</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ANDREW WEAVER</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ANDRES DE LA CRUZ</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ROGER A. COOPER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HELENA K. GRANNIS</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DAVID C. LOPEZ</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AMY R. SHAPIRO</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JOHN V. HARRISON</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JAMES L. BROMLEY</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JENNIFER KENNEDY PARK</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CAROLINE F. HAYDAY</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MICHAEL A. GERSTENZANG</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ELIZABETH LENAS</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RAHUL MUKHI</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LEWIS J. LIMAN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LUKE A. BAREFOOT</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NEIL R. MARKEL</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LEV L. DASSIN</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PAMELA L. MARCOGLIESE</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HUMAYUN KHALID</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NEIL Q. WHORISKEY</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PAUL M. TIGER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KENNETH S. BLAZEJEWSKI</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JORGE U. JUANTORENA</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JONATHAN S. KOLODNER</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ANDREA M. BASHAM</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MICHAEL D. WEINBERGER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DANIEL ILAN</w:t>
            </w:r>
          </w:p>
        </w:tc>
        <w:tc>
          <w:tcPr>
            <w:tcW w:w="1720" w:type="dxa"/>
            <w:vAlign w:val="bottom"/>
          </w:tcPr>
          <w:p>
            <w:pPr>
              <w:ind w:left="120"/>
              <w:spacing w:after="0" w:line="122" w:lineRule="exact"/>
              <w:rPr>
                <w:sz w:val="20"/>
                <w:szCs w:val="20"/>
                <w:color w:val="auto"/>
              </w:rPr>
            </w:pPr>
            <w:r>
              <w:rPr>
                <w:rFonts w:ascii="Arial" w:cs="Arial" w:eastAsia="Arial" w:hAnsi="Arial"/>
                <w:sz w:val="11"/>
                <w:szCs w:val="11"/>
                <w:color w:val="auto"/>
              </w:rPr>
              <w:t>LAURA BAGARELLA</w:t>
            </w:r>
          </w:p>
        </w:tc>
      </w:tr>
      <w:tr>
        <w:trPr>
          <w:trHeight w:val="118"/>
        </w:trPr>
        <w:tc>
          <w:tcPr>
            <w:tcW w:w="1540" w:type="dxa"/>
            <w:vAlign w:val="bottom"/>
          </w:tcPr>
          <w:p>
            <w:pPr>
              <w:spacing w:after="0" w:line="118" w:lineRule="exact"/>
              <w:rPr>
                <w:sz w:val="20"/>
                <w:szCs w:val="20"/>
                <w:color w:val="auto"/>
              </w:rPr>
            </w:pPr>
            <w:r>
              <w:rPr>
                <w:rFonts w:ascii="Arial" w:cs="Arial" w:eastAsia="Arial" w:hAnsi="Arial"/>
                <w:sz w:val="11"/>
                <w:szCs w:val="11"/>
                <w:color w:val="auto"/>
              </w:rPr>
              <w:t>DAVID LEINWAND</w:t>
            </w:r>
          </w:p>
        </w:tc>
        <w:tc>
          <w:tcPr>
            <w:tcW w:w="1840" w:type="dxa"/>
            <w:vAlign w:val="bottom"/>
          </w:tcPr>
          <w:p>
            <w:pPr>
              <w:ind w:left="100"/>
              <w:spacing w:after="0" w:line="118" w:lineRule="exact"/>
              <w:rPr>
                <w:sz w:val="20"/>
                <w:szCs w:val="20"/>
                <w:color w:val="auto"/>
              </w:rPr>
            </w:pPr>
            <w:r>
              <w:rPr>
                <w:rFonts w:ascii="Arial" w:cs="Arial" w:eastAsia="Arial" w:hAnsi="Arial"/>
                <w:sz w:val="11"/>
                <w:szCs w:val="11"/>
                <w:color w:val="auto"/>
              </w:rPr>
              <w:t>MEYER H. FEDIDA</w:t>
            </w:r>
          </w:p>
        </w:tc>
        <w:tc>
          <w:tcPr>
            <w:tcW w:w="1720" w:type="dxa"/>
            <w:vAlign w:val="bottom"/>
          </w:tcPr>
          <w:p>
            <w:pPr>
              <w:ind w:left="120"/>
              <w:spacing w:after="0" w:line="118" w:lineRule="exact"/>
              <w:rPr>
                <w:sz w:val="20"/>
                <w:szCs w:val="20"/>
                <w:color w:val="auto"/>
              </w:rPr>
            </w:pPr>
            <w:r>
              <w:rPr>
                <w:rFonts w:ascii="Arial" w:cs="Arial" w:eastAsia="Arial" w:hAnsi="Arial"/>
                <w:sz w:val="11"/>
                <w:szCs w:val="11"/>
                <w:color w:val="auto"/>
              </w:rPr>
              <w:t>SHIRLEY M. LO</w:t>
            </w:r>
          </w:p>
        </w:tc>
      </w:tr>
      <w:tr>
        <w:trPr>
          <w:trHeight w:val="126"/>
        </w:trPr>
        <w:tc>
          <w:tcPr>
            <w:tcW w:w="1540" w:type="dxa"/>
            <w:vAlign w:val="bottom"/>
          </w:tcPr>
          <w:p>
            <w:pPr>
              <w:spacing w:after="0"/>
              <w:rPr>
                <w:sz w:val="20"/>
                <w:szCs w:val="20"/>
                <w:color w:val="auto"/>
              </w:rPr>
            </w:pPr>
            <w:r>
              <w:rPr>
                <w:rFonts w:ascii="Arial" w:cs="Arial" w:eastAsia="Arial" w:hAnsi="Arial"/>
                <w:sz w:val="11"/>
                <w:szCs w:val="11"/>
                <w:color w:val="auto"/>
              </w:rPr>
              <w:t>DIANA L. WOLLMAN</w:t>
            </w:r>
          </w:p>
        </w:tc>
        <w:tc>
          <w:tcPr>
            <w:tcW w:w="1840" w:type="dxa"/>
            <w:vAlign w:val="bottom"/>
          </w:tcPr>
          <w:p>
            <w:pPr>
              <w:ind w:left="100"/>
              <w:spacing w:after="0"/>
              <w:rPr>
                <w:sz w:val="20"/>
                <w:szCs w:val="20"/>
                <w:color w:val="auto"/>
              </w:rPr>
            </w:pPr>
            <w:r>
              <w:rPr>
                <w:rFonts w:ascii="Arial" w:cs="Arial" w:eastAsia="Arial" w:hAnsi="Arial"/>
                <w:sz w:val="11"/>
                <w:szCs w:val="11"/>
                <w:color w:val="auto"/>
              </w:rPr>
              <w:t>ADRIAN R. LEIPSIC</w:t>
            </w:r>
          </w:p>
        </w:tc>
        <w:tc>
          <w:tcPr>
            <w:tcW w:w="1720" w:type="dxa"/>
            <w:vAlign w:val="bottom"/>
          </w:tcPr>
          <w:p>
            <w:pPr>
              <w:jc w:val="center"/>
              <w:ind w:left="246"/>
              <w:spacing w:after="0"/>
              <w:rPr>
                <w:sz w:val="20"/>
                <w:szCs w:val="20"/>
                <w:color w:val="auto"/>
              </w:rPr>
            </w:pPr>
            <w:r>
              <w:rPr>
                <w:rFonts w:ascii="Arial" w:cs="Arial" w:eastAsia="Arial" w:hAnsi="Arial"/>
                <w:sz w:val="11"/>
                <w:szCs w:val="11"/>
                <w:b w:val="1"/>
                <w:bCs w:val="1"/>
                <w:color w:val="auto"/>
                <w:w w:val="97"/>
              </w:rPr>
              <w:t>RESIDENT COUNSEL</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JEFFREY A. ROSENTHAL</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ELIZABETH VICENS</w:t>
            </w:r>
          </w:p>
        </w:tc>
        <w:tc>
          <w:tcPr>
            <w:tcW w:w="1720" w:type="dxa"/>
            <w:vAlign w:val="bottom"/>
          </w:tcPr>
          <w:p>
            <w:pPr>
              <w:spacing w:after="0"/>
              <w:rPr>
                <w:sz w:val="10"/>
                <w:szCs w:val="10"/>
                <w:color w:val="auto"/>
              </w:rPr>
            </w:pPr>
          </w:p>
        </w:tc>
      </w:tr>
      <w:tr>
        <w:trPr>
          <w:trHeight w:val="118"/>
        </w:trPr>
        <w:tc>
          <w:tcPr>
            <w:tcW w:w="1540" w:type="dxa"/>
            <w:vAlign w:val="bottom"/>
          </w:tcPr>
          <w:p>
            <w:pPr>
              <w:spacing w:after="0" w:line="118" w:lineRule="exact"/>
              <w:rPr>
                <w:sz w:val="20"/>
                <w:szCs w:val="20"/>
                <w:color w:val="auto"/>
              </w:rPr>
            </w:pPr>
            <w:r>
              <w:rPr>
                <w:rFonts w:ascii="Arial" w:cs="Arial" w:eastAsia="Arial" w:hAnsi="Arial"/>
                <w:sz w:val="11"/>
                <w:szCs w:val="11"/>
                <w:color w:val="auto"/>
              </w:rPr>
              <w:t>ETHAN A. KLINGSBERG</w:t>
            </w:r>
          </w:p>
        </w:tc>
        <w:tc>
          <w:tcPr>
            <w:tcW w:w="1840" w:type="dxa"/>
            <w:vAlign w:val="bottom"/>
          </w:tcPr>
          <w:p>
            <w:pPr>
              <w:ind w:left="100"/>
              <w:spacing w:after="0" w:line="118" w:lineRule="exact"/>
              <w:rPr>
                <w:sz w:val="20"/>
                <w:szCs w:val="20"/>
                <w:color w:val="auto"/>
              </w:rPr>
            </w:pPr>
            <w:r>
              <w:rPr>
                <w:rFonts w:ascii="Arial" w:cs="Arial" w:eastAsia="Arial" w:hAnsi="Arial"/>
                <w:sz w:val="11"/>
                <w:szCs w:val="11"/>
                <w:color w:val="auto"/>
              </w:rPr>
              <w:t>ADAM J. BRENNEMAN</w:t>
            </w:r>
          </w:p>
        </w:tc>
        <w:tc>
          <w:tcPr>
            <w:tcW w:w="1720" w:type="dxa"/>
            <w:vAlign w:val="bottom"/>
          </w:tcPr>
          <w:p>
            <w:pPr>
              <w:ind w:left="120"/>
              <w:spacing w:after="0" w:line="118" w:lineRule="exact"/>
              <w:rPr>
                <w:sz w:val="20"/>
                <w:szCs w:val="20"/>
                <w:color w:val="auto"/>
              </w:rPr>
            </w:pPr>
            <w:r>
              <w:rPr>
                <w:rFonts w:ascii="Arial" w:cs="Arial" w:eastAsia="Arial" w:hAnsi="Arial"/>
                <w:sz w:val="11"/>
                <w:szCs w:val="11"/>
                <w:color w:val="auto"/>
              </w:rPr>
              <w:t>LOUISE M. PARENT</w:t>
            </w:r>
          </w:p>
        </w:tc>
      </w:tr>
      <w:tr>
        <w:trPr>
          <w:trHeight w:val="126"/>
        </w:trPr>
        <w:tc>
          <w:tcPr>
            <w:tcW w:w="1540" w:type="dxa"/>
            <w:vAlign w:val="bottom"/>
          </w:tcPr>
          <w:p>
            <w:pPr>
              <w:spacing w:after="0"/>
              <w:rPr>
                <w:sz w:val="20"/>
                <w:szCs w:val="20"/>
                <w:color w:val="auto"/>
              </w:rPr>
            </w:pPr>
            <w:r>
              <w:rPr>
                <w:rFonts w:ascii="Arial" w:cs="Arial" w:eastAsia="Arial" w:hAnsi="Arial"/>
                <w:sz w:val="11"/>
                <w:szCs w:val="11"/>
                <w:color w:val="auto"/>
              </w:rPr>
              <w:t>MICHAEL D. DAYAN</w:t>
            </w:r>
          </w:p>
        </w:tc>
        <w:tc>
          <w:tcPr>
            <w:tcW w:w="1840" w:type="dxa"/>
            <w:vAlign w:val="bottom"/>
          </w:tcPr>
          <w:p>
            <w:pPr>
              <w:ind w:left="100"/>
              <w:spacing w:after="0"/>
              <w:rPr>
                <w:sz w:val="20"/>
                <w:szCs w:val="20"/>
                <w:color w:val="auto"/>
              </w:rPr>
            </w:pPr>
            <w:r>
              <w:rPr>
                <w:rFonts w:ascii="Arial" w:cs="Arial" w:eastAsia="Arial" w:hAnsi="Arial"/>
                <w:sz w:val="11"/>
                <w:szCs w:val="11"/>
                <w:color w:val="auto"/>
              </w:rPr>
              <w:t>ARI D. MACKINNON</w:t>
            </w:r>
          </w:p>
        </w:tc>
        <w:tc>
          <w:tcPr>
            <w:tcW w:w="1720" w:type="dxa"/>
            <w:vAlign w:val="bottom"/>
          </w:tcPr>
          <w:p>
            <w:pPr>
              <w:jc w:val="center"/>
              <w:ind w:left="246"/>
              <w:spacing w:after="0"/>
              <w:rPr>
                <w:sz w:val="20"/>
                <w:szCs w:val="20"/>
                <w:color w:val="auto"/>
              </w:rPr>
            </w:pPr>
            <w:r>
              <w:rPr>
                <w:rFonts w:ascii="Arial" w:cs="Arial" w:eastAsia="Arial" w:hAnsi="Arial"/>
                <w:sz w:val="11"/>
                <w:szCs w:val="11"/>
                <w:b w:val="1"/>
                <w:bCs w:val="1"/>
                <w:color w:val="auto"/>
                <w:w w:val="96"/>
              </w:rPr>
              <w:t>OF COUNSEL</w:t>
            </w:r>
          </w:p>
        </w:tc>
      </w:tr>
      <w:tr>
        <w:trPr>
          <w:trHeight w:val="122"/>
        </w:trPr>
        <w:tc>
          <w:tcPr>
            <w:tcW w:w="1540" w:type="dxa"/>
            <w:vAlign w:val="bottom"/>
          </w:tcPr>
          <w:p>
            <w:pPr>
              <w:spacing w:after="0" w:line="122" w:lineRule="exact"/>
              <w:rPr>
                <w:sz w:val="20"/>
                <w:szCs w:val="20"/>
                <w:color w:val="auto"/>
              </w:rPr>
            </w:pPr>
            <w:r>
              <w:rPr>
                <w:rFonts w:ascii="Arial" w:cs="Arial" w:eastAsia="Arial" w:hAnsi="Arial"/>
                <w:sz w:val="11"/>
                <w:szCs w:val="11"/>
                <w:color w:val="auto"/>
              </w:rPr>
              <w:t>CARMINE D. BOCCUZZI, JR.</w:t>
            </w:r>
          </w:p>
        </w:tc>
        <w:tc>
          <w:tcPr>
            <w:tcW w:w="1840" w:type="dxa"/>
            <w:vAlign w:val="bottom"/>
          </w:tcPr>
          <w:p>
            <w:pPr>
              <w:ind w:left="100"/>
              <w:spacing w:after="0" w:line="122" w:lineRule="exact"/>
              <w:rPr>
                <w:sz w:val="20"/>
                <w:szCs w:val="20"/>
                <w:color w:val="auto"/>
              </w:rPr>
            </w:pPr>
            <w:r>
              <w:rPr>
                <w:rFonts w:ascii="Arial" w:cs="Arial" w:eastAsia="Arial" w:hAnsi="Arial"/>
                <w:sz w:val="11"/>
                <w:szCs w:val="11"/>
                <w:color w:val="auto"/>
              </w:rPr>
              <w:t>JAMES E. LANGSTON</w:t>
            </w:r>
          </w:p>
        </w:tc>
        <w:tc>
          <w:tcPr>
            <w:tcW w:w="1720" w:type="dxa"/>
            <w:vAlign w:val="bottom"/>
          </w:tcPr>
          <w:p>
            <w:pPr>
              <w:spacing w:after="0"/>
              <w:rPr>
                <w:sz w:val="10"/>
                <w:szCs w:val="10"/>
                <w:color w:val="auto"/>
              </w:rPr>
            </w:pPr>
          </w:p>
        </w:tc>
      </w:tr>
      <w:tr>
        <w:trPr>
          <w:trHeight w:val="136"/>
        </w:trPr>
        <w:tc>
          <w:tcPr>
            <w:tcW w:w="1540" w:type="dxa"/>
            <w:vAlign w:val="bottom"/>
          </w:tcPr>
          <w:p>
            <w:pPr>
              <w:spacing w:after="0"/>
              <w:rPr>
                <w:sz w:val="20"/>
                <w:szCs w:val="20"/>
                <w:color w:val="auto"/>
              </w:rPr>
            </w:pPr>
            <w:r>
              <w:rPr>
                <w:rFonts w:ascii="Arial" w:cs="Arial" w:eastAsia="Arial" w:hAnsi="Arial"/>
                <w:sz w:val="11"/>
                <w:szCs w:val="11"/>
                <w:color w:val="auto"/>
              </w:rPr>
              <w:t>JEFFREY D. KARPF</w:t>
            </w:r>
          </w:p>
        </w:tc>
        <w:tc>
          <w:tcPr>
            <w:tcW w:w="1840" w:type="dxa"/>
            <w:vAlign w:val="bottom"/>
          </w:tcPr>
          <w:p>
            <w:pPr>
              <w:ind w:left="100"/>
              <w:spacing w:after="0"/>
              <w:rPr>
                <w:sz w:val="20"/>
                <w:szCs w:val="20"/>
                <w:color w:val="auto"/>
              </w:rPr>
            </w:pPr>
            <w:r>
              <w:rPr>
                <w:rFonts w:ascii="Arial" w:cs="Arial" w:eastAsia="Arial" w:hAnsi="Arial"/>
                <w:sz w:val="11"/>
                <w:szCs w:val="11"/>
                <w:color w:val="auto"/>
              </w:rPr>
              <w:t>JARED GERBER</w:t>
            </w:r>
          </w:p>
        </w:tc>
        <w:tc>
          <w:tcPr>
            <w:tcW w:w="1720" w:type="dxa"/>
            <w:vAlign w:val="bottom"/>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2">
            <w:col w:w="5040" w:space="720"/>
            <w:col w:w="5200"/>
          </w:cols>
          <w:pgMar w:left="440" w:top="118" w:right="499" w:bottom="1440" w:gutter="0" w:footer="0" w:header="0"/>
        </w:sectPr>
      </w:pPr>
    </w:p>
    <w:p>
      <w:pPr>
        <w:spacing w:after="0" w:line="11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August 24,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 (File No. 001-36364)</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Preliminary Proxy Statement on Schedule 14A filed on August 7, 2018</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SEC File No. 001-36364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behalf of TPG Specialty Lending, Inc. (the “</w:t>
      </w:r>
      <w:r>
        <w:rPr>
          <w:rFonts w:ascii="Arial" w:cs="Arial" w:eastAsia="Arial" w:hAnsi="Arial"/>
          <w:sz w:val="17"/>
          <w:szCs w:val="17"/>
          <w:u w:val="single" w:color="auto"/>
          <w:color w:val="auto"/>
        </w:rPr>
        <w:t>Company</w:t>
      </w:r>
      <w:r>
        <w:rPr>
          <w:rFonts w:ascii="Arial" w:cs="Arial" w:eastAsia="Arial" w:hAnsi="Arial"/>
          <w:sz w:val="17"/>
          <w:szCs w:val="17"/>
          <w:color w:val="auto"/>
        </w:rPr>
        <w:t>”), set forth below are the Company’s responses to the comments of the staff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in response to the Company’s correspondence filing dated August 17, 2018 that we received in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telephone conversation with the Staff on August 20, 2018 with respect to the above-referenced preliminary proxy statement on Schedule 14A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Proxy Statement</w:t>
      </w:r>
      <w:r>
        <w:rPr>
          <w:rFonts w:ascii="Arial" w:cs="Arial" w:eastAsia="Arial" w:hAnsi="Arial"/>
          <w:sz w:val="18"/>
          <w:szCs w:val="18"/>
          <w:color w:val="auto"/>
        </w:rPr>
        <w:t>”) filed by the Company on August 7, 2018.</w:t>
      </w:r>
    </w:p>
    <w:p>
      <w:pPr>
        <w:spacing w:after="0" w:line="21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For your convenience, the Staff’s comments are reproduced in italics below, followed in each case by the Company’s response. The Company has today filed the definitive proxy statement on Schedule 14A (the “</w:t>
      </w:r>
      <w:r>
        <w:rPr>
          <w:rFonts w:ascii="Arial" w:cs="Arial" w:eastAsia="Arial" w:hAnsi="Arial"/>
          <w:sz w:val="17"/>
          <w:szCs w:val="17"/>
          <w:u w:val="single" w:color="auto"/>
          <w:color w:val="auto"/>
        </w:rPr>
        <w:t>Definitive Proxy Statement</w:t>
      </w:r>
      <w:r>
        <w:rPr>
          <w:rFonts w:ascii="Arial" w:cs="Arial" w:eastAsia="Arial" w:hAnsi="Arial"/>
          <w:sz w:val="17"/>
          <w:szCs w:val="17"/>
          <w:color w:val="auto"/>
        </w:rPr>
        <w:t>”), together with this letter. Capitalized terms used herein and otherwise not defined shall have the meanings assigned to such terms in the Preliminary Proxy Statement.</w:t>
      </w:r>
    </w:p>
    <w:p>
      <w:pPr>
        <w:spacing w:after="0" w:line="193" w:lineRule="exact"/>
        <w:rPr>
          <w:sz w:val="20"/>
          <w:szCs w:val="20"/>
          <w:color w:val="auto"/>
        </w:rPr>
      </w:pPr>
    </w:p>
    <w:p>
      <w:pPr>
        <w:jc w:val="both"/>
        <w:ind w:left="860" w:right="180" w:hanging="424"/>
        <w:spacing w:after="0" w:line="264"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We reference your response to prior comment number 6. In the revised disclosure, consider deleting “at worst” in reference to the risk of broader market events and individual portfolio company specific credit issues putting downward pressure on the fair value of investments leading to a breach of statutory asset coverage requirements.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Cleary Gottlieb Steen &amp; Hamilton LLP or an affiliated entity has an office in each of the cities listed above.</w:t>
      </w:r>
    </w:p>
    <w:p>
      <w:pPr>
        <w:sectPr>
          <w:pgSz w:w="11900" w:h="16838" w:orient="portrait"/>
          <w:cols w:equalWidth="0" w:num="1">
            <w:col w:w="10960"/>
          </w:cols>
          <w:pgMar w:left="440" w:top="118" w:right="4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in the Definitive Proxy Statement to delete the words “at worst” in the referenced sentence.</w:t>
      </w:r>
    </w:p>
    <w:p>
      <w:pPr>
        <w:spacing w:after="0" w:line="197" w:lineRule="exact"/>
        <w:rPr>
          <w:sz w:val="20"/>
          <w:szCs w:val="20"/>
          <w:color w:val="auto"/>
        </w:rPr>
      </w:pPr>
    </w:p>
    <w:p>
      <w:pPr>
        <w:jc w:val="both"/>
        <w:ind w:left="440" w:right="280" w:hanging="436"/>
        <w:spacing w:after="0" w:line="264"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We reference your response to prior comment number 7. In the revised disclosure, you talk about leverage adding approximately 150-250 basis points of additional ROE “over time.” Please clarify what time period you are talking about, particularly in light of the figures circled in your table.</w:t>
      </w:r>
    </w:p>
    <w:p>
      <w:pPr>
        <w:spacing w:after="0" w:line="18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In response to the Staff’s comment, the Company has revised the disclosure in the Definitive Proxy Statement to clarify that the statement refers to the Company’s analysis, which reflects illustrative annual ROEs at various leverage levels based on the assumptions set forth in table.</w:t>
      </w:r>
    </w:p>
    <w:p>
      <w:pPr>
        <w:spacing w:after="0" w:line="147" w:lineRule="exact"/>
        <w:rPr>
          <w:sz w:val="20"/>
          <w:szCs w:val="20"/>
          <w:color w:val="auto"/>
        </w:rPr>
      </w:pPr>
    </w:p>
    <w:p>
      <w:pPr>
        <w:ind w:left="4520"/>
        <w:spacing w:after="0"/>
        <w:tabs>
          <w:tab w:leader="none" w:pos="5000" w:val="left"/>
          <w:tab w:leader="none" w:pos="5500" w:val="left"/>
          <w:tab w:leader="none" w:pos="5940" w:val="left"/>
          <w:tab w:leader="none" w:pos="6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700" w:firstLine="441"/>
        <w:spacing w:after="0" w:line="308" w:lineRule="auto"/>
        <w:rPr>
          <w:sz w:val="20"/>
          <w:szCs w:val="20"/>
          <w:color w:val="auto"/>
        </w:rPr>
      </w:pPr>
      <w:r>
        <w:rPr>
          <w:rFonts w:ascii="Arial" w:cs="Arial" w:eastAsia="Arial" w:hAnsi="Arial"/>
          <w:sz w:val="17"/>
          <w:szCs w:val="17"/>
          <w:color w:val="auto"/>
        </w:rPr>
        <w:t>We hope that these responses adequately address the Staff’s comments. If you have any questions concerning this letter or require further information, please do not hesitate to contact Adam E. Fleisher at (212) 225-2286 or Helena Grannis at (212) 225-2376.</w:t>
      </w:r>
    </w:p>
    <w:p>
      <w:pPr>
        <w:spacing w:after="0" w:line="14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Adam E. Fleisher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Adam E. Fleisher</w:t>
      </w:r>
    </w:p>
    <w:p>
      <w:pPr>
        <w:spacing w:after="0" w:line="9" w:lineRule="exact"/>
        <w:rPr>
          <w:sz w:val="20"/>
          <w:szCs w:val="20"/>
          <w:color w:val="auto"/>
        </w:rPr>
      </w:pPr>
    </w:p>
    <w:p>
      <w:pPr>
        <w:ind w:left="560" w:right="9300" w:hanging="556"/>
        <w:spacing w:after="0" w:line="281" w:lineRule="auto"/>
        <w:tabs>
          <w:tab w:leader="none" w:pos="5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Ken Burke Jennifer Gordon</w:t>
      </w:r>
    </w:p>
    <w:p>
      <w:pPr>
        <w:spacing w:after="0" w:line="1"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TPG Specialty Lending, Inc.</w:t>
      </w:r>
    </w:p>
    <w:p>
      <w:pPr>
        <w:spacing w:after="0" w:line="10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Helena K. Grannis</w:t>
      </w:r>
    </w:p>
    <w:p>
      <w:pPr>
        <w:spacing w:after="0" w:line="23"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lvl w:ilvl="1">
      <w:lvlJc w:val="left"/>
      <w:lvlText w:val="(%2)"/>
      <w:numFmt w:val="decimal"/>
      <w:start w:val="1"/>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2"/>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2"/>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3"/>
    </w:lvl>
  </w:abstractNum>
  <w:abstractNum w:abstractNumId="19">
    <w:nsid w:val="79838CB2"/>
    <w:multiLevelType w:val="hybridMultilevel"/>
    <w:lvl w:ilvl="0">
      <w:lvlJc w:val="left"/>
      <w:lvlText w:val="(%1)"/>
      <w:numFmt w:val="decimal"/>
      <w:start w:val="8"/>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upperLetter"/>
      <w:start w:val="20"/>
    </w:lvl>
  </w:abstractNum>
  <w:abstractNum w:abstractNumId="25">
    <w:nsid w:val="2CA88611"/>
    <w:multiLevelType w:val="hybridMultilevel"/>
    <w:lvl w:ilvl="0">
      <w:lvlJc w:val="left"/>
      <w:lvlText w:val="%1:"/>
      <w:numFmt w:val="upperLetter"/>
      <w:start w:val="6"/>
    </w:lvl>
  </w:abstractNum>
  <w:abstractNum w:abstractNumId="26">
    <w:nsid w:val="836C40E"/>
    <w:multiLevelType w:val="hybridMultilevel"/>
    <w:lvl w:ilvl="0">
      <w:lvlJc w:val="left"/>
      <w:lvlText w:val="%1:"/>
      <w:numFmt w:val="upperLetter"/>
      <w:start w:val="4"/>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2"/>
    </w:lvl>
  </w:abstractNum>
  <w:abstractNum w:abstractNumId="29">
    <w:nsid w:val="813864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2019-12-07T21:15:43Z</dcterms:created>
  <dcterms:modified xsi:type="dcterms:W3CDTF">2019-12-07T21:15:43Z</dcterms:modified>
</cp:coreProperties>
</file>