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91440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2"/>
                <w:szCs w:val="22"/>
                <w:color w:val="auto"/>
              </w:rPr>
            </w:pPr>
          </w:p>
        </w:tc>
      </w:tr>
      <w:tr>
        <w:trPr>
          <w:trHeight w:val="212"/>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6"/>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TSLX</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6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6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48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0"/>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48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720" w:type="dxa"/>
            <w:vAlign w:val="bottom"/>
          </w:tcPr>
          <w:p>
            <w:pPr>
              <w:ind w:left="248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380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$.01 par value per share, outstanding at November 4, 2019 was 66,480,575.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749935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INDEX</w:t>
            </w:r>
          </w:p>
        </w:tc>
        <w:tc>
          <w:tcPr>
            <w:tcW w:w="12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4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September 30, 2019 (Unaudited) and December 31, 2018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85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Operations for the three and nine months ended September 30, 2019 and 2018 (Unaudited)</w:t>
              </w:r>
            </w:hyperlink>
          </w:p>
        </w:tc>
        <w:tc>
          <w:tcPr>
            <w:tcW w:w="90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September 30, 2019 (Unaudited) and December 31, 2018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84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Consolidated Statements of Changes in Net Assets for the three and nine months ended September 30, 2019 and 2018</w:t>
              </w:r>
            </w:hyperlink>
          </w:p>
        </w:tc>
        <w:tc>
          <w:tcPr>
            <w:tcW w:w="98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(Unaudited)</w:t>
              </w:r>
            </w:hyperlink>
          </w:p>
        </w:tc>
        <w:tc>
          <w:tcPr>
            <w:tcW w:w="8600" w:type="dxa"/>
            <w:vAlign w:val="bottom"/>
            <w:gridSpan w:val="2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78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Consolidated Statements of Cash Flows for the nine months ended September 30, 2019 and 2018 (Unaudited)</w:t>
              </w:r>
            </w:hyperlink>
          </w:p>
        </w:tc>
        <w:tc>
          <w:tcPr>
            <w:tcW w:w="156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Notes to Consolidated Financial Statements (Unaudited)</w:t>
              </w:r>
            </w:hyperlink>
          </w:p>
        </w:tc>
        <w:tc>
          <w:tcPr>
            <w:tcW w:w="54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02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70">
              <w:r>
                <w:rPr>
                  <w:rFonts w:ascii="Arial" w:cs="Arial" w:eastAsia="Arial" w:hAnsi="Arial"/>
                  <w:sz w:val="18"/>
                  <w:szCs w:val="18"/>
                  <w:color w:val="0000EE"/>
                  <w:w w:val="86"/>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3"/>
              </w:rPr>
            </w:pPr>
            <w:hyperlink w:anchor="page71">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right="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and in our Annual Report on Form 10-K for the year ended December 31, 2018, filed with the SEC on February 20, 2019, and elsewhere in our filings with the SEC.</w:t>
      </w:r>
    </w:p>
    <w:p>
      <w:pPr>
        <w:spacing w:after="0" w:line="170"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4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$1,912,871 and $1,546,780,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1,948,012</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1,565,532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w w:val="98"/>
              </w:rPr>
              <w:t>Non-controlled, affiliated investments (amortized cost of $49,703 and $84,602, respectively)</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49,743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$90,645 and $85,018, respectively)</w:t>
            </w:r>
          </w:p>
        </w:tc>
        <w:tc>
          <w:tcPr>
            <w:tcW w:w="2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49,765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investments at fair value (amortized cost of $2,053,219 and $1,716,400, respectively)</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2,047,520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1,705,969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$4,965 and $7,303, respectively)</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Interest receivable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12,516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5,144</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2,073,290</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1,730,324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Debt (net of deferred financing costs of $15,586 and $15,508, respectively)</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902,312</w:t>
            </w:r>
          </w:p>
        </w:tc>
        <w:tc>
          <w:tcPr>
            <w:tcW w:w="2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608,007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7,794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2,896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965,032</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26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66,382,453 and</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65,501,897 shares issued, respectively; and 66,293,373 and 65,412,817 shares</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1,008,159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26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(1,359)</w:t>
            </w:r>
          </w:p>
        </w:tc>
        <w:tc>
          <w:tcPr>
            <w:tcW w:w="28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2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100,794</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1,108,258</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2,073,290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1,730,324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5"/>
          </w:tcPr>
          <w:p>
            <w:pPr>
              <w:jc w:val="right"/>
              <w:ind w:right="11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2860" w:type="dxa"/>
            <w:vAlign w:val="bottom"/>
            <w:gridSpan w:val="5"/>
          </w:tcPr>
          <w:p>
            <w:pPr>
              <w:jc w:val="right"/>
              <w:ind w:right="1000"/>
              <w:spacing w:after="0"/>
              <w:rPr>
                <w:sz w:val="20"/>
                <w:szCs w:val="20"/>
                <w:color w:val="auto"/>
              </w:rPr>
            </w:pPr>
            <w:r>
              <w:rPr>
                <w:rFonts w:ascii="Arial" w:cs="Arial" w:eastAsia="Arial" w:hAnsi="Arial"/>
                <w:sz w:val="13"/>
                <w:szCs w:val="13"/>
                <w:b w:val="1"/>
                <w:bCs w:val="1"/>
                <w:color w:val="auto"/>
              </w:rPr>
              <w:t>Nine Months Ended</w:t>
            </w:r>
          </w:p>
        </w:tc>
      </w:tr>
      <w:tr>
        <w:trPr>
          <w:trHeight w:val="153"/>
        </w:trPr>
        <w:tc>
          <w:tcPr>
            <w:tcW w:w="4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7"/>
              </w:rPr>
              <w:t>September 30, 2019</w:t>
            </w:r>
          </w:p>
        </w:tc>
        <w:tc>
          <w:tcPr>
            <w:tcW w:w="100" w:type="dxa"/>
            <w:vAlign w:val="bottom"/>
          </w:tcPr>
          <w:p>
            <w:pPr>
              <w:spacing w:after="0"/>
              <w:rPr>
                <w:sz w:val="13"/>
                <w:szCs w:val="13"/>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5"/>
              </w:rPr>
              <w:t>September 30, 2018</w:t>
            </w:r>
          </w:p>
        </w:tc>
        <w:tc>
          <w:tcPr>
            <w:tcW w:w="100" w:type="dxa"/>
            <w:vAlign w:val="bottom"/>
          </w:tcPr>
          <w:p>
            <w:pPr>
              <w:spacing w:after="0"/>
              <w:rPr>
                <w:sz w:val="13"/>
                <w:szCs w:val="13"/>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5"/>
              </w:rPr>
              <w:t>September 30, 2019</w:t>
            </w:r>
          </w:p>
        </w:tc>
        <w:tc>
          <w:tcPr>
            <w:tcW w:w="10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5"/>
              </w:rPr>
              <w:t>September 30, 2018</w:t>
            </w:r>
          </w:p>
        </w:tc>
      </w:tr>
      <w:tr>
        <w:trPr>
          <w:trHeight w:val="156"/>
        </w:trPr>
        <w:tc>
          <w:tcPr>
            <w:tcW w:w="49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4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64,451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57,033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168,606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163,640</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2,712</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6,730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10,013</w:t>
            </w:r>
          </w:p>
        </w:tc>
        <w:tc>
          <w:tcPr>
            <w:tcW w:w="120" w:type="dxa"/>
            <w:vAlign w:val="bottom"/>
            <w:shd w:val="clear" w:color="auto" w:fill="CFF0FC"/>
          </w:tcPr>
          <w:p>
            <w:pPr>
              <w:spacing w:after="0"/>
              <w:rPr>
                <w:sz w:val="14"/>
                <w:szCs w:val="14"/>
                <w:color w:val="auto"/>
              </w:rPr>
            </w:pPr>
          </w:p>
        </w:tc>
      </w:tr>
      <w:tr>
        <w:trPr>
          <w:trHeight w:val="137"/>
        </w:trPr>
        <w:tc>
          <w:tcPr>
            <w:tcW w:w="4920" w:type="dxa"/>
            <w:vAlign w:val="bottom"/>
          </w:tcPr>
          <w:p>
            <w:pPr>
              <w:ind w:left="500"/>
              <w:spacing w:after="0" w:line="137" w:lineRule="exact"/>
              <w:rPr>
                <w:sz w:val="20"/>
                <w:szCs w:val="20"/>
                <w:color w:val="auto"/>
              </w:rPr>
            </w:pPr>
            <w:r>
              <w:rPr>
                <w:rFonts w:ascii="Arial" w:cs="Arial" w:eastAsia="Arial" w:hAnsi="Arial"/>
                <w:sz w:val="14"/>
                <w:szCs w:val="14"/>
                <w:color w:val="auto"/>
              </w:rPr>
              <w:t>Total investment income from non-controlled, non-affiliated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920" w:type="dxa"/>
            <w:vAlign w:val="bottom"/>
          </w:tcPr>
          <w:p>
            <w:pPr>
              <w:ind w:left="600"/>
              <w:spacing w:after="0"/>
              <w:rPr>
                <w:sz w:val="20"/>
                <w:szCs w:val="20"/>
                <w:color w:val="auto"/>
              </w:rPr>
            </w:pPr>
            <w:r>
              <w:rPr>
                <w:rFonts w:ascii="Arial" w:cs="Arial" w:eastAsia="Arial" w:hAnsi="Arial"/>
                <w:sz w:val="14"/>
                <w:szCs w:val="14"/>
                <w:color w:val="auto"/>
              </w:rPr>
              <w:t>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67,163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58,193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175,337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173,849</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1,332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5,093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1,493</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FF0FC"/>
          </w:tcPr>
          <w:p>
            <w:pPr>
              <w:spacing w:after="0"/>
              <w:rPr>
                <w:sz w:val="14"/>
                <w:szCs w:val="14"/>
                <w:color w:val="auto"/>
              </w:rPr>
            </w:pPr>
          </w:p>
        </w:tc>
      </w:tr>
      <w:tr>
        <w:trPr>
          <w:trHeight w:val="156"/>
        </w:trPr>
        <w:tc>
          <w:tcPr>
            <w:tcW w:w="492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1,351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1,130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5,162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1,722</w:t>
            </w:r>
          </w:p>
        </w:tc>
        <w:tc>
          <w:tcPr>
            <w:tcW w:w="120" w:type="dxa"/>
            <w:vAlign w:val="bottom"/>
          </w:tcPr>
          <w:p>
            <w:pPr>
              <w:spacing w:after="0"/>
              <w:rPr>
                <w:sz w:val="13"/>
                <w:szCs w:val="13"/>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1,535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3,695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4,454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11,513</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FF0FC"/>
          </w:tcPr>
          <w:p>
            <w:pPr>
              <w:spacing w:after="0"/>
              <w:rPr>
                <w:sz w:val="14"/>
                <w:szCs w:val="14"/>
                <w:color w:val="auto"/>
              </w:rPr>
            </w:pPr>
          </w:p>
        </w:tc>
      </w:tr>
      <w:tr>
        <w:trPr>
          <w:trHeight w:val="156"/>
        </w:trPr>
        <w:tc>
          <w:tcPr>
            <w:tcW w:w="49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4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1,536</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3,681</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4,464</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11,602</w:t>
            </w:r>
          </w:p>
        </w:tc>
        <w:tc>
          <w:tcPr>
            <w:tcW w:w="120" w:type="dxa"/>
            <w:vAlign w:val="bottom"/>
            <w:tcBorders>
              <w:bottom w:val="single" w:sz="8" w:color="CFF0FC"/>
            </w:tcBorders>
          </w:tcPr>
          <w:p>
            <w:pPr>
              <w:spacing w:after="0"/>
              <w:rPr>
                <w:sz w:val="13"/>
                <w:szCs w:val="13"/>
                <w:color w:val="auto"/>
              </w:rPr>
            </w:pPr>
          </w:p>
        </w:tc>
      </w:tr>
      <w:tr>
        <w:trPr>
          <w:trHeight w:val="156"/>
        </w:trPr>
        <w:tc>
          <w:tcPr>
            <w:tcW w:w="492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70,050</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63,004</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184,963</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187,173</w:t>
            </w:r>
          </w:p>
        </w:tc>
        <w:tc>
          <w:tcPr>
            <w:tcW w:w="120" w:type="dxa"/>
            <w:vAlign w:val="bottom"/>
            <w:shd w:val="clear" w:color="auto" w:fill="CFF0FC"/>
          </w:tcPr>
          <w:p>
            <w:pPr>
              <w:spacing w:after="0"/>
              <w:rPr>
                <w:sz w:val="13"/>
                <w:szCs w:val="13"/>
                <w:color w:val="auto"/>
              </w:rPr>
            </w:pPr>
          </w:p>
        </w:tc>
      </w:tr>
      <w:tr>
        <w:trPr>
          <w:trHeight w:val="156"/>
        </w:trPr>
        <w:tc>
          <w:tcPr>
            <w:tcW w:w="49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Interest</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12,570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35,664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32,237</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Management fees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7,875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7,538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21,870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21,520</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Incentive fees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20,050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21,159</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Professional fees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1,760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2,078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4,951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5,810</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4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4,652</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4,019</w:t>
            </w:r>
          </w:p>
        </w:tc>
        <w:tc>
          <w:tcPr>
            <w:tcW w:w="120" w:type="dxa"/>
            <w:vAlign w:val="bottom"/>
            <w:tcBorders>
              <w:bottom w:val="single" w:sz="8" w:color="CFF0FC"/>
            </w:tcBorders>
          </w:tcPr>
          <w:p>
            <w:pPr>
              <w:spacing w:after="0"/>
              <w:rPr>
                <w:sz w:val="14"/>
                <w:szCs w:val="14"/>
                <w:color w:val="auto"/>
              </w:rPr>
            </w:pPr>
          </w:p>
        </w:tc>
      </w:tr>
      <w:tr>
        <w:trPr>
          <w:trHeight w:val="156"/>
        </w:trPr>
        <w:tc>
          <w:tcPr>
            <w:tcW w:w="49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4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31,757</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30,061</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87,590</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85,054</w:t>
            </w:r>
          </w:p>
        </w:tc>
        <w:tc>
          <w:tcPr>
            <w:tcW w:w="120" w:type="dxa"/>
            <w:vAlign w:val="bottom"/>
            <w:shd w:val="clear" w:color="auto" w:fill="CFF0FC"/>
          </w:tcPr>
          <w:p>
            <w:pPr>
              <w:spacing w:after="0"/>
              <w:rPr>
                <w:sz w:val="13"/>
                <w:szCs w:val="13"/>
                <w:color w:val="auto"/>
              </w:rPr>
            </w:pPr>
          </w:p>
        </w:tc>
      </w:tr>
      <w:tr>
        <w:trPr>
          <w:trHeight w:val="156"/>
        </w:trPr>
        <w:tc>
          <w:tcPr>
            <w:tcW w:w="49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Management and incentive fees waived (Note 3)</w:t>
            </w:r>
          </w:p>
        </w:tc>
        <w:tc>
          <w:tcPr>
            <w:tcW w:w="4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w:t>
            </w:r>
          </w:p>
        </w:tc>
        <w:tc>
          <w:tcPr>
            <w:tcW w:w="120" w:type="dxa"/>
            <w:vAlign w:val="bottom"/>
            <w:tcBorders>
              <w:bottom w:val="single" w:sz="8" w:color="CFF0FC"/>
            </w:tcBorders>
          </w:tcPr>
          <w:p>
            <w:pPr>
              <w:spacing w:after="0"/>
              <w:rPr>
                <w:sz w:val="13"/>
                <w:szCs w:val="13"/>
                <w:color w:val="auto"/>
              </w:rPr>
            </w:pPr>
          </w:p>
        </w:tc>
      </w:tr>
      <w:tr>
        <w:trPr>
          <w:trHeight w:val="156"/>
        </w:trPr>
        <w:tc>
          <w:tcPr>
            <w:tcW w:w="492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4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31,757</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30,061</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87,590</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84,991</w:t>
            </w:r>
          </w:p>
        </w:tc>
        <w:tc>
          <w:tcPr>
            <w:tcW w:w="120" w:type="dxa"/>
            <w:vAlign w:val="bottom"/>
            <w:shd w:val="clear" w:color="auto" w:fill="CFF0FC"/>
          </w:tcPr>
          <w:p>
            <w:pPr>
              <w:spacing w:after="0"/>
              <w:rPr>
                <w:sz w:val="13"/>
                <w:szCs w:val="13"/>
                <w:color w:val="auto"/>
              </w:rPr>
            </w:pPr>
          </w:p>
        </w:tc>
      </w:tr>
      <w:tr>
        <w:trPr>
          <w:trHeight w:val="156"/>
        </w:trPr>
        <w:tc>
          <w:tcPr>
            <w:tcW w:w="49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38,293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32,943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97,373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102,182</w:t>
            </w:r>
          </w:p>
        </w:tc>
        <w:tc>
          <w:tcPr>
            <w:tcW w:w="120" w:type="dxa"/>
            <w:vAlign w:val="bottom"/>
          </w:tcPr>
          <w:p>
            <w:pPr>
              <w:spacing w:after="0"/>
              <w:rPr>
                <w:sz w:val="13"/>
                <w:szCs w:val="13"/>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4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2,850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120" w:type="dxa"/>
            <w:vAlign w:val="bottom"/>
            <w:shd w:val="clear" w:color="auto" w:fill="CFF0FC"/>
          </w:tcPr>
          <w:p>
            <w:pPr>
              <w:spacing w:after="0"/>
              <w:rPr>
                <w:sz w:val="14"/>
                <w:szCs w:val="14"/>
                <w:color w:val="auto"/>
              </w:rPr>
            </w:pPr>
          </w:p>
        </w:tc>
      </w:tr>
      <w:tr>
        <w:trPr>
          <w:trHeight w:val="156"/>
        </w:trPr>
        <w:tc>
          <w:tcPr>
            <w:tcW w:w="49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36,743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32,293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94,523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99,782</w:t>
            </w:r>
          </w:p>
        </w:tc>
        <w:tc>
          <w:tcPr>
            <w:tcW w:w="120" w:type="dxa"/>
            <w:vAlign w:val="bottom"/>
          </w:tcPr>
          <w:p>
            <w:pPr>
              <w:spacing w:after="0"/>
              <w:rPr>
                <w:sz w:val="13"/>
                <w:szCs w:val="13"/>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(11,589)</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16,478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15,193</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(4,399)</w:t>
            </w: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(3,791)</w:t>
            </w: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(12,365)</w:t>
            </w: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1,454</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2,962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(1,588)</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2,316</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10,908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(7,980)</w:t>
            </w:r>
          </w:p>
        </w:tc>
      </w:tr>
      <w:tr>
        <w:trPr>
          <w:trHeight w:val="156"/>
        </w:trPr>
        <w:tc>
          <w:tcPr>
            <w:tcW w:w="49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4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(11,478)</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4,812</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16,406</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11,038</w:t>
            </w:r>
          </w:p>
        </w:tc>
        <w:tc>
          <w:tcPr>
            <w:tcW w:w="120" w:type="dxa"/>
            <w:vAlign w:val="bottom"/>
            <w:tcBorders>
              <w:bottom w:val="single" w:sz="8" w:color="CFF0FC"/>
            </w:tcBorders>
          </w:tcPr>
          <w:p>
            <w:pPr>
              <w:spacing w:after="0"/>
              <w:rPr>
                <w:sz w:val="13"/>
                <w:szCs w:val="13"/>
                <w:color w:val="auto"/>
              </w:rPr>
            </w:pPr>
          </w:p>
        </w:tc>
      </w:tr>
      <w:tr>
        <w:trPr>
          <w:trHeight w:val="156"/>
        </w:trPr>
        <w:tc>
          <w:tcPr>
            <w:tcW w:w="49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4,868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5,323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3,093</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(9,589)</w:t>
            </w: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Interest rate swaps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transactions</w:t>
            </w:r>
          </w:p>
        </w:tc>
        <w:tc>
          <w:tcPr>
            <w:tcW w:w="4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FF0FC"/>
          </w:tcPr>
          <w:p>
            <w:pPr>
              <w:spacing w:after="0"/>
              <w:rPr>
                <w:sz w:val="14"/>
                <w:szCs w:val="14"/>
                <w:color w:val="auto"/>
              </w:rPr>
            </w:pPr>
          </w:p>
        </w:tc>
      </w:tr>
      <w:tr>
        <w:trPr>
          <w:trHeight w:val="156"/>
        </w:trPr>
        <w:tc>
          <w:tcPr>
            <w:tcW w:w="49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4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5,076</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5,952</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(6,035)</w:t>
            </w:r>
          </w:p>
        </w:tc>
        <w:tc>
          <w:tcPr>
            <w:tcW w:w="120" w:type="dxa"/>
            <w:vAlign w:val="bottom"/>
            <w:tcBorders>
              <w:bottom w:val="single" w:sz="8" w:color="CFF0FC"/>
            </w:tcBorders>
          </w:tcPr>
          <w:p>
            <w:pPr>
              <w:spacing w:after="0"/>
              <w:rPr>
                <w:sz w:val="13"/>
                <w:szCs w:val="13"/>
                <w:color w:val="auto"/>
              </w:rPr>
            </w:pPr>
          </w:p>
        </w:tc>
      </w:tr>
      <w:tr>
        <w:trPr>
          <w:trHeight w:val="156"/>
        </w:trPr>
        <w:tc>
          <w:tcPr>
            <w:tcW w:w="4920" w:type="dxa"/>
            <w:vAlign w:val="bottom"/>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4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(6,402)</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5,087</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22,358</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5,003</w:t>
            </w:r>
          </w:p>
        </w:tc>
        <w:tc>
          <w:tcPr>
            <w:tcW w:w="120" w:type="dxa"/>
            <w:vAlign w:val="bottom"/>
            <w:shd w:val="clear" w:color="auto" w:fill="CFF0FC"/>
          </w:tcPr>
          <w:p>
            <w:pPr>
              <w:spacing w:after="0"/>
              <w:rPr>
                <w:sz w:val="13"/>
                <w:szCs w:val="13"/>
                <w:color w:val="auto"/>
              </w:rPr>
            </w:pPr>
          </w:p>
        </w:tc>
      </w:tr>
      <w:tr>
        <w:trPr>
          <w:trHeight w:val="196"/>
        </w:trPr>
        <w:tc>
          <w:tcPr>
            <w:tcW w:w="492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4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30,341</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37,380</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116,881</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104,785</w:t>
            </w:r>
          </w:p>
        </w:tc>
        <w:tc>
          <w:tcPr>
            <w:tcW w:w="120" w:type="dxa"/>
            <w:vAlign w:val="bottom"/>
            <w:tcBorders>
              <w:bottom w:val="single" w:sz="8" w:color="CFF0FC"/>
            </w:tcBorders>
          </w:tcPr>
          <w:p>
            <w:pPr>
              <w:spacing w:after="0"/>
              <w:rPr>
                <w:sz w:val="17"/>
                <w:szCs w:val="17"/>
                <w:color w:val="auto"/>
              </w:rPr>
            </w:pPr>
          </w:p>
        </w:tc>
      </w:tr>
      <w:tr>
        <w:trPr>
          <w:trHeight w:val="143"/>
        </w:trPr>
        <w:tc>
          <w:tcPr>
            <w:tcW w:w="49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Earnings per common share—basic and diluted</w:t>
            </w:r>
          </w:p>
        </w:tc>
        <w:tc>
          <w:tcPr>
            <w:tcW w:w="4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0.46</w:t>
            </w:r>
          </w:p>
        </w:tc>
        <w:tc>
          <w:tcPr>
            <w:tcW w:w="2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0.57</w:t>
            </w:r>
          </w:p>
        </w:tc>
        <w:tc>
          <w:tcPr>
            <w:tcW w:w="2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1.77</w:t>
            </w:r>
          </w:p>
        </w:tc>
        <w:tc>
          <w:tcPr>
            <w:tcW w:w="2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1.65</w:t>
            </w:r>
          </w:p>
        </w:tc>
        <w:tc>
          <w:tcPr>
            <w:tcW w:w="120" w:type="dxa"/>
            <w:vAlign w:val="bottom"/>
            <w:shd w:val="clear" w:color="auto" w:fill="CFF0FC"/>
          </w:tcPr>
          <w:p>
            <w:pPr>
              <w:spacing w:after="0"/>
              <w:rPr>
                <w:sz w:val="12"/>
                <w:szCs w:val="12"/>
                <w:color w:val="auto"/>
              </w:rPr>
            </w:pPr>
          </w:p>
        </w:tc>
      </w:tr>
      <w:tr>
        <w:trPr>
          <w:trHeight w:val="156"/>
        </w:trPr>
        <w:tc>
          <w:tcPr>
            <w:tcW w:w="4920" w:type="dxa"/>
            <w:vAlign w:val="bottom"/>
          </w:tcPr>
          <w:p>
            <w:pPr>
              <w:spacing w:after="0" w:line="155" w:lineRule="exact"/>
              <w:rPr>
                <w:sz w:val="20"/>
                <w:szCs w:val="20"/>
                <w:color w:val="auto"/>
              </w:rPr>
            </w:pPr>
            <w:r>
              <w:rPr>
                <w:rFonts w:ascii="Arial" w:cs="Arial" w:eastAsia="Arial" w:hAnsi="Arial"/>
                <w:sz w:val="14"/>
                <w:szCs w:val="14"/>
                <w:color w:val="auto"/>
              </w:rPr>
              <w:t>Weighted average shares of common stock outstanding—basic and diluted</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66,235,594</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65,101,482</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65,940,148</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63,582,506</w:t>
            </w:r>
          </w:p>
        </w:tc>
        <w:tc>
          <w:tcPr>
            <w:tcW w:w="120" w:type="dxa"/>
            <w:vAlign w:val="bottom"/>
          </w:tcPr>
          <w:p>
            <w:pPr>
              <w:spacing w:after="0"/>
              <w:rPr>
                <w:sz w:val="13"/>
                <w:szCs w:val="13"/>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September 30, 2019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Initial</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Reference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Acquisition</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Rate and</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Interest</w:t>
            </w: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Amortized</w:t>
            </w: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Fair</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Percentage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5"/>
                <w:szCs w:val="15"/>
                <w:b w:val="1"/>
                <w:bCs w:val="1"/>
                <w:color w:val="auto"/>
              </w:rPr>
              <w:t>(1)</w:t>
            </w:r>
          </w:p>
        </w:tc>
        <w:tc>
          <w:tcPr>
            <w:tcW w:w="100" w:type="dxa"/>
            <w:vAlign w:val="bottom"/>
          </w:tcPr>
          <w:p>
            <w:pPr>
              <w:spacing w:after="0"/>
              <w:rPr>
                <w:sz w:val="20"/>
                <w:szCs w:val="20"/>
                <w:color w:val="auto"/>
              </w:rPr>
            </w:pPr>
          </w:p>
        </w:tc>
        <w:tc>
          <w:tcPr>
            <w:tcW w:w="2480" w:type="dxa"/>
            <w:vAlign w:val="bottom"/>
            <w:gridSpan w:val="2"/>
          </w:tcPr>
          <w:p>
            <w:pPr>
              <w:ind w:left="760"/>
              <w:spacing w:after="0"/>
              <w:rPr>
                <w:sz w:val="20"/>
                <w:szCs w:val="20"/>
                <w:color w:val="auto"/>
              </w:rPr>
            </w:pPr>
            <w:r>
              <w:rPr>
                <w:rFonts w:ascii="Arial" w:cs="Arial" w:eastAsia="Arial" w:hAnsi="Arial"/>
                <w:sz w:val="18"/>
                <w:szCs w:val="18"/>
                <w:b w:val="1"/>
                <w:bCs w:val="1"/>
                <w:color w:val="auto"/>
              </w:rPr>
              <w:t>Investment</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Spread</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Rate</w:t>
            </w:r>
          </w:p>
        </w:tc>
        <w:tc>
          <w:tcPr>
            <w:tcW w:w="8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 xml:space="preserve">Cost </w:t>
            </w:r>
            <w:r>
              <w:rPr>
                <w:rFonts w:ascii="Arial" w:cs="Arial" w:eastAsia="Arial" w:hAnsi="Arial"/>
                <w:sz w:val="15"/>
                <w:szCs w:val="15"/>
                <w:b w:val="1"/>
                <w:bCs w:val="1"/>
                <w:color w:val="auto"/>
                <w:w w:val="93"/>
              </w:rPr>
              <w:t>(2)(8)</w:t>
            </w: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 xml:space="preserve">Value </w:t>
            </w:r>
            <w:r>
              <w:rPr>
                <w:rFonts w:ascii="Arial" w:cs="Arial" w:eastAsia="Arial" w:hAnsi="Arial"/>
                <w:sz w:val="15"/>
                <w:szCs w:val="15"/>
                <w:b w:val="1"/>
                <w:bCs w:val="1"/>
                <w:color w:val="auto"/>
                <w:w w:val="92"/>
              </w:rPr>
              <w:t>(10)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3"/>
              </w:rPr>
              <w:t>of Net Assets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w w:val="98"/>
              </w:rPr>
              <w:t>Beverage, food and tobacco</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w w:val="96"/>
              </w:rPr>
              <w:t xml:space="preserve">AFS Technologies, Inc. </w:t>
            </w:r>
            <w:r>
              <w:rPr>
                <w:rFonts w:ascii="Arial" w:cs="Arial" w:eastAsia="Arial" w:hAnsi="Arial"/>
                <w:sz w:val="15"/>
                <w:szCs w:val="15"/>
                <w:color w:val="auto"/>
                <w:w w:val="96"/>
              </w:rPr>
              <w:t>(3)(5)(6)</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First-lien loan ($45,853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10/16/2018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8.29%</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45,262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45,280</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FF0FC"/>
          </w:tcPr>
          <w:p>
            <w:pPr>
              <w:spacing w:after="0"/>
              <w:rPr>
                <w:sz w:val="20"/>
                <w:szCs w:val="20"/>
                <w:color w:val="auto"/>
              </w:rPr>
            </w:pPr>
          </w:p>
        </w:tc>
        <w:tc>
          <w:tcPr>
            <w:tcW w:w="24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10/2023)</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Acceo Solutions,</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7"/>
              </w:rPr>
              <w:t>First-lien loan (CAD 64,188 par,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C + 4.75%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48,068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47,995</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(3)(4)(5)</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due 7/2023)</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(CAD</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63,546)</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 xml:space="preserve">Alpha Midco, Inc. </w:t>
            </w:r>
            <w:r>
              <w:rPr>
                <w:rFonts w:ascii="Arial" w:cs="Arial" w:eastAsia="Arial" w:hAnsi="Arial"/>
                <w:sz w:val="15"/>
                <w:szCs w:val="15"/>
                <w:color w:val="auto"/>
              </w:rPr>
              <w:t>(3)(5)</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First-lien loan ($42,500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8/15/2019</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+ 6.75%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41,094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41,106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80" w:type="dxa"/>
            <w:vAlign w:val="bottom"/>
            <w:gridSpan w:val="2"/>
          </w:tcPr>
          <w:p>
            <w:pPr>
              <w:ind w:left="100"/>
              <w:spacing w:after="0"/>
              <w:rPr>
                <w:sz w:val="20"/>
                <w:szCs w:val="20"/>
                <w:color w:val="auto"/>
              </w:rPr>
            </w:pPr>
            <w:r>
              <w:rPr>
                <w:rFonts w:ascii="Arial" w:cs="Arial" w:eastAsia="Arial" w:hAnsi="Arial"/>
                <w:sz w:val="18"/>
                <w:szCs w:val="18"/>
                <w:color w:val="auto"/>
              </w:rPr>
              <w:t>8/2025)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Dye &amp; Durham Corp. </w:t>
            </w:r>
            <w:r>
              <w:rPr>
                <w:rFonts w:ascii="Arial" w:cs="Arial" w:eastAsia="Arial" w:hAnsi="Arial"/>
                <w:sz w:val="15"/>
                <w:szCs w:val="15"/>
                <w:color w:val="auto"/>
              </w:rPr>
              <w:t>(3)(4)</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7"/>
              </w:rPr>
              <w:t>First-lien loan (CAD 94,406 par,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7/11/2019</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C + 7.00%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70,392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69,699</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due 7/2024)</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(CAD</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92,282)</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rPr>
              <w:t>First-lien revolving loan (CAD</w:t>
            </w:r>
          </w:p>
        </w:tc>
        <w:tc>
          <w:tcPr>
            <w:tcW w:w="900" w:type="dxa"/>
            <w:vAlign w:val="bottom"/>
          </w:tcPr>
          <w:p>
            <w:pPr>
              <w:jc w:val="right"/>
              <w:spacing w:after="0"/>
              <w:rPr>
                <w:sz w:val="20"/>
                <w:szCs w:val="20"/>
                <w:color w:val="auto"/>
              </w:rPr>
            </w:pPr>
            <w:r>
              <w:rPr>
                <w:rFonts w:ascii="Arial" w:cs="Arial" w:eastAsia="Arial" w:hAnsi="Arial"/>
                <w:sz w:val="18"/>
                <w:szCs w:val="18"/>
                <w:color w:val="auto"/>
              </w:rPr>
              <w:t>7/11/2019</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P + 6.00%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rPr>
              <w:t>1,500 par, due 7/2024)</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(CAD</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Integration Appliance,</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First-lien loan ($71,500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+ 7.25%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70,598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71,500</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w:t>
            </w:r>
          </w:p>
        </w:tc>
        <w:tc>
          <w:tcPr>
            <w:tcW w:w="24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8/2023)</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7"/>
              </w:rPr>
              <w:t>First-lien revolving loan ($1,310</w:t>
            </w:r>
          </w:p>
        </w:tc>
        <w:tc>
          <w:tcPr>
            <w:tcW w:w="900" w:type="dxa"/>
            <w:vAlign w:val="bottom"/>
          </w:tcPr>
          <w:p>
            <w:pPr>
              <w:jc w:val="right"/>
              <w:spacing w:after="0"/>
              <w:rPr>
                <w:sz w:val="20"/>
                <w:szCs w:val="20"/>
                <w:color w:val="auto"/>
              </w:rPr>
            </w:pPr>
            <w:r>
              <w:rPr>
                <w:rFonts w:ascii="Arial" w:cs="Arial" w:eastAsia="Arial" w:hAnsi="Arial"/>
                <w:sz w:val="18"/>
                <w:szCs w:val="18"/>
                <w:color w:val="auto"/>
              </w:rPr>
              <w:t>8/13/2018</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+ 7.25%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1,279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rPr>
              <w:t>par, due 8/2023)</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(3)(5)</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First-lien loan ($60,006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+ 5.75%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58,858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60,756</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FF0FC"/>
          </w:tcPr>
          <w:p>
            <w:pPr>
              <w:spacing w:after="0"/>
              <w:rPr>
                <w:sz w:val="20"/>
                <w:szCs w:val="20"/>
                <w:color w:val="auto"/>
              </w:rPr>
            </w:pPr>
          </w:p>
        </w:tc>
        <w:tc>
          <w:tcPr>
            <w:tcW w:w="24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1/2024)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 xml:space="preserve">Nintex Global, Ltd. </w:t>
            </w:r>
            <w:r>
              <w:rPr>
                <w:rFonts w:ascii="Arial" w:cs="Arial" w:eastAsia="Arial" w:hAnsi="Arial"/>
                <w:sz w:val="15"/>
                <w:szCs w:val="15"/>
                <w:color w:val="auto"/>
              </w:rPr>
              <w:t>(3)(5)</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First-lien loan ($74,412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3/30/2018</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8.55%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72,961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74,784</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Borders>
              <w:bottom w:val="single" w:sz="8" w:color="CFF0FC"/>
            </w:tcBorders>
          </w:tcPr>
          <w:p>
            <w:pPr>
              <w:spacing w:after="0"/>
              <w:rPr>
                <w:sz w:val="20"/>
                <w:szCs w:val="20"/>
                <w:color w:val="auto"/>
              </w:rPr>
            </w:pPr>
          </w:p>
        </w:tc>
        <w:tc>
          <w:tcPr>
            <w:tcW w:w="248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4/2024)</w:t>
            </w:r>
          </w:p>
        </w:tc>
        <w:tc>
          <w:tcPr>
            <w:tcW w:w="10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364,287</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368,198</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Chemicals</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Second-lien loan ($4,147 par,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10/31/2016</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+ 12.00%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FF0FC"/>
          </w:tcPr>
          <w:p>
            <w:pPr>
              <w:spacing w:after="0"/>
              <w:rPr>
                <w:sz w:val="20"/>
                <w:szCs w:val="20"/>
                <w:color w:val="auto"/>
              </w:rPr>
            </w:pP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due 10/2021)</w:t>
            </w: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Education</w:t>
            </w:r>
          </w:p>
        </w:tc>
        <w:tc>
          <w:tcPr>
            <w:tcW w:w="10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Curriculum Associates,</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First-lien loan ($75,000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2/28/2018</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+ 5.50%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71,954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76,313</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(3)(5)</w:t>
            </w:r>
          </w:p>
        </w:tc>
        <w:tc>
          <w:tcPr>
            <w:tcW w:w="2480" w:type="dxa"/>
            <w:vAlign w:val="bottom"/>
            <w:gridSpan w:val="2"/>
          </w:tcPr>
          <w:p>
            <w:pPr>
              <w:ind w:left="100"/>
              <w:spacing w:after="0"/>
              <w:rPr>
                <w:sz w:val="20"/>
                <w:szCs w:val="20"/>
                <w:color w:val="auto"/>
              </w:rPr>
            </w:pPr>
            <w:r>
              <w:rPr>
                <w:rFonts w:ascii="Arial" w:cs="Arial" w:eastAsia="Arial" w:hAnsi="Arial"/>
                <w:sz w:val="18"/>
                <w:szCs w:val="18"/>
                <w:color w:val="auto"/>
              </w:rPr>
              <w:t>9/2025)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First-lien loan ($65,963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9/18/2017</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+ 6.50%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65,535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65,963</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Group, LLC </w:t>
            </w:r>
            <w:r>
              <w:rPr>
                <w:rFonts w:ascii="Arial" w:cs="Arial" w:eastAsia="Arial" w:hAnsi="Arial"/>
                <w:sz w:val="15"/>
                <w:szCs w:val="15"/>
                <w:color w:val="auto"/>
              </w:rPr>
              <w:t>(3)</w:t>
            </w:r>
          </w:p>
        </w:tc>
        <w:tc>
          <w:tcPr>
            <w:tcW w:w="24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9/2023)</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Illuminate Education,</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First-lien loan ($64,188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8/25/2017</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+ 7.25%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63,321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63,546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w:t>
            </w:r>
            <w:r>
              <w:rPr>
                <w:rFonts w:ascii="Arial" w:cs="Arial" w:eastAsia="Arial" w:hAnsi="Arial"/>
                <w:sz w:val="15"/>
                <w:szCs w:val="15"/>
                <w:color w:val="auto"/>
              </w:rPr>
              <w:t>(3)(5)</w:t>
            </w:r>
          </w:p>
        </w:tc>
        <w:tc>
          <w:tcPr>
            <w:tcW w:w="248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8/2022)</w:t>
            </w:r>
          </w:p>
        </w:tc>
        <w:tc>
          <w:tcPr>
            <w:tcW w:w="10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200,810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205,822</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Electronics</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APX Group, Inc. </w:t>
            </w:r>
            <w:r>
              <w:rPr>
                <w:rFonts w:ascii="Arial" w:cs="Arial" w:eastAsia="Arial" w:hAnsi="Arial"/>
                <w:sz w:val="15"/>
                <w:szCs w:val="15"/>
                <w:color w:val="auto"/>
              </w:rPr>
              <w:t>(11)</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Secured note ($3,750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5/31/2019</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7.88%</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FF0FC"/>
          </w:tcPr>
          <w:p>
            <w:pPr>
              <w:spacing w:after="0"/>
              <w:rPr>
                <w:sz w:val="20"/>
                <w:szCs w:val="20"/>
                <w:color w:val="auto"/>
              </w:rPr>
            </w:pPr>
          </w:p>
        </w:tc>
        <w:tc>
          <w:tcPr>
            <w:tcW w:w="24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12/2022)</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First-lien loan ($16,455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+ 7.50%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16,368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FF0FC"/>
          </w:tcPr>
          <w:p>
            <w:pPr>
              <w:spacing w:after="0"/>
              <w:rPr>
                <w:sz w:val="20"/>
                <w:szCs w:val="20"/>
                <w:color w:val="auto"/>
              </w:rPr>
            </w:pPr>
          </w:p>
        </w:tc>
        <w:tc>
          <w:tcPr>
            <w:tcW w:w="24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8/2020)</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580" w:type="dxa"/>
            <w:vAlign w:val="bottom"/>
            <w:gridSpan w:val="3"/>
          </w:tcPr>
          <w:p>
            <w:pPr>
              <w:ind w:left="100"/>
              <w:spacing w:after="0"/>
              <w:rPr>
                <w:sz w:val="20"/>
                <w:szCs w:val="20"/>
                <w:color w:val="auto"/>
              </w:rPr>
            </w:pPr>
            <w:r>
              <w:rPr>
                <w:rFonts w:ascii="Arial" w:cs="Arial" w:eastAsia="Arial" w:hAnsi="Arial"/>
                <w:sz w:val="18"/>
                <w:szCs w:val="18"/>
                <w:color w:val="auto"/>
                <w:w w:val="96"/>
              </w:rPr>
              <w:t>First-lien loan ($54,449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+ 9.50%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11.56%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54,245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54,449</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80" w:type="dxa"/>
            <w:vAlign w:val="bottom"/>
            <w:gridSpan w:val="2"/>
          </w:tcPr>
          <w:p>
            <w:pPr>
              <w:ind w:left="100"/>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 Treasury SS, LLC </w:t>
            </w:r>
            <w:r>
              <w:rPr>
                <w:rFonts w:ascii="Arial" w:cs="Arial" w:eastAsia="Arial" w:hAnsi="Arial"/>
                <w:sz w:val="15"/>
                <w:szCs w:val="15"/>
                <w:color w:val="auto"/>
              </w:rPr>
              <w:t>(3)</w:t>
            </w:r>
          </w:p>
        </w:tc>
        <w:tc>
          <w:tcPr>
            <w:tcW w:w="25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6"/>
              </w:rPr>
              <w:t>First-lien loan ($34,842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4/9/2018</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+ 9.25%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34,373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34,555</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24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4/2022)</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(incl.</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PIK)</w:t>
            </w: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 xml:space="preserve">GC Agile Holdings, Ltd. </w:t>
            </w:r>
            <w:r>
              <w:rPr>
                <w:rFonts w:ascii="Arial" w:cs="Arial" w:eastAsia="Arial" w:hAnsi="Arial"/>
                <w:sz w:val="15"/>
                <w:szCs w:val="15"/>
                <w:color w:val="auto"/>
              </w:rPr>
              <w:t>(3)(4)</w:t>
            </w:r>
          </w:p>
        </w:tc>
        <w:tc>
          <w:tcPr>
            <w:tcW w:w="2780" w:type="dxa"/>
            <w:vAlign w:val="bottom"/>
          </w:tcPr>
          <w:p>
            <w:pPr>
              <w:ind w:left="220"/>
              <w:spacing w:after="0"/>
              <w:rPr>
                <w:sz w:val="20"/>
                <w:szCs w:val="20"/>
                <w:color w:val="auto"/>
              </w:rPr>
            </w:pPr>
            <w:r>
              <w:rPr>
                <w:rFonts w:ascii="Arial" w:cs="Arial" w:eastAsia="Arial" w:hAnsi="Arial"/>
                <w:sz w:val="18"/>
                <w:szCs w:val="18"/>
                <w:color w:val="auto"/>
                <w:w w:val="99"/>
              </w:rPr>
              <w:t>First-lien loan ($39,824 par, due</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1/31/2019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+ 7.00%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9.11%</w:t>
            </w:r>
          </w:p>
        </w:tc>
        <w:tc>
          <w:tcPr>
            <w:tcW w:w="800" w:type="dxa"/>
            <w:vAlign w:val="bottom"/>
          </w:tcPr>
          <w:p>
            <w:pPr>
              <w:jc w:val="right"/>
              <w:spacing w:after="0"/>
              <w:rPr>
                <w:sz w:val="20"/>
                <w:szCs w:val="20"/>
                <w:color w:val="auto"/>
              </w:rPr>
            </w:pPr>
            <w:r>
              <w:rPr>
                <w:rFonts w:ascii="Arial" w:cs="Arial" w:eastAsia="Arial" w:hAnsi="Arial"/>
                <w:sz w:val="18"/>
                <w:szCs w:val="18"/>
                <w:color w:val="auto"/>
              </w:rPr>
              <w:t>39,169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39,127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6/2025)</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Kyriba Corp.</w:t>
            </w:r>
            <w:r>
              <w:rPr>
                <w:rFonts w:ascii="Arial" w:cs="Arial" w:eastAsia="Arial" w:hAnsi="Arial"/>
                <w:sz w:val="15"/>
                <w:szCs w:val="15"/>
                <w:color w:val="auto"/>
              </w:rPr>
              <w:t>(3)</w:t>
            </w: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First-lien loan ($12,431 par, due</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4/9/2019</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+ 9.00%</w:t>
            </w:r>
          </w:p>
        </w:tc>
        <w:tc>
          <w:tcPr>
            <w:tcW w:w="10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11.10%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12,043</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12,389</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440" w:type="dxa"/>
            <w:vAlign w:val="bottom"/>
            <w:shd w:val="clear" w:color="auto" w:fill="CFF0FC"/>
          </w:tcPr>
          <w:p>
            <w:pPr>
              <w:spacing w:after="0"/>
              <w:rPr>
                <w:sz w:val="18"/>
                <w:szCs w:val="18"/>
                <w:color w:val="auto"/>
              </w:rPr>
            </w:pP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4/2025)</w:t>
            </w:r>
          </w:p>
        </w:tc>
        <w:tc>
          <w:tcPr>
            <w:tcW w:w="1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9.00%</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18"/>
                <w:szCs w:val="18"/>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First-lien loan (EUR 7,401 par,</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4/9/2019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E + 9.00%</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9.00%</w:t>
            </w:r>
          </w:p>
        </w:tc>
        <w:tc>
          <w:tcPr>
            <w:tcW w:w="800" w:type="dxa"/>
            <w:vAlign w:val="bottom"/>
          </w:tcPr>
          <w:p>
            <w:pPr>
              <w:jc w:val="right"/>
              <w:spacing w:after="0"/>
              <w:rPr>
                <w:sz w:val="20"/>
                <w:szCs w:val="20"/>
                <w:color w:val="auto"/>
              </w:rPr>
            </w:pPr>
            <w:r>
              <w:rPr>
                <w:rFonts w:ascii="Arial" w:cs="Arial" w:eastAsia="Arial" w:hAnsi="Arial"/>
                <w:sz w:val="18"/>
                <w:szCs w:val="18"/>
                <w:color w:val="auto"/>
              </w:rPr>
              <w:t>8,059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7,497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due 4/2025)</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(EUR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9.00%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First-lien loan ($64,491 par, due</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7/28/2017</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+ 7.25%</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63,610</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64,321</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7/2022)</w:t>
            </w:r>
          </w:p>
        </w:tc>
        <w:tc>
          <w:tcPr>
            <w:tcW w:w="1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 xml:space="preserve">PrimeRevenue, Inc. </w:t>
            </w:r>
            <w:r>
              <w:rPr>
                <w:rFonts w:ascii="Arial" w:cs="Arial" w:eastAsia="Arial" w:hAnsi="Arial"/>
                <w:sz w:val="15"/>
                <w:szCs w:val="15"/>
                <w:color w:val="auto"/>
              </w:rPr>
              <w:t>(3)</w:t>
            </w:r>
          </w:p>
        </w:tc>
        <w:tc>
          <w:tcPr>
            <w:tcW w:w="2780" w:type="dxa"/>
            <w:vAlign w:val="bottom"/>
          </w:tcPr>
          <w:p>
            <w:pPr>
              <w:ind w:left="220"/>
              <w:spacing w:after="0"/>
              <w:rPr>
                <w:sz w:val="20"/>
                <w:szCs w:val="20"/>
                <w:color w:val="auto"/>
              </w:rPr>
            </w:pPr>
            <w:r>
              <w:rPr>
                <w:rFonts w:ascii="Arial" w:cs="Arial" w:eastAsia="Arial" w:hAnsi="Arial"/>
                <w:sz w:val="18"/>
                <w:szCs w:val="18"/>
                <w:color w:val="auto"/>
                <w:w w:val="99"/>
              </w:rPr>
              <w:t>First-lien loan ($20,850 par, due</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12/31/2018</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+ 8.50%</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10.54%</w:t>
            </w:r>
          </w:p>
        </w:tc>
        <w:tc>
          <w:tcPr>
            <w:tcW w:w="800" w:type="dxa"/>
            <w:vAlign w:val="bottom"/>
          </w:tcPr>
          <w:p>
            <w:pPr>
              <w:jc w:val="right"/>
              <w:spacing w:after="0"/>
              <w:rPr>
                <w:sz w:val="20"/>
                <w:szCs w:val="20"/>
                <w:color w:val="auto"/>
              </w:rPr>
            </w:pPr>
            <w:r>
              <w:rPr>
                <w:rFonts w:ascii="Arial" w:cs="Arial" w:eastAsia="Arial" w:hAnsi="Arial"/>
                <w:sz w:val="18"/>
                <w:szCs w:val="18"/>
                <w:color w:val="auto"/>
              </w:rPr>
              <w:t>20,567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20,782</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12/2023)</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5.50%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Ltd. </w:t>
            </w:r>
            <w:r>
              <w:rPr>
                <w:rFonts w:ascii="Arial" w:cs="Arial" w:eastAsia="Arial" w:hAnsi="Arial"/>
                <w:sz w:val="15"/>
                <w:szCs w:val="15"/>
                <w:color w:val="auto"/>
              </w:rPr>
              <w:t>(3)(5)</w:t>
            </w: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First-lien loan ($28,328 par, due</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7/31/2017</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+ 6.50%</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8.56%</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27,915</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29,178</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1/2022)</w:t>
            </w:r>
          </w:p>
        </w:tc>
        <w:tc>
          <w:tcPr>
            <w:tcW w:w="1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276,349</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279,029</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7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Caris Life Sciences, Ltd.</w:t>
            </w:r>
          </w:p>
        </w:tc>
        <w:tc>
          <w:tcPr>
            <w:tcW w:w="2780" w:type="dxa"/>
            <w:vAlign w:val="bottom"/>
          </w:tcPr>
          <w:p>
            <w:pPr>
              <w:ind w:left="220"/>
              <w:spacing w:after="0"/>
              <w:rPr>
                <w:sz w:val="20"/>
                <w:szCs w:val="20"/>
                <w:color w:val="auto"/>
              </w:rPr>
            </w:pPr>
            <w:r>
              <w:rPr>
                <w:rFonts w:ascii="Arial" w:cs="Arial" w:eastAsia="Arial" w:hAnsi="Arial"/>
                <w:sz w:val="18"/>
                <w:szCs w:val="18"/>
                <w:color w:val="auto"/>
              </w:rPr>
              <w:t>First-lien loan ($2,500 par, due</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9/21/2018</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11.30%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11.30%</w:t>
            </w:r>
          </w:p>
        </w:tc>
        <w:tc>
          <w:tcPr>
            <w:tcW w:w="800" w:type="dxa"/>
            <w:vAlign w:val="bottom"/>
          </w:tcPr>
          <w:p>
            <w:pPr>
              <w:jc w:val="right"/>
              <w:spacing w:after="0"/>
              <w:rPr>
                <w:sz w:val="20"/>
                <w:szCs w:val="20"/>
                <w:color w:val="auto"/>
              </w:rPr>
            </w:pPr>
            <w:r>
              <w:rPr>
                <w:rFonts w:ascii="Arial" w:cs="Arial" w:eastAsia="Arial" w:hAnsi="Arial"/>
                <w:sz w:val="18"/>
                <w:szCs w:val="18"/>
                <w:color w:val="auto"/>
              </w:rPr>
              <w:t>2,347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2,413</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9/2023)</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18"/>
                <w:szCs w:val="18"/>
                <w:color w:val="auto"/>
              </w:rPr>
            </w:pP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4"/>
              </w:rPr>
              <w:t>Convertible note ($2,500 par, due</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9/21/2018</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8.00%</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9/2023)</w:t>
            </w:r>
          </w:p>
        </w:tc>
        <w:tc>
          <w:tcPr>
            <w:tcW w:w="1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Clinicient, Inc.</w:t>
            </w:r>
            <w:r>
              <w:rPr>
                <w:rFonts w:ascii="Arial" w:cs="Arial" w:eastAsia="Arial" w:hAnsi="Arial"/>
                <w:sz w:val="15"/>
                <w:szCs w:val="15"/>
                <w:color w:val="auto"/>
              </w:rPr>
              <w:t>(3)</w:t>
            </w:r>
          </w:p>
        </w:tc>
        <w:tc>
          <w:tcPr>
            <w:tcW w:w="2780" w:type="dxa"/>
            <w:vAlign w:val="bottom"/>
          </w:tcPr>
          <w:p>
            <w:pPr>
              <w:ind w:left="220"/>
              <w:spacing w:after="0"/>
              <w:rPr>
                <w:sz w:val="20"/>
                <w:szCs w:val="20"/>
                <w:color w:val="auto"/>
              </w:rPr>
            </w:pPr>
            <w:r>
              <w:rPr>
                <w:rFonts w:ascii="Arial" w:cs="Arial" w:eastAsia="Arial" w:hAnsi="Arial"/>
                <w:sz w:val="18"/>
                <w:szCs w:val="18"/>
                <w:color w:val="auto"/>
                <w:w w:val="99"/>
              </w:rPr>
              <w:t>First-lien loan ($15,000 par, due</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5/31/2019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+ 7.00%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9.12%</w:t>
            </w:r>
          </w:p>
        </w:tc>
        <w:tc>
          <w:tcPr>
            <w:tcW w:w="800" w:type="dxa"/>
            <w:vAlign w:val="bottom"/>
          </w:tcPr>
          <w:p>
            <w:pPr>
              <w:jc w:val="right"/>
              <w:spacing w:after="0"/>
              <w:rPr>
                <w:sz w:val="20"/>
                <w:szCs w:val="20"/>
                <w:color w:val="auto"/>
              </w:rPr>
            </w:pPr>
            <w:r>
              <w:rPr>
                <w:rFonts w:ascii="Arial" w:cs="Arial" w:eastAsia="Arial" w:hAnsi="Arial"/>
                <w:sz w:val="18"/>
                <w:szCs w:val="18"/>
                <w:color w:val="auto"/>
              </w:rPr>
              <w:t>14,821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14,810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5/2024)</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Integrated Practice</w:t>
            </w: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First-lien loan ($36,085 par, due</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6/30/2017</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+ 8.00%</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35,438</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36,085</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Solutions, Inc. </w:t>
            </w:r>
            <w:r>
              <w:rPr>
                <w:rFonts w:ascii="Arial" w:cs="Arial" w:eastAsia="Arial" w:hAnsi="Arial"/>
                <w:sz w:val="15"/>
                <w:szCs w:val="15"/>
                <w:color w:val="auto"/>
              </w:rPr>
              <w:t>(3)(5)</w:t>
            </w: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6/2022)</w:t>
            </w:r>
          </w:p>
        </w:tc>
        <w:tc>
          <w:tcPr>
            <w:tcW w:w="1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780" w:type="dxa"/>
            <w:vAlign w:val="bottom"/>
          </w:tcPr>
          <w:p>
            <w:pPr>
              <w:ind w:left="220"/>
              <w:spacing w:after="0"/>
              <w:rPr>
                <w:sz w:val="20"/>
                <w:szCs w:val="20"/>
                <w:color w:val="auto"/>
              </w:rPr>
            </w:pPr>
            <w:r>
              <w:rPr>
                <w:rFonts w:ascii="Arial" w:cs="Arial" w:eastAsia="Arial" w:hAnsi="Arial"/>
                <w:sz w:val="18"/>
                <w:szCs w:val="18"/>
                <w:color w:val="auto"/>
                <w:w w:val="99"/>
              </w:rPr>
              <w:t>First-lien loan ($41,051 par, due</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9/30/2015</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+ 7.50%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9.54%</w:t>
            </w:r>
          </w:p>
        </w:tc>
        <w:tc>
          <w:tcPr>
            <w:tcW w:w="800" w:type="dxa"/>
            <w:vAlign w:val="bottom"/>
          </w:tcPr>
          <w:p>
            <w:pPr>
              <w:jc w:val="right"/>
              <w:spacing w:after="0"/>
              <w:rPr>
                <w:sz w:val="20"/>
                <w:szCs w:val="20"/>
                <w:color w:val="auto"/>
              </w:rPr>
            </w:pPr>
            <w:r>
              <w:rPr>
                <w:rFonts w:ascii="Arial" w:cs="Arial" w:eastAsia="Arial" w:hAnsi="Arial"/>
                <w:sz w:val="18"/>
                <w:szCs w:val="18"/>
                <w:color w:val="auto"/>
              </w:rPr>
              <w:t>40,762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41,154</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9/2020)</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First-lien loan ($26,840 par, due</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2/29/2016</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P + 6.75%</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26,825</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10/2019)</w:t>
            </w:r>
          </w:p>
        </w:tc>
        <w:tc>
          <w:tcPr>
            <w:tcW w:w="1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 xml:space="preserve">TherapeuticsMD, Inc. </w:t>
            </w:r>
            <w:r>
              <w:rPr>
                <w:rFonts w:ascii="Arial" w:cs="Arial" w:eastAsia="Arial" w:hAnsi="Arial"/>
                <w:sz w:val="15"/>
                <w:szCs w:val="15"/>
                <w:color w:val="auto"/>
              </w:rPr>
              <w:t>(3)(4)</w:t>
            </w:r>
          </w:p>
        </w:tc>
        <w:tc>
          <w:tcPr>
            <w:tcW w:w="2780" w:type="dxa"/>
            <w:vAlign w:val="bottom"/>
          </w:tcPr>
          <w:p>
            <w:pPr>
              <w:ind w:left="220"/>
              <w:spacing w:after="0"/>
              <w:rPr>
                <w:sz w:val="20"/>
                <w:szCs w:val="20"/>
                <w:color w:val="auto"/>
              </w:rPr>
            </w:pPr>
            <w:r>
              <w:rPr>
                <w:rFonts w:ascii="Arial" w:cs="Arial" w:eastAsia="Arial" w:hAnsi="Arial"/>
                <w:sz w:val="18"/>
                <w:szCs w:val="18"/>
                <w:color w:val="auto"/>
                <w:w w:val="99"/>
              </w:rPr>
              <w:t>First-lien loan ($30,000 par, due</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4/24/2019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+ 7.75%</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10.45%</w:t>
            </w:r>
          </w:p>
        </w:tc>
        <w:tc>
          <w:tcPr>
            <w:tcW w:w="800" w:type="dxa"/>
            <w:vAlign w:val="bottom"/>
          </w:tcPr>
          <w:p>
            <w:pPr>
              <w:jc w:val="right"/>
              <w:spacing w:after="0"/>
              <w:rPr>
                <w:sz w:val="20"/>
                <w:szCs w:val="20"/>
                <w:color w:val="auto"/>
              </w:rPr>
            </w:pPr>
            <w:r>
              <w:rPr>
                <w:rFonts w:ascii="Arial" w:cs="Arial" w:eastAsia="Arial" w:hAnsi="Arial"/>
                <w:sz w:val="18"/>
                <w:szCs w:val="18"/>
                <w:color w:val="auto"/>
              </w:rPr>
              <w:t>29,302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28,875</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3/2024)</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w:t>
            </w: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First-lien loan ($27,936 par, due</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4/8/2019</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+ 8.75%</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10.79%</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27,078</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27,215</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w:t>
            </w: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4/2024)</w:t>
            </w:r>
          </w:p>
        </w:tc>
        <w:tc>
          <w:tcPr>
            <w:tcW w:w="1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 xml:space="preserve">Vita Bidco, Inc. </w:t>
            </w:r>
            <w:r>
              <w:rPr>
                <w:rFonts w:ascii="Arial" w:cs="Arial" w:eastAsia="Arial" w:hAnsi="Arial"/>
                <w:sz w:val="15"/>
                <w:szCs w:val="15"/>
                <w:color w:val="auto"/>
              </w:rPr>
              <w:t>(3)(5)</w:t>
            </w:r>
          </w:p>
        </w:tc>
        <w:tc>
          <w:tcPr>
            <w:tcW w:w="2780" w:type="dxa"/>
            <w:vAlign w:val="bottom"/>
          </w:tcPr>
          <w:p>
            <w:pPr>
              <w:ind w:left="220"/>
              <w:spacing w:after="0"/>
              <w:rPr>
                <w:sz w:val="20"/>
                <w:szCs w:val="20"/>
                <w:color w:val="auto"/>
              </w:rPr>
            </w:pPr>
            <w:r>
              <w:rPr>
                <w:rFonts w:ascii="Arial" w:cs="Arial" w:eastAsia="Arial" w:hAnsi="Arial"/>
                <w:sz w:val="18"/>
                <w:szCs w:val="18"/>
                <w:color w:val="auto"/>
                <w:w w:val="99"/>
              </w:rPr>
              <w:t>First-lien loan ($21,828 par, due</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2/11/2019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+ 6.50%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8.54%</w:t>
            </w:r>
          </w:p>
        </w:tc>
        <w:tc>
          <w:tcPr>
            <w:tcW w:w="800" w:type="dxa"/>
            <w:vAlign w:val="bottom"/>
          </w:tcPr>
          <w:p>
            <w:pPr>
              <w:jc w:val="right"/>
              <w:spacing w:after="0"/>
              <w:rPr>
                <w:sz w:val="20"/>
                <w:szCs w:val="20"/>
                <w:color w:val="auto"/>
              </w:rPr>
            </w:pPr>
            <w:r>
              <w:rPr>
                <w:rFonts w:ascii="Arial" w:cs="Arial" w:eastAsia="Arial" w:hAnsi="Arial"/>
                <w:sz w:val="18"/>
                <w:szCs w:val="18"/>
                <w:color w:val="auto"/>
              </w:rPr>
              <w:t>21,264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21,500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30"/>
        </w:trPr>
        <w:tc>
          <w:tcPr>
            <w:tcW w:w="2440" w:type="dxa"/>
            <w:vAlign w:val="bottom"/>
            <w:tcBorders>
              <w:bottom w:val="single" w:sz="8" w:color="CFF0FC"/>
            </w:tcBorders>
          </w:tcPr>
          <w:p>
            <w:pPr>
              <w:spacing w:after="0"/>
              <w:rPr>
                <w:sz w:val="20"/>
                <w:szCs w:val="20"/>
                <w:color w:val="auto"/>
              </w:rPr>
            </w:pPr>
          </w:p>
        </w:tc>
        <w:tc>
          <w:tcPr>
            <w:tcW w:w="27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2/2024)</w:t>
            </w:r>
          </w:p>
        </w:tc>
        <w:tc>
          <w:tcPr>
            <w:tcW w:w="11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4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200,337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201,411</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8"/>
                <w:szCs w:val="18"/>
                <w:b w:val="1"/>
                <w:bCs w:val="1"/>
                <w:color w:val="auto"/>
              </w:rPr>
              <w:t>Hotel, gaming, and leisure</w:t>
            </w:r>
          </w:p>
        </w:tc>
        <w:tc>
          <w:tcPr>
            <w:tcW w:w="2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First-lien loan ($31,200 par, due</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9/29/2015</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+ 9.50%</w:t>
            </w:r>
          </w:p>
        </w:tc>
        <w:tc>
          <w:tcPr>
            <w:tcW w:w="10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11.60%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29,346</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440" w:type="dxa"/>
            <w:vAlign w:val="bottom"/>
            <w:shd w:val="clear" w:color="auto" w:fill="CFF0FC"/>
          </w:tcPr>
          <w:p>
            <w:pPr>
              <w:spacing w:after="0"/>
              <w:rPr>
                <w:sz w:val="18"/>
                <w:szCs w:val="18"/>
                <w:color w:val="auto"/>
              </w:rPr>
            </w:pP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9/2021)</w:t>
            </w:r>
          </w:p>
        </w:tc>
        <w:tc>
          <w:tcPr>
            <w:tcW w:w="1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5.00%</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18"/>
                <w:szCs w:val="18"/>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First-lien revolving loan ($3,341</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9/29/2015</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+ 9.50%</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11.60%</w:t>
            </w:r>
          </w:p>
        </w:tc>
        <w:tc>
          <w:tcPr>
            <w:tcW w:w="80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par, due 9/2021)</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5.00%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tcBorders>
              <w:bottom w:val="single" w:sz="8" w:color="CFF0FC"/>
            </w:tcBorders>
          </w:tcPr>
          <w:p>
            <w:pPr>
              <w:spacing w:after="0"/>
              <w:rPr>
                <w:sz w:val="20"/>
                <w:szCs w:val="20"/>
                <w:color w:val="auto"/>
              </w:rPr>
            </w:pPr>
          </w:p>
        </w:tc>
        <w:tc>
          <w:tcPr>
            <w:tcW w:w="278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4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32,687</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34,097</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05"/>
        </w:trPr>
        <w:tc>
          <w:tcPr>
            <w:tcW w:w="2440" w:type="dxa"/>
            <w:vAlign w:val="bottom"/>
          </w:tcPr>
          <w:p>
            <w:pPr>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2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Absorb Software, Inc. </w:t>
            </w:r>
            <w:r>
              <w:rPr>
                <w:rFonts w:ascii="Arial" w:cs="Arial" w:eastAsia="Arial" w:hAnsi="Arial"/>
                <w:sz w:val="15"/>
                <w:szCs w:val="15"/>
                <w:color w:val="auto"/>
              </w:rPr>
              <w:t>(3)(4)(5)</w:t>
            </w: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First-lien loan ($29,925 par, due</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7/31/2019</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+ 6.50%</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8.54%</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29,278</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29,327</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5/2024)</w:t>
            </w:r>
          </w:p>
        </w:tc>
        <w:tc>
          <w:tcPr>
            <w:tcW w:w="11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4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(3)</w:t>
            </w:r>
          </w:p>
        </w:tc>
        <w:tc>
          <w:tcPr>
            <w:tcW w:w="2600" w:type="dxa"/>
            <w:vAlign w:val="bottom"/>
          </w:tcPr>
          <w:p>
            <w:pPr>
              <w:ind w:left="140"/>
              <w:spacing w:after="0"/>
              <w:rPr>
                <w:sz w:val="20"/>
                <w:szCs w:val="20"/>
                <w:color w:val="auto"/>
              </w:rPr>
            </w:pPr>
            <w:r>
              <w:rPr>
                <w:rFonts w:ascii="Arial" w:cs="Arial" w:eastAsia="Arial" w:hAnsi="Arial"/>
                <w:sz w:val="18"/>
                <w:szCs w:val="18"/>
                <w:color w:val="auto"/>
                <w:w w:val="95"/>
              </w:rPr>
              <w:t>First-lien loan ($17,481 par, due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7/23/2018</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+ 8.50%</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10.62%</w:t>
            </w:r>
          </w:p>
        </w:tc>
        <w:tc>
          <w:tcPr>
            <w:tcW w:w="820" w:type="dxa"/>
            <w:vAlign w:val="bottom"/>
          </w:tcPr>
          <w:p>
            <w:pPr>
              <w:jc w:val="right"/>
              <w:spacing w:after="0"/>
              <w:rPr>
                <w:sz w:val="20"/>
                <w:szCs w:val="20"/>
                <w:color w:val="auto"/>
              </w:rPr>
            </w:pPr>
            <w:r>
              <w:rPr>
                <w:rFonts w:ascii="Arial" w:cs="Arial" w:eastAsia="Arial" w:hAnsi="Arial"/>
                <w:sz w:val="18"/>
                <w:szCs w:val="18"/>
                <w:color w:val="auto"/>
              </w:rPr>
              <w:t>17,268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17,327</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7/2023)</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(incl.</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2.50%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PIK)</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PageUp People, Ltd. </w:t>
            </w:r>
            <w:r>
              <w:rPr>
                <w:rFonts w:ascii="Arial" w:cs="Arial" w:eastAsia="Arial" w:hAnsi="Arial"/>
                <w:sz w:val="15"/>
                <w:szCs w:val="15"/>
                <w:color w:val="auto"/>
              </w:rPr>
              <w:t>(3)(4)</w:t>
            </w: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First-lien loan (AUD 47,375 par,</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1/11/2018</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B + 7.25%</w:t>
            </w:r>
          </w:p>
        </w:tc>
        <w:tc>
          <w:tcPr>
            <w:tcW w:w="10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8.50%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31,742</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2440" w:type="dxa"/>
            <w:vAlign w:val="bottom"/>
            <w:shd w:val="clear" w:color="auto" w:fill="CFF0FC"/>
          </w:tcPr>
          <w:p>
            <w:pPr>
              <w:spacing w:after="0"/>
              <w:rPr>
                <w:sz w:val="18"/>
                <w:szCs w:val="18"/>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12/2022)</w:t>
            </w:r>
          </w:p>
        </w:tc>
        <w:tc>
          <w:tcPr>
            <w:tcW w:w="1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(incl.</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(AUD 47,064)</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1.25%</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6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PIK)</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 xml:space="preserve">PayScale Holdings, Inc. </w:t>
            </w:r>
            <w:r>
              <w:rPr>
                <w:rFonts w:ascii="Arial" w:cs="Arial" w:eastAsia="Arial" w:hAnsi="Arial"/>
                <w:sz w:val="15"/>
                <w:szCs w:val="15"/>
                <w:color w:val="auto"/>
              </w:rPr>
              <w:t>(3)(5)</w:t>
            </w:r>
          </w:p>
        </w:tc>
        <w:tc>
          <w:tcPr>
            <w:tcW w:w="2600" w:type="dxa"/>
            <w:vAlign w:val="bottom"/>
          </w:tcPr>
          <w:p>
            <w:pPr>
              <w:ind w:left="140"/>
              <w:spacing w:after="0"/>
              <w:rPr>
                <w:sz w:val="20"/>
                <w:szCs w:val="20"/>
                <w:color w:val="auto"/>
              </w:rPr>
            </w:pPr>
            <w:r>
              <w:rPr>
                <w:rFonts w:ascii="Arial" w:cs="Arial" w:eastAsia="Arial" w:hAnsi="Arial"/>
                <w:sz w:val="18"/>
                <w:szCs w:val="18"/>
                <w:color w:val="auto"/>
                <w:w w:val="95"/>
              </w:rPr>
              <w:t>First-lien loan ($39,950 par, due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5/3/2019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+ 7.00%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9.04%</w:t>
            </w:r>
          </w:p>
        </w:tc>
        <w:tc>
          <w:tcPr>
            <w:tcW w:w="820" w:type="dxa"/>
            <w:vAlign w:val="bottom"/>
          </w:tcPr>
          <w:p>
            <w:pPr>
              <w:jc w:val="right"/>
              <w:spacing w:after="0"/>
              <w:rPr>
                <w:sz w:val="20"/>
                <w:szCs w:val="20"/>
                <w:color w:val="auto"/>
              </w:rPr>
            </w:pPr>
            <w:r>
              <w:rPr>
                <w:rFonts w:ascii="Arial" w:cs="Arial" w:eastAsia="Arial" w:hAnsi="Arial"/>
                <w:sz w:val="18"/>
                <w:szCs w:val="18"/>
                <w:color w:val="auto"/>
              </w:rPr>
              <w:t>38,916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38,998</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5/2024)</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Shaker International, Inc. </w:t>
            </w:r>
            <w:r>
              <w:rPr>
                <w:rFonts w:ascii="Arial" w:cs="Arial" w:eastAsia="Arial" w:hAnsi="Arial"/>
                <w:sz w:val="15"/>
                <w:szCs w:val="15"/>
                <w:color w:val="auto"/>
              </w:rPr>
              <w:t>(3)(5)</w:t>
            </w: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First-lien loan ($22,444 par, due</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5/15/2019</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+ 7.00%</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9.04%</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21,883</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5/2024)</w:t>
            </w:r>
          </w:p>
        </w:tc>
        <w:tc>
          <w:tcPr>
            <w:tcW w:w="10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144,016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139,277</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Insurance</w:t>
            </w:r>
          </w:p>
        </w:tc>
        <w:tc>
          <w:tcPr>
            <w:tcW w:w="26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(3)(5)</w:t>
            </w:r>
          </w:p>
        </w:tc>
        <w:tc>
          <w:tcPr>
            <w:tcW w:w="2600" w:type="dxa"/>
            <w:vAlign w:val="bottom"/>
          </w:tcPr>
          <w:p>
            <w:pPr>
              <w:ind w:left="140"/>
              <w:spacing w:after="0"/>
              <w:rPr>
                <w:sz w:val="20"/>
                <w:szCs w:val="20"/>
                <w:color w:val="auto"/>
              </w:rPr>
            </w:pPr>
            <w:r>
              <w:rPr>
                <w:rFonts w:ascii="Arial" w:cs="Arial" w:eastAsia="Arial" w:hAnsi="Arial"/>
                <w:sz w:val="18"/>
                <w:szCs w:val="18"/>
                <w:color w:val="auto"/>
                <w:w w:val="95"/>
              </w:rPr>
              <w:t>First-lien loan ($50,000 par, due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6/30/2017</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+ 7.00%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9.11%</w:t>
            </w:r>
          </w:p>
        </w:tc>
        <w:tc>
          <w:tcPr>
            <w:tcW w:w="820" w:type="dxa"/>
            <w:vAlign w:val="bottom"/>
          </w:tcPr>
          <w:p>
            <w:pPr>
              <w:jc w:val="right"/>
              <w:spacing w:after="0"/>
              <w:rPr>
                <w:sz w:val="20"/>
                <w:szCs w:val="20"/>
                <w:color w:val="auto"/>
              </w:rPr>
            </w:pPr>
            <w:r>
              <w:rPr>
                <w:rFonts w:ascii="Arial" w:cs="Arial" w:eastAsia="Arial" w:hAnsi="Arial"/>
                <w:sz w:val="18"/>
                <w:szCs w:val="18"/>
                <w:color w:val="auto"/>
              </w:rPr>
              <w:t>49,505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50,250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10/2023)</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Internet services</w:t>
            </w:r>
          </w:p>
        </w:tc>
        <w:tc>
          <w:tcPr>
            <w:tcW w:w="2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 xml:space="preserve">Gainsight, Inc. </w:t>
            </w:r>
            <w:r>
              <w:rPr>
                <w:rFonts w:ascii="Arial" w:cs="Arial" w:eastAsia="Arial" w:hAnsi="Arial"/>
                <w:sz w:val="15"/>
                <w:szCs w:val="15"/>
                <w:color w:val="auto"/>
              </w:rPr>
              <w:t>(9)</w:t>
            </w:r>
          </w:p>
        </w:tc>
        <w:tc>
          <w:tcPr>
            <w:tcW w:w="2600" w:type="dxa"/>
            <w:vAlign w:val="bottom"/>
          </w:tcPr>
          <w:p>
            <w:pPr>
              <w:ind w:left="140"/>
              <w:spacing w:after="0"/>
              <w:rPr>
                <w:sz w:val="20"/>
                <w:szCs w:val="20"/>
                <w:color w:val="auto"/>
              </w:rPr>
            </w:pPr>
            <w:r>
              <w:rPr>
                <w:rFonts w:ascii="Arial" w:cs="Arial" w:eastAsia="Arial" w:hAnsi="Arial"/>
                <w:sz w:val="18"/>
                <w:szCs w:val="18"/>
                <w:color w:val="auto"/>
                <w:w w:val="99"/>
              </w:rPr>
              <w:t>First-lien loan ($3,213 par, due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7/29/2019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13.00%</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13.00%</w:t>
            </w:r>
          </w:p>
        </w:tc>
        <w:tc>
          <w:tcPr>
            <w:tcW w:w="820" w:type="dxa"/>
            <w:vAlign w:val="bottom"/>
          </w:tcPr>
          <w:p>
            <w:pPr>
              <w:jc w:val="right"/>
              <w:spacing w:after="0"/>
              <w:rPr>
                <w:sz w:val="20"/>
                <w:szCs w:val="20"/>
                <w:color w:val="auto"/>
              </w:rPr>
            </w:pPr>
            <w:r>
              <w:rPr>
                <w:rFonts w:ascii="Arial" w:cs="Arial" w:eastAsia="Arial" w:hAnsi="Arial"/>
                <w:sz w:val="18"/>
                <w:szCs w:val="18"/>
                <w:color w:val="auto"/>
              </w:rPr>
              <w:t>3,141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3,163</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7/2025)</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(incl.</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13.00%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PIK)</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Higher Logic, LLC </w:t>
            </w:r>
            <w:r>
              <w:rPr>
                <w:rFonts w:ascii="Arial" w:cs="Arial" w:eastAsia="Arial" w:hAnsi="Arial"/>
                <w:sz w:val="15"/>
                <w:szCs w:val="15"/>
                <w:color w:val="auto"/>
              </w:rPr>
              <w:t>(3)(5)</w:t>
            </w: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First-lien loan ($37,525 par, due</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6/18/2018</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+ 6.00%</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8.05%</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37,083</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1/2022)</w:t>
            </w:r>
          </w:p>
        </w:tc>
        <w:tc>
          <w:tcPr>
            <w:tcW w:w="10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Lithium Technologies,</w:t>
            </w:r>
          </w:p>
        </w:tc>
        <w:tc>
          <w:tcPr>
            <w:tcW w:w="2600" w:type="dxa"/>
            <w:vAlign w:val="bottom"/>
          </w:tcPr>
          <w:p>
            <w:pPr>
              <w:ind w:left="140"/>
              <w:spacing w:after="0"/>
              <w:rPr>
                <w:sz w:val="20"/>
                <w:szCs w:val="20"/>
                <w:color w:val="auto"/>
              </w:rPr>
            </w:pPr>
            <w:r>
              <w:rPr>
                <w:rFonts w:ascii="Arial" w:cs="Arial" w:eastAsia="Arial" w:hAnsi="Arial"/>
                <w:sz w:val="18"/>
                <w:szCs w:val="18"/>
                <w:color w:val="auto"/>
                <w:w w:val="95"/>
              </w:rPr>
              <w:t>First-lien loan ($54,700 par, due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10/3/2017</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+ 8.00%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820" w:type="dxa"/>
            <w:vAlign w:val="bottom"/>
          </w:tcPr>
          <w:p>
            <w:pPr>
              <w:jc w:val="right"/>
              <w:spacing w:after="0"/>
              <w:rPr>
                <w:sz w:val="20"/>
                <w:szCs w:val="20"/>
                <w:color w:val="auto"/>
              </w:rPr>
            </w:pPr>
            <w:r>
              <w:rPr>
                <w:rFonts w:ascii="Arial" w:cs="Arial" w:eastAsia="Arial" w:hAnsi="Arial"/>
                <w:sz w:val="18"/>
                <w:szCs w:val="18"/>
                <w:color w:val="auto"/>
              </w:rPr>
              <w:t>53,878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54,016</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600" w:type="dxa"/>
            <w:vAlign w:val="bottom"/>
          </w:tcPr>
          <w:p>
            <w:pPr>
              <w:ind w:left="140"/>
              <w:spacing w:after="0"/>
              <w:rPr>
                <w:sz w:val="20"/>
                <w:szCs w:val="20"/>
                <w:color w:val="auto"/>
              </w:rPr>
            </w:pPr>
            <w:r>
              <w:rPr>
                <w:rFonts w:ascii="Arial" w:cs="Arial" w:eastAsia="Arial" w:hAnsi="Arial"/>
                <w:sz w:val="18"/>
                <w:szCs w:val="18"/>
                <w:color w:val="auto"/>
              </w:rPr>
              <w:t>10/2022)</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18"/>
                <w:szCs w:val="18"/>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revolving loan ($792</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10/3/2017</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+ 8.00%</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10.04%</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 due 10/2022)</w:t>
            </w:r>
          </w:p>
        </w:tc>
        <w:tc>
          <w:tcPr>
            <w:tcW w:w="10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 xml:space="preserve">Lucidworks, Inc. </w:t>
            </w:r>
            <w:r>
              <w:rPr>
                <w:rFonts w:ascii="Arial" w:cs="Arial" w:eastAsia="Arial" w:hAnsi="Arial"/>
                <w:sz w:val="15"/>
                <w:szCs w:val="15"/>
                <w:color w:val="auto"/>
              </w:rPr>
              <w:t>(9)</w:t>
            </w:r>
          </w:p>
        </w:tc>
        <w:tc>
          <w:tcPr>
            <w:tcW w:w="2600" w:type="dxa"/>
            <w:vAlign w:val="bottom"/>
          </w:tcPr>
          <w:p>
            <w:pPr>
              <w:ind w:left="140"/>
              <w:spacing w:after="0"/>
              <w:rPr>
                <w:sz w:val="20"/>
                <w:szCs w:val="20"/>
                <w:color w:val="auto"/>
              </w:rPr>
            </w:pPr>
            <w:r>
              <w:rPr>
                <w:rFonts w:ascii="Arial" w:cs="Arial" w:eastAsia="Arial" w:hAnsi="Arial"/>
                <w:sz w:val="18"/>
                <w:szCs w:val="18"/>
                <w:color w:val="auto"/>
                <w:w w:val="95"/>
              </w:rPr>
              <w:t>First-lien loan ($11,805 par, due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7/31/2019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12.00%</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12.00%</w:t>
            </w:r>
          </w:p>
        </w:tc>
        <w:tc>
          <w:tcPr>
            <w:tcW w:w="820" w:type="dxa"/>
            <w:vAlign w:val="bottom"/>
          </w:tcPr>
          <w:p>
            <w:pPr>
              <w:jc w:val="right"/>
              <w:spacing w:after="0"/>
              <w:rPr>
                <w:sz w:val="20"/>
                <w:szCs w:val="20"/>
                <w:color w:val="auto"/>
              </w:rPr>
            </w:pPr>
            <w:r>
              <w:rPr>
                <w:rFonts w:ascii="Arial" w:cs="Arial" w:eastAsia="Arial" w:hAnsi="Arial"/>
                <w:sz w:val="18"/>
                <w:szCs w:val="18"/>
                <w:color w:val="auto"/>
              </w:rPr>
              <w:t>11,660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11,692</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7/2024)</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(incl.</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7.00%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4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jc w:val="right"/>
              <w:ind w:right="210"/>
              <w:spacing w:after="0"/>
              <w:rPr>
                <w:sz w:val="20"/>
                <w:szCs w:val="20"/>
                <w:color w:val="auto"/>
              </w:rPr>
            </w:pPr>
            <w:r>
              <w:rPr>
                <w:rFonts w:ascii="Arial" w:cs="Arial" w:eastAsia="Arial" w:hAnsi="Arial"/>
                <w:sz w:val="18"/>
                <w:szCs w:val="18"/>
                <w:color w:val="auto"/>
              </w:rPr>
              <w:t>PIK)</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4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106,499</w:t>
            </w:r>
          </w:p>
        </w:tc>
        <w:tc>
          <w:tcPr>
            <w:tcW w:w="2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106,763</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8"/>
                <w:szCs w:val="18"/>
                <w:b w:val="1"/>
                <w:bCs w:val="1"/>
                <w:color w:val="auto"/>
              </w:rPr>
              <w:t>Office products</w:t>
            </w:r>
          </w:p>
        </w:tc>
        <w:tc>
          <w:tcPr>
            <w:tcW w:w="2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ABL FILO term loan ($12,000</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9/12/2017</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+ 7.75%</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9.89%</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11,817</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 due 9/2022)</w:t>
            </w:r>
          </w:p>
        </w:tc>
        <w:tc>
          <w:tcPr>
            <w:tcW w:w="10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b w:val="1"/>
                <w:bCs w:val="1"/>
                <w:color w:val="auto"/>
                <w:w w:val="93"/>
              </w:rPr>
              <w:t>Oil, gas and consumable fuels</w:t>
            </w:r>
          </w:p>
        </w:tc>
        <w:tc>
          <w:tcPr>
            <w:tcW w:w="2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Energy Alloys, LLC </w:t>
            </w:r>
            <w:r>
              <w:rPr>
                <w:rFonts w:ascii="Arial" w:cs="Arial" w:eastAsia="Arial" w:hAnsi="Arial"/>
                <w:sz w:val="15"/>
                <w:szCs w:val="15"/>
                <w:color w:val="auto"/>
              </w:rPr>
              <w:t>(3)(5)</w:t>
            </w: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ABL FILO term loan ($25,000</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8/28/2019</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+ 6.25%</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24,027</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 due 8/2024)</w:t>
            </w:r>
          </w:p>
        </w:tc>
        <w:tc>
          <w:tcPr>
            <w:tcW w:w="10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rPr>
              <w:t>MD America Energy,</w:t>
            </w:r>
          </w:p>
        </w:tc>
        <w:tc>
          <w:tcPr>
            <w:tcW w:w="2600" w:type="dxa"/>
            <w:vAlign w:val="bottom"/>
          </w:tcPr>
          <w:p>
            <w:pPr>
              <w:ind w:left="140"/>
              <w:spacing w:after="0"/>
              <w:rPr>
                <w:sz w:val="20"/>
                <w:szCs w:val="20"/>
                <w:color w:val="auto"/>
              </w:rPr>
            </w:pPr>
            <w:r>
              <w:rPr>
                <w:rFonts w:ascii="Arial" w:cs="Arial" w:eastAsia="Arial" w:hAnsi="Arial"/>
                <w:sz w:val="18"/>
                <w:szCs w:val="18"/>
                <w:color w:val="auto"/>
                <w:w w:val="95"/>
              </w:rPr>
              <w:t>First-lien loan ($19,191 par, due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9"/>
              </w:rPr>
              <w:t>11/14/2018</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+ 7.75%</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9.93%</w:t>
            </w:r>
          </w:p>
        </w:tc>
        <w:tc>
          <w:tcPr>
            <w:tcW w:w="820" w:type="dxa"/>
            <w:vAlign w:val="bottom"/>
          </w:tcPr>
          <w:p>
            <w:pPr>
              <w:jc w:val="right"/>
              <w:spacing w:after="0"/>
              <w:rPr>
                <w:sz w:val="20"/>
                <w:szCs w:val="20"/>
                <w:color w:val="auto"/>
              </w:rPr>
            </w:pPr>
            <w:r>
              <w:rPr>
                <w:rFonts w:ascii="Arial" w:cs="Arial" w:eastAsia="Arial" w:hAnsi="Arial"/>
                <w:sz w:val="18"/>
                <w:szCs w:val="18"/>
                <w:color w:val="auto"/>
              </w:rPr>
              <w:t>18,853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18,523</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600" w:type="dxa"/>
            <w:vAlign w:val="bottom"/>
          </w:tcPr>
          <w:p>
            <w:pPr>
              <w:ind w:left="140"/>
              <w:spacing w:after="0"/>
              <w:rPr>
                <w:sz w:val="20"/>
                <w:szCs w:val="20"/>
                <w:color w:val="auto"/>
              </w:rPr>
            </w:pPr>
            <w:r>
              <w:rPr>
                <w:rFonts w:ascii="Arial" w:cs="Arial" w:eastAsia="Arial" w:hAnsi="Arial"/>
                <w:sz w:val="18"/>
                <w:szCs w:val="18"/>
                <w:color w:val="auto"/>
              </w:rPr>
              <w:t>11/2023)</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w:t>
            </w: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First-lien loan ($18,579 par, due</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6/29/2018</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+ 9.00%</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11.04%</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14,166</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(3)(7)</w:t>
            </w: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6/2020)</w:t>
            </w:r>
          </w:p>
        </w:tc>
        <w:tc>
          <w:tcPr>
            <w:tcW w:w="10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40" w:type="dxa"/>
            <w:vAlign w:val="bottom"/>
          </w:tcPr>
          <w:p>
            <w:pPr>
              <w:spacing w:after="0"/>
              <w:rPr>
                <w:sz w:val="20"/>
                <w:szCs w:val="20"/>
                <w:color w:val="auto"/>
              </w:rPr>
            </w:pPr>
            <w:r>
              <w:rPr>
                <w:rFonts w:ascii="Arial" w:cs="Arial" w:eastAsia="Arial" w:hAnsi="Arial"/>
                <w:sz w:val="18"/>
                <w:szCs w:val="18"/>
                <w:color w:val="auto"/>
                <w:w w:val="95"/>
              </w:rPr>
              <w:t>Verdad Resources Intermediate</w:t>
            </w:r>
          </w:p>
        </w:tc>
        <w:tc>
          <w:tcPr>
            <w:tcW w:w="2600" w:type="dxa"/>
            <w:vAlign w:val="bottom"/>
          </w:tcPr>
          <w:p>
            <w:pPr>
              <w:ind w:left="140"/>
              <w:spacing w:after="0"/>
              <w:rPr>
                <w:sz w:val="20"/>
                <w:szCs w:val="20"/>
                <w:color w:val="auto"/>
              </w:rPr>
            </w:pPr>
            <w:r>
              <w:rPr>
                <w:rFonts w:ascii="Arial" w:cs="Arial" w:eastAsia="Arial" w:hAnsi="Arial"/>
                <w:sz w:val="18"/>
                <w:szCs w:val="18"/>
                <w:color w:val="auto"/>
                <w:w w:val="95"/>
              </w:rPr>
              <w:t>First-lien loan ($42,222 par, due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4/10/2019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L + 7.50%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9.63%</w:t>
            </w:r>
          </w:p>
        </w:tc>
        <w:tc>
          <w:tcPr>
            <w:tcW w:w="820" w:type="dxa"/>
            <w:vAlign w:val="bottom"/>
          </w:tcPr>
          <w:p>
            <w:pPr>
              <w:jc w:val="right"/>
              <w:spacing w:after="0"/>
              <w:rPr>
                <w:sz w:val="20"/>
                <w:szCs w:val="20"/>
                <w:color w:val="auto"/>
              </w:rPr>
            </w:pPr>
            <w:r>
              <w:rPr>
                <w:rFonts w:ascii="Arial" w:cs="Arial" w:eastAsia="Arial" w:hAnsi="Arial"/>
                <w:sz w:val="18"/>
                <w:szCs w:val="18"/>
                <w:color w:val="auto"/>
              </w:rPr>
              <w:t>41,200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41,097</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30"/>
        </w:trPr>
        <w:tc>
          <w:tcPr>
            <w:tcW w:w="2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6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10/2023)</w:t>
            </w:r>
          </w:p>
        </w:tc>
        <w:tc>
          <w:tcPr>
            <w:tcW w:w="106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4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102,635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97,786</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8"/>
                <w:szCs w:val="18"/>
                <w:b w:val="1"/>
                <w:bCs w:val="1"/>
                <w:color w:val="auto"/>
              </w:rPr>
              <w:t>Pharmaceuticals</w:t>
            </w:r>
          </w:p>
        </w:tc>
        <w:tc>
          <w:tcPr>
            <w:tcW w:w="2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Secured note ($74,950 par, due</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10/5/2015</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7.75%</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74,718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76,449</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spacing w:after="0"/>
              <w:rPr>
                <w:sz w:val="20"/>
                <w:szCs w:val="20"/>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10/2020)</w:t>
            </w:r>
          </w:p>
        </w:tc>
        <w:tc>
          <w:tcPr>
            <w:tcW w:w="10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b w:val="1"/>
                <w:bCs w:val="1"/>
                <w:color w:val="auto"/>
                <w:w w:val="93"/>
              </w:rPr>
              <w:t>Retail and consumer products</w:t>
            </w:r>
          </w:p>
        </w:tc>
        <w:tc>
          <w:tcPr>
            <w:tcW w:w="2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99 Cents Only Stores</w:t>
            </w: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ABL FILO term loan ($32,500</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9/6/2017</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+ 7.75%</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9.86%</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32,267</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30"/>
        </w:trPr>
        <w:tc>
          <w:tcPr>
            <w:tcW w:w="2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 due 4/2021)</w:t>
            </w:r>
          </w:p>
        </w:tc>
        <w:tc>
          <w:tcPr>
            <w:tcW w:w="10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American Achievement,</w:t>
            </w:r>
          </w:p>
        </w:tc>
        <w:tc>
          <w:tcPr>
            <w:tcW w:w="2620" w:type="dxa"/>
            <w:vAlign w:val="bottom"/>
          </w:tcPr>
          <w:p>
            <w:pPr>
              <w:ind w:left="100"/>
              <w:spacing w:after="0"/>
              <w:rPr>
                <w:sz w:val="20"/>
                <w:szCs w:val="20"/>
                <w:color w:val="auto"/>
              </w:rPr>
            </w:pPr>
            <w:r>
              <w:rPr>
                <w:rFonts w:ascii="Arial" w:cs="Arial" w:eastAsia="Arial" w:hAnsi="Arial"/>
                <w:sz w:val="18"/>
                <w:szCs w:val="18"/>
                <w:color w:val="auto"/>
                <w:w w:val="97"/>
              </w:rPr>
              <w:t>First-lien loan ($22,436 par, due</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9/30/2015</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L + 8.25%</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10.36%</w:t>
            </w:r>
          </w:p>
        </w:tc>
        <w:tc>
          <w:tcPr>
            <w:tcW w:w="840" w:type="dxa"/>
            <w:vAlign w:val="bottom"/>
          </w:tcPr>
          <w:p>
            <w:pPr>
              <w:jc w:val="right"/>
              <w:spacing w:after="0"/>
              <w:rPr>
                <w:sz w:val="20"/>
                <w:szCs w:val="20"/>
                <w:color w:val="auto"/>
              </w:rPr>
            </w:pPr>
            <w:r>
              <w:rPr>
                <w:rFonts w:ascii="Arial" w:cs="Arial" w:eastAsia="Arial" w:hAnsi="Arial"/>
                <w:sz w:val="18"/>
                <w:szCs w:val="18"/>
                <w:color w:val="auto"/>
              </w:rPr>
              <w:t>22,351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22,155</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120"/>
              <w:spacing w:after="0"/>
              <w:rPr>
                <w:sz w:val="20"/>
                <w:szCs w:val="20"/>
                <w:color w:val="auto"/>
              </w:rPr>
            </w:pPr>
            <w:r>
              <w:rPr>
                <w:rFonts w:ascii="Arial" w:cs="Arial" w:eastAsia="Arial" w:hAnsi="Arial"/>
                <w:sz w:val="18"/>
                <w:szCs w:val="18"/>
                <w:color w:val="auto"/>
              </w:rPr>
              <w:t xml:space="preserve">Corp. </w:t>
            </w:r>
            <w:r>
              <w:rPr>
                <w:rFonts w:ascii="Arial" w:cs="Arial" w:eastAsia="Arial" w:hAnsi="Arial"/>
                <w:sz w:val="15"/>
                <w:szCs w:val="15"/>
                <w:color w:val="auto"/>
              </w:rPr>
              <w:t>(3)</w:t>
            </w:r>
          </w:p>
        </w:tc>
        <w:tc>
          <w:tcPr>
            <w:tcW w:w="2620" w:type="dxa"/>
            <w:vAlign w:val="bottom"/>
          </w:tcPr>
          <w:p>
            <w:pPr>
              <w:ind w:left="100"/>
              <w:spacing w:after="0"/>
              <w:rPr>
                <w:sz w:val="20"/>
                <w:szCs w:val="20"/>
                <w:color w:val="auto"/>
              </w:rPr>
            </w:pPr>
            <w:r>
              <w:rPr>
                <w:rFonts w:ascii="Arial" w:cs="Arial" w:eastAsia="Arial" w:hAnsi="Arial"/>
                <w:sz w:val="18"/>
                <w:szCs w:val="18"/>
                <w:color w:val="auto"/>
              </w:rPr>
              <w:t>9/2022)</w:t>
            </w: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J.C. Penney Company,</w:t>
            </w: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($6,244 par, due</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6/5/2019</w:t>
            </w:r>
          </w:p>
        </w:tc>
        <w:tc>
          <w:tcPr>
            <w:tcW w:w="11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L + 4.25%</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5,426</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(4)(11)</w:t>
            </w: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6/2023)</w:t>
            </w:r>
            <w:r>
              <w:rPr>
                <w:rFonts w:ascii="Arial" w:cs="Arial" w:eastAsia="Arial" w:hAnsi="Arial"/>
                <w:sz w:val="15"/>
                <w:szCs w:val="15"/>
                <w:color w:val="auto"/>
              </w:rPr>
              <w:t>(3)</w:t>
            </w:r>
          </w:p>
        </w:tc>
        <w:tc>
          <w:tcPr>
            <w:tcW w:w="10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w w:val="98"/>
              </w:rPr>
              <w:t>Secured note ($11,559 par, due</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6/5/2019</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5.88%</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5.88%</w:t>
            </w:r>
          </w:p>
        </w:tc>
        <w:tc>
          <w:tcPr>
            <w:tcW w:w="840" w:type="dxa"/>
            <w:vAlign w:val="bottom"/>
          </w:tcPr>
          <w:p>
            <w:pPr>
              <w:jc w:val="right"/>
              <w:spacing w:after="0"/>
              <w:rPr>
                <w:sz w:val="20"/>
                <w:szCs w:val="20"/>
                <w:color w:val="auto"/>
              </w:rPr>
            </w:pPr>
            <w:r>
              <w:rPr>
                <w:rFonts w:ascii="Arial" w:cs="Arial" w:eastAsia="Arial" w:hAnsi="Arial"/>
                <w:sz w:val="18"/>
                <w:szCs w:val="18"/>
                <w:color w:val="auto"/>
              </w:rPr>
              <w:t>9,658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9,940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7/2023)</w:t>
            </w: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Maurices, Inc. </w:t>
            </w:r>
            <w:r>
              <w:rPr>
                <w:rFonts w:ascii="Arial" w:cs="Arial" w:eastAsia="Arial" w:hAnsi="Arial"/>
                <w:sz w:val="15"/>
                <w:szCs w:val="15"/>
                <w:color w:val="auto"/>
              </w:rPr>
              <w:t>(3)(5)</w:t>
            </w: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($38,333</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5/6/2019</w:t>
            </w:r>
          </w:p>
        </w:tc>
        <w:tc>
          <w:tcPr>
            <w:tcW w:w="11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L + 6.50%</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37,228</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38,333</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5/2024)</w:t>
            </w:r>
          </w:p>
        </w:tc>
        <w:tc>
          <w:tcPr>
            <w:tcW w:w="10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xml:space="preserve">Moran Foods, LLC </w:t>
            </w:r>
            <w:r>
              <w:rPr>
                <w:rFonts w:ascii="Arial" w:cs="Arial" w:eastAsia="Arial" w:hAnsi="Arial"/>
                <w:sz w:val="15"/>
                <w:szCs w:val="15"/>
                <w:color w:val="auto"/>
              </w:rPr>
              <w:t>(3)</w:t>
            </w:r>
          </w:p>
        </w:tc>
        <w:tc>
          <w:tcPr>
            <w:tcW w:w="2620" w:type="dxa"/>
            <w:vAlign w:val="bottom"/>
          </w:tcPr>
          <w:p>
            <w:pPr>
              <w:ind w:left="100"/>
              <w:spacing w:after="0"/>
              <w:rPr>
                <w:sz w:val="20"/>
                <w:szCs w:val="20"/>
                <w:color w:val="auto"/>
              </w:rPr>
            </w:pPr>
            <w:r>
              <w:rPr>
                <w:rFonts w:ascii="Arial" w:cs="Arial" w:eastAsia="Arial" w:hAnsi="Arial"/>
                <w:sz w:val="18"/>
                <w:szCs w:val="18"/>
                <w:color w:val="auto"/>
              </w:rPr>
              <w:t>ABL FILO term loan ($39,375</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6/21/2019</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L + 6.75%</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9.05%</w:t>
            </w:r>
          </w:p>
        </w:tc>
        <w:tc>
          <w:tcPr>
            <w:tcW w:w="840" w:type="dxa"/>
            <w:vAlign w:val="bottom"/>
          </w:tcPr>
          <w:p>
            <w:pPr>
              <w:jc w:val="right"/>
              <w:spacing w:after="0"/>
              <w:rPr>
                <w:sz w:val="20"/>
                <w:szCs w:val="20"/>
                <w:color w:val="auto"/>
              </w:rPr>
            </w:pPr>
            <w:r>
              <w:rPr>
                <w:rFonts w:ascii="Arial" w:cs="Arial" w:eastAsia="Arial" w:hAnsi="Arial"/>
                <w:sz w:val="18"/>
                <w:szCs w:val="18"/>
                <w:color w:val="auto"/>
              </w:rPr>
              <w:t>38,934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38,883</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par, due 12/2021)</w:t>
            </w: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Neiman Marcus Group</w:t>
            </w: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($72,000</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9/11/2019</w:t>
            </w:r>
          </w:p>
        </w:tc>
        <w:tc>
          <w:tcPr>
            <w:tcW w:w="11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L + 6.00%</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70,949</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Ltd LLC </w:t>
            </w:r>
            <w:r>
              <w:rPr>
                <w:rFonts w:ascii="Arial" w:cs="Arial" w:eastAsia="Arial" w:hAnsi="Arial"/>
                <w:sz w:val="15"/>
                <w:szCs w:val="15"/>
                <w:color w:val="auto"/>
              </w:rPr>
              <w:t>(3)</w:t>
            </w: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7/2021)</w:t>
            </w:r>
          </w:p>
        </w:tc>
        <w:tc>
          <w:tcPr>
            <w:tcW w:w="10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First-lien loan ($1,000 par, due</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9/12/2019</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L + 6.00%</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8.14%</w:t>
            </w:r>
          </w:p>
        </w:tc>
        <w:tc>
          <w:tcPr>
            <w:tcW w:w="84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 xml:space="preserve">10/2023) </w:t>
            </w:r>
            <w:r>
              <w:rPr>
                <w:rFonts w:ascii="Arial" w:cs="Arial" w:eastAsia="Arial" w:hAnsi="Arial"/>
                <w:sz w:val="15"/>
                <w:szCs w:val="15"/>
                <w:color w:val="auto"/>
              </w:rPr>
              <w:t>(11)</w:t>
            </w: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Transform SR Holdings,</w:t>
            </w: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($75,000</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2/11/2019</w:t>
            </w:r>
          </w:p>
        </w:tc>
        <w:tc>
          <w:tcPr>
            <w:tcW w:w="11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L + 7.25%</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74,327</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75,375</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2/2024)</w:t>
            </w:r>
          </w:p>
        </w:tc>
        <w:tc>
          <w:tcPr>
            <w:tcW w:w="10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291,894</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294,290</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Transportation</w:t>
            </w:r>
          </w:p>
        </w:tc>
        <w:tc>
          <w:tcPr>
            <w:tcW w:w="26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xml:space="preserve">Ferrellgas, L.P. </w:t>
            </w:r>
            <w:r>
              <w:rPr>
                <w:rFonts w:ascii="Arial" w:cs="Arial" w:eastAsia="Arial" w:hAnsi="Arial"/>
                <w:sz w:val="15"/>
                <w:szCs w:val="15"/>
                <w:color w:val="auto"/>
              </w:rPr>
              <w:t>(3)(4)(5)</w:t>
            </w:r>
          </w:p>
        </w:tc>
        <w:tc>
          <w:tcPr>
            <w:tcW w:w="2620" w:type="dxa"/>
            <w:vAlign w:val="bottom"/>
          </w:tcPr>
          <w:p>
            <w:pPr>
              <w:ind w:left="100"/>
              <w:spacing w:after="0"/>
              <w:rPr>
                <w:sz w:val="20"/>
                <w:szCs w:val="20"/>
                <w:color w:val="auto"/>
              </w:rPr>
            </w:pPr>
            <w:r>
              <w:rPr>
                <w:rFonts w:ascii="Arial" w:cs="Arial" w:eastAsia="Arial" w:hAnsi="Arial"/>
                <w:sz w:val="18"/>
                <w:szCs w:val="18"/>
                <w:color w:val="auto"/>
                <w:w w:val="97"/>
              </w:rPr>
              <w:t>First-lien loan ($82,500 par, due</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5/4/2018</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L + 5.75%</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7.89%</w:t>
            </w:r>
          </w:p>
        </w:tc>
        <w:tc>
          <w:tcPr>
            <w:tcW w:w="840" w:type="dxa"/>
            <w:vAlign w:val="bottom"/>
          </w:tcPr>
          <w:p>
            <w:pPr>
              <w:jc w:val="right"/>
              <w:spacing w:after="0"/>
              <w:rPr>
                <w:sz w:val="20"/>
                <w:szCs w:val="20"/>
                <w:color w:val="auto"/>
              </w:rPr>
            </w:pPr>
            <w:r>
              <w:rPr>
                <w:rFonts w:ascii="Arial" w:cs="Arial" w:eastAsia="Arial" w:hAnsi="Arial"/>
                <w:sz w:val="18"/>
                <w:szCs w:val="18"/>
                <w:color w:val="auto"/>
              </w:rPr>
              <w:t>81,256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87,000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26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5/2023)</w:t>
            </w:r>
          </w:p>
        </w:tc>
        <w:tc>
          <w:tcPr>
            <w:tcW w:w="108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Debt Investments</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1,989,719</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2,005,710</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Equity and Other Investments</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Beverage, food and tobacco</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AFS Technologies, Inc. </w:t>
            </w:r>
            <w:r>
              <w:rPr>
                <w:rFonts w:ascii="Arial" w:cs="Arial" w:eastAsia="Arial" w:hAnsi="Arial"/>
                <w:sz w:val="15"/>
                <w:szCs w:val="15"/>
                <w:color w:val="auto"/>
                <w:w w:val="95"/>
              </w:rPr>
              <w:t>(6)(13)(14)</w:t>
            </w: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5"/>
              </w:rPr>
              <w:t>Preferred Units (4,441,090 units)</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10/16/2018</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4,463</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Business Services</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(13)</w:t>
            </w:r>
          </w:p>
        </w:tc>
        <w:tc>
          <w:tcPr>
            <w:tcW w:w="2620" w:type="dxa"/>
            <w:vAlign w:val="bottom"/>
          </w:tcPr>
          <w:p>
            <w:pPr>
              <w:ind w:left="100"/>
              <w:spacing w:after="0"/>
              <w:rPr>
                <w:sz w:val="20"/>
                <w:szCs w:val="20"/>
                <w:color w:val="auto"/>
              </w:rPr>
            </w:pPr>
            <w:r>
              <w:rPr>
                <w:rFonts w:ascii="Arial" w:cs="Arial" w:eastAsia="Arial" w:hAnsi="Arial"/>
                <w:sz w:val="18"/>
                <w:szCs w:val="18"/>
                <w:color w:val="auto"/>
              </w:rPr>
              <w:t>Class A Units (1,262 units)</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1/17/2018</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Class B Units (517,020 units)</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1/17/2018</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xml:space="preserve">Nintex Global, Ltd. </w:t>
            </w:r>
            <w:r>
              <w:rPr>
                <w:rFonts w:ascii="Arial" w:cs="Arial" w:eastAsia="Arial" w:hAnsi="Arial"/>
                <w:sz w:val="15"/>
                <w:szCs w:val="15"/>
                <w:color w:val="auto"/>
              </w:rPr>
              <w:t>(13)</w:t>
            </w:r>
          </w:p>
        </w:tc>
        <w:tc>
          <w:tcPr>
            <w:tcW w:w="2620" w:type="dxa"/>
            <w:vAlign w:val="bottom"/>
          </w:tcPr>
          <w:p>
            <w:pPr>
              <w:ind w:left="100"/>
              <w:spacing w:after="0"/>
              <w:rPr>
                <w:sz w:val="20"/>
                <w:szCs w:val="20"/>
                <w:color w:val="auto"/>
              </w:rPr>
            </w:pPr>
            <w:r>
              <w:rPr>
                <w:rFonts w:ascii="Arial" w:cs="Arial" w:eastAsia="Arial" w:hAnsi="Arial"/>
                <w:sz w:val="18"/>
                <w:szCs w:val="18"/>
                <w:color w:val="auto"/>
              </w:rPr>
              <w:t>Class A Shares (1,197 shares)</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3/30/2018</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1,778</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4"/>
              </w:rPr>
              <w:t>Class B Shares (398,557 shares)</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3/30/2018</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3,278</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Chemicals</w:t>
            </w:r>
          </w:p>
        </w:tc>
        <w:tc>
          <w:tcPr>
            <w:tcW w:w="26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6"/>
              </w:rPr>
              <w:t xml:space="preserve">Vertellus Specialties, Inc. </w:t>
            </w:r>
            <w:r>
              <w:rPr>
                <w:rFonts w:ascii="Arial" w:cs="Arial" w:eastAsia="Arial" w:hAnsi="Arial"/>
                <w:sz w:val="15"/>
                <w:szCs w:val="15"/>
                <w:color w:val="auto"/>
                <w:w w:val="96"/>
              </w:rPr>
              <w:t>(13)(14)</w:t>
            </w:r>
          </w:p>
        </w:tc>
        <w:tc>
          <w:tcPr>
            <w:tcW w:w="2620" w:type="dxa"/>
            <w:vAlign w:val="bottom"/>
          </w:tcPr>
          <w:p>
            <w:pPr>
              <w:ind w:left="100"/>
              <w:spacing w:after="0"/>
              <w:rPr>
                <w:sz w:val="20"/>
                <w:szCs w:val="20"/>
                <w:color w:val="auto"/>
              </w:rPr>
            </w:pPr>
            <w:r>
              <w:rPr>
                <w:rFonts w:ascii="Arial" w:cs="Arial" w:eastAsia="Arial" w:hAnsi="Arial"/>
                <w:sz w:val="18"/>
                <w:szCs w:val="18"/>
                <w:color w:val="auto"/>
                <w:w w:val="96"/>
              </w:rPr>
              <w:t>Common Units (3,334,028 units)</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10/31/2016</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3,460</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Oxford Square Capital</w:t>
            </w: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Common Shares (1,059 shares)</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8/5/2015</w:t>
            </w:r>
          </w:p>
        </w:tc>
        <w:tc>
          <w:tcPr>
            <w:tcW w:w="1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Corp. </w:t>
            </w:r>
            <w:r>
              <w:rPr>
                <w:rFonts w:ascii="Arial" w:cs="Arial" w:eastAsia="Arial" w:hAnsi="Arial"/>
                <w:sz w:val="15"/>
                <w:szCs w:val="15"/>
                <w:color w:val="auto"/>
              </w:rPr>
              <w:t>(4)(12)</w:t>
            </w:r>
          </w:p>
        </w:tc>
        <w:tc>
          <w:tcPr>
            <w:tcW w:w="26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xml:space="preserve">Swift Gift, Ltd. </w:t>
            </w:r>
            <w:r>
              <w:rPr>
                <w:rFonts w:ascii="Arial" w:cs="Arial" w:eastAsia="Arial" w:hAnsi="Arial"/>
                <w:sz w:val="15"/>
                <w:szCs w:val="15"/>
                <w:color w:val="auto"/>
              </w:rPr>
              <w:t>(13)</w:t>
            </w:r>
          </w:p>
        </w:tc>
        <w:tc>
          <w:tcPr>
            <w:tcW w:w="2620" w:type="dxa"/>
            <w:vAlign w:val="bottom"/>
          </w:tcPr>
          <w:p>
            <w:pPr>
              <w:ind w:left="100"/>
              <w:spacing w:after="0"/>
              <w:rPr>
                <w:sz w:val="20"/>
                <w:szCs w:val="20"/>
                <w:color w:val="auto"/>
              </w:rPr>
            </w:pPr>
            <w:r>
              <w:rPr>
                <w:rFonts w:ascii="Arial" w:cs="Arial" w:eastAsia="Arial" w:hAnsi="Arial"/>
                <w:sz w:val="18"/>
                <w:szCs w:val="18"/>
                <w:color w:val="auto"/>
                <w:w w:val="93"/>
              </w:rPr>
              <w:t>Common Shares (35,000 shares)</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7/31/2017</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11,008</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26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Healthcare</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Caris Life Sciences, Ltd. </w:t>
            </w:r>
            <w:r>
              <w:rPr>
                <w:rFonts w:ascii="Arial" w:cs="Arial" w:eastAsia="Arial" w:hAnsi="Arial"/>
                <w:sz w:val="15"/>
                <w:szCs w:val="15"/>
                <w:color w:val="auto"/>
              </w:rPr>
              <w:t>(13)</w:t>
            </w:r>
          </w:p>
        </w:tc>
        <w:tc>
          <w:tcPr>
            <w:tcW w:w="2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633,376 Warrants</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9/21/2018</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Valant Medical Solutions,</w:t>
            </w:r>
          </w:p>
        </w:tc>
        <w:tc>
          <w:tcPr>
            <w:tcW w:w="2820" w:type="dxa"/>
            <w:vAlign w:val="bottom"/>
          </w:tcPr>
          <w:p>
            <w:pPr>
              <w:ind w:left="200"/>
              <w:spacing w:after="0"/>
              <w:rPr>
                <w:sz w:val="20"/>
                <w:szCs w:val="20"/>
                <w:color w:val="auto"/>
              </w:rPr>
            </w:pPr>
            <w:r>
              <w:rPr>
                <w:rFonts w:ascii="Arial" w:cs="Arial" w:eastAsia="Arial" w:hAnsi="Arial"/>
                <w:sz w:val="18"/>
                <w:szCs w:val="18"/>
                <w:color w:val="auto"/>
              </w:rPr>
              <w:t>954,478 Warrants</w:t>
            </w:r>
          </w:p>
        </w:tc>
        <w:tc>
          <w:tcPr>
            <w:tcW w:w="1960" w:type="dxa"/>
            <w:vAlign w:val="bottom"/>
          </w:tcPr>
          <w:p>
            <w:pPr>
              <w:jc w:val="right"/>
              <w:ind w:right="970"/>
              <w:spacing w:after="0"/>
              <w:rPr>
                <w:sz w:val="20"/>
                <w:szCs w:val="20"/>
                <w:color w:val="auto"/>
              </w:rPr>
            </w:pPr>
            <w:r>
              <w:rPr>
                <w:rFonts w:ascii="Arial" w:cs="Arial" w:eastAsia="Arial" w:hAnsi="Arial"/>
                <w:sz w:val="18"/>
                <w:szCs w:val="18"/>
                <w:color w:val="auto"/>
              </w:rPr>
              <w:t>4/8/2019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(13)(14)(15)</w:t>
            </w:r>
          </w:p>
        </w:tc>
        <w:tc>
          <w:tcPr>
            <w:tcW w:w="2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Vita Topco, Inc. </w:t>
            </w:r>
            <w:r>
              <w:rPr>
                <w:rFonts w:ascii="Arial" w:cs="Arial" w:eastAsia="Arial" w:hAnsi="Arial"/>
                <w:sz w:val="15"/>
                <w:szCs w:val="15"/>
                <w:color w:val="auto"/>
              </w:rPr>
              <w:t>(13)(14)(15)</w:t>
            </w:r>
          </w:p>
        </w:tc>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Shares (1,000 shares)</w:t>
            </w:r>
          </w:p>
        </w:tc>
        <w:tc>
          <w:tcPr>
            <w:tcW w:w="196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rPr>
              <w:t>2/11/2019</w:t>
            </w: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1,473</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82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(7)(13)</w:t>
            </w:r>
          </w:p>
        </w:tc>
        <w:tc>
          <w:tcPr>
            <w:tcW w:w="2820" w:type="dxa"/>
            <w:vAlign w:val="bottom"/>
          </w:tcPr>
          <w:p>
            <w:pPr>
              <w:ind w:left="200"/>
              <w:spacing w:after="0"/>
              <w:rPr>
                <w:sz w:val="20"/>
                <w:szCs w:val="20"/>
                <w:color w:val="auto"/>
              </w:rPr>
            </w:pPr>
            <w:r>
              <w:rPr>
                <w:rFonts w:ascii="Arial" w:cs="Arial" w:eastAsia="Arial" w:hAnsi="Arial"/>
                <w:sz w:val="18"/>
                <w:szCs w:val="18"/>
                <w:color w:val="auto"/>
              </w:rPr>
              <w:t>Class A Units (27,690,171 units)</w:t>
            </w:r>
          </w:p>
        </w:tc>
        <w:tc>
          <w:tcPr>
            <w:tcW w:w="1960" w:type="dxa"/>
            <w:vAlign w:val="bottom"/>
          </w:tcPr>
          <w:p>
            <w:pPr>
              <w:jc w:val="right"/>
              <w:ind w:right="970"/>
              <w:spacing w:after="0"/>
              <w:rPr>
                <w:sz w:val="20"/>
                <w:szCs w:val="20"/>
                <w:color w:val="auto"/>
              </w:rPr>
            </w:pPr>
            <w:r>
              <w:rPr>
                <w:rFonts w:ascii="Arial" w:cs="Arial" w:eastAsia="Arial" w:hAnsi="Arial"/>
                <w:sz w:val="18"/>
                <w:szCs w:val="18"/>
                <w:color w:val="auto"/>
                <w:w w:val="97"/>
              </w:rPr>
              <w:t>12/21/2018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20,063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20" w:type="dxa"/>
            <w:vAlign w:val="bottom"/>
          </w:tcPr>
          <w:p>
            <w:pPr>
              <w:ind w:left="200"/>
              <w:spacing w:after="0"/>
              <w:rPr>
                <w:sz w:val="20"/>
                <w:szCs w:val="20"/>
                <w:color w:val="auto"/>
              </w:rPr>
            </w:pPr>
            <w:r>
              <w:rPr>
                <w:rFonts w:ascii="Arial" w:cs="Arial" w:eastAsia="Arial" w:hAnsi="Arial"/>
                <w:sz w:val="15"/>
                <w:szCs w:val="15"/>
                <w:color w:val="auto"/>
              </w:rPr>
              <w:t>(14)</w:t>
            </w:r>
          </w:p>
        </w:tc>
        <w:tc>
          <w:tcPr>
            <w:tcW w:w="1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shd w:val="clear" w:color="auto" w:fill="CFF0FC"/>
          </w:tcPr>
          <w:p>
            <w:pPr>
              <w:spacing w:after="0"/>
              <w:rPr>
                <w:sz w:val="18"/>
                <w:szCs w:val="18"/>
                <w:color w:val="auto"/>
              </w:rPr>
            </w:pPr>
          </w:p>
        </w:tc>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Shares (8,800,000</w:t>
            </w:r>
          </w:p>
        </w:tc>
        <w:tc>
          <w:tcPr>
            <w:tcW w:w="196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w w:val="97"/>
              </w:rPr>
              <w:t>12/21/2018</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FF0FC"/>
          </w:tcPr>
          <w:p>
            <w:pPr>
              <w:spacing w:after="0"/>
              <w:rPr>
                <w:sz w:val="20"/>
                <w:szCs w:val="20"/>
                <w:color w:val="auto"/>
              </w:rPr>
            </w:pPr>
          </w:p>
        </w:tc>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w:t>
            </w:r>
          </w:p>
        </w:tc>
        <w:tc>
          <w:tcPr>
            <w:tcW w:w="19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1,502</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820" w:type="dxa"/>
            <w:vAlign w:val="bottom"/>
            <w:tcBorders>
              <w:top w:val="single" w:sz="8" w:color="CFF0FC"/>
            </w:tcBorders>
            <w:shd w:val="clear" w:color="auto" w:fill="CFF0FC"/>
          </w:tcPr>
          <w:p>
            <w:pPr>
              <w:spacing w:after="0"/>
              <w:rPr>
                <w:sz w:val="17"/>
                <w:szCs w:val="17"/>
                <w:color w:val="auto"/>
              </w:rPr>
            </w:pPr>
          </w:p>
        </w:tc>
        <w:tc>
          <w:tcPr>
            <w:tcW w:w="196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services</w:t>
            </w:r>
          </w:p>
        </w:tc>
        <w:tc>
          <w:tcPr>
            <w:tcW w:w="2820" w:type="dxa"/>
            <w:vAlign w:val="bottom"/>
            <w:shd w:val="clear" w:color="auto" w:fill="CFF0FC"/>
          </w:tcPr>
          <w:p>
            <w:pPr>
              <w:spacing w:after="0"/>
              <w:rPr>
                <w:sz w:val="20"/>
                <w:szCs w:val="20"/>
                <w:color w:val="auto"/>
              </w:rPr>
            </w:pPr>
          </w:p>
        </w:tc>
        <w:tc>
          <w:tcPr>
            <w:tcW w:w="19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(13)(15)</w:t>
            </w:r>
          </w:p>
        </w:tc>
        <w:tc>
          <w:tcPr>
            <w:tcW w:w="2820" w:type="dxa"/>
            <w:vAlign w:val="bottom"/>
          </w:tcPr>
          <w:p>
            <w:pPr>
              <w:ind w:left="200"/>
              <w:spacing w:after="0"/>
              <w:rPr>
                <w:sz w:val="20"/>
                <w:szCs w:val="20"/>
                <w:color w:val="auto"/>
              </w:rPr>
            </w:pPr>
            <w:r>
              <w:rPr>
                <w:rFonts w:ascii="Arial" w:cs="Arial" w:eastAsia="Arial" w:hAnsi="Arial"/>
                <w:sz w:val="18"/>
                <w:szCs w:val="18"/>
                <w:color w:val="auto"/>
              </w:rPr>
              <w:t>Class A Units (44,944 units)</w:t>
            </w:r>
          </w:p>
        </w:tc>
        <w:tc>
          <w:tcPr>
            <w:tcW w:w="1960" w:type="dxa"/>
            <w:vAlign w:val="bottom"/>
          </w:tcPr>
          <w:p>
            <w:pPr>
              <w:jc w:val="right"/>
              <w:ind w:right="970"/>
              <w:spacing w:after="0"/>
              <w:rPr>
                <w:sz w:val="20"/>
                <w:szCs w:val="20"/>
                <w:color w:val="auto"/>
              </w:rPr>
            </w:pPr>
            <w:r>
              <w:rPr>
                <w:rFonts w:ascii="Arial" w:cs="Arial" w:eastAsia="Arial" w:hAnsi="Arial"/>
                <w:sz w:val="18"/>
                <w:szCs w:val="18"/>
                <w:color w:val="auto"/>
              </w:rPr>
              <w:t>8/24/2018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(13)(14)</w:t>
            </w:r>
          </w:p>
        </w:tc>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Shares Class A (1,020</w:t>
            </w:r>
          </w:p>
        </w:tc>
        <w:tc>
          <w:tcPr>
            <w:tcW w:w="196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rPr>
              <w:t>6/30/2017</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FF0FC"/>
          </w:tcPr>
          <w:p>
            <w:pPr>
              <w:spacing w:after="0"/>
              <w:rPr>
                <w:sz w:val="20"/>
                <w:szCs w:val="20"/>
                <w:color w:val="auto"/>
              </w:rPr>
            </w:pPr>
          </w:p>
        </w:tc>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units)</w:t>
            </w:r>
          </w:p>
        </w:tc>
        <w:tc>
          <w:tcPr>
            <w:tcW w:w="19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w w:val="93"/>
              </w:rPr>
              <w:t>Common Shares Class B (987,929</w:t>
            </w:r>
          </w:p>
        </w:tc>
        <w:tc>
          <w:tcPr>
            <w:tcW w:w="1960" w:type="dxa"/>
            <w:vAlign w:val="bottom"/>
          </w:tcPr>
          <w:p>
            <w:pPr>
              <w:jc w:val="right"/>
              <w:ind w:right="970"/>
              <w:spacing w:after="0"/>
              <w:rPr>
                <w:sz w:val="20"/>
                <w:szCs w:val="20"/>
                <w:color w:val="auto"/>
              </w:rPr>
            </w:pPr>
            <w:r>
              <w:rPr>
                <w:rFonts w:ascii="Arial" w:cs="Arial" w:eastAsia="Arial" w:hAnsi="Arial"/>
                <w:sz w:val="18"/>
                <w:szCs w:val="18"/>
                <w:color w:val="auto"/>
              </w:rPr>
              <w:t>6/30/2017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Borders>
              <w:bottom w:val="single" w:sz="8" w:color="CFF0FC"/>
            </w:tcBorders>
          </w:tcPr>
          <w:p>
            <w:pPr>
              <w:spacing w:after="0"/>
              <w:rPr>
                <w:sz w:val="20"/>
                <w:szCs w:val="20"/>
                <w:color w:val="auto"/>
              </w:rPr>
            </w:pPr>
          </w:p>
        </w:tc>
        <w:tc>
          <w:tcPr>
            <w:tcW w:w="28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units)</w:t>
            </w:r>
          </w:p>
        </w:tc>
        <w:tc>
          <w:tcPr>
            <w:tcW w:w="196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Internet Services</w:t>
            </w: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Lucidworks, Inc. </w:t>
            </w:r>
            <w:r>
              <w:rPr>
                <w:rFonts w:ascii="Arial" w:cs="Arial" w:eastAsia="Arial" w:hAnsi="Arial"/>
                <w:sz w:val="15"/>
                <w:szCs w:val="15"/>
                <w:color w:val="auto"/>
              </w:rPr>
              <w:t>(13)(14)</w:t>
            </w:r>
          </w:p>
        </w:tc>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Series F Preferred Shares (199,054</w:t>
            </w:r>
          </w:p>
        </w:tc>
        <w:tc>
          <w:tcPr>
            <w:tcW w:w="196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rPr>
              <w:t>8/2/2019</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FF0FC"/>
          </w:tcPr>
          <w:p>
            <w:pPr>
              <w:spacing w:after="0"/>
              <w:rPr>
                <w:sz w:val="20"/>
                <w:szCs w:val="20"/>
                <w:color w:val="auto"/>
              </w:rPr>
            </w:pPr>
          </w:p>
        </w:tc>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w:t>
            </w:r>
          </w:p>
        </w:tc>
        <w:tc>
          <w:tcPr>
            <w:tcW w:w="19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Marketing services</w:t>
            </w:r>
          </w:p>
        </w:tc>
        <w:tc>
          <w:tcPr>
            <w:tcW w:w="28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(13)</w:t>
            </w:r>
          </w:p>
        </w:tc>
        <w:tc>
          <w:tcPr>
            <w:tcW w:w="2820" w:type="dxa"/>
            <w:vAlign w:val="bottom"/>
          </w:tcPr>
          <w:p>
            <w:pPr>
              <w:ind w:left="200"/>
              <w:spacing w:after="0"/>
              <w:rPr>
                <w:sz w:val="20"/>
                <w:szCs w:val="20"/>
                <w:color w:val="auto"/>
              </w:rPr>
            </w:pPr>
            <w:r>
              <w:rPr>
                <w:rFonts w:ascii="Arial" w:cs="Arial" w:eastAsia="Arial" w:hAnsi="Arial"/>
                <w:sz w:val="18"/>
                <w:szCs w:val="18"/>
                <w:color w:val="auto"/>
              </w:rPr>
              <w:t>Series A Preferred Shares</w:t>
            </w:r>
          </w:p>
        </w:tc>
        <w:tc>
          <w:tcPr>
            <w:tcW w:w="1960" w:type="dxa"/>
            <w:vAlign w:val="bottom"/>
          </w:tcPr>
          <w:p>
            <w:pPr>
              <w:jc w:val="right"/>
              <w:ind w:right="970"/>
              <w:spacing w:after="0"/>
              <w:rPr>
                <w:sz w:val="20"/>
                <w:szCs w:val="20"/>
                <w:color w:val="auto"/>
              </w:rPr>
            </w:pPr>
            <w:r>
              <w:rPr>
                <w:rFonts w:ascii="Arial" w:cs="Arial" w:eastAsia="Arial" w:hAnsi="Arial"/>
                <w:sz w:val="18"/>
                <w:szCs w:val="18"/>
                <w:color w:val="auto"/>
              </w:rPr>
              <w:t>5/31/2018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12,379</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(3,840,000 shares)</w:t>
            </w:r>
          </w:p>
        </w:tc>
        <w:tc>
          <w:tcPr>
            <w:tcW w:w="1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w w:val="94"/>
              </w:rPr>
              <w:t>Oil, gas and consumable fuels</w:t>
            </w: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w:t>
            </w:r>
          </w:p>
        </w:tc>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A-1 Member Units (1,360</w:t>
            </w:r>
          </w:p>
        </w:tc>
        <w:tc>
          <w:tcPr>
            <w:tcW w:w="196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rPr>
              <w:t>5/3/2017</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(7)(13)</w:t>
            </w:r>
          </w:p>
        </w:tc>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units)</w:t>
            </w:r>
          </w:p>
        </w:tc>
        <w:tc>
          <w:tcPr>
            <w:tcW w:w="19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Class A-2 Member Units (933</w:t>
            </w:r>
          </w:p>
        </w:tc>
        <w:tc>
          <w:tcPr>
            <w:tcW w:w="1960" w:type="dxa"/>
            <w:vAlign w:val="bottom"/>
          </w:tcPr>
          <w:p>
            <w:pPr>
              <w:jc w:val="right"/>
              <w:ind w:right="970"/>
              <w:spacing w:after="0"/>
              <w:rPr>
                <w:sz w:val="20"/>
                <w:szCs w:val="20"/>
                <w:color w:val="auto"/>
              </w:rPr>
            </w:pPr>
            <w:r>
              <w:rPr>
                <w:rFonts w:ascii="Arial" w:cs="Arial" w:eastAsia="Arial" w:hAnsi="Arial"/>
                <w:sz w:val="18"/>
                <w:szCs w:val="18"/>
                <w:color w:val="auto"/>
              </w:rPr>
              <w:t>6/4/2014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Borders>
              <w:bottom w:val="single" w:sz="8" w:color="CFF0FC"/>
            </w:tcBorders>
          </w:tcPr>
          <w:p>
            <w:pPr>
              <w:spacing w:after="0"/>
              <w:rPr>
                <w:sz w:val="20"/>
                <w:szCs w:val="20"/>
                <w:color w:val="auto"/>
              </w:rPr>
            </w:pPr>
          </w:p>
        </w:tc>
        <w:tc>
          <w:tcPr>
            <w:tcW w:w="28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units)</w:t>
            </w:r>
          </w:p>
        </w:tc>
        <w:tc>
          <w:tcPr>
            <w:tcW w:w="196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19,240</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63,500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Arial" w:cs="Arial" w:eastAsia="Arial" w:hAnsi="Arial"/>
                <w:sz w:val="18"/>
                <w:szCs w:val="18"/>
                <w:color w:val="auto"/>
              </w:rPr>
              <w:t>41,810</w:t>
            </w:r>
          </w:p>
        </w:tc>
        <w:tc>
          <w:tcPr>
            <w:tcW w:w="220" w:type="dxa"/>
            <w:vAlign w:val="bottom"/>
          </w:tcPr>
          <w:p>
            <w:pPr>
              <w:spacing w:after="0"/>
              <w:rPr>
                <w:sz w:val="17"/>
                <w:szCs w:val="17"/>
                <w:color w:val="auto"/>
              </w:rPr>
            </w:pPr>
          </w:p>
        </w:tc>
        <w:tc>
          <w:tcPr>
            <w:tcW w:w="9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tcBorders>
              <w:bottom w:val="single" w:sz="8" w:color="CFF0FC"/>
            </w:tcBorders>
          </w:tcPr>
          <w:p>
            <w:pPr>
              <w:ind w:left="120"/>
              <w:spacing w:after="0"/>
              <w:rPr>
                <w:sz w:val="20"/>
                <w:szCs w:val="20"/>
                <w:color w:val="auto"/>
              </w:rPr>
            </w:pPr>
            <w:r>
              <w:rPr>
                <w:rFonts w:ascii="Arial" w:cs="Arial" w:eastAsia="Arial" w:hAnsi="Arial"/>
                <w:sz w:val="18"/>
                <w:szCs w:val="18"/>
                <w:b w:val="1"/>
                <w:bCs w:val="1"/>
                <w:color w:val="auto"/>
              </w:rPr>
              <w:t>Investments</w:t>
            </w:r>
          </w:p>
        </w:tc>
        <w:tc>
          <w:tcPr>
            <w:tcW w:w="2820" w:type="dxa"/>
            <w:vAlign w:val="bottom"/>
            <w:tcBorders>
              <w:bottom w:val="single" w:sz="8" w:color="CFF0FC"/>
            </w:tcBorders>
          </w:tcPr>
          <w:p>
            <w:pPr>
              <w:spacing w:after="0"/>
              <w:rPr>
                <w:sz w:val="20"/>
                <w:szCs w:val="20"/>
                <w:color w:val="auto"/>
              </w:rPr>
            </w:pPr>
          </w:p>
        </w:tc>
        <w:tc>
          <w:tcPr>
            <w:tcW w:w="196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820" w:type="dxa"/>
            <w:vAlign w:val="bottom"/>
            <w:tcBorders>
              <w:bottom w:val="single" w:sz="8" w:color="CFF0FC"/>
            </w:tcBorders>
            <w:shd w:val="clear" w:color="auto" w:fill="CFF0FC"/>
          </w:tcPr>
          <w:p>
            <w:pPr>
              <w:spacing w:after="0"/>
              <w:rPr>
                <w:sz w:val="19"/>
                <w:szCs w:val="19"/>
                <w:color w:val="auto"/>
              </w:rPr>
            </w:pPr>
          </w:p>
        </w:tc>
        <w:tc>
          <w:tcPr>
            <w:tcW w:w="19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$ 2,053,219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$ 2,047,520</w:t>
            </w: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184.8</w:t>
            </w:r>
          </w:p>
        </w:tc>
        <w:tc>
          <w:tcPr>
            <w:tcW w:w="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60" w:type="dxa"/>
            <w:vAlign w:val="bottom"/>
            <w:vMerge w:val="restart"/>
          </w:tcPr>
          <w:p>
            <w:pPr>
              <w:jc w:val="right"/>
              <w:ind w:right="137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1"/>
              </w:rPr>
              <w:t>Interest Rate Swaps as of September 30, 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134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4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ind w:right="93"/>
              <w:spacing w:after="0"/>
              <w:rPr>
                <w:sz w:val="20"/>
                <w:szCs w:val="20"/>
                <w:color w:val="auto"/>
              </w:rPr>
            </w:pPr>
            <w:r>
              <w:rPr>
                <w:rFonts w:ascii="Arial" w:cs="Arial" w:eastAsia="Arial" w:hAnsi="Arial"/>
                <w:sz w:val="14"/>
                <w:szCs w:val="14"/>
                <w:b w:val="1"/>
                <w:bCs w:val="1"/>
                <w:color w:val="auto"/>
                <w:w w:val="96"/>
              </w:rPr>
              <w:t>Notional</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40"/>
              <w:spacing w:after="0" w:line="133" w:lineRule="exact"/>
              <w:rPr>
                <w:sz w:val="20"/>
                <w:szCs w:val="20"/>
                <w:color w:val="auto"/>
              </w:rPr>
            </w:pPr>
            <w:r>
              <w:rPr>
                <w:rFonts w:ascii="Arial" w:cs="Arial" w:eastAsia="Arial" w:hAnsi="Arial"/>
                <w:sz w:val="14"/>
                <w:szCs w:val="14"/>
                <w:b w:val="1"/>
                <w:bCs w:val="1"/>
                <w:color w:val="auto"/>
              </w:rPr>
              <w:t>Upfront</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73"/>
              <w:spacing w:after="0" w:line="133" w:lineRule="exact"/>
              <w:rPr>
                <w:sz w:val="20"/>
                <w:szCs w:val="20"/>
                <w:color w:val="auto"/>
              </w:rPr>
            </w:pPr>
            <w:r>
              <w:rPr>
                <w:rFonts w:ascii="Arial" w:cs="Arial" w:eastAsia="Arial" w:hAnsi="Arial"/>
                <w:sz w:val="14"/>
                <w:szCs w:val="14"/>
                <w:b w:val="1"/>
                <w:bCs w:val="1"/>
                <w:color w:val="auto"/>
                <w:w w:val="94"/>
              </w:rPr>
              <w:t>Change in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20" w:type="dxa"/>
            <w:vAlign w:val="bottom"/>
            <w:gridSpan w:val="3"/>
            <w:vMerge w:val="restart"/>
          </w:tcPr>
          <w:p>
            <w:pPr>
              <w:jc w:val="right"/>
              <w:ind w:right="390"/>
              <w:spacing w:after="0"/>
              <w:rPr>
                <w:sz w:val="20"/>
                <w:szCs w:val="20"/>
                <w:color w:val="auto"/>
              </w:rPr>
            </w:pPr>
            <w:r>
              <w:rPr>
                <w:rFonts w:ascii="Arial" w:cs="Arial" w:eastAsia="Arial" w:hAnsi="Arial"/>
                <w:sz w:val="14"/>
                <w:szCs w:val="14"/>
                <w:b w:val="1"/>
                <w:bCs w:val="1"/>
                <w:color w:val="auto"/>
              </w:rPr>
              <w:t>Maturity Date</w:t>
            </w: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Receives</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Pays</w:t>
            </w:r>
          </w:p>
        </w:tc>
        <w:tc>
          <w:tcPr>
            <w:tcW w:w="1520" w:type="dxa"/>
            <w:vAlign w:val="bottom"/>
            <w:gridSpan w:val="3"/>
            <w:vMerge w:val="continue"/>
          </w:tcPr>
          <w:p>
            <w:pPr>
              <w:spacing w:after="0"/>
              <w:rPr>
                <w:sz w:val="14"/>
                <w:szCs w:val="14"/>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 Receipts</w:t>
            </w: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Gains / (Losses)</w:t>
            </w: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L + 2.86%</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12/15/2019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rPr>
              <w:t>L</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1.97%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6/25/2020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L</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1.47%</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rPr>
              <w:t>L</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1.36%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+ 2.37%</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+ 1.59%</w:t>
            </w:r>
          </w:p>
        </w:tc>
        <w:tc>
          <w:tcPr>
            <w:tcW w:w="122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+ 1.60%</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+ 1.99%</w:t>
            </w:r>
          </w:p>
        </w:tc>
        <w:tc>
          <w:tcPr>
            <w:tcW w:w="1220" w:type="dxa"/>
            <w:vAlign w:val="bottom"/>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(6,588)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rPr>
              <w:t>L</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1.72%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Interest rate swap was terminated on September 16, 2019.</w:t>
      </w:r>
    </w:p>
    <w:p>
      <w:pPr>
        <w:spacing w:after="0" w:line="102"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65"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the Toronto-Dominion Bank rate, or the Prime Rate or “P”), at the borrower’s option, which reset periodically based on the terms of the credit agreement. For investments with multiple interest rate contracts, the interest rate shown is the weighted average interest rate in effect at September 30, 2019.</w:t>
      </w:r>
    </w:p>
    <w:p>
      <w:pPr>
        <w:spacing w:after="0" w:line="1" w:lineRule="exact"/>
        <w:rPr>
          <w:rFonts w:ascii="Arial" w:cs="Arial" w:eastAsia="Arial" w:hAnsi="Arial"/>
          <w:sz w:val="17"/>
          <w:szCs w:val="17"/>
          <w:color w:val="auto"/>
        </w:rPr>
      </w:pPr>
    </w:p>
    <w:p>
      <w:pPr>
        <w:jc w:val="both"/>
        <w:ind w:left="520" w:right="40" w:hanging="512"/>
        <w:spacing w:after="0" w:line="265"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20.6% of total assets as of September 30, 2019.</w:t>
      </w:r>
    </w:p>
    <w:p>
      <w:pPr>
        <w:ind w:left="520" w:right="2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Arial" w:cs="Arial" w:eastAsia="Arial" w:hAnsi="Arial"/>
          <w:sz w:val="18"/>
          <w:szCs w:val="18"/>
          <w:color w:val="auto"/>
        </w:rPr>
      </w:pPr>
    </w:p>
    <w:p>
      <w:pPr>
        <w:ind w:left="520" w:right="20" w:hanging="512"/>
        <w:spacing w:after="0" w:line="25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nine months ended September 30, 2019 in which the Company was an Affiliated Person of the portfolio company are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nine months ended September 30,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Transfers</w:t>
            </w:r>
          </w:p>
        </w:tc>
        <w:tc>
          <w:tcPr>
            <w:tcW w:w="100" w:type="dxa"/>
            <w:vAlign w:val="bottom"/>
          </w:tcPr>
          <w:p>
            <w:pPr>
              <w:spacing w:after="0"/>
              <w:rPr>
                <w:sz w:val="12"/>
                <w:szCs w:val="12"/>
                <w:color w:val="auto"/>
              </w:rPr>
            </w:pPr>
          </w:p>
        </w:tc>
        <w:tc>
          <w:tcPr>
            <w:tcW w:w="70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12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Gain/(Losses)</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49,743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3,930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Validity, Inc.</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(39,993)</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(39,993</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49,743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5,093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40" w:right="260" w:hanging="519"/>
        <w:spacing w:after="0" w:line="258"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11" w:name="page12"/>
    <w:bookmarkEnd w:id="11"/>
    <w:p>
      <w:pPr>
        <w:ind w:left="520" w:right="60" w:hanging="512"/>
        <w:spacing w:after="0" w:line="302"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2019 in which the Company was an Affiliated Person of and was deemed to Control a portfolio company are as follows: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nine months ended September 30,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Net Change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100" w:type="dxa"/>
            <w:vAlign w:val="bottom"/>
          </w:tcPr>
          <w:p>
            <w:pPr>
              <w:spacing w:after="0"/>
              <w:rPr>
                <w:sz w:val="12"/>
                <w:szCs w:val="12"/>
                <w:color w:val="auto"/>
              </w:rPr>
            </w:pPr>
          </w:p>
        </w:tc>
        <w:tc>
          <w:tcPr>
            <w:tcW w:w="70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Additions (a)</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9"/>
              </w:rPr>
              <w:t>Reductions (b)</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Gain/(Loss)</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Gain/(Losses)</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34,527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2,919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60" w:type="dxa"/>
            <w:vAlign w:val="bottom"/>
            <w:gridSpan w:val="2"/>
          </w:tcPr>
          <w:p>
            <w:pPr>
              <w:spacing w:after="0"/>
              <w:rPr>
                <w:sz w:val="20"/>
                <w:szCs w:val="20"/>
                <w:color w:val="auto"/>
              </w:rPr>
            </w:pPr>
            <w:r>
              <w:rPr>
                <w:rFonts w:ascii="Arial" w:cs="Arial" w:eastAsia="Arial" w:hAnsi="Arial"/>
                <w:sz w:val="18"/>
                <w:szCs w:val="18"/>
                <w:color w:val="auto"/>
              </w:rPr>
              <w:t>Mississippi Resources,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21,978</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(8,938)</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14,166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56,505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(12,365</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49,765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4,454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right="260" w:hanging="519"/>
        <w:spacing w:after="0" w:line="258"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2" w:lineRule="exact"/>
        <w:rPr>
          <w:rFonts w:ascii="Arial" w:cs="Arial" w:eastAsia="Arial" w:hAnsi="Arial"/>
          <w:sz w:val="18"/>
          <w:szCs w:val="18"/>
          <w:color w:val="auto"/>
        </w:rPr>
      </w:pPr>
    </w:p>
    <w:p>
      <w:pPr>
        <w:ind w:left="520" w:right="780" w:hanging="512"/>
        <w:spacing w:after="0" w:line="258"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September 30, 2019, the estimated cost basis of investments for U.S. federal tax purposes was $2,045,775, resulting in estimated gross unrealized gains and losses of $104,662 and $103,133, respectively.</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40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and may be deemed to be “restricted securities” under the Securities Act. As of September 30, 2019, the aggregate fair value of these securities is $8,722, or 0.8% of the Company’s net assets.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Initial</w:t>
            </w: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Reference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Acquisition</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Rate and</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Amortized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Percentage</w:t>
            </w:r>
          </w:p>
        </w:tc>
        <w:tc>
          <w:tcPr>
            <w:tcW w:w="20" w:type="dxa"/>
            <w:vAlign w:val="bottom"/>
          </w:tcPr>
          <w:p>
            <w:pPr>
              <w:spacing w:after="0"/>
              <w:rPr>
                <w:sz w:val="19"/>
                <w:szCs w:val="19"/>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5"/>
                <w:szCs w:val="15"/>
                <w:b w:val="1"/>
                <w:bCs w:val="1"/>
                <w:color w:val="auto"/>
              </w:rPr>
              <w:t>(1)</w:t>
            </w:r>
          </w:p>
        </w:tc>
        <w:tc>
          <w:tcPr>
            <w:tcW w:w="100" w:type="dxa"/>
            <w:vAlign w:val="bottom"/>
          </w:tcPr>
          <w:p>
            <w:pPr>
              <w:spacing w:after="0"/>
              <w:rPr>
                <w:sz w:val="19"/>
                <w:szCs w:val="19"/>
                <w:color w:val="auto"/>
              </w:rPr>
            </w:pPr>
          </w:p>
        </w:tc>
        <w:tc>
          <w:tcPr>
            <w:tcW w:w="2100" w:type="dxa"/>
            <w:vAlign w:val="bottom"/>
            <w:gridSpan w:val="2"/>
          </w:tcPr>
          <w:p>
            <w:pPr>
              <w:ind w:left="560"/>
              <w:spacing w:after="0"/>
              <w:rPr>
                <w:sz w:val="20"/>
                <w:szCs w:val="20"/>
                <w:color w:val="auto"/>
              </w:rPr>
            </w:pPr>
            <w:r>
              <w:rPr>
                <w:rFonts w:ascii="Arial" w:cs="Arial" w:eastAsia="Arial" w:hAnsi="Arial"/>
                <w:sz w:val="18"/>
                <w:szCs w:val="18"/>
                <w:b w:val="1"/>
                <w:bCs w:val="1"/>
                <w:color w:val="auto"/>
              </w:rPr>
              <w:t>Investment</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Spread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Interest Rate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5"/>
              </w:rPr>
              <w:t xml:space="preserve">Cost </w:t>
            </w:r>
            <w:r>
              <w:rPr>
                <w:rFonts w:ascii="Arial" w:cs="Arial" w:eastAsia="Arial" w:hAnsi="Arial"/>
                <w:sz w:val="15"/>
                <w:szCs w:val="15"/>
                <w:b w:val="1"/>
                <w:bCs w:val="1"/>
                <w:color w:val="auto"/>
                <w:w w:val="95"/>
              </w:rPr>
              <w:t>(2)(8)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31"/>
              <w:spacing w:after="0"/>
              <w:rPr>
                <w:sz w:val="20"/>
                <w:szCs w:val="20"/>
                <w:color w:val="auto"/>
              </w:rPr>
            </w:pPr>
            <w:r>
              <w:rPr>
                <w:rFonts w:ascii="Arial" w:cs="Arial" w:eastAsia="Arial" w:hAnsi="Arial"/>
                <w:sz w:val="15"/>
                <w:szCs w:val="15"/>
                <w:b w:val="1"/>
                <w:bCs w:val="1"/>
                <w:color w:val="auto"/>
                <w:w w:val="97"/>
              </w:rPr>
              <w:t>(10)</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3"/>
              </w:rPr>
              <w:t>of Net Assets</w:t>
            </w:r>
          </w:p>
        </w:tc>
        <w:tc>
          <w:tcPr>
            <w:tcW w:w="20" w:type="dxa"/>
            <w:vAlign w:val="bottom"/>
          </w:tcPr>
          <w:p>
            <w:pPr>
              <w:spacing w:after="0"/>
              <w:rPr>
                <w:sz w:val="19"/>
                <w:szCs w:val="19"/>
                <w:color w:val="auto"/>
              </w:rPr>
            </w:pP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b w:val="1"/>
                <w:bCs w:val="1"/>
                <w:color w:val="auto"/>
                <w:w w:val="92"/>
              </w:rPr>
              <w:t>Beverage, food and tobacco</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AFS Technologies, Inc. </w:t>
            </w:r>
            <w:r>
              <w:rPr>
                <w:rFonts w:ascii="Arial" w:cs="Arial" w:eastAsia="Arial" w:hAnsi="Arial"/>
                <w:sz w:val="15"/>
                <w:szCs w:val="15"/>
                <w:color w:val="auto"/>
                <w:w w:val="97"/>
              </w:rPr>
              <w:t>(3)(5)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($42,234</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5"/>
                <w:szCs w:val="15"/>
                <w:color w:val="auto"/>
              </w:rPr>
              <w:t>(6)</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10/2023)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10/16/2018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+ 6.25%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41,611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41,179</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Acceo Solutions, Inc. </w:t>
            </w:r>
            <w:r>
              <w:rPr>
                <w:rFonts w:ascii="Arial" w:cs="Arial" w:eastAsia="Arial" w:hAnsi="Arial"/>
                <w:sz w:val="15"/>
                <w:szCs w:val="15"/>
                <w:color w:val="auto"/>
                <w:w w:val="97"/>
              </w:rPr>
              <w:t>(3)(4)(5)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(CAD</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46,051</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64,675 par, due 7/2023)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C + 5.25%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48,275</w:t>
            </w:r>
          </w:p>
        </w:tc>
        <w:tc>
          <w:tcPr>
            <w:tcW w:w="1480" w:type="dxa"/>
            <w:vAlign w:val="bottom"/>
            <w:gridSpan w:val="4"/>
            <w:shd w:val="clear" w:color="auto" w:fill="CFF0FC"/>
          </w:tcPr>
          <w:p>
            <w:pPr>
              <w:jc w:val="center"/>
              <w:ind w:right="40"/>
              <w:spacing w:after="0"/>
              <w:rPr>
                <w:sz w:val="20"/>
                <w:szCs w:val="20"/>
                <w:color w:val="auto"/>
              </w:rPr>
            </w:pPr>
            <w:r>
              <w:rPr>
                <w:rFonts w:ascii="Arial" w:cs="Arial" w:eastAsia="Arial" w:hAnsi="Arial"/>
                <w:sz w:val="18"/>
                <w:szCs w:val="18"/>
                <w:color w:val="auto"/>
                <w:w w:val="94"/>
              </w:rPr>
              <w:t>(CAD 62,896)</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w w:val="95"/>
              </w:rPr>
              <w:t xml:space="preserve">Integration Appliance, Inc. </w:t>
            </w:r>
            <w:r>
              <w:rPr>
                <w:rFonts w:ascii="Arial" w:cs="Arial" w:eastAsia="Arial" w:hAnsi="Arial"/>
                <w:sz w:val="15"/>
                <w:szCs w:val="15"/>
                <w:color w:val="auto"/>
                <w:w w:val="95"/>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($52,381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8/2023)</w:t>
            </w:r>
          </w:p>
        </w:tc>
        <w:tc>
          <w:tcPr>
            <w:tcW w:w="900" w:type="dxa"/>
            <w:vAlign w:val="bottom"/>
          </w:tcPr>
          <w:p>
            <w:pPr>
              <w:jc w:val="right"/>
              <w:spacing w:after="0"/>
              <w:rPr>
                <w:sz w:val="20"/>
                <w:szCs w:val="20"/>
                <w:color w:val="auto"/>
              </w:rPr>
            </w:pPr>
            <w:r>
              <w:rPr>
                <w:rFonts w:ascii="Arial" w:cs="Arial" w:eastAsia="Arial" w:hAnsi="Arial"/>
                <w:sz w:val="18"/>
                <w:szCs w:val="18"/>
                <w:color w:val="auto"/>
              </w:rPr>
              <w:t>8/13/2018</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+ 7.25%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840" w:type="dxa"/>
            <w:vAlign w:val="bottom"/>
          </w:tcPr>
          <w:p>
            <w:pPr>
              <w:jc w:val="right"/>
              <w:spacing w:after="0"/>
              <w:rPr>
                <w:sz w:val="20"/>
                <w:szCs w:val="20"/>
                <w:color w:val="auto"/>
              </w:rPr>
            </w:pPr>
            <w:r>
              <w:rPr>
                <w:rFonts w:ascii="Arial" w:cs="Arial" w:eastAsia="Arial" w:hAnsi="Arial"/>
                <w:sz w:val="18"/>
                <w:szCs w:val="18"/>
                <w:color w:val="auto"/>
              </w:rPr>
              <w:t>51,608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51,281</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($52,110</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6/2022)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6/12/2017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+ 9.25%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50,656</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54,194</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($68,880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1/2024)</w:t>
            </w:r>
          </w:p>
        </w:tc>
        <w:tc>
          <w:tcPr>
            <w:tcW w:w="900" w:type="dxa"/>
            <w:vAlign w:val="bottom"/>
          </w:tcPr>
          <w:p>
            <w:pPr>
              <w:jc w:val="right"/>
              <w:spacing w:after="0"/>
              <w:rPr>
                <w:sz w:val="20"/>
                <w:szCs w:val="20"/>
                <w:color w:val="auto"/>
              </w:rPr>
            </w:pPr>
            <w:r>
              <w:rPr>
                <w:rFonts w:ascii="Arial" w:cs="Arial" w:eastAsia="Arial" w:hAnsi="Arial"/>
                <w:sz w:val="18"/>
                <w:szCs w:val="18"/>
                <w:color w:val="auto"/>
              </w:rPr>
              <w:t>1/17/2018</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+ 6.75%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9.22%</w:t>
            </w:r>
          </w:p>
        </w:tc>
        <w:tc>
          <w:tcPr>
            <w:tcW w:w="840" w:type="dxa"/>
            <w:vAlign w:val="bottom"/>
          </w:tcPr>
          <w:p>
            <w:pPr>
              <w:jc w:val="right"/>
              <w:spacing w:after="0"/>
              <w:rPr>
                <w:sz w:val="20"/>
                <w:szCs w:val="20"/>
                <w:color w:val="auto"/>
              </w:rPr>
            </w:pPr>
            <w:r>
              <w:rPr>
                <w:rFonts w:ascii="Arial" w:cs="Arial" w:eastAsia="Arial" w:hAnsi="Arial"/>
                <w:sz w:val="18"/>
                <w:szCs w:val="18"/>
                <w:color w:val="auto"/>
              </w:rPr>
              <w:t>67,262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69,624</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Nintex Global, Ltd. </w:t>
            </w:r>
            <w:r>
              <w:rPr>
                <w:rFonts w:ascii="Arial" w:cs="Arial" w:eastAsia="Arial" w:hAnsi="Arial"/>
                <w:sz w:val="15"/>
                <w:szCs w:val="15"/>
                <w:color w:val="auto"/>
              </w:rPr>
              <w:t>(3)(5)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($71,975</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4/2024)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+ 6.75%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9.28%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70,176</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($36,453</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3/2022)</w:t>
            </w:r>
          </w:p>
        </w:tc>
        <w:tc>
          <w:tcPr>
            <w:tcW w:w="900" w:type="dxa"/>
            <w:vAlign w:val="bottom"/>
          </w:tcPr>
          <w:p>
            <w:pPr>
              <w:jc w:val="right"/>
              <w:spacing w:after="0"/>
              <w:rPr>
                <w:sz w:val="20"/>
                <w:szCs w:val="20"/>
                <w:color w:val="auto"/>
              </w:rPr>
            </w:pPr>
            <w:r>
              <w:rPr>
                <w:rFonts w:ascii="Arial" w:cs="Arial" w:eastAsia="Arial" w:hAnsi="Arial"/>
                <w:sz w:val="18"/>
                <w:szCs w:val="18"/>
                <w:color w:val="auto"/>
              </w:rPr>
              <w:t>7/1/2016</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8.52%</w:t>
            </w:r>
          </w:p>
        </w:tc>
        <w:tc>
          <w:tcPr>
            <w:tcW w:w="840" w:type="dxa"/>
            <w:vAlign w:val="bottom"/>
          </w:tcPr>
          <w:p>
            <w:pPr>
              <w:jc w:val="right"/>
              <w:spacing w:after="0"/>
              <w:rPr>
                <w:sz w:val="20"/>
                <w:szCs w:val="20"/>
                <w:color w:val="auto"/>
              </w:rPr>
            </w:pPr>
            <w:r>
              <w:rPr>
                <w:rFonts w:ascii="Arial" w:cs="Arial" w:eastAsia="Arial" w:hAnsi="Arial"/>
                <w:sz w:val="18"/>
                <w:szCs w:val="18"/>
                <w:color w:val="auto"/>
              </w:rPr>
              <w:t>36,032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36,453</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327,779</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b w:val="1"/>
                <w:bCs w:val="1"/>
                <w:color w:val="auto"/>
              </w:rPr>
              <w:t>Chemicals</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Vertellus Specialties, Inc. </w:t>
            </w:r>
            <w:r>
              <w:rPr>
                <w:rFonts w:ascii="Arial" w:cs="Arial" w:eastAsia="Arial" w:hAnsi="Arial"/>
                <w:sz w:val="15"/>
                <w:szCs w:val="15"/>
                <w:color w:val="auto"/>
                <w:w w:val="98"/>
              </w:rPr>
              <w:t>(3)</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8"/>
              </w:rPr>
              <w:t>First-lien loan ($4,967 par,</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due 1/2019)</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10/31/2016</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+ 9.00%</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11.42%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18"/>
                <w:szCs w:val="18"/>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Second-lien loan ($3,341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10/2021)</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10/31/2016</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+ 12.00%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14.42%</w:t>
            </w:r>
          </w:p>
        </w:tc>
        <w:tc>
          <w:tcPr>
            <w:tcW w:w="840" w:type="dxa"/>
            <w:vAlign w:val="bottom"/>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3,350</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8,317</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b w:val="1"/>
                <w:bCs w:val="1"/>
                <w:color w:val="auto"/>
              </w:rPr>
              <w:t>Education</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9"/>
              </w:rPr>
              <w:t>Curriculum Associates, LLC</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($49,875</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5"/>
                <w:szCs w:val="15"/>
                <w:color w:val="auto"/>
              </w:rPr>
              <w:t>(3)(5)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2/2024)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+ 6.00%</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48,497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50,374</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w w:val="91"/>
              </w:rPr>
              <w:t>Frontline Technologies Group,</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($47,225</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9/2023)</w:t>
            </w:r>
          </w:p>
        </w:tc>
        <w:tc>
          <w:tcPr>
            <w:tcW w:w="900" w:type="dxa"/>
            <w:vAlign w:val="bottom"/>
          </w:tcPr>
          <w:p>
            <w:pPr>
              <w:jc w:val="right"/>
              <w:spacing w:after="0"/>
              <w:rPr>
                <w:sz w:val="20"/>
                <w:szCs w:val="20"/>
                <w:color w:val="auto"/>
              </w:rPr>
            </w:pPr>
            <w:r>
              <w:rPr>
                <w:rFonts w:ascii="Arial" w:cs="Arial" w:eastAsia="Arial" w:hAnsi="Arial"/>
                <w:sz w:val="18"/>
                <w:szCs w:val="18"/>
                <w:color w:val="auto"/>
              </w:rPr>
              <w:t>9/18/2017</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9.02%</w:t>
            </w:r>
          </w:p>
        </w:tc>
        <w:tc>
          <w:tcPr>
            <w:tcW w:w="840" w:type="dxa"/>
            <w:vAlign w:val="bottom"/>
          </w:tcPr>
          <w:p>
            <w:pPr>
              <w:jc w:val="right"/>
              <w:spacing w:after="0"/>
              <w:rPr>
                <w:sz w:val="20"/>
                <w:szCs w:val="20"/>
                <w:color w:val="auto"/>
              </w:rPr>
            </w:pPr>
            <w:r>
              <w:rPr>
                <w:rFonts w:ascii="Arial" w:cs="Arial" w:eastAsia="Arial" w:hAnsi="Arial"/>
                <w:sz w:val="18"/>
                <w:szCs w:val="18"/>
                <w:color w:val="auto"/>
              </w:rPr>
              <w:t>46,713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46,801</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($64,675</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5"/>
                <w:szCs w:val="15"/>
                <w:color w:val="auto"/>
              </w:rPr>
              <w:t>(5)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8/2022)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8/25/2017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+ 7.25%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63,611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63,544</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158,821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160,719</w:t>
            </w: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r>
      <w:tr>
        <w:trPr>
          <w:trHeight w:val="223"/>
        </w:trPr>
        <w:tc>
          <w:tcPr>
            <w:tcW w:w="2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($18,506</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8/2020)</w:t>
            </w:r>
          </w:p>
        </w:tc>
        <w:tc>
          <w:tcPr>
            <w:tcW w:w="900" w:type="dxa"/>
            <w:vAlign w:val="bottom"/>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840" w:type="dxa"/>
            <w:vAlign w:val="bottom"/>
          </w:tcPr>
          <w:p>
            <w:pPr>
              <w:jc w:val="right"/>
              <w:spacing w:after="0"/>
              <w:rPr>
                <w:sz w:val="20"/>
                <w:szCs w:val="20"/>
                <w:color w:val="auto"/>
              </w:rPr>
            </w:pPr>
            <w:r>
              <w:rPr>
                <w:rFonts w:ascii="Arial" w:cs="Arial" w:eastAsia="Arial" w:hAnsi="Arial"/>
                <w:sz w:val="18"/>
                <w:szCs w:val="18"/>
                <w:color w:val="auto"/>
              </w:rPr>
              <w:t>18,333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18,609</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($54,449</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8/2020)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+ 9.50%</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54,994</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 xml:space="preserve">G Treasury SS, LLC </w:t>
            </w:r>
            <w:r>
              <w:rPr>
                <w:rFonts w:ascii="Arial" w:cs="Arial" w:eastAsia="Arial" w:hAnsi="Arial"/>
                <w:sz w:val="15"/>
                <w:szCs w:val="15"/>
                <w:color w:val="auto"/>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($30,515</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11.78% (incl.</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4/2022)</w:t>
            </w:r>
          </w:p>
        </w:tc>
        <w:tc>
          <w:tcPr>
            <w:tcW w:w="900" w:type="dxa"/>
            <w:vAlign w:val="bottom"/>
          </w:tcPr>
          <w:p>
            <w:pPr>
              <w:jc w:val="right"/>
              <w:spacing w:after="0"/>
              <w:rPr>
                <w:sz w:val="20"/>
                <w:szCs w:val="20"/>
                <w:color w:val="auto"/>
              </w:rPr>
            </w:pPr>
            <w:r>
              <w:rPr>
                <w:rFonts w:ascii="Arial" w:cs="Arial" w:eastAsia="Arial" w:hAnsi="Arial"/>
                <w:sz w:val="18"/>
                <w:szCs w:val="18"/>
                <w:color w:val="auto"/>
              </w:rPr>
              <w:t>4/9/2018</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+ 9.25%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3.00% PIK)</w:t>
            </w:r>
          </w:p>
        </w:tc>
        <w:tc>
          <w:tcPr>
            <w:tcW w:w="840" w:type="dxa"/>
            <w:vAlign w:val="bottom"/>
          </w:tcPr>
          <w:p>
            <w:pPr>
              <w:jc w:val="right"/>
              <w:spacing w:after="0"/>
              <w:rPr>
                <w:sz w:val="20"/>
                <w:szCs w:val="20"/>
                <w:color w:val="auto"/>
              </w:rPr>
            </w:pPr>
            <w:r>
              <w:rPr>
                <w:rFonts w:ascii="Arial" w:cs="Arial" w:eastAsia="Arial" w:hAnsi="Arial"/>
                <w:sz w:val="18"/>
                <w:szCs w:val="18"/>
                <w:color w:val="auto"/>
              </w:rPr>
              <w:t>29,914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29,765</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Government Brands, LLC </w:t>
            </w:r>
            <w:r>
              <w:rPr>
                <w:rFonts w:ascii="Arial" w:cs="Arial" w:eastAsia="Arial" w:hAnsi="Arial"/>
                <w:sz w:val="15"/>
                <w:szCs w:val="15"/>
                <w:color w:val="auto"/>
                <w:w w:val="97"/>
              </w:rPr>
              <w:t>(3)</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($45,870</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11.81% (incl.</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3/2023)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+ 9.25%</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2.50% PIK)</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44,853</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($55,958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7/2022)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7/28/2017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+ 7.00%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9.52%</w:t>
            </w:r>
          </w:p>
        </w:tc>
        <w:tc>
          <w:tcPr>
            <w:tcW w:w="760" w:type="dxa"/>
            <w:vAlign w:val="bottom"/>
          </w:tcPr>
          <w:p>
            <w:pPr>
              <w:jc w:val="right"/>
              <w:spacing w:after="0"/>
              <w:rPr>
                <w:sz w:val="20"/>
                <w:szCs w:val="20"/>
                <w:color w:val="auto"/>
              </w:rPr>
            </w:pPr>
            <w:r>
              <w:rPr>
                <w:rFonts w:ascii="Arial" w:cs="Arial" w:eastAsia="Arial" w:hAnsi="Arial"/>
                <w:sz w:val="18"/>
                <w:szCs w:val="18"/>
                <w:color w:val="auto"/>
              </w:rPr>
              <w:t>55,065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55,810</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($59,395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10.81% (incl.</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3/2022)</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4/17/2018</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+ 8.25%</w:t>
            </w: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1.75% PIK)</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58,652</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PrimeRevenue, Inc. </w:t>
            </w:r>
            <w:r>
              <w:rPr>
                <w:rFonts w:ascii="Arial" w:cs="Arial" w:eastAsia="Arial" w:hAnsi="Arial"/>
                <w:sz w:val="15"/>
                <w:szCs w:val="15"/>
                <w:color w:val="auto"/>
              </w:rPr>
              <w:t>(3)</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($20,000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11.02% (incl.</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12/2023)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w w:val="97"/>
              </w:rPr>
              <w:t>12/31/2018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+ 8.50%</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5.50% PIK)</w:t>
            </w:r>
          </w:p>
        </w:tc>
        <w:tc>
          <w:tcPr>
            <w:tcW w:w="760" w:type="dxa"/>
            <w:vAlign w:val="bottom"/>
          </w:tcPr>
          <w:p>
            <w:pPr>
              <w:jc w:val="right"/>
              <w:spacing w:after="0"/>
              <w:rPr>
                <w:sz w:val="20"/>
                <w:szCs w:val="20"/>
                <w:color w:val="auto"/>
              </w:rPr>
            </w:pPr>
            <w:r>
              <w:rPr>
                <w:rFonts w:ascii="Arial" w:cs="Arial" w:eastAsia="Arial" w:hAnsi="Arial"/>
                <w:sz w:val="18"/>
                <w:szCs w:val="18"/>
                <w:color w:val="auto"/>
              </w:rPr>
              <w:t>19,672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19,672</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Ltd.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($28,875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1/2022)</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7/31/2017</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+ 6.50%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28,335</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29,958</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309,521</w:t>
            </w:r>
          </w:p>
        </w:tc>
        <w:tc>
          <w:tcPr>
            <w:tcW w:w="22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312,313</w:t>
            </w: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Caris Life Sciences, Ltd.</w:t>
            </w:r>
          </w:p>
        </w:tc>
        <w:tc>
          <w:tcPr>
            <w:tcW w:w="2260" w:type="dxa"/>
            <w:vAlign w:val="bottom"/>
          </w:tcPr>
          <w:p>
            <w:pPr>
              <w:ind w:left="60"/>
              <w:spacing w:after="0"/>
              <w:rPr>
                <w:sz w:val="20"/>
                <w:szCs w:val="20"/>
                <w:color w:val="auto"/>
              </w:rPr>
            </w:pPr>
            <w:r>
              <w:rPr>
                <w:rFonts w:ascii="Arial" w:cs="Arial" w:eastAsia="Arial" w:hAnsi="Arial"/>
                <w:sz w:val="18"/>
                <w:szCs w:val="18"/>
                <w:color w:val="auto"/>
              </w:rPr>
              <w:t>First-lien loan ($2,500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9/2023)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9/21/2018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11.30%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11.30%</w:t>
            </w:r>
          </w:p>
        </w:tc>
        <w:tc>
          <w:tcPr>
            <w:tcW w:w="760" w:type="dxa"/>
            <w:vAlign w:val="bottom"/>
          </w:tcPr>
          <w:p>
            <w:pPr>
              <w:jc w:val="right"/>
              <w:spacing w:after="0"/>
              <w:rPr>
                <w:sz w:val="20"/>
                <w:szCs w:val="20"/>
                <w:color w:val="auto"/>
              </w:rPr>
            </w:pPr>
            <w:r>
              <w:rPr>
                <w:rFonts w:ascii="Arial" w:cs="Arial" w:eastAsia="Arial" w:hAnsi="Arial"/>
                <w:sz w:val="18"/>
                <w:szCs w:val="18"/>
                <w:color w:val="auto"/>
              </w:rPr>
              <w:t>2,305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2,206</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18"/>
                <w:szCs w:val="18"/>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3"/>
              </w:rPr>
              <w:t>Convertible note ($2,500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9/2023)</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9/21/2018</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8.00%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2"/>
              </w:rPr>
              <w:t>Integrated Practice Solutions, Inc.</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($36,501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5"/>
                <w:szCs w:val="15"/>
                <w:color w:val="auto"/>
              </w:rPr>
              <w:t>(3)(5)</w:t>
            </w:r>
          </w:p>
        </w:tc>
        <w:tc>
          <w:tcPr>
            <w:tcW w:w="2260" w:type="dxa"/>
            <w:vAlign w:val="bottom"/>
          </w:tcPr>
          <w:p>
            <w:pPr>
              <w:ind w:left="60"/>
              <w:spacing w:after="0"/>
              <w:rPr>
                <w:sz w:val="20"/>
                <w:szCs w:val="20"/>
                <w:color w:val="auto"/>
              </w:rPr>
            </w:pPr>
            <w:r>
              <w:rPr>
                <w:rFonts w:ascii="Arial" w:cs="Arial" w:eastAsia="Arial" w:hAnsi="Arial"/>
                <w:sz w:val="18"/>
                <w:szCs w:val="18"/>
                <w:color w:val="auto"/>
              </w:rPr>
              <w:t>due 6/2022)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6/30/2017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+ 8.00%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10.52%</w:t>
            </w:r>
          </w:p>
        </w:tc>
        <w:tc>
          <w:tcPr>
            <w:tcW w:w="760" w:type="dxa"/>
            <w:vAlign w:val="bottom"/>
          </w:tcPr>
          <w:p>
            <w:pPr>
              <w:jc w:val="right"/>
              <w:spacing w:after="0"/>
              <w:rPr>
                <w:sz w:val="20"/>
                <w:szCs w:val="20"/>
                <w:color w:val="auto"/>
              </w:rPr>
            </w:pPr>
            <w:r>
              <w:rPr>
                <w:rFonts w:ascii="Arial" w:cs="Arial" w:eastAsia="Arial" w:hAnsi="Arial"/>
                <w:sz w:val="18"/>
                <w:szCs w:val="18"/>
                <w:color w:val="auto"/>
              </w:rPr>
              <w:t>35,696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36,136</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($41,884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9/2020)</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9/30/2015</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+ 7.50%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10.02%</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41,884</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8"/>
              </w:rPr>
              <w:t xml:space="preserve">InterOperability Bidco, Inc. </w:t>
            </w:r>
            <w:r>
              <w:rPr>
                <w:rFonts w:ascii="Arial" w:cs="Arial" w:eastAsia="Arial" w:hAnsi="Arial"/>
                <w:sz w:val="15"/>
                <w:szCs w:val="15"/>
                <w:color w:val="auto"/>
                <w:w w:val="98"/>
              </w:rPr>
              <w:t>(3)(5)</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($29,925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10/2023)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w w:val="97"/>
              </w:rPr>
              <w:t>10/30/2018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+ 7.00%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9.52%</w:t>
            </w:r>
          </w:p>
        </w:tc>
        <w:tc>
          <w:tcPr>
            <w:tcW w:w="760" w:type="dxa"/>
            <w:vAlign w:val="bottom"/>
          </w:tcPr>
          <w:p>
            <w:pPr>
              <w:jc w:val="right"/>
              <w:spacing w:after="0"/>
              <w:rPr>
                <w:sz w:val="20"/>
                <w:szCs w:val="20"/>
                <w:color w:val="auto"/>
              </w:rPr>
            </w:pPr>
            <w:r>
              <w:rPr>
                <w:rFonts w:ascii="Arial" w:cs="Arial" w:eastAsia="Arial" w:hAnsi="Arial"/>
                <w:sz w:val="18"/>
                <w:szCs w:val="18"/>
                <w:color w:val="auto"/>
              </w:rPr>
              <w:t>28,729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28,578</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($27,965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9/2019)</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2/29/2016</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+ 7.75%</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26,650</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27,475</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137,264</w:t>
            </w:r>
          </w:p>
        </w:tc>
        <w:tc>
          <w:tcPr>
            <w:tcW w:w="22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138,760</w:t>
            </w: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($30,042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12.30% (incl.</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9/2019)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9/29/2015</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+ 9.50%</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5.00% PIK)</w:t>
            </w:r>
          </w:p>
        </w:tc>
        <w:tc>
          <w:tcPr>
            <w:tcW w:w="760" w:type="dxa"/>
            <w:vAlign w:val="bottom"/>
          </w:tcPr>
          <w:p>
            <w:pPr>
              <w:jc w:val="right"/>
              <w:spacing w:after="0"/>
              <w:rPr>
                <w:sz w:val="20"/>
                <w:szCs w:val="20"/>
                <w:color w:val="auto"/>
              </w:rPr>
            </w:pPr>
            <w:r>
              <w:rPr>
                <w:rFonts w:ascii="Arial" w:cs="Arial" w:eastAsia="Arial" w:hAnsi="Arial"/>
                <w:sz w:val="18"/>
                <w:szCs w:val="18"/>
                <w:color w:val="auto"/>
              </w:rPr>
              <w:t>28,187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29,959</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Human resource support</w:t>
            </w:r>
          </w:p>
        </w:tc>
        <w:tc>
          <w:tcPr>
            <w:tcW w:w="2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services</w:t>
            </w:r>
          </w:p>
        </w:tc>
        <w:tc>
          <w:tcPr>
            <w:tcW w:w="2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(3)</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($17,154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11.21% (incl.</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7/2023)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7/23/2018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+ 8.50%</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2.50% PIK)</w:t>
            </w:r>
          </w:p>
        </w:tc>
        <w:tc>
          <w:tcPr>
            <w:tcW w:w="760" w:type="dxa"/>
            <w:vAlign w:val="bottom"/>
          </w:tcPr>
          <w:p>
            <w:pPr>
              <w:jc w:val="right"/>
              <w:spacing w:after="0"/>
              <w:rPr>
                <w:sz w:val="20"/>
                <w:szCs w:val="20"/>
                <w:color w:val="auto"/>
              </w:rPr>
            </w:pPr>
            <w:r>
              <w:rPr>
                <w:rFonts w:ascii="Arial" w:cs="Arial" w:eastAsia="Arial" w:hAnsi="Arial"/>
                <w:sz w:val="18"/>
                <w:szCs w:val="18"/>
                <w:color w:val="auto"/>
              </w:rPr>
              <w:t>16,885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16,751</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PageUp People Limited </w:t>
            </w:r>
            <w:r>
              <w:rPr>
                <w:rFonts w:ascii="Arial" w:cs="Arial" w:eastAsia="Arial" w:hAnsi="Arial"/>
                <w:sz w:val="15"/>
                <w:szCs w:val="15"/>
                <w:color w:val="auto"/>
              </w:rPr>
              <w:t>(3)(4)</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First-lien loan (AUD 46,848</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9.17% (incl.</w:t>
            </w:r>
          </w:p>
        </w:tc>
        <w:tc>
          <w:tcPr>
            <w:tcW w:w="7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32,486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par, due 12/2022)</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1/11/2018</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8"/>
              </w:rPr>
              <w:t>B + 7.25%</w:t>
            </w: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2.25% PIK)</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36,234</w:t>
            </w:r>
          </w:p>
        </w:tc>
        <w:tc>
          <w:tcPr>
            <w:tcW w:w="14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(AUD 46,145)</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First-lien revolving loan</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(AUD 2,000 par, due</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12/2022)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1/11/2018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w w:val="98"/>
              </w:rPr>
              <w:t>B + 7.25%</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9.23%</w:t>
            </w:r>
          </w:p>
        </w:tc>
        <w:tc>
          <w:tcPr>
            <w:tcW w:w="760" w:type="dxa"/>
            <w:vAlign w:val="bottom"/>
          </w:tcPr>
          <w:p>
            <w:pPr>
              <w:jc w:val="right"/>
              <w:spacing w:after="0"/>
              <w:rPr>
                <w:sz w:val="20"/>
                <w:szCs w:val="20"/>
                <w:color w:val="auto"/>
              </w:rPr>
            </w:pPr>
            <w:r>
              <w:rPr>
                <w:rFonts w:ascii="Arial" w:cs="Arial" w:eastAsia="Arial" w:hAnsi="Arial"/>
                <w:sz w:val="18"/>
                <w:szCs w:val="18"/>
                <w:color w:val="auto"/>
              </w:rPr>
              <w:t>1,429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(AUD 1,925)</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54,548</w:t>
            </w:r>
          </w:p>
        </w:tc>
        <w:tc>
          <w:tcPr>
            <w:tcW w:w="22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50,592</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($61,665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10/2020)</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7"/>
              </w:rPr>
              <w:t>10/31/2014</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+ 6.75%</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9.47%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62,127</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(3)(5)</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($50,000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10/2023)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6/30/2017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+ 7.75%</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10.56%</w:t>
            </w:r>
          </w:p>
        </w:tc>
        <w:tc>
          <w:tcPr>
            <w:tcW w:w="760" w:type="dxa"/>
            <w:vAlign w:val="bottom"/>
          </w:tcPr>
          <w:p>
            <w:pPr>
              <w:jc w:val="right"/>
              <w:spacing w:after="0"/>
              <w:rPr>
                <w:sz w:val="20"/>
                <w:szCs w:val="20"/>
                <w:color w:val="auto"/>
              </w:rPr>
            </w:pPr>
            <w:r>
              <w:rPr>
                <w:rFonts w:ascii="Arial" w:cs="Arial" w:eastAsia="Arial" w:hAnsi="Arial"/>
                <w:sz w:val="18"/>
                <w:szCs w:val="18"/>
                <w:color w:val="auto"/>
              </w:rPr>
              <w:t>49,432</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49,000</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110,816</w:t>
            </w:r>
          </w:p>
        </w:tc>
        <w:tc>
          <w:tcPr>
            <w:tcW w:w="22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111,127</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Internet services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Higher Logic, LLC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($37,810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1/2022)</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6/18/2018</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+ 6.00%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36,959</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260" w:type="dxa"/>
            <w:vAlign w:val="bottom"/>
          </w:tcPr>
          <w:p>
            <w:pPr>
              <w:ind w:left="100"/>
              <w:spacing w:after="0"/>
              <w:rPr>
                <w:sz w:val="20"/>
                <w:szCs w:val="20"/>
                <w:color w:val="auto"/>
              </w:rPr>
            </w:pPr>
            <w:r>
              <w:rPr>
                <w:rFonts w:ascii="Arial" w:cs="Arial" w:eastAsia="Arial" w:hAnsi="Arial"/>
                <w:sz w:val="18"/>
                <w:szCs w:val="18"/>
                <w:color w:val="auto"/>
                <w:w w:val="97"/>
              </w:rPr>
              <w:t>First-lien loan ($54,700 par,</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due 10/2022)</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10/3/2017</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+ 8.00%</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10.39%</w:t>
            </w:r>
          </w:p>
        </w:tc>
        <w:tc>
          <w:tcPr>
            <w:tcW w:w="840" w:type="dxa"/>
            <w:vAlign w:val="bottom"/>
          </w:tcPr>
          <w:p>
            <w:pPr>
              <w:jc w:val="right"/>
              <w:spacing w:after="0"/>
              <w:rPr>
                <w:sz w:val="20"/>
                <w:szCs w:val="20"/>
                <w:color w:val="auto"/>
              </w:rPr>
            </w:pPr>
            <w:r>
              <w:rPr>
                <w:rFonts w:ascii="Arial" w:cs="Arial" w:eastAsia="Arial" w:hAnsi="Arial"/>
                <w:sz w:val="18"/>
                <w:szCs w:val="18"/>
                <w:color w:val="auto"/>
              </w:rPr>
              <w:t>53,639</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53,967</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90,875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90,926</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Manufacturing</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($19,986 par,</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12/2019)</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12/30/2014</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+ 7.25%</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19,886</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15"/>
        </w:trPr>
        <w:tc>
          <w:tcPr>
            <w:tcW w:w="25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First-lien revolving loan</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($1,393 par, due 12/2019)</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12/30/2014</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+ 7.25%</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9.77%</w:t>
            </w:r>
          </w:p>
        </w:tc>
        <w:tc>
          <w:tcPr>
            <w:tcW w:w="840" w:type="dxa"/>
            <w:vAlign w:val="bottom"/>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1,382</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(3)(5)(6)</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($35,550 par,</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5/2023)</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5/31/2018</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+ 6.50%</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34,988</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Office products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loan ($13,500 par, due</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9/2022)</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9/12/2017</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+ 7.75%</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w w:val="96"/>
              </w:rPr>
              <w:t>Oil, gas and consumable fuels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MD America Energy, LLC </w:t>
            </w:r>
            <w:r>
              <w:rPr>
                <w:rFonts w:ascii="Arial" w:cs="Arial" w:eastAsia="Arial" w:hAnsi="Arial"/>
                <w:sz w:val="15"/>
                <w:szCs w:val="15"/>
                <w:color w:val="auto"/>
              </w:rPr>
              <w:t>(3)</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($15,000 par,</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11/2023)</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11/14/2018</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+ 7.75%</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10.37%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14,325</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5"/>
              </w:rPr>
              <w:t xml:space="preserve">Mississippi Resources, LLC </w:t>
            </w:r>
            <w:r>
              <w:rPr>
                <w:rFonts w:ascii="Arial" w:cs="Arial" w:eastAsia="Arial" w:hAnsi="Arial"/>
                <w:sz w:val="15"/>
                <w:szCs w:val="15"/>
                <w:color w:val="auto"/>
                <w:w w:val="95"/>
              </w:rPr>
              <w:t>(3)(7)</w:t>
            </w:r>
          </w:p>
        </w:tc>
        <w:tc>
          <w:tcPr>
            <w:tcW w:w="2260" w:type="dxa"/>
            <w:vAlign w:val="bottom"/>
          </w:tcPr>
          <w:p>
            <w:pPr>
              <w:ind w:left="100"/>
              <w:spacing w:after="0"/>
              <w:rPr>
                <w:sz w:val="20"/>
                <w:szCs w:val="20"/>
                <w:color w:val="auto"/>
              </w:rPr>
            </w:pPr>
            <w:r>
              <w:rPr>
                <w:rFonts w:ascii="Arial" w:cs="Arial" w:eastAsia="Arial" w:hAnsi="Arial"/>
                <w:sz w:val="18"/>
                <w:szCs w:val="18"/>
                <w:color w:val="auto"/>
                <w:w w:val="97"/>
              </w:rPr>
              <w:t>First-lien loan ($17,429 par,</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due 6/2020)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6/29/2018</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+ 9.00%</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11.52%</w:t>
            </w:r>
          </w:p>
        </w:tc>
        <w:tc>
          <w:tcPr>
            <w:tcW w:w="840" w:type="dxa"/>
            <w:vAlign w:val="bottom"/>
          </w:tcPr>
          <w:p>
            <w:pPr>
              <w:jc w:val="right"/>
              <w:spacing w:after="0"/>
              <w:rPr>
                <w:sz w:val="20"/>
                <w:szCs w:val="20"/>
                <w:color w:val="auto"/>
              </w:rPr>
            </w:pPr>
            <w:r>
              <w:rPr>
                <w:rFonts w:ascii="Arial" w:cs="Arial" w:eastAsia="Arial" w:hAnsi="Arial"/>
                <w:sz w:val="18"/>
                <w:szCs w:val="18"/>
                <w:color w:val="auto"/>
              </w:rPr>
              <w:t>17,429</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17,080</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31,405</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Pharmaceuticals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9"/>
              </w:rPr>
              <w:t>Ironwood Pharmaceuticals, Inc.</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Secured note ($33,333 par,</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(4)(5)(9)</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9/2026)</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1/5/2017</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8.38%</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33,202</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33,833</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260" w:type="dxa"/>
            <w:vAlign w:val="bottom"/>
          </w:tcPr>
          <w:p>
            <w:pPr>
              <w:ind w:left="100"/>
              <w:spacing w:after="0"/>
              <w:rPr>
                <w:sz w:val="20"/>
                <w:szCs w:val="20"/>
                <w:color w:val="auto"/>
              </w:rPr>
            </w:pPr>
            <w:r>
              <w:rPr>
                <w:rFonts w:ascii="Arial" w:cs="Arial" w:eastAsia="Arial" w:hAnsi="Arial"/>
                <w:sz w:val="18"/>
                <w:szCs w:val="18"/>
                <w:color w:val="auto"/>
                <w:w w:val="97"/>
              </w:rPr>
              <w:t>Secured note ($74,950 par,</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due 10/2020)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10/5/2015</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7.75%</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7.75%</w:t>
            </w:r>
          </w:p>
        </w:tc>
        <w:tc>
          <w:tcPr>
            <w:tcW w:w="840" w:type="dxa"/>
            <w:vAlign w:val="bottom"/>
          </w:tcPr>
          <w:p>
            <w:pPr>
              <w:jc w:val="right"/>
              <w:spacing w:after="0"/>
              <w:rPr>
                <w:sz w:val="20"/>
                <w:szCs w:val="20"/>
                <w:color w:val="auto"/>
              </w:rPr>
            </w:pPr>
            <w:r>
              <w:rPr>
                <w:rFonts w:ascii="Arial" w:cs="Arial" w:eastAsia="Arial" w:hAnsi="Arial"/>
                <w:sz w:val="18"/>
                <w:szCs w:val="18"/>
                <w:color w:val="auto"/>
              </w:rPr>
              <w:t>74,559</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76,074</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109,907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w w:val="96"/>
              </w:rPr>
              <w:t>Retail and consumer products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($32,500 par, due 4/2021)</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9/6/2017</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+ 7.75%</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32,164</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32,338</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5"/>
              </w:rPr>
              <w:t xml:space="preserve">American Achievement, Corp. </w:t>
            </w:r>
            <w:r>
              <w:rPr>
                <w:rFonts w:ascii="Arial" w:cs="Arial" w:eastAsia="Arial" w:hAnsi="Arial"/>
                <w:sz w:val="15"/>
                <w:szCs w:val="15"/>
                <w:color w:val="auto"/>
                <w:w w:val="95"/>
              </w:rPr>
              <w:t>(3)</w:t>
            </w:r>
          </w:p>
        </w:tc>
        <w:tc>
          <w:tcPr>
            <w:tcW w:w="2260" w:type="dxa"/>
            <w:vAlign w:val="bottom"/>
          </w:tcPr>
          <w:p>
            <w:pPr>
              <w:ind w:left="100"/>
              <w:spacing w:after="0"/>
              <w:rPr>
                <w:sz w:val="20"/>
                <w:szCs w:val="20"/>
                <w:color w:val="auto"/>
              </w:rPr>
            </w:pPr>
            <w:r>
              <w:rPr>
                <w:rFonts w:ascii="Arial" w:cs="Arial" w:eastAsia="Arial" w:hAnsi="Arial"/>
                <w:sz w:val="18"/>
                <w:szCs w:val="18"/>
                <w:color w:val="auto"/>
                <w:w w:val="97"/>
              </w:rPr>
              <w:t>First-lien loan ($22,403 par,</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due 9/2020)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9/30/2015</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+ 8.25%</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10.60%</w:t>
            </w:r>
          </w:p>
        </w:tc>
        <w:tc>
          <w:tcPr>
            <w:tcW w:w="840" w:type="dxa"/>
            <w:vAlign w:val="bottom"/>
          </w:tcPr>
          <w:p>
            <w:pPr>
              <w:jc w:val="right"/>
              <w:spacing w:after="0"/>
              <w:rPr>
                <w:sz w:val="20"/>
                <w:szCs w:val="20"/>
                <w:color w:val="auto"/>
              </w:rPr>
            </w:pPr>
            <w:r>
              <w:rPr>
                <w:rFonts w:ascii="Arial" w:cs="Arial" w:eastAsia="Arial" w:hAnsi="Arial"/>
                <w:sz w:val="18"/>
                <w:szCs w:val="18"/>
                <w:color w:val="auto"/>
              </w:rPr>
              <w:t>22,277</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22,179</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5"/>
        </w:trPr>
        <w:tc>
          <w:tcPr>
            <w:tcW w:w="2520" w:type="dxa"/>
            <w:vAlign w:val="bottom"/>
            <w:shd w:val="clear" w:color="auto" w:fill="CFF0FC"/>
          </w:tcPr>
          <w:p>
            <w:pPr>
              <w:spacing w:after="0"/>
              <w:rPr>
                <w:sz w:val="18"/>
                <w:szCs w:val="18"/>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Secured Promissory note</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($795 par, due 12/2020)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12/19/2018</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+ 8.25%</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10.64%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(3)(5)</w:t>
            </w:r>
          </w:p>
        </w:tc>
        <w:tc>
          <w:tcPr>
            <w:tcW w:w="2260" w:type="dxa"/>
            <w:vAlign w:val="bottom"/>
          </w:tcPr>
          <w:p>
            <w:pPr>
              <w:ind w:left="100"/>
              <w:spacing w:after="0"/>
              <w:rPr>
                <w:sz w:val="20"/>
                <w:szCs w:val="20"/>
                <w:color w:val="auto"/>
              </w:rPr>
            </w:pPr>
            <w:r>
              <w:rPr>
                <w:rFonts w:ascii="Arial" w:cs="Arial" w:eastAsia="Arial" w:hAnsi="Arial"/>
                <w:sz w:val="18"/>
                <w:szCs w:val="18"/>
                <w:color w:val="auto"/>
              </w:rPr>
              <w:t>ABL FILO term</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loan ($14,063 par, due</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8/2022)</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3/1/2018</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+ 8.00%</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10.38%</w:t>
            </w:r>
          </w:p>
        </w:tc>
        <w:tc>
          <w:tcPr>
            <w:tcW w:w="840" w:type="dxa"/>
            <w:vAlign w:val="bottom"/>
          </w:tcPr>
          <w:p>
            <w:pPr>
              <w:jc w:val="right"/>
              <w:spacing w:after="0"/>
              <w:rPr>
                <w:sz w:val="20"/>
                <w:szCs w:val="20"/>
                <w:color w:val="auto"/>
              </w:rPr>
            </w:pPr>
            <w:r>
              <w:rPr>
                <w:rFonts w:ascii="Arial" w:cs="Arial" w:eastAsia="Arial" w:hAnsi="Arial"/>
                <w:sz w:val="18"/>
                <w:szCs w:val="18"/>
                <w:color w:val="auto"/>
              </w:rPr>
              <w:t>13,806</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13,957</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(3)(4)(11)</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ABL DIP loan</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8"/>
              </w:rPr>
              <w:t>($25,394 par, due 10/2019)</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3/18/2016</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+ 8.00%</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25,176</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94,210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95,131</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Transportation</w:t>
            </w:r>
          </w:p>
        </w:tc>
        <w:tc>
          <w:tcPr>
            <w:tcW w:w="2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Ferrellgas, L.P. </w:t>
            </w:r>
            <w:r>
              <w:rPr>
                <w:rFonts w:ascii="Arial" w:cs="Arial" w:eastAsia="Arial" w:hAnsi="Arial"/>
                <w:sz w:val="15"/>
                <w:szCs w:val="15"/>
                <w:color w:val="auto"/>
              </w:rPr>
              <w:t>(3)(4)(5)</w:t>
            </w:r>
          </w:p>
        </w:tc>
        <w:tc>
          <w:tcPr>
            <w:tcW w:w="2260" w:type="dxa"/>
            <w:vAlign w:val="bottom"/>
          </w:tcPr>
          <w:p>
            <w:pPr>
              <w:ind w:left="100"/>
              <w:spacing w:after="0"/>
              <w:rPr>
                <w:sz w:val="20"/>
                <w:szCs w:val="20"/>
                <w:color w:val="auto"/>
              </w:rPr>
            </w:pPr>
            <w:r>
              <w:rPr>
                <w:rFonts w:ascii="Arial" w:cs="Arial" w:eastAsia="Arial" w:hAnsi="Arial"/>
                <w:sz w:val="18"/>
                <w:szCs w:val="18"/>
                <w:color w:val="auto"/>
                <w:w w:val="97"/>
              </w:rPr>
              <w:t>First-lien loan ($82,500 par,</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due 5/2023)</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5/4/2018</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+ 5.75%</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8.10%</w:t>
            </w:r>
          </w:p>
        </w:tc>
        <w:tc>
          <w:tcPr>
            <w:tcW w:w="840" w:type="dxa"/>
            <w:vAlign w:val="bottom"/>
          </w:tcPr>
          <w:p>
            <w:pPr>
              <w:jc w:val="right"/>
              <w:spacing w:after="0"/>
              <w:rPr>
                <w:sz w:val="20"/>
                <w:szCs w:val="20"/>
                <w:color w:val="auto"/>
              </w:rPr>
            </w:pPr>
            <w:r>
              <w:rPr>
                <w:rFonts w:ascii="Arial" w:cs="Arial" w:eastAsia="Arial" w:hAnsi="Arial"/>
                <w:sz w:val="18"/>
                <w:szCs w:val="18"/>
                <w:color w:val="auto"/>
              </w:rPr>
              <w:t>81,026</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83,062</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4"/>
        </w:trPr>
        <w:tc>
          <w:tcPr>
            <w:tcW w:w="2520" w:type="dxa"/>
            <w:vAlign w:val="bottom"/>
          </w:tcPr>
          <w:p>
            <w:pPr>
              <w:spacing w:after="0"/>
              <w:rPr>
                <w:sz w:val="20"/>
                <w:szCs w:val="20"/>
                <w:color w:val="auto"/>
              </w:rPr>
            </w:pPr>
            <w:r>
              <w:rPr>
                <w:rFonts w:ascii="Arial" w:cs="Arial" w:eastAsia="Arial" w:hAnsi="Arial"/>
                <w:sz w:val="18"/>
                <w:szCs w:val="18"/>
                <w:b w:val="1"/>
                <w:bCs w:val="1"/>
                <w:color w:val="auto"/>
              </w:rPr>
              <w:t>Total Debt Investments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1,648,643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rPr>
              <w:t>1,660,525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rPr>
              <w:t>156.1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Equity and Other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Beverage, food and tobacco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w w:val="99"/>
              </w:rPr>
              <w:t xml:space="preserve">AFS Technologies, Inc. </w:t>
            </w:r>
            <w:r>
              <w:rPr>
                <w:rFonts w:ascii="Arial" w:cs="Arial" w:eastAsia="Arial" w:hAnsi="Arial"/>
                <w:sz w:val="15"/>
                <w:szCs w:val="15"/>
                <w:color w:val="auto"/>
                <w:w w:val="99"/>
              </w:rPr>
              <w:t>(6)(13)(14)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Preferred Units (4,163,090</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w w:val="97"/>
              </w:rPr>
              <w:t>10/16/2018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(13)(14)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 Units (1,262 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1/17/2018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2640" w:type="dxa"/>
            <w:vAlign w:val="bottom"/>
          </w:tcPr>
          <w:p>
            <w:pPr>
              <w:spacing w:after="0"/>
              <w:rPr>
                <w:sz w:val="19"/>
                <w:szCs w:val="19"/>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w w:val="98"/>
              </w:rPr>
              <w:t>Class B Units (517,020 Units)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rPr>
              <w:t>1/17/2018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(13)(14)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3"/>
              </w:rPr>
              <w:t>Class A Shares (1,197 Shares)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3/30/2018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15"/>
        </w:trPr>
        <w:tc>
          <w:tcPr>
            <w:tcW w:w="264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Class B Shares (398,557</w:t>
            </w:r>
          </w:p>
        </w:tc>
        <w:tc>
          <w:tcPr>
            <w:tcW w:w="3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Shares)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rPr>
              <w:t>3/30/2018</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4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rPr>
              <w:t>Chemicals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Units (2,672,990</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w w:val="97"/>
              </w:rPr>
              <w:t>10/31/2016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Series E Preferred Equity</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(214,132 shares)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8/7/2015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w w:val="94"/>
              </w:rPr>
              <w:t xml:space="preserve">Oxford Square Capital Corp. </w:t>
            </w:r>
            <w:r>
              <w:rPr>
                <w:rFonts w:ascii="Arial" w:cs="Arial" w:eastAsia="Arial" w:hAnsi="Arial"/>
                <w:sz w:val="15"/>
                <w:szCs w:val="15"/>
                <w:color w:val="auto"/>
                <w:w w:val="94"/>
              </w:rPr>
              <w:t>(4)(12)</w:t>
            </w:r>
          </w:p>
        </w:tc>
        <w:tc>
          <w:tcPr>
            <w:tcW w:w="2400" w:type="dxa"/>
            <w:vAlign w:val="bottom"/>
          </w:tcPr>
          <w:p>
            <w:pPr>
              <w:ind w:left="60"/>
              <w:spacing w:after="0"/>
              <w:rPr>
                <w:sz w:val="20"/>
                <w:szCs w:val="20"/>
                <w:color w:val="auto"/>
              </w:rPr>
            </w:pPr>
            <w:r>
              <w:rPr>
                <w:rFonts w:ascii="Arial" w:cs="Arial" w:eastAsia="Arial" w:hAnsi="Arial"/>
                <w:sz w:val="18"/>
                <w:szCs w:val="18"/>
                <w:color w:val="auto"/>
                <w:w w:val="90"/>
              </w:rPr>
              <w:t>Common Shares (1,059 shares)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rPr>
              <w:t>8/5/2015</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Shares (35,000</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shares)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7/31/2017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r>
      <w:tr>
        <w:trPr>
          <w:trHeight w:val="20"/>
        </w:trPr>
        <w:tc>
          <w:tcPr>
            <w:tcW w:w="2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7,353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15,486</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23"/>
        </w:trPr>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40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 xml:space="preserve">Caris Life Sciences, Ltd. </w:t>
            </w:r>
            <w:r>
              <w:rPr>
                <w:rFonts w:ascii="Arial" w:cs="Arial" w:eastAsia="Arial" w:hAnsi="Arial"/>
                <w:sz w:val="15"/>
                <w:szCs w:val="15"/>
                <w:color w:val="auto"/>
              </w:rPr>
              <w:t>(13)(14)</w:t>
            </w:r>
          </w:p>
        </w:tc>
        <w:tc>
          <w:tcPr>
            <w:tcW w:w="2400" w:type="dxa"/>
            <w:vAlign w:val="bottom"/>
          </w:tcPr>
          <w:p>
            <w:pPr>
              <w:ind w:left="60"/>
              <w:spacing w:after="0"/>
              <w:rPr>
                <w:sz w:val="20"/>
                <w:szCs w:val="20"/>
                <w:color w:val="auto"/>
              </w:rPr>
            </w:pPr>
            <w:r>
              <w:rPr>
                <w:rFonts w:ascii="Arial" w:cs="Arial" w:eastAsia="Arial" w:hAnsi="Arial"/>
                <w:sz w:val="18"/>
                <w:szCs w:val="18"/>
                <w:color w:val="auto"/>
              </w:rPr>
              <w:t>Warrants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rPr>
              <w:t>9/21/2018</w:t>
            </w: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Shares Class A</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(1,980 shares)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w w:val="97"/>
              </w:rPr>
              <w:t>12/28/2012</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64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Common Shares Class B</w:t>
            </w:r>
          </w:p>
        </w:tc>
        <w:tc>
          <w:tcPr>
            <w:tcW w:w="3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(2,953,020 shares)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w w:val="97"/>
              </w:rPr>
              <w:t>12/28/2012</w:t>
            </w: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4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rPr>
              <w:t>Hotel, gaming, and leisure</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 Units (27,690,171</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 xml:space="preserve">units) </w:t>
            </w:r>
            <w:r>
              <w:rPr>
                <w:rFonts w:ascii="Arial" w:cs="Arial" w:eastAsia="Arial" w:hAnsi="Arial"/>
                <w:sz w:val="15"/>
                <w:szCs w:val="15"/>
                <w:color w:val="auto"/>
              </w:rPr>
              <w:t>(14)</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w w:val="97"/>
              </w:rPr>
              <w:t>12/21/2018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20,063</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15"/>
        </w:trPr>
        <w:tc>
          <w:tcPr>
            <w:tcW w:w="264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Common Shares (8,800,000</w:t>
            </w:r>
          </w:p>
        </w:tc>
        <w:tc>
          <w:tcPr>
            <w:tcW w:w="3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shares)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w w:val="97"/>
              </w:rPr>
              <w:t>12/21/2018</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4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w w:val="89"/>
              </w:rPr>
              <w:t>Human resource support services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(13)(14)(15)</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 Units (44,944 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8/24/2018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(13)(14)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Shares Class A</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 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6/30/2017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64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Common Shares Class B</w:t>
            </w:r>
          </w:p>
        </w:tc>
        <w:tc>
          <w:tcPr>
            <w:tcW w:w="3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(987,929 units)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rPr>
              <w:t>6/30/2017</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4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(6)(13)(14)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Series A Preferred Shares</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(3,840,000 shares)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5/31/2018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color w:val="auto"/>
              </w:rPr>
              <w:t>Oil, gas and consumable fuels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w w:val="96"/>
              </w:rPr>
              <w:t xml:space="preserve">Mississippi Resources, LLC </w:t>
            </w:r>
            <w:r>
              <w:rPr>
                <w:rFonts w:ascii="Arial" w:cs="Arial" w:eastAsia="Arial" w:hAnsi="Arial"/>
                <w:sz w:val="15"/>
                <w:szCs w:val="15"/>
                <w:color w:val="auto"/>
                <w:w w:val="96"/>
              </w:rPr>
              <w:t>(7)(13)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A-1 Member Units</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5"/>
                <w:szCs w:val="15"/>
                <w:color w:val="auto"/>
              </w:rPr>
              <w:t>(14)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(1,360 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5/3/2017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10,366</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4,898</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432"/>
        </w:trPr>
        <w:tc>
          <w:tcPr>
            <w:tcW w:w="2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0" w:type="dxa"/>
            <w:vAlign w:val="bottom"/>
          </w:tcPr>
          <w:p>
            <w:pPr>
              <w:jc w:val="right"/>
              <w:ind w:right="255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760" w:type="dxa"/>
            <w:vAlign w:val="bottom"/>
            <w:gridSpan w:val="5"/>
          </w:tcPr>
          <w:p>
            <w:pPr>
              <w:ind w:left="520"/>
              <w:spacing w:after="0"/>
              <w:rPr>
                <w:sz w:val="20"/>
                <w:szCs w:val="20"/>
                <w:color w:val="auto"/>
              </w:rPr>
            </w:pPr>
            <w:r>
              <w:rPr>
                <w:rFonts w:ascii="Arial" w:cs="Arial" w:eastAsia="Arial" w:hAnsi="Arial"/>
                <w:sz w:val="18"/>
                <w:szCs w:val="18"/>
                <w:color w:val="auto"/>
                <w:w w:val="94"/>
              </w:rPr>
              <w:t>Class A-2 Member Units (933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units)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6/4/2014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8,874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4900" w:type="dxa"/>
            <w:vAlign w:val="bottom"/>
            <w:gridSpan w:val="6"/>
            <w:shd w:val="clear" w:color="auto" w:fill="CFF0FC"/>
          </w:tcPr>
          <w:p>
            <w:pPr>
              <w:spacing w:after="0"/>
              <w:rPr>
                <w:sz w:val="20"/>
                <w:szCs w:val="20"/>
                <w:color w:val="auto"/>
              </w:rPr>
            </w:pPr>
            <w:r>
              <w:rPr>
                <w:rFonts w:ascii="Arial" w:cs="Arial" w:eastAsia="Arial" w:hAnsi="Arial"/>
                <w:sz w:val="18"/>
                <w:szCs w:val="18"/>
                <w:color w:val="auto"/>
                <w:w w:val="99"/>
              </w:rPr>
              <w:t xml:space="preserve">Northern Oil and Gas, Inc. </w:t>
            </w:r>
            <w:r>
              <w:rPr>
                <w:rFonts w:ascii="Arial" w:cs="Arial" w:eastAsia="Arial" w:hAnsi="Arial"/>
                <w:sz w:val="15"/>
                <w:szCs w:val="15"/>
                <w:color w:val="auto"/>
                <w:w w:val="99"/>
              </w:rPr>
              <w:t>(12)(13)</w:t>
            </w:r>
            <w:r>
              <w:rPr>
                <w:rFonts w:ascii="Arial" w:cs="Arial" w:eastAsia="Arial" w:hAnsi="Arial"/>
                <w:sz w:val="18"/>
                <w:szCs w:val="18"/>
                <w:color w:val="auto"/>
                <w:w w:val="99"/>
              </w:rPr>
              <w:t xml:space="preserve">  Common Shares (975,000</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shares)</w:t>
            </w: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5/15/2018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2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20,703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7,102</w:t>
            </w:r>
          </w:p>
        </w:tc>
        <w:tc>
          <w:tcPr>
            <w:tcW w:w="220" w:type="dxa"/>
            <w:vAlign w:val="bottom"/>
            <w:vMerge w:val="continue"/>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5"/>
        </w:trPr>
        <w:tc>
          <w:tcPr>
            <w:tcW w:w="21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1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Investments</w:t>
            </w: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67,757</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8"/>
              </w:rPr>
              <w:t>45,444</w:t>
            </w:r>
          </w:p>
        </w:tc>
        <w:tc>
          <w:tcPr>
            <w:tcW w:w="11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6"/>
              </w:rPr>
              <w:t>$ 1,716,400</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$ 1,705,969</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2"/>
              </w:rPr>
              <w:t>Interest Rate Swaps as of December 31, 2018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134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42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Company</w:t>
            </w: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ind w:right="93"/>
              <w:spacing w:after="0"/>
              <w:rPr>
                <w:sz w:val="20"/>
                <w:szCs w:val="20"/>
                <w:color w:val="auto"/>
              </w:rPr>
            </w:pPr>
            <w:r>
              <w:rPr>
                <w:rFonts w:ascii="Arial" w:cs="Arial" w:eastAsia="Arial" w:hAnsi="Arial"/>
                <w:sz w:val="14"/>
                <w:szCs w:val="14"/>
                <w:b w:val="1"/>
                <w:bCs w:val="1"/>
                <w:color w:val="auto"/>
                <w:w w:val="96"/>
              </w:rPr>
              <w:t>Notional</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center"/>
              <w:ind w:left="141"/>
              <w:spacing w:after="0" w:line="133" w:lineRule="exact"/>
              <w:rPr>
                <w:sz w:val="20"/>
                <w:szCs w:val="20"/>
                <w:color w:val="auto"/>
              </w:rPr>
            </w:pPr>
            <w:r>
              <w:rPr>
                <w:rFonts w:ascii="Arial" w:cs="Arial" w:eastAsia="Arial" w:hAnsi="Arial"/>
                <w:sz w:val="14"/>
                <w:szCs w:val="14"/>
                <w:b w:val="1"/>
                <w:bCs w:val="1"/>
                <w:color w:val="auto"/>
                <w:w w:val="98"/>
              </w:rPr>
              <w:t>Upfront</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0"/>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40" w:type="dxa"/>
            <w:vAlign w:val="bottom"/>
            <w:gridSpan w:val="3"/>
            <w:vMerge w:val="restart"/>
          </w:tcPr>
          <w:p>
            <w:pPr>
              <w:jc w:val="right"/>
              <w:ind w:right="390"/>
              <w:spacing w:after="0"/>
              <w:rPr>
                <w:sz w:val="20"/>
                <w:szCs w:val="20"/>
                <w:color w:val="auto"/>
              </w:rPr>
            </w:pPr>
            <w:r>
              <w:rPr>
                <w:rFonts w:ascii="Arial" w:cs="Arial" w:eastAsia="Arial" w:hAnsi="Arial"/>
                <w:sz w:val="14"/>
                <w:szCs w:val="14"/>
                <w:b w:val="1"/>
                <w:bCs w:val="1"/>
                <w:color w:val="auto"/>
              </w:rPr>
              <w:t>Maturity Date</w:t>
            </w: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2"/>
                <w:szCs w:val="12"/>
                <w:color w:val="auto"/>
              </w:rPr>
            </w:pPr>
          </w:p>
        </w:tc>
        <w:tc>
          <w:tcPr>
            <w:tcW w:w="880" w:type="dxa"/>
            <w:vAlign w:val="bottom"/>
            <w:gridSpan w:val="3"/>
          </w:tcPr>
          <w:p>
            <w:pPr>
              <w:jc w:val="center"/>
              <w:ind w:left="121"/>
              <w:spacing w:after="0" w:line="149" w:lineRule="exact"/>
              <w:rPr>
                <w:sz w:val="20"/>
                <w:szCs w:val="20"/>
                <w:color w:val="auto"/>
              </w:rPr>
            </w:pPr>
            <w:r>
              <w:rPr>
                <w:rFonts w:ascii="Arial" w:cs="Arial" w:eastAsia="Arial" w:hAnsi="Arial"/>
                <w:sz w:val="14"/>
                <w:szCs w:val="14"/>
                <w:b w:val="1"/>
                <w:bCs w:val="1"/>
                <w:color w:val="auto"/>
                <w:w w:val="90"/>
              </w:rPr>
              <w:t>Payments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Receives</w:t>
            </w: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Pays</w:t>
            </w:r>
          </w:p>
        </w:tc>
        <w:tc>
          <w:tcPr>
            <w:tcW w:w="1440" w:type="dxa"/>
            <w:vAlign w:val="bottom"/>
            <w:gridSpan w:val="3"/>
            <w:vMerge w:val="continue"/>
          </w:tcPr>
          <w:p>
            <w:pPr>
              <w:spacing w:after="0"/>
              <w:rPr>
                <w:sz w:val="14"/>
                <w:szCs w:val="14"/>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880" w:type="dxa"/>
            <w:vAlign w:val="bottom"/>
            <w:gridSpan w:val="3"/>
          </w:tcPr>
          <w:p>
            <w:pPr>
              <w:jc w:val="center"/>
              <w:ind w:left="121"/>
              <w:spacing w:after="0"/>
              <w:rPr>
                <w:sz w:val="20"/>
                <w:szCs w:val="20"/>
                <w:color w:val="auto"/>
              </w:rPr>
            </w:pPr>
            <w:r>
              <w:rPr>
                <w:rFonts w:ascii="Arial" w:cs="Arial" w:eastAsia="Arial" w:hAnsi="Arial"/>
                <w:sz w:val="14"/>
                <w:szCs w:val="14"/>
                <w:b w:val="1"/>
                <w:bCs w:val="1"/>
                <w:color w:val="auto"/>
                <w:w w:val="90"/>
              </w:rPr>
              <w:t>/ Receipts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Gains / (Losses)</w:t>
            </w: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2.66%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6/27/2019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L + 2.86%</w:t>
            </w:r>
          </w:p>
        </w:tc>
        <w:tc>
          <w:tcPr>
            <w:tcW w:w="1140" w:type="dxa"/>
            <w:vAlign w:val="bottom"/>
          </w:tcPr>
          <w:p>
            <w:pPr>
              <w:jc w:val="right"/>
              <w:spacing w:after="0"/>
              <w:rPr>
                <w:sz w:val="20"/>
                <w:szCs w:val="20"/>
                <w:color w:val="auto"/>
              </w:rPr>
            </w:pPr>
            <w:r>
              <w:rPr>
                <w:rFonts w:ascii="Arial" w:cs="Arial" w:eastAsia="Arial" w:hAnsi="Arial"/>
                <w:sz w:val="18"/>
                <w:szCs w:val="18"/>
                <w:color w:val="auto"/>
              </w:rPr>
              <w:t>12/15/2019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L</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1.72%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L + 2.37%</w:t>
            </w:r>
          </w:p>
        </w:tc>
        <w:tc>
          <w:tcPr>
            <w:tcW w:w="11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(1,877)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340"/>
              <w:spacing w:after="0"/>
              <w:rPr>
                <w:sz w:val="20"/>
                <w:szCs w:val="20"/>
                <w:color w:val="auto"/>
              </w:rPr>
            </w:pPr>
            <w:r>
              <w:rPr>
                <w:rFonts w:ascii="Arial" w:cs="Arial" w:eastAsia="Arial" w:hAnsi="Arial"/>
                <w:sz w:val="18"/>
                <w:szCs w:val="18"/>
                <w:color w:val="auto"/>
                <w:w w:val="93"/>
              </w:rPr>
              <w:t>L + 1.59%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L + 1.60%</w:t>
            </w:r>
          </w:p>
        </w:tc>
        <w:tc>
          <w:tcPr>
            <w:tcW w:w="11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340"/>
              <w:spacing w:after="0"/>
              <w:rPr>
                <w:sz w:val="20"/>
                <w:szCs w:val="20"/>
                <w:color w:val="auto"/>
              </w:rPr>
            </w:pPr>
            <w:r>
              <w:rPr>
                <w:rFonts w:ascii="Arial" w:cs="Arial" w:eastAsia="Arial" w:hAnsi="Arial"/>
                <w:sz w:val="18"/>
                <w:szCs w:val="18"/>
                <w:color w:val="auto"/>
                <w:w w:val="93"/>
              </w:rPr>
              <w:t>L + 1.99%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Cash collateral</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562,333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16"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20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40" w:hanging="512"/>
        <w:spacing w:after="0" w:line="26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2018.</w:t>
      </w:r>
    </w:p>
    <w:p>
      <w:pPr>
        <w:spacing w:after="0" w:line="1" w:lineRule="exact"/>
        <w:rPr>
          <w:rFonts w:ascii="Arial" w:cs="Arial" w:eastAsia="Arial" w:hAnsi="Arial"/>
          <w:sz w:val="17"/>
          <w:szCs w:val="17"/>
          <w:color w:val="auto"/>
        </w:rPr>
      </w:pPr>
    </w:p>
    <w:p>
      <w:pPr>
        <w:jc w:val="both"/>
        <w:ind w:left="520" w:right="60" w:hanging="512"/>
        <w:spacing w:after="0" w:line="26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17.3% of total assets as of December 31, 2018.</w:t>
      </w:r>
    </w:p>
    <w:p>
      <w:pPr>
        <w:ind w:left="520" w:right="4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Arial" w:cs="Arial" w:eastAsia="Arial" w:hAnsi="Arial"/>
          <w:sz w:val="18"/>
          <w:szCs w:val="18"/>
          <w:color w:val="auto"/>
        </w:rPr>
      </w:pPr>
    </w:p>
    <w:p>
      <w:pPr>
        <w:jc w:val="both"/>
        <w:ind w:left="520" w:right="40" w:hanging="512"/>
        <w:spacing w:after="0" w:line="255"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2018 in which the Company was an Affiliated Person of the portfolio company are as follows: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46,040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76"/>
              </w:rPr>
              <w:t>(266)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0"/>
              </w:rPr>
              <w:t>(432)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Validity, Inc.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85,318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ind w:left="400"/>
              <w:spacing w:after="0"/>
              <w:rPr>
                <w:sz w:val="20"/>
                <w:szCs w:val="20"/>
                <w:color w:val="auto"/>
              </w:rPr>
            </w:pPr>
            <w:r>
              <w:rPr>
                <w:rFonts w:ascii="Arial" w:cs="Arial" w:eastAsia="Arial" w:hAnsi="Arial"/>
                <w:sz w:val="18"/>
                <w:szCs w:val="18"/>
                <w:b w:val="1"/>
                <w:bCs w:val="1"/>
                <w:color w:val="auto"/>
                <w:w w:val="76"/>
              </w:rPr>
              <w:t>(716)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b w:val="1"/>
                <w:bCs w:val="1"/>
                <w:color w:val="auto"/>
                <w:w w:val="80"/>
              </w:rPr>
              <w:t>(670)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7" w:name="page18"/>
    <w:bookmarkEnd w:id="17"/>
    <w:p>
      <w:pPr>
        <w:ind w:left="1040" w:right="260" w:hanging="519"/>
        <w:spacing w:after="0" w:line="258"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2" w:lineRule="exact"/>
        <w:rPr>
          <w:rFonts w:ascii="Arial" w:cs="Arial" w:eastAsia="Arial" w:hAnsi="Arial"/>
          <w:sz w:val="18"/>
          <w:szCs w:val="18"/>
          <w:color w:val="auto"/>
        </w:rPr>
      </w:pPr>
    </w:p>
    <w:p>
      <w:pPr>
        <w:ind w:left="520" w:right="60" w:hanging="512"/>
        <w:spacing w:after="0" w:line="279"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2018 in which the Company was an Affiliated Person of and was deemed to Control a portfolio company are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Realized</w:t>
            </w: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(8,378)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(9,589)</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13,745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(75,581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(15,551</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56,505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right="260" w:hanging="519"/>
        <w:spacing w:after="0" w:line="258"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95"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2018, the tax cost of the Company’s investments approximates the amortized cost.</w:t>
      </w:r>
    </w:p>
    <w:p>
      <w:pPr>
        <w:spacing w:after="0" w:line="23"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52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transaction exempt from registration under the Securities Act of 1933, and may be deemed to be “restricted securities” under the Securities Act. As of December 31, 2018, the aggregate fair value of these securities is $23,128, or 2.2% of the Company’s net assets.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1840" w:type="dxa"/>
            <w:vAlign w:val="bottom"/>
            <w:gridSpan w:val="5"/>
          </w:tcPr>
          <w:p>
            <w:pPr>
              <w:ind w:left="280"/>
              <w:spacing w:after="0"/>
              <w:rPr>
                <w:sz w:val="20"/>
                <w:szCs w:val="20"/>
                <w:color w:val="auto"/>
              </w:rPr>
            </w:pPr>
            <w:r>
              <w:rPr>
                <w:rFonts w:ascii="Arial" w:cs="Arial" w:eastAsia="Arial" w:hAnsi="Arial"/>
                <w:sz w:val="16"/>
                <w:szCs w:val="16"/>
                <w:b w:val="1"/>
                <w:bCs w:val="1"/>
                <w:color w:val="auto"/>
              </w:rPr>
              <w:t>Common Stock</w:t>
            </w:r>
          </w:p>
        </w:tc>
        <w:tc>
          <w:tcPr>
            <w:tcW w:w="142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Treasury Stock</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Par</w:t>
            </w: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Paid in Capital</w:t>
            </w:r>
          </w:p>
        </w:tc>
        <w:tc>
          <w:tcPr>
            <w:tcW w:w="1200" w:type="dxa"/>
            <w:vAlign w:val="bottom"/>
            <w:gridSpan w:val="4"/>
          </w:tcPr>
          <w:p>
            <w:pPr>
              <w:ind w:left="60"/>
              <w:spacing w:after="0"/>
              <w:rPr>
                <w:sz w:val="20"/>
                <w:szCs w:val="20"/>
                <w:color w:val="auto"/>
              </w:rPr>
            </w:pPr>
            <w:r>
              <w:rPr>
                <w:rFonts w:ascii="Arial" w:cs="Arial" w:eastAsia="Arial" w:hAnsi="Arial"/>
                <w:sz w:val="16"/>
                <w:szCs w:val="16"/>
                <w:b w:val="1"/>
                <w:bCs w:val="1"/>
                <w:color w:val="auto"/>
              </w:rPr>
              <w:t>Distributable</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Total Net</w:t>
            </w:r>
          </w:p>
        </w:tc>
        <w:tc>
          <w:tcPr>
            <w:tcW w:w="0" w:type="dxa"/>
            <w:vAlign w:val="bottom"/>
          </w:tcPr>
          <w:p>
            <w:pPr>
              <w:spacing w:after="0"/>
              <w:rPr>
                <w:sz w:val="1"/>
                <w:szCs w:val="1"/>
                <w:color w:val="auto"/>
              </w:rPr>
            </w:pPr>
          </w:p>
        </w:tc>
      </w:tr>
      <w:tr>
        <w:trPr>
          <w:trHeight w:val="213"/>
        </w:trPr>
        <w:tc>
          <w:tcPr>
            <w:tcW w:w="464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Shares</w:t>
            </w:r>
          </w:p>
        </w:tc>
        <w:tc>
          <w:tcPr>
            <w:tcW w:w="2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Cost</w:t>
            </w:r>
          </w:p>
        </w:tc>
        <w:tc>
          <w:tcPr>
            <w:tcW w:w="12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in Excess of Par</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3"/>
              </w:rPr>
              <w:t>Earnings</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2018</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65,412,817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89,080</w:t>
            </w: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 (1,359)</w:t>
            </w: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991,919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71,987</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$ 1,063,202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investment income</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26,638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40" w:type="dxa"/>
            <w:vAlign w:val="bottom"/>
          </w:tcPr>
          <w:p>
            <w:pPr>
              <w:ind w:left="260"/>
              <w:spacing w:after="0"/>
              <w:rPr>
                <w:sz w:val="20"/>
                <w:szCs w:val="20"/>
                <w:color w:val="auto"/>
              </w:rPr>
            </w:pPr>
            <w:r>
              <w:rPr>
                <w:rFonts w:ascii="Arial" w:cs="Arial" w:eastAsia="Arial" w:hAnsi="Arial"/>
                <w:sz w:val="16"/>
                <w:szCs w:val="16"/>
                <w:color w:val="auto"/>
              </w:rPr>
              <w:t>Net change in unrealized gains on investments and foreign</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60"/>
              <w:spacing w:after="0"/>
              <w:rPr>
                <w:sz w:val="20"/>
                <w:szCs w:val="20"/>
                <w:color w:val="auto"/>
              </w:rPr>
            </w:pPr>
            <w:r>
              <w:rPr>
                <w:rFonts w:ascii="Arial" w:cs="Arial" w:eastAsia="Arial" w:hAnsi="Arial"/>
                <w:sz w:val="16"/>
                <w:szCs w:val="16"/>
                <w:color w:val="auto"/>
              </w:rPr>
              <w:t>currency translation</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11,461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realized gain on investments and foreign currency</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Arial" w:cs="Arial" w:eastAsia="Arial" w:hAnsi="Arial"/>
                <w:sz w:val="16"/>
                <w:szCs w:val="16"/>
                <w:color w:val="auto"/>
              </w:rPr>
              <w:t>Dividends to stockholders: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300,145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Dividends declared from net investment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(33,469)</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(33,469)</w:t>
            </w:r>
          </w:p>
        </w:tc>
        <w:tc>
          <w:tcPr>
            <w:tcW w:w="0" w:type="dxa"/>
            <w:vAlign w:val="bottom"/>
          </w:tcPr>
          <w:p>
            <w:pPr>
              <w:spacing w:after="0"/>
              <w:rPr>
                <w:sz w:val="1"/>
                <w:szCs w:val="1"/>
                <w:color w:val="auto"/>
              </w:rPr>
            </w:pPr>
          </w:p>
        </w:tc>
      </w:tr>
      <w:tr>
        <w:trPr>
          <w:trHeight w:val="206"/>
        </w:trPr>
        <w:tc>
          <w:tcPr>
            <w:tcW w:w="4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reclassification of stockholders' equity in accordance with</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140"/>
              <w:spacing w:after="0" w:line="216" w:lineRule="exact"/>
              <w:rPr>
                <w:sz w:val="20"/>
                <w:szCs w:val="20"/>
                <w:color w:val="auto"/>
              </w:rPr>
            </w:pPr>
            <w:r>
              <w:rPr>
                <w:rFonts w:ascii="Arial" w:cs="Arial" w:eastAsia="Arial" w:hAnsi="Arial"/>
                <w:sz w:val="15"/>
                <w:szCs w:val="15"/>
                <w:color w:val="auto"/>
              </w:rPr>
              <w:t xml:space="preserve">GAAP </w:t>
            </w:r>
            <w:r>
              <w:rPr>
                <w:rFonts w:ascii="Arial" w:cs="Arial" w:eastAsia="Arial" w:hAnsi="Arial"/>
                <w:sz w:val="25"/>
                <w:szCs w:val="25"/>
                <w:color w:val="auto"/>
                <w:vertAlign w:val="superscript"/>
              </w:rPr>
              <w:t>(1)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Balance at March 31, 2019</w:t>
            </w: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640" w:type="dxa"/>
            <w:vAlign w:val="bottom"/>
            <w:vMerge w:val="continue"/>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65,712,962</w:t>
            </w:r>
          </w:p>
        </w:tc>
        <w:tc>
          <w:tcPr>
            <w:tcW w:w="2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658</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89,080</w:t>
            </w:r>
          </w:p>
        </w:tc>
        <w:tc>
          <w:tcPr>
            <w:tcW w:w="2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 (1,359)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997,198</w:t>
            </w:r>
          </w:p>
        </w:tc>
        <w:tc>
          <w:tcPr>
            <w:tcW w:w="140" w:type="dxa"/>
            <w:vAlign w:val="bottom"/>
          </w:tcPr>
          <w:p>
            <w:pPr>
              <w:spacing w:after="0"/>
              <w:rPr>
                <w:sz w:val="21"/>
                <w:szCs w:val="21"/>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77,567</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7"/>
              </w:rPr>
              <w:t>$ 1,074,064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6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Net investment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31,142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unrealized gains on investments and foreign</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currency translation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16,423</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40" w:type="dxa"/>
            <w:vAlign w:val="bottom"/>
          </w:tcPr>
          <w:p>
            <w:pPr>
              <w:ind w:left="260"/>
              <w:spacing w:after="0"/>
              <w:rPr>
                <w:sz w:val="20"/>
                <w:szCs w:val="20"/>
                <w:color w:val="auto"/>
              </w:rPr>
            </w:pPr>
            <w:r>
              <w:rPr>
                <w:rFonts w:ascii="Arial" w:cs="Arial" w:eastAsia="Arial" w:hAnsi="Arial"/>
                <w:sz w:val="16"/>
                <w:szCs w:val="16"/>
                <w:color w:val="auto"/>
              </w:rPr>
              <w:t>Net realized gain on investments and foreign currency</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60"/>
              <w:spacing w:after="0"/>
              <w:rPr>
                <w:sz w:val="20"/>
                <w:szCs w:val="20"/>
                <w:color w:val="auto"/>
              </w:rPr>
            </w:pPr>
            <w:r>
              <w:rPr>
                <w:rFonts w:ascii="Arial" w:cs="Arial" w:eastAsia="Arial" w:hAnsi="Arial"/>
                <w:sz w:val="16"/>
                <w:szCs w:val="16"/>
                <w:color w:val="auto"/>
              </w:rPr>
              <w:t>transactions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Dividends to stockholders: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60" w:type="dxa"/>
            <w:vAlign w:val="bottom"/>
          </w:tcPr>
          <w:p>
            <w:pPr>
              <w:jc w:val="right"/>
              <w:spacing w:after="0"/>
              <w:rPr>
                <w:sz w:val="20"/>
                <w:szCs w:val="20"/>
                <w:color w:val="auto"/>
              </w:rPr>
            </w:pPr>
            <w:r>
              <w:rPr>
                <w:rFonts w:ascii="Arial" w:cs="Arial" w:eastAsia="Arial" w:hAnsi="Arial"/>
                <w:sz w:val="16"/>
                <w:szCs w:val="16"/>
                <w:color w:val="auto"/>
              </w:rPr>
              <w:t>325,328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6,193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 declared from net investment income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(26,412)</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(26,412)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Balance at June 30, 2019</w:t>
            </w: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640" w:type="dxa"/>
            <w:vAlign w:val="bottom"/>
            <w:vMerge w:val="continue"/>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66,038,290</w:t>
            </w:r>
          </w:p>
        </w:tc>
        <w:tc>
          <w:tcPr>
            <w:tcW w:w="2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661</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89,080</w:t>
            </w:r>
          </w:p>
        </w:tc>
        <w:tc>
          <w:tcPr>
            <w:tcW w:w="2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 (1,359)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1,003,391</w:t>
            </w:r>
          </w:p>
        </w:tc>
        <w:tc>
          <w:tcPr>
            <w:tcW w:w="140" w:type="dxa"/>
            <w:vAlign w:val="bottom"/>
          </w:tcPr>
          <w:p>
            <w:pPr>
              <w:spacing w:after="0"/>
              <w:rPr>
                <w:sz w:val="21"/>
                <w:szCs w:val="21"/>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98,950</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7"/>
              </w:rPr>
              <w:t>$ 1,101,643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6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Net investment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36,743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unrealized losses on investments and foreign</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currency translation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(11,478)</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(11,478)</w:t>
            </w:r>
          </w:p>
        </w:tc>
        <w:tc>
          <w:tcPr>
            <w:tcW w:w="0" w:type="dxa"/>
            <w:vAlign w:val="bottom"/>
          </w:tcPr>
          <w:p>
            <w:pPr>
              <w:spacing w:after="0"/>
              <w:rPr>
                <w:sz w:val="1"/>
                <w:szCs w:val="1"/>
                <w:color w:val="auto"/>
              </w:rPr>
            </w:pPr>
          </w:p>
        </w:tc>
      </w:tr>
      <w:tr>
        <w:trPr>
          <w:trHeight w:val="206"/>
        </w:trPr>
        <w:tc>
          <w:tcPr>
            <w:tcW w:w="4640" w:type="dxa"/>
            <w:vAlign w:val="bottom"/>
          </w:tcPr>
          <w:p>
            <w:pPr>
              <w:ind w:left="260"/>
              <w:spacing w:after="0"/>
              <w:rPr>
                <w:sz w:val="20"/>
                <w:szCs w:val="20"/>
                <w:color w:val="auto"/>
              </w:rPr>
            </w:pPr>
            <w:r>
              <w:rPr>
                <w:rFonts w:ascii="Arial" w:cs="Arial" w:eastAsia="Arial" w:hAnsi="Arial"/>
                <w:sz w:val="16"/>
                <w:szCs w:val="16"/>
                <w:color w:val="auto"/>
              </w:rPr>
              <w:t>Net realized gain on investments and foreign currency</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60"/>
              <w:spacing w:after="0"/>
              <w:rPr>
                <w:sz w:val="20"/>
                <w:szCs w:val="20"/>
                <w:color w:val="auto"/>
              </w:rPr>
            </w:pPr>
            <w:r>
              <w:rPr>
                <w:rFonts w:ascii="Arial" w:cs="Arial" w:eastAsia="Arial" w:hAnsi="Arial"/>
                <w:sz w:val="16"/>
                <w:szCs w:val="16"/>
                <w:color w:val="auto"/>
              </w:rPr>
              <w:t>transactions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5,076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Dividends to stockholders: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60" w:type="dxa"/>
            <w:vAlign w:val="bottom"/>
          </w:tcPr>
          <w:p>
            <w:pPr>
              <w:jc w:val="right"/>
              <w:spacing w:after="0"/>
              <w:rPr>
                <w:sz w:val="20"/>
                <w:szCs w:val="20"/>
                <w:color w:val="auto"/>
              </w:rPr>
            </w:pPr>
            <w:r>
              <w:rPr>
                <w:rFonts w:ascii="Arial" w:cs="Arial" w:eastAsia="Arial" w:hAnsi="Arial"/>
                <w:sz w:val="16"/>
                <w:szCs w:val="16"/>
                <w:color w:val="auto"/>
              </w:rPr>
              <w:t>255,083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4,768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 declared from net investment income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(28,497)</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(28,497)</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Balance at September 30, 2019</w:t>
            </w: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4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66,293,373</w:t>
            </w:r>
          </w:p>
        </w:tc>
        <w:tc>
          <w:tcPr>
            <w:tcW w:w="2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664</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89,080</w:t>
            </w: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 (1,359)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1,008,159</w:t>
            </w:r>
          </w:p>
        </w:tc>
        <w:tc>
          <w:tcPr>
            <w:tcW w:w="14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100,794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7"/>
              </w:rPr>
              <w:t>$ 1,108,258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Company’s tax year end is March 31</w:t>
      </w:r>
      <w:r>
        <w:rPr>
          <w:rFonts w:ascii="Arial" w:cs="Arial" w:eastAsia="Arial" w:hAnsi="Arial"/>
          <w:sz w:val="13"/>
          <w:szCs w:val="13"/>
          <w:color w:val="auto"/>
        </w:rPr>
        <w:t>st</w:t>
      </w:r>
      <w:r>
        <w:rPr>
          <w:rFonts w:ascii="Arial" w:cs="Arial" w:eastAsia="Arial" w:hAnsi="Arial"/>
          <w:sz w:val="16"/>
          <w:szCs w:val="16"/>
          <w:color w:val="auto"/>
        </w:rPr>
        <w: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880" w:type="dxa"/>
            <w:vAlign w:val="bottom"/>
            <w:gridSpan w:val="5"/>
          </w:tcPr>
          <w:p>
            <w:pPr>
              <w:ind w:left="300"/>
              <w:spacing w:after="0"/>
              <w:rPr>
                <w:sz w:val="20"/>
                <w:szCs w:val="20"/>
                <w:color w:val="auto"/>
              </w:rPr>
            </w:pPr>
            <w:r>
              <w:rPr>
                <w:rFonts w:ascii="Arial" w:cs="Arial" w:eastAsia="Arial" w:hAnsi="Arial"/>
                <w:sz w:val="16"/>
                <w:szCs w:val="16"/>
                <w:b w:val="1"/>
                <w:bCs w:val="1"/>
                <w:color w:val="auto"/>
              </w:rPr>
              <w:t>Common Stock</w:t>
            </w:r>
          </w:p>
        </w:tc>
        <w:tc>
          <w:tcPr>
            <w:tcW w:w="142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Par</w:t>
            </w: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7"/>
              </w:rPr>
              <w:t>Paid in Capital</w:t>
            </w:r>
          </w:p>
        </w:tc>
        <w:tc>
          <w:tcPr>
            <w:tcW w:w="1140" w:type="dxa"/>
            <w:vAlign w:val="bottom"/>
            <w:gridSpan w:val="4"/>
          </w:tcPr>
          <w:p>
            <w:pPr>
              <w:ind w:left="80"/>
              <w:spacing w:after="0"/>
              <w:rPr>
                <w:sz w:val="20"/>
                <w:szCs w:val="20"/>
                <w:color w:val="auto"/>
              </w:rPr>
            </w:pPr>
            <w:r>
              <w:rPr>
                <w:rFonts w:ascii="Arial" w:cs="Arial" w:eastAsia="Arial" w:hAnsi="Arial"/>
                <w:sz w:val="16"/>
                <w:szCs w:val="16"/>
                <w:b w:val="1"/>
                <w:bCs w:val="1"/>
                <w:color w:val="auto"/>
              </w:rPr>
              <w:t>Distributable</w:t>
            </w: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9"/>
              </w:rPr>
              <w:t>Total Net</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Shares</w:t>
            </w:r>
          </w:p>
        </w:tc>
        <w:tc>
          <w:tcPr>
            <w:tcW w:w="2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in Excess of Par</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3"/>
              </w:rPr>
              <w:t>Earnings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Assets</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2017</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60,247,201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89,080</w:t>
            </w: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 (1,359)</w:t>
            </w:r>
          </w:p>
        </w:tc>
        <w:tc>
          <w:tcPr>
            <w:tcW w:w="4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906,521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63,519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969,284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investment income</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31,186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20" w:type="dxa"/>
            <w:vAlign w:val="bottom"/>
          </w:tcPr>
          <w:p>
            <w:pPr>
              <w:ind w:left="260"/>
              <w:spacing w:after="0"/>
              <w:rPr>
                <w:sz w:val="20"/>
                <w:szCs w:val="20"/>
                <w:color w:val="auto"/>
              </w:rPr>
            </w:pPr>
            <w:r>
              <w:rPr>
                <w:rFonts w:ascii="Arial" w:cs="Arial" w:eastAsia="Arial" w:hAnsi="Arial"/>
                <w:sz w:val="16"/>
                <w:szCs w:val="16"/>
                <w:color w:val="auto"/>
              </w:rPr>
              <w:t>Net change in unrealized losses on investments and foreign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6"/>
                <w:szCs w:val="16"/>
                <w:color w:val="auto"/>
              </w:rPr>
              <w:t>currency translation</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realized gain on investments and foreign currency</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transactions</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w w:val="94"/>
              </w:rPr>
              <w:t>Increase in Net Assets Resulting from Capital Share Transactions: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shares, net of offering and underwriting</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63,015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Dividends to stockholders: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169,750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60"/>
              <w:spacing w:after="0"/>
              <w:rPr>
                <w:sz w:val="20"/>
                <w:szCs w:val="20"/>
                <w:color w:val="auto"/>
              </w:rPr>
            </w:pPr>
            <w:r>
              <w:rPr>
                <w:rFonts w:ascii="Arial" w:cs="Arial" w:eastAsia="Arial" w:hAnsi="Arial"/>
                <w:sz w:val="16"/>
                <w:szCs w:val="16"/>
                <w:color w:val="auto"/>
              </w:rPr>
              <w:t>Dividends declared from net investment income</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(25,368)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(25,368)</w:t>
            </w:r>
          </w:p>
        </w:tc>
        <w:tc>
          <w:tcPr>
            <w:tcW w:w="0" w:type="dxa"/>
            <w:vAlign w:val="bottom"/>
          </w:tcPr>
          <w:p>
            <w:pPr>
              <w:spacing w:after="0"/>
              <w:rPr>
                <w:sz w:val="1"/>
                <w:szCs w:val="1"/>
                <w:color w:val="auto"/>
              </w:rPr>
            </w:pPr>
          </w:p>
        </w:tc>
      </w:tr>
      <w:tr>
        <w:trPr>
          <w:trHeight w:val="206"/>
        </w:trPr>
        <w:tc>
          <w:tcPr>
            <w:tcW w:w="4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reclassification of stockholders' equity in accordance with</w:t>
            </w: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40"/>
              <w:spacing w:after="0" w:line="216" w:lineRule="exact"/>
              <w:rPr>
                <w:sz w:val="20"/>
                <w:szCs w:val="20"/>
                <w:color w:val="auto"/>
              </w:rPr>
            </w:pPr>
            <w:r>
              <w:rPr>
                <w:rFonts w:ascii="Arial" w:cs="Arial" w:eastAsia="Arial" w:hAnsi="Arial"/>
                <w:sz w:val="15"/>
                <w:szCs w:val="15"/>
                <w:color w:val="auto"/>
              </w:rPr>
              <w:t xml:space="preserve">GAAP </w:t>
            </w:r>
            <w:r>
              <w:rPr>
                <w:rFonts w:ascii="Arial" w:cs="Arial" w:eastAsia="Arial" w:hAnsi="Arial"/>
                <w:sz w:val="25"/>
                <w:szCs w:val="25"/>
                <w:color w:val="auto"/>
                <w:vertAlign w:val="superscript"/>
              </w:rPr>
              <w:t>(1)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(853)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Balance at March 31, 2018</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620" w:type="dxa"/>
            <w:vAlign w:val="bottom"/>
            <w:vMerge w:val="continue"/>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64,166,951</w:t>
            </w:r>
          </w:p>
        </w:tc>
        <w:tc>
          <w:tcPr>
            <w:tcW w:w="2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643</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89,080</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 (1,359)</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971,843</w:t>
            </w:r>
          </w:p>
        </w:tc>
        <w:tc>
          <w:tcPr>
            <w:tcW w:w="14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72,840</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1,043,967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6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60"/>
              <w:spacing w:after="0"/>
              <w:rPr>
                <w:sz w:val="20"/>
                <w:szCs w:val="20"/>
                <w:color w:val="auto"/>
              </w:rPr>
            </w:pPr>
            <w:r>
              <w:rPr>
                <w:rFonts w:ascii="Arial" w:cs="Arial" w:eastAsia="Arial" w:hAnsi="Arial"/>
                <w:sz w:val="16"/>
                <w:szCs w:val="16"/>
                <w:color w:val="auto"/>
              </w:rPr>
              <w:t>Net investment income</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unrealized gains on investments and foreign</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currency translation</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20" w:type="dxa"/>
            <w:vAlign w:val="bottom"/>
          </w:tcPr>
          <w:p>
            <w:pPr>
              <w:ind w:left="260"/>
              <w:spacing w:after="0"/>
              <w:rPr>
                <w:sz w:val="20"/>
                <w:szCs w:val="20"/>
                <w:color w:val="auto"/>
              </w:rPr>
            </w:pPr>
            <w:r>
              <w:rPr>
                <w:rFonts w:ascii="Arial" w:cs="Arial" w:eastAsia="Arial" w:hAnsi="Arial"/>
                <w:sz w:val="16"/>
                <w:szCs w:val="16"/>
                <w:color w:val="auto"/>
              </w:rPr>
              <w:t>Net realized losses on investments and foreign currency</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6"/>
                <w:szCs w:val="16"/>
                <w:color w:val="auto"/>
              </w:rPr>
              <w:t>transactions</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(9,167)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4"/>
              </w:rPr>
              <w:t>Increase in Net Assets Resulting from Capital Share Transactions: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20" w:type="dxa"/>
            <w:vAlign w:val="bottom"/>
          </w:tcPr>
          <w:p>
            <w:pPr>
              <w:ind w:left="260"/>
              <w:spacing w:after="0"/>
              <w:rPr>
                <w:sz w:val="20"/>
                <w:szCs w:val="20"/>
                <w:color w:val="auto"/>
              </w:rPr>
            </w:pPr>
            <w:r>
              <w:rPr>
                <w:rFonts w:ascii="Arial" w:cs="Arial" w:eastAsia="Arial" w:hAnsi="Arial"/>
                <w:sz w:val="16"/>
                <w:szCs w:val="16"/>
                <w:color w:val="auto"/>
              </w:rPr>
              <w:t>Issuance of common shares, net of offering and underwriting</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6"/>
                <w:szCs w:val="16"/>
                <w:color w:val="auto"/>
              </w:rPr>
              <w:t>costs</w:t>
            </w:r>
          </w:p>
        </w:tc>
        <w:tc>
          <w:tcPr>
            <w:tcW w:w="860" w:type="dxa"/>
            <w:vAlign w:val="bottom"/>
          </w:tcPr>
          <w:p>
            <w:pPr>
              <w:jc w:val="right"/>
              <w:spacing w:after="0"/>
              <w:rPr>
                <w:sz w:val="20"/>
                <w:szCs w:val="20"/>
                <w:color w:val="auto"/>
              </w:rPr>
            </w:pPr>
            <w:r>
              <w:rPr>
                <w:rFonts w:ascii="Arial" w:cs="Arial" w:eastAsia="Arial" w:hAnsi="Arial"/>
                <w:sz w:val="16"/>
                <w:szCs w:val="16"/>
                <w:color w:val="auto"/>
              </w:rPr>
              <w:t>522,224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convertible notes</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Dividends to stockholders: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231,351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60"/>
              <w:spacing w:after="0"/>
              <w:rPr>
                <w:sz w:val="20"/>
                <w:szCs w:val="20"/>
                <w:color w:val="auto"/>
              </w:rPr>
            </w:pPr>
            <w:r>
              <w:rPr>
                <w:rFonts w:ascii="Arial" w:cs="Arial" w:eastAsia="Arial" w:hAnsi="Arial"/>
                <w:sz w:val="16"/>
                <w:szCs w:val="16"/>
                <w:color w:val="auto"/>
              </w:rPr>
              <w:t>Dividends declared from net investment income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(29,199)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(29,199)</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June 30, 2018</w:t>
            </w: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64,920,526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89,080</w:t>
            </w: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 (1,359)</w:t>
            </w:r>
          </w:p>
        </w:tc>
        <w:tc>
          <w:tcPr>
            <w:tcW w:w="4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985,541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77,210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1,062,042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investment income</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32,293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20" w:type="dxa"/>
            <w:vAlign w:val="bottom"/>
          </w:tcPr>
          <w:p>
            <w:pPr>
              <w:ind w:left="260"/>
              <w:spacing w:after="0"/>
              <w:rPr>
                <w:sz w:val="20"/>
                <w:szCs w:val="20"/>
                <w:color w:val="auto"/>
              </w:rPr>
            </w:pPr>
            <w:r>
              <w:rPr>
                <w:rFonts w:ascii="Arial" w:cs="Arial" w:eastAsia="Arial" w:hAnsi="Arial"/>
                <w:sz w:val="16"/>
                <w:szCs w:val="16"/>
                <w:color w:val="auto"/>
              </w:rPr>
              <w:t>Net change in unrealized gains on investments and foreign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6"/>
                <w:szCs w:val="16"/>
                <w:color w:val="auto"/>
              </w:rPr>
              <w:t>currency translation</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realized gain on investments and foreign currency</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transactions</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Arial" w:cs="Arial" w:eastAsia="Arial" w:hAnsi="Arial"/>
                <w:sz w:val="16"/>
                <w:szCs w:val="16"/>
                <w:color w:val="auto"/>
              </w:rPr>
              <w:t>Dividends to stockholders: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247,725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60"/>
              <w:spacing w:after="0"/>
              <w:rPr>
                <w:sz w:val="20"/>
                <w:szCs w:val="20"/>
                <w:color w:val="auto"/>
              </w:rPr>
            </w:pPr>
            <w:r>
              <w:rPr>
                <w:rFonts w:ascii="Arial" w:cs="Arial" w:eastAsia="Arial" w:hAnsi="Arial"/>
                <w:sz w:val="16"/>
                <w:szCs w:val="16"/>
                <w:color w:val="auto"/>
              </w:rPr>
              <w:t>Dividends declared from net investment income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(30,610)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(30,610)</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2018</w:t>
            </w: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65,168,251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89,080</w:t>
            </w: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 (1,359)</w:t>
            </w:r>
          </w:p>
        </w:tc>
        <w:tc>
          <w:tcPr>
            <w:tcW w:w="4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989,907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83,980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1,073,181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Company’s tax year end is March 31</w:t>
      </w:r>
      <w:r>
        <w:rPr>
          <w:rFonts w:ascii="Arial" w:cs="Arial" w:eastAsia="Arial" w:hAnsi="Arial"/>
          <w:sz w:val="13"/>
          <w:szCs w:val="13"/>
          <w:color w:val="auto"/>
        </w:rPr>
        <w:t>st</w:t>
      </w:r>
      <w:r>
        <w:rPr>
          <w:rFonts w:ascii="Arial" w:cs="Arial" w:eastAsia="Arial" w:hAnsi="Arial"/>
          <w:sz w:val="16"/>
          <w:szCs w:val="16"/>
          <w:color w:val="auto"/>
        </w:rPr>
        <w: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September 30, 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September 30, 2018</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116,881</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104,785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used in operating activities:</w:t>
            </w: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Net change in unrealized gains on investments</w:t>
            </w:r>
          </w:p>
        </w:tc>
        <w:tc>
          <w:tcPr>
            <w:tcW w:w="18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(16,702)</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on foreign currency transactions</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18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(10,908)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(5,893)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Net realized (gains) losses on foreign currency transactions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interest rate swaps</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18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(13,011)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(15,226)</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Amortization of discount on debt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(817,074)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(691,810)</w:t>
            </w: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14,221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18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Incentive fees payable to affiliate</w:t>
            </w:r>
          </w:p>
        </w:tc>
        <w:tc>
          <w:tcPr>
            <w:tcW w:w="18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affiliate</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(221,964)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Borrowings on debt</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963,003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Repayments on debt</w:t>
            </w:r>
          </w:p>
        </w:tc>
        <w:tc>
          <w:tcPr>
            <w:tcW w:w="18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(668,470)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(850,613)</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18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71,813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stockholders</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(71,479)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(71,798)</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219,499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paid during the period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33,393</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Excise taxes paid during the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3,100</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Dividends declared during the period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88,378</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16,553</w:t>
            </w:r>
          </w:p>
        </w:tc>
        <w:tc>
          <w:tcPr>
            <w:tcW w:w="1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11,466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54"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2018, which was filed with the Securities and Exchange Commission (“SEC”), on February 20, 2019.</w:t>
      </w:r>
    </w:p>
    <w:p>
      <w:pPr>
        <w:spacing w:after="0" w:line="154" w:lineRule="exact"/>
        <w:rPr>
          <w:sz w:val="20"/>
          <w:szCs w:val="20"/>
          <w:color w:val="auto"/>
        </w:rPr>
      </w:pPr>
    </w:p>
    <w:p>
      <w:pPr>
        <w:ind w:right="74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The net change in unrealized gains or losses primarily reflects the change in investment values and also includes the reversal of previously recorded unrealized gains or losses with respect to investments realized during the period.</w:t>
      </w:r>
    </w:p>
    <w:p>
      <w:pPr>
        <w:spacing w:after="0" w:line="188"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September 30, 2019,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5"/>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ind w:right="20" w:firstLine="259"/>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ind w:right="26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2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14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7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For the three and nine months ended September 30, 2019, we recorded a net expense of $1.6 million and $2.9 million, respectively, for U.S. federal excise tax and other taxes. For the three and nine months ended September 30, 2018, we recorded a net expense of $0.7 million and $2.4 million, respectively, for U.S. federal excise tax and other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4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In August 2018, the Financial Accounting Standards Board issued Accounting Standards Update 2018-13 (“ASU 2018-13”) “Fair Value Measurement (Topic 820): Disclosure Framework – Changes to the Disclosure Requirements for Fair Value Measurement.” This guidance modifies the disclosure requirements on fair value measurements in ASC Topic 820, by eliminating, amending, and adding certain disclosure requirements. ASU 2018-13 is effective for financial statements issued for fiscal years beginning after December 15, 2019, including interim periods within those fiscal years. Early adoption is permitted for any period for which financial statements have not yet been issued or have not yet been made available for issuance. The Company expects that the adoption of this guidance will not have a material impact on the Company’s financial position, result of operations or cash flows.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6" w:name="page27"/>
    <w:bookmarkEnd w:id="26"/>
    <w:p>
      <w:pPr>
        <w:ind w:right="380" w:firstLine="259"/>
        <w:spacing w:after="0" w:line="264"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1"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In November 2019, the Board renewed the Administration Agreement. Unless earlier terminated as described below, the Administration Agreement will remain in effect until November 2020,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80"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For the three and nine months ended September 30, 2019, the Company incurred expenses of $1.2 million and $3.3 million, respectively, for administrative services payable to the Adviser under the terms of the Administration Agreement. For the three and nine months ended September 30, 2018, the Company incurred expenses of $1.1 million and $2.9 million, respectively, for administrative services payable to the Adviser under the terms of the Administration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For the three and nine months ended September 30, 2019, Management Fees were $7.9 million and $21.9 million, respectively. For the three and nine months ended September 30, 2018, Management Fees (gross of waivers) were $7.5 million and $21.5 million, respectively.</w:t>
      </w:r>
    </w:p>
    <w:p>
      <w:pPr>
        <w:spacing w:after="0" w:line="170"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The Adviser voluntarily waived the Management Fee on the Company’s ownership of shares of common stock in Triangle Capital Corp. (the “TCAP Shares”) for any period in which Triangle Capital Corp. remained a portfolio company. As of June 30, 2018 the Company had fully exited its position in the TCAP Shares.</w:t>
      </w:r>
    </w:p>
    <w:p>
      <w:pPr>
        <w:spacing w:after="0" w:line="181"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The Adviser did not waive any Management Fees for the three and nine months ended September 30, 2019. For the nine months ended September 30, 2018, Management Fees of less than $0.1 million were waived consisting solely of Management Fees attributable to the Company’s ownership of the TCAP Shares. The Adviser did not waive any Management Fees for the three months ended September 30, 2018.</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25"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700"/>
        <w:spacing w:after="0" w:line="308" w:lineRule="auto"/>
        <w:rPr>
          <w:sz w:val="20"/>
          <w:szCs w:val="20"/>
          <w:color w:val="auto"/>
        </w:rPr>
      </w:pPr>
      <w:r>
        <w:rPr>
          <w:rFonts w:ascii="Arial" w:cs="Arial" w:eastAsia="Arial" w:hAnsi="Arial"/>
          <w:sz w:val="17"/>
          <w:szCs w:val="17"/>
          <w:color w:val="auto"/>
        </w:rPr>
        <w:t>completed calendar quarters that exceeds the product of (i) 200% and (ii) the average value of our net asset value at the end of the two most recently completed calendar quarters. As of September 30, 2019, no Management Fees have been waived pursuant to the Leverage Waiver.</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80" w:hanging="255"/>
        <w:spacing w:after="0" w:line="291"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9" w:lineRule="exact"/>
        <w:rPr>
          <w:rFonts w:ascii="Arial" w:cs="Arial" w:eastAsia="Arial" w:hAnsi="Arial"/>
          <w:sz w:val="16"/>
          <w:szCs w:val="16"/>
          <w:color w:val="auto"/>
        </w:rPr>
      </w:pPr>
    </w:p>
    <w:p>
      <w:pPr>
        <w:ind w:left="520" w:right="40"/>
        <w:spacing w:after="0" w:line="293" w:lineRule="auto"/>
        <w:rPr>
          <w:rFonts w:ascii="Arial" w:cs="Arial" w:eastAsia="Arial" w:hAnsi="Arial"/>
          <w:sz w:val="16"/>
          <w:szCs w:val="16"/>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6" w:lineRule="exact"/>
        <w:rPr>
          <w:rFonts w:ascii="Arial" w:cs="Arial" w:eastAsia="Arial" w:hAnsi="Arial"/>
          <w:sz w:val="16"/>
          <w:szCs w:val="16"/>
          <w:color w:val="auto"/>
        </w:rPr>
      </w:pPr>
    </w:p>
    <w:p>
      <w:pPr>
        <w:ind w:left="520" w:right="20" w:hanging="255"/>
        <w:spacing w:after="0" w:line="289"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56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For the three and nine months ended September 30, 2019, Incentive Fees were $7.8 million and $20.1 million, respectively, all of which were realized and payable to the Adviser. For the three and nine months ended September 30, 2018, Incentive Fees (gross of waivers) were $6.9 million and $21.2 million, respectively, all of which were realized and payable to the Adviser.</w:t>
      </w:r>
    </w:p>
    <w:p>
      <w:pPr>
        <w:spacing w:after="0" w:line="181"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The Adviser voluntarily waived the Incentive Fees attributable to pre-Incentive Fee net investment income accrued by the Company as a result of its ownership of the TCAP Shares for any period in which Triangle Capital Corp. remained the Company’s portfolio company. The Adviser did not waive any part of the Capital Gains Fee attributable to the Company’s ownership of the TCAP Shares and, accordingly, any realized capital gains or losses and unrealized capital losses with respect to the TCAP Shares were applied against the Company’s cumulative realized capital gains on which the Capital Gains Fee is calculated.</w:t>
      </w:r>
    </w:p>
    <w:p>
      <w:pPr>
        <w:spacing w:after="0" w:line="18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The Adviser did not waive any Incentive Fees for the three and nine months ended September 30, 2019. For the nine months ended September 30, 2018, Incentive Fees of less than $0.1 million were waived, consisting solely of Incentive Fees attributable to the Company’s ownership of the TCAP Shares. The Adviser did not waive any Incentive Fees for the three months ended September 30, 2018. Any waived Incentive Fees are not subject to recoupment by the Adviser.</w:t>
      </w:r>
    </w:p>
    <w:p>
      <w:pPr>
        <w:spacing w:after="0" w:line="18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including the TCAP Shares and the Leverage Waiver, the Adviser has not waived its right to receive any Management Fees or Incentive Fees payable pursuant to the Investment Advisory Agreement.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8" w:name="page29"/>
    <w:bookmarkEnd w:id="28"/>
    <w:p>
      <w:pPr>
        <w:ind w:right="120" w:firstLine="259"/>
        <w:spacing w:after="0" w:line="312" w:lineRule="auto"/>
        <w:rPr>
          <w:sz w:val="20"/>
          <w:szCs w:val="20"/>
          <w:color w:val="auto"/>
        </w:rPr>
      </w:pPr>
      <w:r>
        <w:rPr>
          <w:rFonts w:ascii="Arial" w:cs="Arial" w:eastAsia="Arial" w:hAnsi="Arial"/>
          <w:sz w:val="16"/>
          <w:szCs w:val="16"/>
          <w:color w:val="auto"/>
        </w:rPr>
        <w:t>In November 2019, the Board renewed the Investment Advisory Agreement. Unless earlier terminated as described below, the Investment Advisory Agreement will remain in effect until November 2020,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September 30, 2019 and December 31, 2018:</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September 30, 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1,973,414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1,989,104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2,053,219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2,047,520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1,653,907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1,716,400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20" w:hanging="51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color w:val="auto"/>
        </w:rPr>
        <w:t>The industry composition of investments at fair value at September 30, 2019 and December 31, 2018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Business services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Chemicals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Education</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Financial services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Insurance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Manufacturing</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Marketing services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0.6%</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Office products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Pharmaceuticals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Transportation</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September 30, 2019 and December 31, 2018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12.1%</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South</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38.9%</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Australia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Canada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firstLine="259"/>
        <w:spacing w:after="0" w:line="312" w:lineRule="auto"/>
        <w:rPr>
          <w:sz w:val="20"/>
          <w:szCs w:val="20"/>
          <w:color w:val="auto"/>
        </w:rPr>
      </w:pPr>
      <w:r>
        <w:rPr>
          <w:rFonts w:ascii="Arial" w:cs="Arial" w:eastAsia="Arial" w:hAnsi="Arial"/>
          <w:sz w:val="16"/>
          <w:szCs w:val="16"/>
          <w:color w:val="auto"/>
        </w:rPr>
        <w:t>In January 2015, in connection with its 2019 Convertible Notes, the Company entered into two interest rate swap transactions, each with a $57.5 million notional amount. The Company receives fixed rate interest at 4.50% and pays variable rate interest based on the three-month London Interbank Offered Rate (“LIBOR”) plus 2.86%. The swap transactions mature on December 15, 2019, matching the maturity date of the 2019 Convertible Notes.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February 2017, in connection with the issuance of the 2022 Convertible Notes, the Company entered into an interest rate swap transaction with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$115.0 million notional amount. The Company receives fixed rate interest at 4.50% and pays variable rate interest based on three-month LIBOR plus 2.37%.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swap transaction matures on August 1, 2022, matching the maturity date of the 2022 Convertible Notes.</w:t>
      </w:r>
    </w:p>
    <w:p>
      <w:pPr>
        <w:spacing w:after="0" w:line="211" w:lineRule="exact"/>
        <w:rPr>
          <w:sz w:val="20"/>
          <w:szCs w:val="20"/>
          <w:color w:val="auto"/>
        </w:rPr>
      </w:pPr>
    </w:p>
    <w:p>
      <w:pPr>
        <w:jc w:val="both"/>
        <w:ind w:right="300" w:firstLine="259"/>
        <w:spacing w:after="0" w:line="264"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 matching the maturity date of the 2023 Notes.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30" w:name="page31"/>
    <w:bookmarkEnd w:id="30"/>
    <w:p>
      <w:pPr>
        <w:ind w:right="60" w:firstLine="259"/>
        <w:spacing w:after="0" w:line="259" w:lineRule="auto"/>
        <w:rPr>
          <w:sz w:val="20"/>
          <w:szCs w:val="20"/>
          <w:color w:val="auto"/>
        </w:rPr>
      </w:pPr>
      <w:r>
        <w:rPr>
          <w:rFonts w:ascii="Arial" w:cs="Arial" w:eastAsia="Arial" w:hAnsi="Arial"/>
          <w:sz w:val="18"/>
          <w:szCs w:val="18"/>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 matching the maturity date of the 2022 Convertible Notes.</w:t>
      </w:r>
    </w:p>
    <w:p>
      <w:pPr>
        <w:spacing w:after="0" w:line="187" w:lineRule="exact"/>
        <w:rPr>
          <w:sz w:val="20"/>
          <w:szCs w:val="20"/>
          <w:color w:val="auto"/>
        </w:rPr>
      </w:pPr>
    </w:p>
    <w:p>
      <w:pPr>
        <w:ind w:right="360" w:firstLine="259"/>
        <w:spacing w:after="0" w:line="264" w:lineRule="auto"/>
        <w:rPr>
          <w:sz w:val="20"/>
          <w:szCs w:val="20"/>
          <w:color w:val="auto"/>
        </w:rPr>
      </w:pPr>
      <w:r>
        <w:rPr>
          <w:rFonts w:ascii="Arial" w:cs="Arial" w:eastAsia="Arial" w:hAnsi="Arial"/>
          <w:sz w:val="18"/>
          <w:szCs w:val="18"/>
          <w:color w:val="auto"/>
        </w:rPr>
        <w:t>In June 2019, upon maturity of the original swap transaction on an existing fixed rate investment, the Company entered into an interest rate swap transaction with a $91.5 million notional amount. The Company receives three-month LIBOR and pays fixed rate interest at 1.97%. The swap transaction matures on June 25, 2020, matching the current expected repayment date of the investment.</w:t>
      </w:r>
    </w:p>
    <w:p>
      <w:pPr>
        <w:spacing w:after="0" w:line="181" w:lineRule="exact"/>
        <w:rPr>
          <w:sz w:val="20"/>
          <w:szCs w:val="20"/>
          <w:color w:val="auto"/>
        </w:rPr>
      </w:pPr>
    </w:p>
    <w:p>
      <w:pPr>
        <w:jc w:val="both"/>
        <w:ind w:right="340" w:firstLine="259"/>
        <w:spacing w:after="0" w:line="312" w:lineRule="auto"/>
        <w:rPr>
          <w:sz w:val="20"/>
          <w:szCs w:val="20"/>
          <w:color w:val="auto"/>
        </w:rPr>
      </w:pPr>
      <w:r>
        <w:rPr>
          <w:rFonts w:ascii="Arial" w:cs="Arial" w:eastAsia="Arial" w:hAnsi="Arial"/>
          <w:sz w:val="16"/>
          <w:szCs w:val="16"/>
          <w:color w:val="auto"/>
        </w:rPr>
        <w:t>In August 2019, in connection with two fixed rate investments, the Company entered into two interest rate swap transactions with notional amounts of $11.7 million and $3.2, respectively. The Company receives three-month LIBOR and pays fixed rate interest at 1.47% and 1.36%, respectively. The swap transactions mature on July 30, 2021 and July 29, 2022, respectively, matching the current expected repayment dates of each investment.</w:t>
      </w:r>
    </w:p>
    <w:p>
      <w:pPr>
        <w:spacing w:after="0" w:line="14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In September 2019, in connection with the repayment of a fixed rate investment, the Company closed out of a $33.3 million notional amount interest rate swap transaction resulting in a realized gain of less than $0.1 million.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present the amounts paid and received on the Company’s interest rate swap transactions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Notional Amount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9"/>
          </w:tcPr>
          <w:p>
            <w:pPr>
              <w:jc w:val="right"/>
              <w:ind w:right="300"/>
              <w:spacing w:after="0"/>
              <w:rPr>
                <w:sz w:val="20"/>
                <w:szCs w:val="20"/>
                <w:color w:val="auto"/>
              </w:rPr>
            </w:pPr>
            <w:r>
              <w:rPr>
                <w:rFonts w:ascii="Arial" w:cs="Arial" w:eastAsia="Arial" w:hAnsi="Arial"/>
                <w:sz w:val="14"/>
                <w:szCs w:val="14"/>
                <w:b w:val="1"/>
                <w:bCs w:val="1"/>
                <w:color w:val="auto"/>
                <w:w w:val="94"/>
              </w:rPr>
              <w:t>For the Three Months Ended September 30, 2019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3"/>
              </w:rPr>
              <w:t>For the Nine Months Ended September 30,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92"/>
              <w:spacing w:after="0" w:line="155" w:lineRule="exact"/>
              <w:rPr>
                <w:sz w:val="20"/>
                <w:szCs w:val="20"/>
                <w:color w:val="auto"/>
              </w:rPr>
            </w:pPr>
            <w:r>
              <w:rPr>
                <w:rFonts w:ascii="Arial" w:cs="Arial" w:eastAsia="Arial" w:hAnsi="Arial"/>
                <w:sz w:val="14"/>
                <w:szCs w:val="14"/>
                <w:b w:val="1"/>
                <w:bCs w:val="1"/>
                <w:color w:val="auto"/>
                <w:w w:val="91"/>
              </w:rPr>
              <w:t>Received</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Net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Paid</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1"/>
              </w:rPr>
              <w:t>Received</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Interest rate swap </w:t>
            </w:r>
            <w:r>
              <w:rPr>
                <w:rFonts w:ascii="Arial" w:cs="Arial" w:eastAsia="Arial" w:hAnsi="Arial"/>
                <w:sz w:val="15"/>
                <w:szCs w:val="15"/>
                <w:color w:val="auto"/>
                <w:w w:val="98"/>
              </w:rPr>
              <w:t>(1)</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6/27/2019</w:t>
            </w:r>
          </w:p>
        </w:tc>
        <w:tc>
          <w:tcPr>
            <w:tcW w:w="120" w:type="dxa"/>
            <w:vAlign w:val="bottom"/>
            <w:shd w:val="clear" w:color="auto" w:fill="CFF0FC"/>
          </w:tcPr>
          <w:p>
            <w:pPr>
              <w:spacing w:after="0"/>
              <w:rPr>
                <w:sz w:val="18"/>
                <w:szCs w:val="18"/>
                <w:color w:val="auto"/>
              </w:rPr>
            </w:pPr>
          </w:p>
        </w:tc>
        <w:tc>
          <w:tcPr>
            <w:tcW w:w="340" w:type="dxa"/>
            <w:vAlign w:val="bottom"/>
            <w:vMerge w:val="restart"/>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34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(1,233)</w:t>
            </w:r>
          </w:p>
        </w:tc>
        <w:tc>
          <w:tcPr>
            <w:tcW w:w="160" w:type="dxa"/>
            <w:vAlign w:val="bottom"/>
            <w:vMerge w:val="restart"/>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CFF0FC"/>
          </w:tcPr>
          <w:p>
            <w:pPr>
              <w:spacing w:after="0"/>
              <w:rPr>
                <w:sz w:val="18"/>
                <w:szCs w:val="18"/>
                <w:color w:val="auto"/>
              </w:rPr>
            </w:pPr>
          </w:p>
        </w:tc>
        <w:tc>
          <w:tcPr>
            <w:tcW w:w="240" w:type="dxa"/>
            <w:vAlign w:val="bottom"/>
            <w:vMerge w:val="restart"/>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(2)</w:t>
            </w:r>
          </w:p>
        </w:tc>
        <w:tc>
          <w:tcPr>
            <w:tcW w:w="9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340" w:type="dxa"/>
            <w:vAlign w:val="bottom"/>
            <w:gridSpan w:val="3"/>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48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12/15/2019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(4,762)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Interest rate swap </w:t>
            </w:r>
            <w:r>
              <w:rPr>
                <w:rFonts w:ascii="Arial" w:cs="Arial" w:eastAsia="Arial" w:hAnsi="Arial"/>
                <w:sz w:val="15"/>
                <w:szCs w:val="15"/>
                <w:color w:val="auto"/>
                <w:w w:val="98"/>
              </w:rPr>
              <w:t>(1)</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(2,094)</w:t>
            </w:r>
          </w:p>
        </w:tc>
        <w:tc>
          <w:tcPr>
            <w:tcW w:w="1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FF0FC"/>
          </w:tcPr>
          <w:p>
            <w:pPr>
              <w:spacing w:after="0"/>
              <w:rPr>
                <w:sz w:val="20"/>
                <w:szCs w:val="20"/>
                <w:color w:val="auto"/>
              </w:rPr>
            </w:pPr>
            <w:r>
              <w:rPr>
                <w:rFonts w:ascii="Arial" w:cs="Arial" w:eastAsia="Arial" w:hAnsi="Arial"/>
                <w:sz w:val="15"/>
                <w:szCs w:val="15"/>
                <w:color w:val="auto"/>
              </w:rPr>
              <w:t>(2)</w:t>
            </w:r>
          </w:p>
        </w:tc>
        <w:tc>
          <w:tcPr>
            <w:tcW w:w="9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rPr>
              <w:t>6/25/2020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91,500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Interest rate swap </w:t>
            </w:r>
            <w:r>
              <w:rPr>
                <w:rFonts w:ascii="Arial" w:cs="Arial" w:eastAsia="Arial" w:hAnsi="Arial"/>
                <w:sz w:val="15"/>
                <w:szCs w:val="15"/>
                <w:color w:val="auto"/>
                <w:w w:val="98"/>
              </w:rPr>
              <w:t>(1)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w w:val="98"/>
              </w:rPr>
              <w:t xml:space="preserve">Interest rate swap </w:t>
            </w:r>
            <w:r>
              <w:rPr>
                <w:rFonts w:ascii="Arial" w:cs="Arial" w:eastAsia="Arial" w:hAnsi="Arial"/>
                <w:sz w:val="15"/>
                <w:szCs w:val="15"/>
                <w:color w:val="auto"/>
                <w:w w:val="98"/>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(4,312)</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(5,195)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668,733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60" w:type="dxa"/>
            <w:vAlign w:val="bottom"/>
          </w:tcPr>
          <w:p>
            <w:pPr>
              <w:spacing w:after="0"/>
              <w:rPr>
                <w:sz w:val="24"/>
                <w:szCs w:val="24"/>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Maturity Date</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Notional Amount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3"/>
              </w:rPr>
              <w:t>For the Three Months Ended September 30, 2018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3"/>
              </w:rPr>
              <w:t>For the Nine Months Ended September 30,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Paid</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92"/>
              <w:spacing w:after="0" w:line="155" w:lineRule="exact"/>
              <w:rPr>
                <w:sz w:val="20"/>
                <w:szCs w:val="20"/>
                <w:color w:val="auto"/>
              </w:rPr>
            </w:pPr>
            <w:r>
              <w:rPr>
                <w:rFonts w:ascii="Arial" w:cs="Arial" w:eastAsia="Arial" w:hAnsi="Arial"/>
                <w:sz w:val="14"/>
                <w:szCs w:val="14"/>
                <w:b w:val="1"/>
                <w:bCs w:val="1"/>
                <w:color w:val="auto"/>
                <w:w w:val="91"/>
              </w:rPr>
              <w:t>Received</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Paid</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Received</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 xml:space="preserve">Interest rate swap </w:t>
            </w:r>
            <w:r>
              <w:rPr>
                <w:rFonts w:ascii="Arial" w:cs="Arial" w:eastAsia="Arial" w:hAnsi="Arial"/>
                <w:sz w:val="15"/>
                <w:szCs w:val="15"/>
                <w:color w:val="auto"/>
                <w:w w:val="98"/>
              </w:rPr>
              <w:t>(1)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12/15/2019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(4,305)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(2,094)</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(3,911)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(4,292)</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563,333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16,587</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72"/>
              <w:spacing w:after="0"/>
              <w:rPr>
                <w:sz w:val="20"/>
                <w:szCs w:val="20"/>
                <w:color w:val="auto"/>
              </w:rPr>
            </w:pPr>
            <w:r>
              <w:rPr>
                <w:rFonts w:ascii="Arial" w:cs="Arial" w:eastAsia="Arial" w:hAnsi="Arial"/>
                <w:sz w:val="18"/>
                <w:szCs w:val="18"/>
                <w:color w:val="auto"/>
                <w:w w:val="89"/>
              </w:rPr>
              <w:t>31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1" w:name="page32"/>
    <w:bookmarkEnd w:id="31"/>
    <w:p>
      <w:pPr>
        <w:ind w:left="520" w:right="300" w:hanging="512"/>
        <w:spacing w:after="0" w:line="27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September 30, 2019 the notional amount of these interest rate swaps was zero.</w:t>
      </w:r>
    </w:p>
    <w:p>
      <w:pPr>
        <w:spacing w:after="0" w:line="225" w:lineRule="exact"/>
        <w:rPr>
          <w:sz w:val="20"/>
          <w:szCs w:val="20"/>
          <w:color w:val="auto"/>
        </w:rPr>
      </w:pPr>
    </w:p>
    <w:p>
      <w:pPr>
        <w:ind w:right="380" w:firstLine="259"/>
        <w:spacing w:after="0" w:line="259" w:lineRule="auto"/>
        <w:rPr>
          <w:sz w:val="20"/>
          <w:szCs w:val="20"/>
          <w:color w:val="auto"/>
        </w:rPr>
      </w:pPr>
      <w:r>
        <w:rPr>
          <w:rFonts w:ascii="Arial" w:cs="Arial" w:eastAsia="Arial" w:hAnsi="Arial"/>
          <w:sz w:val="18"/>
          <w:szCs w:val="18"/>
          <w:color w:val="auto"/>
        </w:rPr>
        <w:t>For the three and nine months ended September 30, 2019, the Company recognized $1.5 million and $10.9 million, respectively, in net change in unrealized gains on interest rate swaps in the consolidated statement of operations related to the swap transactions. For the three and nine months ended September 30, 2018, the Company recognized $2.0 million and $8.0 million, respectively, in net change in unrealized losses on interest rate swaps in the consolidated statement of operations related to the swap transactions.</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As of September 30, 2019, the swap transactions had a fair value of $8.2 million which is netted against restricted cash collateral on the Company’s consolidated balance sheet. As of December 31, 2018, the swap transactions had a fair value of ($2.7) million which is netted against restricted cash collateral on the Company’s consolidated balance sheet. The Company’s interest rate swaps are with one counterparty and are centrally cleared through a registered commodities exchange.</w:t>
      </w:r>
    </w:p>
    <w:p>
      <w:pPr>
        <w:spacing w:after="0" w:line="187"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54" w:lineRule="exact"/>
        <w:rPr>
          <w:sz w:val="20"/>
          <w:szCs w:val="20"/>
          <w:color w:val="auto"/>
        </w:rPr>
      </w:pPr>
    </w:p>
    <w:p>
      <w:pPr>
        <w:ind w:right="320" w:firstLine="259"/>
        <w:spacing w:after="0" w:line="259" w:lineRule="auto"/>
        <w:rPr>
          <w:sz w:val="20"/>
          <w:szCs w:val="20"/>
          <w:color w:val="auto"/>
        </w:rPr>
      </w:pPr>
      <w:r>
        <w:rPr>
          <w:rFonts w:ascii="Arial" w:cs="Arial" w:eastAsia="Arial" w:hAnsi="Arial"/>
          <w:sz w:val="18"/>
          <w:szCs w:val="18"/>
          <w:color w:val="auto"/>
        </w:rPr>
        <w:t>As of September 30, 2019, $5.0 million of cash is pledged as collateral under the Company’s derivative instruments and is included in restricted cash as a component of cash and cash equivalents on the Company’s consolidated balance sheet. The Company had $10.0 million of cash collateral posted as of December 31, 2018, of which $7.3 million is included in restricted cash as a component of cash and cash equivalents on the Company’s consolidated balance sheet.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September 30, 2019 and December 31, 2018:</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40" w:type="dxa"/>
            <w:vAlign w:val="bottom"/>
            <w:gridSpan w:val="11"/>
          </w:tcPr>
          <w:p>
            <w:pPr>
              <w:jc w:val="center"/>
              <w:ind w:right="40"/>
              <w:spacing w:after="0"/>
              <w:rPr>
                <w:sz w:val="20"/>
                <w:szCs w:val="20"/>
                <w:color w:val="auto"/>
              </w:rPr>
            </w:pPr>
            <w:r>
              <w:rPr>
                <w:rFonts w:ascii="Arial" w:cs="Arial" w:eastAsia="Arial" w:hAnsi="Arial"/>
                <w:sz w:val="14"/>
                <w:szCs w:val="14"/>
                <w:b w:val="1"/>
                <w:bCs w:val="1"/>
                <w:color w:val="auto"/>
                <w:w w:val="94"/>
              </w:rPr>
              <w:t>Fair Value Hierarchy at September 30, 2019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1,979,189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1,989,104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41,810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19,855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2,027,658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2,047,520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2,027,658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2,055,765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11"/>
          </w:tcPr>
          <w:p>
            <w:pPr>
              <w:jc w:val="center"/>
              <w:ind w:right="20"/>
              <w:spacing w:after="0"/>
              <w:rPr>
                <w:sz w:val="20"/>
                <w:szCs w:val="20"/>
                <w:color w:val="auto"/>
              </w:rPr>
            </w:pPr>
            <w:r>
              <w:rPr>
                <w:rFonts w:ascii="Arial" w:cs="Arial" w:eastAsia="Arial" w:hAnsi="Arial"/>
                <w:sz w:val="14"/>
                <w:szCs w:val="14"/>
                <w:b w:val="1"/>
                <w:bCs w:val="1"/>
                <w:color w:val="auto"/>
                <w:w w:val="93"/>
              </w:rPr>
              <w:t>Fair Value Hierarchy at December 31, 2018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3"/>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1,653,907</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1,677,889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1,705,969</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(2,663)</w:t>
            </w: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1,703,306</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2" w:name="page33"/>
    <w:bookmarkEnd w:id="32"/>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nine months ended September 30,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First-lien</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2,001,181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2,053,154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298,065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(313,603)</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(8,603)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(322,206)</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(14,270)</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(1,941)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(16,228)</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1,979,189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2,027,658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3"/>
              </w:rPr>
              <w:t>As of and for the Nine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First-lien</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43,234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1,677,889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792,970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(464,099)</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(10,238)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(475,133)</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1,979,189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2,027,658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nine months ended September 30,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First-lien</w:t>
            </w:r>
          </w:p>
        </w:tc>
        <w:tc>
          <w:tcPr>
            <w:tcW w:w="120" w:type="dxa"/>
            <w:vAlign w:val="bottom"/>
          </w:tcPr>
          <w:p>
            <w:pPr>
              <w:spacing w:after="0"/>
              <w:rPr>
                <w:sz w:val="11"/>
                <w:szCs w:val="11"/>
                <w:color w:val="auto"/>
              </w:rPr>
            </w:pPr>
          </w:p>
        </w:tc>
        <w:tc>
          <w:tcPr>
            <w:tcW w:w="90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debt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1,816,185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1,933,532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138,851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(125,095)</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1,837,880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1,959,283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94"/>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3"/>
              </w:rPr>
              <w:t>As of and for the 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1"/>
              </w:rPr>
              <w:t>September 30, 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First-lien</w:t>
            </w:r>
          </w:p>
        </w:tc>
        <w:tc>
          <w:tcPr>
            <w:tcW w:w="100" w:type="dxa"/>
            <w:vAlign w:val="bottom"/>
          </w:tcPr>
          <w:p>
            <w:pPr>
              <w:spacing w:after="0"/>
              <w:rPr>
                <w:sz w:val="11"/>
                <w:szCs w:val="11"/>
                <w:color w:val="auto"/>
              </w:rPr>
            </w:pPr>
          </w:p>
        </w:tc>
        <w:tc>
          <w:tcPr>
            <w:tcW w:w="9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88"/>
              </w:rPr>
              <w:t>Second-lien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7"/>
              </w:rPr>
              <w:t>debt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and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investments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1,663,194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677,928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(414,713)</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(416,092)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(10,955)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ind w:left="24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1,837,880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55,941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1,959,283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259"/>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September 30, 2019 and 2018:</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Gains or (Losses)</w:t>
            </w:r>
          </w:p>
        </w:tc>
        <w:tc>
          <w:tcPr>
            <w:tcW w:w="10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4160" w:type="dxa"/>
            <w:vAlign w:val="bottom"/>
          </w:tcPr>
          <w:p>
            <w:pPr>
              <w:spacing w:after="0"/>
              <w:rPr>
                <w:sz w:val="14"/>
                <w:szCs w:val="14"/>
                <w:color w:val="auto"/>
              </w:rPr>
            </w:pPr>
          </w:p>
        </w:tc>
        <w:tc>
          <w:tcPr>
            <w:tcW w:w="1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for the Three Months Ended</w:t>
            </w:r>
          </w:p>
        </w:tc>
        <w:tc>
          <w:tcPr>
            <w:tcW w:w="1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September 30, 2019 on</w:t>
            </w:r>
          </w:p>
        </w:tc>
        <w:tc>
          <w:tcPr>
            <w:tcW w:w="10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September 30, 2018 on</w:t>
            </w: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Investments Held at</w:t>
            </w:r>
          </w:p>
        </w:tc>
        <w:tc>
          <w:tcPr>
            <w:tcW w:w="10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2018</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(2,895)</w:t>
            </w:r>
          </w:p>
        </w:tc>
      </w:tr>
      <w:tr>
        <w:trPr>
          <w:trHeight w:val="223"/>
        </w:trPr>
        <w:tc>
          <w:tcPr>
            <w:tcW w:w="41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30" w:right="259" w:bottom="1440" w:gutter="0" w:footer="0" w:header="0"/>
        </w:sectPr>
      </w:pPr>
    </w:p>
    <w:p>
      <w:pPr>
        <w:spacing w:after="0" w:line="74" w:lineRule="exact"/>
        <w:rPr>
          <w:sz w:val="20"/>
          <w:szCs w:val="20"/>
          <w:color w:val="auto"/>
        </w:rPr>
      </w:pPr>
    </w:p>
    <w:p>
      <w:pPr>
        <w:jc w:val="center"/>
        <w:ind w:left="6000"/>
        <w:spacing w:after="0"/>
        <w:rPr>
          <w:sz w:val="20"/>
          <w:szCs w:val="20"/>
          <w:color w:val="auto"/>
        </w:rPr>
      </w:pPr>
      <w:r>
        <w:rPr>
          <w:rFonts w:ascii="Arial" w:cs="Arial" w:eastAsia="Arial" w:hAnsi="Arial"/>
          <w:sz w:val="13"/>
          <w:szCs w:val="13"/>
          <w:b w:val="1"/>
          <w:bCs w:val="1"/>
          <w:color w:val="auto"/>
        </w:rPr>
        <w:t>Net Change in Unrealized</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Gains or (Losses)</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3"/>
          <w:szCs w:val="13"/>
          <w:b w:val="1"/>
          <w:bCs w:val="1"/>
          <w:color w:val="auto"/>
        </w:rPr>
        <w:t>for the Nine Months Ended</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September 30, 2019 on</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Investments Held at</w:t>
      </w:r>
    </w:p>
    <w:p>
      <w:pPr>
        <w:jc w:val="center"/>
        <w:ind w:left="6000"/>
        <w:spacing w:after="0" w:line="233" w:lineRule="auto"/>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ind w:right="1820"/>
        <w:spacing w:after="0"/>
        <w:rPr>
          <w:sz w:val="20"/>
          <w:szCs w:val="20"/>
          <w:color w:val="auto"/>
        </w:rPr>
      </w:pPr>
      <w:r>
        <w:rPr>
          <w:rFonts w:ascii="Arial" w:cs="Arial" w:eastAsia="Arial" w:hAnsi="Arial"/>
          <w:sz w:val="13"/>
          <w:szCs w:val="13"/>
          <w:b w:val="1"/>
          <w:bCs w:val="1"/>
          <w:color w:val="auto"/>
        </w:rPr>
        <w:t>Net Change in Unrealized</w:t>
      </w:r>
    </w:p>
    <w:p>
      <w:pPr>
        <w:spacing w:after="0" w:line="29"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Gains or (Losses)</w:t>
      </w:r>
    </w:p>
    <w:p>
      <w:pPr>
        <w:spacing w:after="0" w:line="1" w:lineRule="exact"/>
        <w:rPr>
          <w:sz w:val="20"/>
          <w:szCs w:val="20"/>
          <w:color w:val="auto"/>
        </w:rPr>
      </w:pPr>
    </w:p>
    <w:p>
      <w:pPr>
        <w:jc w:val="center"/>
        <w:ind w:right="1820"/>
        <w:spacing w:after="0"/>
        <w:rPr>
          <w:sz w:val="20"/>
          <w:szCs w:val="20"/>
          <w:color w:val="auto"/>
        </w:rPr>
      </w:pPr>
      <w:r>
        <w:rPr>
          <w:rFonts w:ascii="Arial" w:cs="Arial" w:eastAsia="Arial" w:hAnsi="Arial"/>
          <w:sz w:val="13"/>
          <w:szCs w:val="13"/>
          <w:b w:val="1"/>
          <w:bCs w:val="1"/>
          <w:color w:val="auto"/>
        </w:rPr>
        <w:t>for the Nine Months Ended</w:t>
      </w:r>
    </w:p>
    <w:p>
      <w:pPr>
        <w:spacing w:after="0" w:line="13"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September 30, 2018 on</w:t>
      </w:r>
    </w:p>
    <w:p>
      <w:pPr>
        <w:spacing w:after="0" w:line="1"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Investments Held at</w:t>
      </w:r>
    </w:p>
    <w:p>
      <w:pPr>
        <w:jc w:val="center"/>
        <w:ind w:right="1820"/>
        <w:spacing w:after="0" w:line="233" w:lineRule="auto"/>
        <w:rPr>
          <w:sz w:val="20"/>
          <w:szCs w:val="20"/>
          <w:color w:val="auto"/>
        </w:rPr>
      </w:pPr>
      <w:r>
        <w:rPr>
          <w:rFonts w:ascii="Arial" w:cs="Arial" w:eastAsia="Arial" w:hAnsi="Arial"/>
          <w:sz w:val="14"/>
          <w:szCs w:val="14"/>
          <w:b w:val="1"/>
          <w:bCs w:val="1"/>
          <w:color w:val="auto"/>
        </w:rPr>
        <w:t>September 30, 2018</w:t>
      </w:r>
    </w:p>
    <w:p>
      <w:pPr>
        <w:spacing w:after="0" w:line="1" w:lineRule="exact"/>
        <w:rPr>
          <w:sz w:val="20"/>
          <w:szCs w:val="20"/>
          <w:color w:val="auto"/>
        </w:rPr>
      </w:pPr>
    </w:p>
    <w:p>
      <w:pPr>
        <w:sectPr>
          <w:pgSz w:w="11900" w:h="16838" w:orient="portrait"/>
          <w:cols w:equalWidth="0" w:num="2">
            <w:col w:w="7660" w:space="240"/>
            <w:col w:w="3500"/>
          </w:cols>
          <w:pgMar w:left="240" w:top="630" w:right="259" w:bottom="1440" w:gutter="0" w:footer="0" w:header="0"/>
          <w:type w:val="continuous"/>
        </w:sectPr>
      </w:pPr>
    </w:p>
    <w:tbl>
      <w:tblPr>
        <w:tblLayout w:type="fixed"/>
        <w:tblInd w:w="1720" w:type="dxa"/>
        <w:tblCellMar>
          <w:top w:w="0" w:type="dxa"/>
          <w:left w:w="0" w:type="dxa"/>
          <w:bottom w:w="0" w:type="dxa"/>
          <w:right w:w="0" w:type="dxa"/>
        </w:tblCellMar>
      </w:tblP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1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19"/>
                <w:szCs w:val="19"/>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0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80" w:type="dxa"/>
            <w:vAlign w:val="bottom"/>
            <w:tcBorders>
              <w:bottom w:val="single" w:sz="8" w:color="CFF0FC"/>
            </w:tcBorders>
          </w:tcPr>
          <w:p>
            <w:pPr>
              <w:spacing w:after="0"/>
              <w:rPr>
                <w:sz w:val="19"/>
                <w:szCs w:val="19"/>
                <w:color w:val="auto"/>
              </w:rPr>
            </w:pPr>
          </w:p>
        </w:tc>
      </w:tr>
      <w:tr>
        <w:trPr>
          <w:trHeight w:val="223"/>
        </w:trPr>
        <w:tc>
          <w:tcPr>
            <w:tcW w:w="3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12,996</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September 30, 2019 and December 31, 2018. The tables are not intended to be all-inclusive, but instead capture the significant unobservable inputs relevant to the Company’s determination of fair values.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1,979,189</w:t>
            </w:r>
          </w:p>
        </w:tc>
        <w:tc>
          <w:tcPr>
            <w:tcW w:w="2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5.5% — 14.7% (10.2%)</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4,147</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15.2% — 15.2% (15.2%)</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20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17.6% — 17.6% (17.6%)</w:t>
            </w:r>
          </w:p>
        </w:tc>
        <w:tc>
          <w:tcPr>
            <w:tcW w:w="1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41,803</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3.0x — 14.0x (11.4x)</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2,027,658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160" w:hanging="514"/>
        <w:spacing w:after="0" w:line="291"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$14.2 million of debt investments which were valued using an asset valuation waterfall and $94.9 million of first-lien debt investments which, due to the proximity of the transactions relative to the measurement date, were valued using the cost of the investments.</w:t>
      </w:r>
    </w:p>
    <w:p>
      <w:pPr>
        <w:ind w:left="900" w:right="480" w:hanging="514"/>
        <w:spacing w:after="0" w:line="323"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$1.5 million of equity investments which were valued using a weighted valuation approach and $1.1 million of equity investments which, due to the proximity of the transactions relative to the measurement date, were valued using the cost of the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1"/>
              </w:rPr>
              <w:t>December 31, 2018</w:t>
            </w:r>
          </w:p>
        </w:tc>
        <w:tc>
          <w:tcPr>
            <w:tcW w:w="1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1,628,037</w:t>
            </w:r>
          </w:p>
        </w:tc>
        <w:tc>
          <w:tcPr>
            <w:tcW w:w="2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6.8% — 15.8% (11.8%)</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4,137</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(2)</w:t>
            </w:r>
          </w:p>
        </w:tc>
        <w:tc>
          <w:tcPr>
            <w:tcW w:w="18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15.8% — 15.8% (15.8%)</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0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16.4% — 16.4% (16.4%)</w:t>
            </w:r>
          </w:p>
        </w:tc>
        <w:tc>
          <w:tcPr>
            <w:tcW w:w="1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43,234</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(3)</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3.0x — 13.2x (10.6x)</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1,677,889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400" w:hanging="512"/>
        <w:spacing w:after="0" w:line="25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$19.7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20" w:right="280" w:hanging="512"/>
        <w:spacing w:after="0" w:line="250"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$0.8 million of second-lien debt investments which, due to the proximity of the transactions relative to the measurement date, were valued using the cost of the investments.</w:t>
      </w:r>
    </w:p>
    <w:p>
      <w:pPr>
        <w:ind w:left="520" w:right="20" w:hanging="512"/>
        <w:spacing w:after="0" w:line="290"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$9.5 million of equity investments which were valued using a weighted valuation approach and $4.2 million of equity investments which, due to the proximity of the transactions relative to the measurement date, were valued using the cost of the investments.</w:t>
      </w:r>
    </w:p>
    <w:p>
      <w:pPr>
        <w:spacing w:after="0" w:line="162"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September 30, 2019 and December 31, 2018, approximates its carrying value as the outstanding balance is callable at carrying value.</w:t>
      </w:r>
    </w:p>
    <w:p>
      <w:pPr>
        <w:spacing w:after="0" w:line="170"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fair value of the Company’s Convertible Notes (consisting of the 2019 Convertible Notes and the 2022 Convertible Notes) and 2023 Notes, which are categorized as Level 2 within the fair value hierarchy, as of September 30, 2019 and December 31, 2018, was $444.7 million and $428.9 million, respectively, based on broker quotes received by the Company. The aggregate principal amount of the Company’s Convertible Notes and 2023 Notes, as of both September 30, 2019 and December 31, 2018, was $437.5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Convertible Notes and 2023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September 30, 2019 and December 31, 2018, the Company’s asset coverage was 220.7% and 270.5%, respectively.</w:t>
      </w:r>
    </w:p>
    <w:p>
      <w:pPr>
        <w:spacing w:after="0" w:line="181"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On October 8, 2018, the Company’s stockholders approved the application of the minimum asset coverage ratio of 150% to the Company, as set forth in Section 61(a)(2) of the 1940 Act, as amended by the Small Business Credit Availability Act (the “SBCAA”). As a result and subject to certain additional disclosure requirements, as of October 9, 2018, the Company’s minimum asset coverage ratio was reduced from 200% to 150%. In other words, pursuant to Section 61(a) of the 1940 Act, as amended by the SBCAA, the Company is permitted to increase its maximum debt-to-equity ratio from an effective level of one-to-one to two-to-one.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September 30, 2019 and December 31,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center"/>
              <w:ind w:left="17"/>
              <w:spacing w:after="0"/>
              <w:rPr>
                <w:sz w:val="20"/>
                <w:szCs w:val="20"/>
                <w:color w:val="auto"/>
              </w:rPr>
            </w:pPr>
            <w:r>
              <w:rPr>
                <w:rFonts w:ascii="Arial" w:cs="Arial" w:eastAsia="Arial" w:hAnsi="Arial"/>
                <w:sz w:val="14"/>
                <w:szCs w:val="14"/>
                <w:b w:val="1"/>
                <w:bCs w:val="1"/>
                <w:color w:val="auto"/>
                <w:w w:val="91"/>
              </w:rPr>
              <w:t>September 30, 2019</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15"/>
              <w:spacing w:after="0"/>
              <w:rPr>
                <w:sz w:val="20"/>
                <w:szCs w:val="20"/>
                <w:color w:val="auto"/>
              </w:rPr>
            </w:pPr>
            <w:r>
              <w:rPr>
                <w:rFonts w:ascii="Arial" w:cs="Arial" w:eastAsia="Arial" w:hAnsi="Arial"/>
                <w:sz w:val="14"/>
                <w:szCs w:val="14"/>
                <w:b w:val="1"/>
                <w:bCs w:val="1"/>
                <w:color w:val="auto"/>
              </w:rPr>
              <w:t>Available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481,246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763,754</w:t>
            </w:r>
          </w:p>
        </w:tc>
        <w:tc>
          <w:tcPr>
            <w:tcW w:w="340" w:type="dxa"/>
            <w:vAlign w:val="bottom"/>
            <w:tcBorders>
              <w:top w:val="single" w:sz="8" w:color="CFF0FC"/>
            </w:tcBorders>
            <w:shd w:val="clear" w:color="auto" w:fill="CFF0FC"/>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47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47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1,682,500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918,746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763,754</w:t>
            </w:r>
          </w:p>
        </w:tc>
        <w:tc>
          <w:tcPr>
            <w:tcW w:w="3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902,312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Revolving Credit Facility borrowing base.</w:t>
      </w:r>
    </w:p>
    <w:p>
      <w:pPr>
        <w:spacing w:after="0" w:line="23" w:lineRule="exact"/>
        <w:rPr>
          <w:rFonts w:ascii="Arial" w:cs="Arial" w:eastAsia="Arial" w:hAnsi="Arial"/>
          <w:sz w:val="18"/>
          <w:szCs w:val="18"/>
          <w:color w:val="auto"/>
        </w:rPr>
      </w:pPr>
    </w:p>
    <w:p>
      <w:pPr>
        <w:ind w:left="520" w:right="38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$10.6 million, $3.7 million and $2.2 million,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center"/>
              <w:ind w:left="17"/>
              <w:spacing w:after="0"/>
              <w:rPr>
                <w:sz w:val="20"/>
                <w:szCs w:val="20"/>
                <w:color w:val="auto"/>
              </w:rPr>
            </w:pPr>
            <w:r>
              <w:rPr>
                <w:rFonts w:ascii="Arial" w:cs="Arial" w:eastAsia="Arial" w:hAnsi="Arial"/>
                <w:sz w:val="14"/>
                <w:szCs w:val="14"/>
                <w:b w:val="1"/>
                <w:bCs w:val="1"/>
                <w:color w:val="auto"/>
                <w:w w:val="91"/>
              </w:rPr>
              <w:t>December 31, 2018</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15"/>
              <w:spacing w:after="0"/>
              <w:rPr>
                <w:sz w:val="20"/>
                <w:szCs w:val="20"/>
                <w:color w:val="auto"/>
              </w:rPr>
            </w:pPr>
            <w:r>
              <w:rPr>
                <w:rFonts w:ascii="Arial" w:cs="Arial" w:eastAsia="Arial" w:hAnsi="Arial"/>
                <w:sz w:val="14"/>
                <w:szCs w:val="14"/>
                <w:b w:val="1"/>
                <w:bCs w:val="1"/>
                <w:color w:val="auto"/>
              </w:rPr>
              <w:t>Available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6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752,457</w:t>
            </w:r>
          </w:p>
        </w:tc>
        <w:tc>
          <w:tcPr>
            <w:tcW w:w="340" w:type="dxa"/>
            <w:vAlign w:val="bottom"/>
            <w:tcBorders>
              <w:top w:val="single" w:sz="8" w:color="CFF0FC"/>
            </w:tcBorders>
            <w:shd w:val="clear" w:color="auto" w:fill="CFF0FC"/>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178,807</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30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113,606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168,251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30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6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147,343</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6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625,043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752,457</w:t>
            </w:r>
          </w:p>
        </w:tc>
        <w:tc>
          <w:tcPr>
            <w:tcW w:w="3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608,007</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36" w:name="page37"/>
    <w:bookmarkEnd w:id="36"/>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Revolving Credit Facility borrowing base.</w:t>
      </w:r>
    </w:p>
    <w:p>
      <w:pPr>
        <w:spacing w:after="0" w:line="23" w:lineRule="exact"/>
        <w:rPr>
          <w:rFonts w:ascii="Arial" w:cs="Arial" w:eastAsia="Arial" w:hAnsi="Arial"/>
          <w:sz w:val="18"/>
          <w:szCs w:val="18"/>
          <w:color w:val="auto"/>
        </w:rPr>
      </w:pPr>
    </w:p>
    <w:p>
      <w:pPr>
        <w:ind w:left="520" w:right="36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nine months ended September 30, 2019 and 2018, the components of interest expense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3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300"/>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2"/>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2"/>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1"/>
                <w:szCs w:val="11"/>
                <w:color w:val="auto"/>
              </w:rPr>
            </w:pPr>
          </w:p>
        </w:tc>
      </w:tr>
      <w:tr>
        <w:trPr>
          <w:trHeight w:val="171"/>
        </w:trPr>
        <w:tc>
          <w:tcPr>
            <w:tcW w:w="39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27,435</w:t>
            </w:r>
          </w:p>
        </w:tc>
        <w:tc>
          <w:tcPr>
            <w:tcW w:w="18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Commitment fees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18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10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r>
      <w:tr>
        <w:trPr>
          <w:trHeight w:val="263"/>
        </w:trPr>
        <w:tc>
          <w:tcPr>
            <w:tcW w:w="3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35,664</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32,237</w:t>
            </w:r>
          </w:p>
        </w:tc>
        <w:tc>
          <w:tcPr>
            <w:tcW w:w="180" w:type="dxa"/>
            <w:vAlign w:val="bottom"/>
            <w:tcBorders>
              <w:bottom w:val="single" w:sz="8" w:color="CFF0FC"/>
            </w:tcBorders>
          </w:tcPr>
          <w:p>
            <w:pPr>
              <w:spacing w:after="0"/>
              <w:rPr>
                <w:sz w:val="22"/>
                <w:szCs w:val="22"/>
                <w:color w:val="auto"/>
              </w:rPr>
            </w:pPr>
          </w:p>
        </w:tc>
      </w:tr>
      <w:tr>
        <w:trPr>
          <w:trHeight w:val="21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911.8</w:t>
            </w:r>
          </w:p>
        </w:tc>
        <w:tc>
          <w:tcPr>
            <w:tcW w:w="180" w:type="dxa"/>
            <w:vAlign w:val="bottom"/>
            <w:shd w:val="clear" w:color="auto" w:fill="CFF0FC"/>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J.P. Morgan Chase Bank, N.A., as syndication agent, and certain other lenders (as amended and restated, the “Revolving Credit Facility”).</w:t>
      </w:r>
    </w:p>
    <w:p>
      <w:pPr>
        <w:spacing w:after="0" w:line="197"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As of December 31, 2018, aggregate commitments under the facility were $940 million. Pursuant to an amendment to the Revolving Credit Facility dated as of February 14, 2019 (the “Eighth Amendment”), the aggregate commitments under the facility were increased to $1,170 million. The facility includes an uncommitted accordion feature that allows the Company, under certain circumstances, to increase the size of the facility to up to $1,500 million. On June 7, 2019 the Company exercised its right under the accordion feature and increased the size of the facility to $1,245 million.</w:t>
      </w:r>
    </w:p>
    <w:p>
      <w:pPr>
        <w:spacing w:after="0" w:line="171"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Pursuant to the Eighth Amendment, the revolving period, during which period the Company, subject to certain conditions, may make borrowings under the facility, was extended from February 18, 2022 to February 14, 2023 and the stated maturity date was extended from February 17, 2023 to February 14, 2024.</w:t>
      </w:r>
    </w:p>
    <w:p>
      <w:pPr>
        <w:spacing w:after="0" w:line="181"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September 30, 2019, the Company had outstanding debt denominated in Australian dollars (AUD) of 47.4 million, Canadian dollars (CAD) of 160.9 million, and Euro (EUR) of 7.3 million on its Revolving Credit Facility, included in the Outstanding Principal amount in the table above.</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September 30, 2019 and December 31, 2018,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7" w:name="page38"/>
    <w:bookmarkEnd w:id="37"/>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as amended on November 5, 2018, require:</w:t>
      </w:r>
    </w:p>
    <w:p>
      <w:pPr>
        <w:spacing w:after="0" w:line="62" w:lineRule="exact"/>
        <w:rPr>
          <w:sz w:val="20"/>
          <w:szCs w:val="20"/>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20" w:right="40" w:hanging="255"/>
        <w:spacing w:after="0" w:line="26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November 5, 2018;</w:t>
      </w:r>
    </w:p>
    <w:p>
      <w:pPr>
        <w:spacing w:after="0" w:line="117" w:lineRule="exact"/>
        <w:rPr>
          <w:rFonts w:ascii="Arial" w:cs="Arial" w:eastAsia="Arial" w:hAnsi="Arial"/>
          <w:sz w:val="18"/>
          <w:szCs w:val="18"/>
          <w:color w:val="auto"/>
        </w:rPr>
      </w:pPr>
    </w:p>
    <w:p>
      <w:pPr>
        <w:ind w:left="520" w:right="160" w:hanging="255"/>
        <w:spacing w:after="0" w:line="259"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20" w:right="260" w:hanging="255"/>
        <w:spacing w:after="0" w:line="342" w:lineRule="auto"/>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November 5, 2018 amendment also established certain additional concentration limits in connection with the calculation of the borrowing base, based on the Obligor Asset Coverage Ratio. Size, pricing and other significant terms in the Revolving Credit Facility remained unchanged.</w:t>
      </w:r>
    </w:p>
    <w:p>
      <w:pPr>
        <w:spacing w:after="0" w:line="14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2018 and net proceeds received from the issuance of the 2022 Convertible Notes and 2023 Notes were used to pay down borrowings on the Revolving Credit Facility.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2019 and December 31, 2018, the Company was in compliance with the terms of the Revolving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the Company’s common stock or a combination of cash and shares of the Company’s common stock, at the Company’s election, at an initial conversion rate of 38.7162 shares of common stock per $1,000 principal amount of 2019 Convertible Notes, which is equivalent to an initial conversion price of approximately $25.83 per share of the Company’s common stock, subject to customary anti-dilution adjustments. As of September 30, 2019, the estimated adjusted conversion price was approximately $24.83 per share of common stock. The sale of the 2019 Convertible Notes generated net proceeds of approximately $110.8 million. The Company used the net proceeds of the offering to pay down debt under the Revolving Credit Facility. In connection with the offering of 2019 Convertible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Notes is three-month LIBOR plus 2.86%. See Note 5 for further information related to the Company’s interest rate swaps.</w:t>
      </w:r>
    </w:p>
    <w:p>
      <w:pPr>
        <w:spacing w:after="0" w:line="180"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Subsequent to June 15, 2019 until the close of business on the scheduled trading day immediately preceding the maturity date, holders may convert their notes at any time. To the extent the 2019 Convertible Notes are converted, the Company has elected to settle with a combination of cash and shares of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60" w:firstLine="259"/>
        <w:spacing w:after="0" w:line="290" w:lineRule="auto"/>
        <w:rPr>
          <w:sz w:val="20"/>
          <w:szCs w:val="20"/>
          <w:color w:val="auto"/>
        </w:rPr>
      </w:pPr>
      <w:r>
        <w:rPr>
          <w:rFonts w:ascii="Arial" w:cs="Arial" w:eastAsia="Arial" w:hAnsi="Arial"/>
          <w:sz w:val="16"/>
          <w:szCs w:val="16"/>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September 30, 2019, the estimated adjusted conversion price was approximately $20.74 per share of common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right="100"/>
        <w:spacing w:after="0" w:line="257" w:lineRule="auto"/>
        <w:rPr>
          <w:sz w:val="20"/>
          <w:szCs w:val="20"/>
          <w:color w:val="auto"/>
        </w:rPr>
      </w:pPr>
      <w:r>
        <w:rPr>
          <w:rFonts w:ascii="Arial" w:cs="Arial" w:eastAsia="Arial" w:hAnsi="Arial"/>
          <w:sz w:val="18"/>
          <w:szCs w:val="18"/>
          <w:color w:val="auto"/>
        </w:rPr>
        <w:t>stock. The sale of the 2022 Convertible Notes generated net proceeds of approximately $111.2 million. The Company used the net proceeds of 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8"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In June 2018, the Company issued an additional $57.5 million aggregate principal amount of 2022 Convertible Notes. The additional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predominantly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78"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The Convertible Notes are the Company’s unsecured obligations and rank senior in right of payment to the Company’s future indebtedness that is expressly subordinated in right of payment to the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and nine months ended September 30, 2019 and 2018, the components of interest expense related to the Convertible Notes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980" w:type="dxa"/>
            <w:vAlign w:val="bottom"/>
          </w:tcPr>
          <w:p>
            <w:pPr>
              <w:spacing w:after="0"/>
              <w:rPr>
                <w:sz w:val="19"/>
                <w:szCs w:val="19"/>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39" w:name="page40"/>
    <w:bookmarkEnd w:id="39"/>
    <w:p>
      <w:pPr>
        <w:ind w:right="160" w:firstLine="259"/>
        <w:spacing w:after="0" w:line="273" w:lineRule="auto"/>
        <w:rPr>
          <w:sz w:val="20"/>
          <w:szCs w:val="20"/>
          <w:color w:val="auto"/>
        </w:rPr>
      </w:pPr>
      <w:r>
        <w:rPr>
          <w:rFonts w:ascii="Arial" w:cs="Arial" w:eastAsia="Arial" w:hAnsi="Arial"/>
          <w:sz w:val="17"/>
          <w:szCs w:val="17"/>
          <w:color w:val="auto"/>
        </w:rPr>
        <w:t>Total interest expense in the table above does not include the effect of the interest rate swaps related to the Convertible Notes. During the three and nine months ended September 30, 2019, the Company received $3.2 million and $9.7 million, respectively, and paid $3.5 million and $10.9 million, respectively, related to the settlements of its interest rate swaps related to the Convertible Notes. During the three and nine months ended September 30, 2018, the Company received $3.2 million and $8.5 million, respectively, and paid $3.5 million and $8.8 million, respectively, related to the settlements of its interest rate swaps related to the Convertible Notes. These net amounts are reflected in interest expense in the Company’s consolidated statements of operations. Please see Note 5 for further information about the Company’s interest rate swaps.</w:t>
      </w:r>
    </w:p>
    <w:p>
      <w:pPr>
        <w:spacing w:after="0" w:line="178"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As of September 30, 2019 and December 31, 2018, the components of the carrying value of the Convertible Notes and the stated interest rate were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jc w:val="center"/>
              <w:ind w:right="39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0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114,695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169,125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jc w:val="center"/>
              <w:ind w:right="39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0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113,606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168,251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Convertible Notes is three month LIBOR plus 2.86% for the 2019 Convertible Notes, and three month LIBOR plus 2.11% (on a weighted average basis) for the 2022 Convertible Notes. Please see Note 5 for further information about the Company’s interest rate swaps.</w:t>
      </w:r>
    </w:p>
    <w:p>
      <w:pPr>
        <w:spacing w:after="0" w:line="181"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The indentures governing the Convertible Notes contain certain covenants, including covenants requiring the Company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September 30, 2019 and December 31, 2018, the Company was in compliance with the terms of the indentures governing the Convertible Notes.</w:t>
      </w:r>
    </w:p>
    <w:p>
      <w:pPr>
        <w:spacing w:after="0" w:line="154" w:lineRule="exact"/>
        <w:rPr>
          <w:sz w:val="20"/>
          <w:szCs w:val="20"/>
          <w:color w:val="auto"/>
        </w:rPr>
      </w:pPr>
    </w:p>
    <w:p>
      <w:pPr>
        <w:ind w:right="80" w:firstLine="259"/>
        <w:spacing w:after="0" w:line="289" w:lineRule="auto"/>
        <w:rPr>
          <w:sz w:val="20"/>
          <w:szCs w:val="20"/>
          <w:color w:val="auto"/>
        </w:rPr>
      </w:pPr>
      <w:r>
        <w:rPr>
          <w:rFonts w:ascii="Arial" w:cs="Arial" w:eastAsia="Arial" w:hAnsi="Arial"/>
          <w:sz w:val="16"/>
          <w:szCs w:val="16"/>
          <w:color w:val="auto"/>
        </w:rPr>
        <w:t>The Convertible Notes are accounted for in accordance with Accounting Standards Codification (“ASC”) 470-20. Upon conversion of any of the Convertible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Convertible Notes. The Company has determined that the embedded conversion options in each series of Convertible Notes are not required to be separately accounted for as a derivative under U.S. GAAP. In accounting for the Convertible Notes, the Company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167"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As of September 30, 2019 and 2018, the principal amount of the Convertible Notes exceeded the value of the underlying shares multiplied by the per share closing price of the Company’s common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88" w:lineRule="exact"/>
        <w:rPr>
          <w:sz w:val="20"/>
          <w:szCs w:val="20"/>
          <w:color w:val="auto"/>
        </w:rPr>
      </w:pPr>
    </w:p>
    <w:p>
      <w:pPr>
        <w:ind w:right="140" w:firstLine="259"/>
        <w:spacing w:after="0" w:line="286" w:lineRule="auto"/>
        <w:rPr>
          <w:sz w:val="20"/>
          <w:szCs w:val="20"/>
          <w:color w:val="auto"/>
        </w:rPr>
      </w:pPr>
      <w:r>
        <w:rPr>
          <w:rFonts w:ascii="Arial" w:cs="Arial" w:eastAsia="Arial" w:hAnsi="Arial"/>
          <w:sz w:val="17"/>
          <w:szCs w:val="17"/>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and nine months ended September 30, 2019 and 2018, the components of interest expense related to the 2023 Notes were as follows: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32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16"/>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1"/>
                <w:szCs w:val="11"/>
                <w:color w:val="auto"/>
              </w:rPr>
            </w:pPr>
          </w:p>
        </w:tc>
        <w:tc>
          <w:tcPr>
            <w:tcW w:w="1260" w:type="dxa"/>
            <w:vAlign w:val="bottom"/>
            <w:tcBorders>
              <w:top w:val="single" w:sz="8" w:color="auto"/>
            </w:tcBorders>
            <w:gridSpan w:val="3"/>
          </w:tcPr>
          <w:p>
            <w:pPr>
              <w:ind w:left="80"/>
              <w:spacing w:after="0" w:line="133" w:lineRule="exact"/>
              <w:rPr>
                <w:sz w:val="20"/>
                <w:szCs w:val="20"/>
                <w:color w:val="auto"/>
              </w:rPr>
            </w:pPr>
            <w:r>
              <w:rPr>
                <w:rFonts w:ascii="Arial" w:cs="Arial" w:eastAsia="Arial" w:hAnsi="Arial"/>
                <w:sz w:val="14"/>
                <w:szCs w:val="14"/>
                <w:b w:val="1"/>
                <w:bCs w:val="1"/>
                <w:color w:val="auto"/>
              </w:rPr>
              <w:t>September 30,</w:t>
            </w: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1"/>
                <w:szCs w:val="11"/>
                <w:color w:val="auto"/>
              </w:rPr>
            </w:pPr>
          </w:p>
        </w:tc>
      </w:tr>
      <w:tr>
        <w:trPr>
          <w:trHeight w:val="171"/>
        </w:trPr>
        <w:tc>
          <w:tcPr>
            <w:tcW w:w="5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Total interest expense in the table above does not include the effect of the interest rate swap related to the 2023 Notes. During the three and nine months ended September 30, 2019, the Company received $1.7 million and $5.1 million, respectively, and paid $1.7 million and $5.2 million, respectively, related to the settlements of its interest rate swap related to the 2023 Notes. During the three and nine months ended September 30, 2018 the Company received $1.7 million and $4.6 million, respectively, and paid $1.6 million and $4.3 million, respectively, related to the settlements of its interest rate swap related to the 2023 Notes. These net amounts are reflected in interest expense in the Company’s consolidated statements of operations. Please see Note 5 for further information about the Company’s interest rate swaps.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of September 30, 2019 and December 31, 2018, the components of the carrying value of the 2023 Notes and the stated interest rate were as follows:</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2018</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(2,619)</w:t>
            </w:r>
          </w:p>
        </w:tc>
      </w:tr>
      <w:tr>
        <w:trPr>
          <w:trHeight w:val="26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147,833</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147,343</w:t>
            </w:r>
          </w:p>
        </w:tc>
        <w:tc>
          <w:tcPr>
            <w:tcW w:w="180" w:type="dxa"/>
            <w:vAlign w:val="bottom"/>
            <w:tcBorders>
              <w:bottom w:val="single" w:sz="8" w:color="CFF0FC"/>
            </w:tcBorders>
          </w:tcPr>
          <w:p>
            <w:pPr>
              <w:spacing w:after="0"/>
              <w:rPr>
                <w:sz w:val="22"/>
                <w:szCs w:val="22"/>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bl>
    <w:p>
      <w:pPr>
        <w:spacing w:after="0" w:line="242" w:lineRule="exact"/>
        <w:rPr>
          <w:sz w:val="20"/>
          <w:szCs w:val="20"/>
          <w:color w:val="auto"/>
        </w:rPr>
      </w:pPr>
    </w:p>
    <w:p>
      <w:pPr>
        <w:ind w:right="380" w:firstLine="259"/>
        <w:spacing w:after="0" w:line="308" w:lineRule="auto"/>
        <w:rPr>
          <w:sz w:val="20"/>
          <w:szCs w:val="20"/>
          <w:color w:val="auto"/>
        </w:rPr>
      </w:pPr>
      <w:r>
        <w:rPr>
          <w:rFonts w:ascii="Arial" w:cs="Arial" w:eastAsia="Arial" w:hAnsi="Arial"/>
          <w:sz w:val="17"/>
          <w:szCs w:val="17"/>
          <w:color w:val="auto"/>
        </w:rPr>
        <w:t>The stated interest rate in the table above does not include the effect of the interest rate swap. The Company’s swap-adjusted interest rate on the 2023 Notes is three month LIBOR plus 1.99%. Please see Note 5 for further information about the Company’s interest rate swaps.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September 30, 2019 and December 31, 2018, the Company was in compliance with the terms of the indenture governing the 2023 Notes.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associated loan agreement. Undrawn senior secured term loan commitments generally have a shorter availability period than the term of the associated loan agreement.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September 30, 2019 and December 31, 2018, the Company had the following commitments to fund investments in current portfolio companies: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Caris Life Sciences, Ltd. - Delayed Draw</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ClearCompany, LLC - Delayed Draw</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Clinicient, Inc. - Revolver</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Dye &amp; Durham Corp. - Revolver</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Energy Alloys, LLC - Delayed Draw</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Ferrellgas, L.P. - Revolver</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 LLC - Delayed Draw</w:t>
            </w: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G Treasury SS, LLC - Delayed Draw</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Revolver</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Gainsight, Inc. - Delayed Draw</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Lucidworks, Inc. - Revolver</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MD America Energy, LLC - Delayed Draw</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Motus, LLC - Revolver</w:t>
            </w: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PageUp People, Ltd. - Revolver</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PayScale Holdings, Inc. - Delayed Draw</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Revolver</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8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Delayed Draw</w:t>
            </w: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Sovos Compliance, LLC - Revolver</w:t>
            </w:r>
          </w:p>
        </w:tc>
        <w:tc>
          <w:tcPr>
            <w:tcW w:w="8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A1</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TherapeuticsMD, Inc. - Delayed Draw A2</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Delayed Draw</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Valant Medical Solutions, Inc. - Revolver</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164,216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103,721</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As of September 30, 2019 and December 31, 2018, the Company did not have any unfunded commitments to fund investments to new borrowers that were not current portfolio companies as of September 30, 2019 or December 31, 2018, respectively.</w:t>
      </w:r>
    </w:p>
    <w:p>
      <w:pPr>
        <w:spacing w:after="0" w:line="170"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2019 and December 31, 2018, management is not aware of any pending or threatened litigation that would require accounting recognition or financial statement disclosure.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March 2018, the Company issued a total of 3,750,000 shares of common stock at $17.45 per share. Net of underwriting fees and offering costs, the Company received total cash proceeds of $63.0 million. Subsequent to the offering the Company issued an</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449" w:right="439" w:bottom="1440" w:gutter="0" w:footer="0" w:header="0"/>
        </w:sectPr>
      </w:pPr>
    </w:p>
    <w:bookmarkStart w:id="42" w:name="page43"/>
    <w:bookmarkEnd w:id="42"/>
    <w:p>
      <w:pPr>
        <w:ind w:right="600"/>
        <w:spacing w:after="0" w:line="277" w:lineRule="auto"/>
        <w:rPr>
          <w:sz w:val="20"/>
          <w:szCs w:val="20"/>
          <w:color w:val="auto"/>
        </w:rPr>
      </w:pPr>
      <w:r>
        <w:rPr>
          <w:rFonts w:ascii="Arial" w:cs="Arial" w:eastAsia="Arial" w:hAnsi="Arial"/>
          <w:sz w:val="18"/>
          <w:szCs w:val="18"/>
          <w:color w:val="auto"/>
        </w:rPr>
        <w:t>additional 522,224 shares in April 2018 pursuant to the overallotment option granted to underwriters and received, net of underwriting fees, total cash proceeds of $8.8 million.</w:t>
      </w:r>
    </w:p>
    <w:p>
      <w:pPr>
        <w:spacing w:after="0" w:line="170"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or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nine months ended September 30, 2019 and 2018. All shares issued to stockholders in the tables below are newly issued shares.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gridSpan w:val="4"/>
          </w:tcPr>
          <w:p>
            <w:pPr>
              <w:ind w:left="1600"/>
              <w:spacing w:after="0"/>
              <w:rPr>
                <w:sz w:val="20"/>
                <w:szCs w:val="20"/>
                <w:color w:val="auto"/>
              </w:rPr>
            </w:pPr>
            <w:r>
              <w:rPr>
                <w:rFonts w:ascii="Arial" w:cs="Arial" w:eastAsia="Arial" w:hAnsi="Arial"/>
                <w:sz w:val="14"/>
                <w:szCs w:val="14"/>
                <w:b w:val="1"/>
                <w:bCs w:val="1"/>
                <w:color w:val="auto"/>
              </w:rPr>
              <w:t>Nine Months Ended</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4"/>
          </w:tcPr>
          <w:p>
            <w:pPr>
              <w:ind w:left="1620"/>
              <w:spacing w:after="0"/>
              <w:rPr>
                <w:sz w:val="20"/>
                <w:szCs w:val="20"/>
                <w:color w:val="auto"/>
              </w:rPr>
            </w:pPr>
            <w:r>
              <w:rPr>
                <w:rFonts w:ascii="Arial" w:cs="Arial" w:eastAsia="Arial" w:hAnsi="Arial"/>
                <w:sz w:val="14"/>
                <w:szCs w:val="14"/>
                <w:b w:val="1"/>
                <w:bCs w:val="1"/>
                <w:color w:val="auto"/>
              </w:rPr>
              <w:t>September 30, 2019</w:t>
            </w:r>
          </w:p>
        </w:tc>
        <w:tc>
          <w:tcPr>
            <w:tcW w:w="1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2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60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6, 2018</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Base</w:t>
            </w:r>
          </w:p>
        </w:tc>
        <w:tc>
          <w:tcPr>
            <w:tcW w:w="100" w:type="dxa"/>
            <w:vAlign w:val="bottom"/>
            <w:tcBorders>
              <w:top w:val="single" w:sz="8" w:color="CFF0FC"/>
            </w:tcBorders>
            <w:shd w:val="clear" w:color="auto" w:fill="CFF0FC"/>
          </w:tcPr>
          <w:p>
            <w:pPr>
              <w:spacing w:after="0"/>
              <w:rPr>
                <w:sz w:val="19"/>
                <w:szCs w:val="19"/>
                <w:color w:val="auto"/>
              </w:rPr>
            </w:pP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14, 2018</w:t>
            </w:r>
          </w:p>
        </w:tc>
        <w:tc>
          <w:tcPr>
            <w:tcW w:w="1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2019</w:t>
            </w:r>
          </w:p>
        </w:tc>
        <w:tc>
          <w:tcPr>
            <w:tcW w:w="1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February 20, 2019</w:t>
            </w:r>
          </w:p>
        </w:tc>
        <w:tc>
          <w:tcPr>
            <w:tcW w:w="12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Supplemental</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28, 2019</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March 29, 2019</w:t>
            </w:r>
          </w:p>
        </w:tc>
        <w:tc>
          <w:tcPr>
            <w:tcW w:w="1520" w:type="dxa"/>
            <w:vAlign w:val="bottom"/>
          </w:tcPr>
          <w:p>
            <w:pPr>
              <w:jc w:val="right"/>
              <w:spacing w:after="0"/>
              <w:rPr>
                <w:sz w:val="20"/>
                <w:szCs w:val="20"/>
                <w:color w:val="auto"/>
              </w:rPr>
            </w:pPr>
            <w:r>
              <w:rPr>
                <w:rFonts w:ascii="Arial" w:cs="Arial" w:eastAsia="Arial" w:hAnsi="Arial"/>
                <w:sz w:val="18"/>
                <w:szCs w:val="18"/>
                <w:color w:val="auto"/>
              </w:rPr>
              <w:t>87,327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2"/>
              </w:rPr>
              <w:t>Base</w:t>
            </w: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15, 2019</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April 15, 2019</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May 2, 2019</w:t>
            </w:r>
          </w:p>
        </w:tc>
        <w:tc>
          <w:tcPr>
            <w:tcW w:w="12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Supplemental</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May 31, 2019</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June 28, 2019</w:t>
            </w:r>
          </w:p>
        </w:tc>
        <w:tc>
          <w:tcPr>
            <w:tcW w:w="1520" w:type="dxa"/>
            <w:vAlign w:val="bottom"/>
          </w:tcPr>
          <w:p>
            <w:pPr>
              <w:jc w:val="right"/>
              <w:spacing w:after="0"/>
              <w:rPr>
                <w:sz w:val="20"/>
                <w:szCs w:val="20"/>
                <w:color w:val="auto"/>
              </w:rPr>
            </w:pPr>
            <w:r>
              <w:rPr>
                <w:rFonts w:ascii="Arial" w:cs="Arial" w:eastAsia="Arial" w:hAnsi="Arial"/>
                <w:sz w:val="18"/>
                <w:szCs w:val="18"/>
                <w:color w:val="auto"/>
              </w:rPr>
              <w:t>7,214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May 2, 2019</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2"/>
              </w:rPr>
              <w:t>Base</w:t>
            </w: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14, 2019</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July 15, 2019</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July 31, 2019</w:t>
            </w:r>
          </w:p>
        </w:tc>
        <w:tc>
          <w:tcPr>
            <w:tcW w:w="1220" w:type="dxa"/>
            <w:vAlign w:val="bottom"/>
            <w:tcBorders>
              <w:bottom w:val="single" w:sz="8" w:color="CFF0FC"/>
            </w:tcBorders>
            <w:gridSpan w:val="3"/>
          </w:tcPr>
          <w:p>
            <w:pPr>
              <w:jc w:val="center"/>
              <w:ind w:right="40"/>
              <w:spacing w:after="0"/>
              <w:rPr>
                <w:sz w:val="20"/>
                <w:szCs w:val="20"/>
                <w:color w:val="auto"/>
              </w:rPr>
            </w:pPr>
            <w:r>
              <w:rPr>
                <w:rFonts w:ascii="Arial" w:cs="Arial" w:eastAsia="Arial" w:hAnsi="Arial"/>
                <w:sz w:val="18"/>
                <w:szCs w:val="18"/>
                <w:color w:val="auto"/>
                <w:w w:val="89"/>
              </w:rPr>
              <w:t>Supplemental</w:t>
            </w:r>
          </w:p>
        </w:tc>
        <w:tc>
          <w:tcPr>
            <w:tcW w:w="21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August 30, 2019</w:t>
            </w:r>
          </w:p>
        </w:tc>
        <w:tc>
          <w:tcPr>
            <w:tcW w:w="19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September 30, 2019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880,556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4"/>
            <w:vMerge w:val="restart"/>
          </w:tcPr>
          <w:p>
            <w:pPr>
              <w:ind w:left="1600"/>
              <w:spacing w:after="0"/>
              <w:rPr>
                <w:sz w:val="20"/>
                <w:szCs w:val="20"/>
                <w:color w:val="auto"/>
              </w:rPr>
            </w:pPr>
            <w:r>
              <w:rPr>
                <w:rFonts w:ascii="Arial" w:cs="Arial" w:eastAsia="Arial" w:hAnsi="Arial"/>
                <w:sz w:val="14"/>
                <w:szCs w:val="14"/>
                <w:b w:val="1"/>
                <w:bCs w:val="1"/>
                <w:color w:val="auto"/>
              </w:rPr>
              <w:t>Nine Months Ended</w:t>
            </w: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4"/>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4"/>
          </w:tcPr>
          <w:p>
            <w:pPr>
              <w:ind w:left="1620"/>
              <w:spacing w:after="0"/>
              <w:rPr>
                <w:sz w:val="20"/>
                <w:szCs w:val="20"/>
                <w:color w:val="auto"/>
              </w:rPr>
            </w:pPr>
            <w:r>
              <w:rPr>
                <w:rFonts w:ascii="Arial" w:cs="Arial" w:eastAsia="Arial" w:hAnsi="Arial"/>
                <w:sz w:val="14"/>
                <w:szCs w:val="14"/>
                <w:b w:val="1"/>
                <w:bCs w:val="1"/>
                <w:color w:val="auto"/>
              </w:rPr>
              <w:t>September 30, 2018</w:t>
            </w:r>
          </w:p>
        </w:tc>
        <w:tc>
          <w:tcPr>
            <w:tcW w:w="1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2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60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Base</w:t>
            </w:r>
          </w:p>
        </w:tc>
        <w:tc>
          <w:tcPr>
            <w:tcW w:w="100" w:type="dxa"/>
            <w:vAlign w:val="bottom"/>
            <w:tcBorders>
              <w:top w:val="single" w:sz="8" w:color="CFF0FC"/>
            </w:tcBorders>
            <w:shd w:val="clear" w:color="auto" w:fill="CFF0FC"/>
          </w:tcPr>
          <w:p>
            <w:pPr>
              <w:spacing w:after="0"/>
              <w:rPr>
                <w:sz w:val="19"/>
                <w:szCs w:val="19"/>
                <w:color w:val="auto"/>
              </w:rPr>
            </w:pP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15, 2017</w:t>
            </w:r>
          </w:p>
        </w:tc>
        <w:tc>
          <w:tcPr>
            <w:tcW w:w="1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12, 2018</w:t>
            </w:r>
          </w:p>
        </w:tc>
        <w:tc>
          <w:tcPr>
            <w:tcW w:w="1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February 21, 2018</w:t>
            </w:r>
          </w:p>
        </w:tc>
        <w:tc>
          <w:tcPr>
            <w:tcW w:w="12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Supplemental</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28, 2018</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March 30, 2018</w:t>
            </w:r>
          </w:p>
        </w:tc>
        <w:tc>
          <w:tcPr>
            <w:tcW w:w="1520" w:type="dxa"/>
            <w:vAlign w:val="bottom"/>
          </w:tcPr>
          <w:p>
            <w:pPr>
              <w:jc w:val="right"/>
              <w:spacing w:after="0"/>
              <w:rPr>
                <w:sz w:val="20"/>
                <w:szCs w:val="20"/>
                <w:color w:val="auto"/>
              </w:rPr>
            </w:pPr>
            <w:r>
              <w:rPr>
                <w:rFonts w:ascii="Arial" w:cs="Arial" w:eastAsia="Arial" w:hAnsi="Arial"/>
                <w:sz w:val="18"/>
                <w:szCs w:val="18"/>
                <w:color w:val="auto"/>
              </w:rPr>
              <w:t>16,455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2"/>
              </w:rPr>
              <w:t>Base</w:t>
            </w: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15, 2018</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April 13, 2018</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May 3, 2018</w:t>
            </w:r>
          </w:p>
        </w:tc>
        <w:tc>
          <w:tcPr>
            <w:tcW w:w="122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Supplemental</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May 31, 2018</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June 29, 2018</w:t>
            </w:r>
          </w:p>
        </w:tc>
        <w:tc>
          <w:tcPr>
            <w:tcW w:w="1520" w:type="dxa"/>
            <w:vAlign w:val="bottom"/>
          </w:tcPr>
          <w:p>
            <w:pPr>
              <w:jc w:val="right"/>
              <w:spacing w:after="0"/>
              <w:rPr>
                <w:sz w:val="20"/>
                <w:szCs w:val="20"/>
                <w:color w:val="auto"/>
              </w:rPr>
            </w:pPr>
            <w:r>
              <w:rPr>
                <w:rFonts w:ascii="Arial" w:cs="Arial" w:eastAsia="Arial" w:hAnsi="Arial"/>
                <w:sz w:val="18"/>
                <w:szCs w:val="18"/>
                <w:color w:val="auto"/>
              </w:rPr>
              <w:t>33,055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May 3, 2018</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2"/>
              </w:rPr>
              <w:t>Base</w:t>
            </w: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15, 2018</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July 13, 2018</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August 1, 2018</w:t>
            </w:r>
          </w:p>
        </w:tc>
        <w:tc>
          <w:tcPr>
            <w:tcW w:w="1220" w:type="dxa"/>
            <w:vAlign w:val="bottom"/>
            <w:tcBorders>
              <w:bottom w:val="single" w:sz="8" w:color="CFF0FC"/>
            </w:tcBorders>
            <w:gridSpan w:val="3"/>
          </w:tcPr>
          <w:p>
            <w:pPr>
              <w:jc w:val="center"/>
              <w:ind w:right="40"/>
              <w:spacing w:after="0"/>
              <w:rPr>
                <w:sz w:val="20"/>
                <w:szCs w:val="20"/>
                <w:color w:val="auto"/>
              </w:rPr>
            </w:pPr>
            <w:r>
              <w:rPr>
                <w:rFonts w:ascii="Arial" w:cs="Arial" w:eastAsia="Arial" w:hAnsi="Arial"/>
                <w:sz w:val="18"/>
                <w:szCs w:val="18"/>
                <w:color w:val="auto"/>
                <w:w w:val="89"/>
              </w:rPr>
              <w:t>Supplemental</w:t>
            </w:r>
          </w:p>
        </w:tc>
        <w:tc>
          <w:tcPr>
            <w:tcW w:w="21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August 31, 2018</w:t>
            </w:r>
          </w:p>
        </w:tc>
        <w:tc>
          <w:tcPr>
            <w:tcW w:w="19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September 28, 2018</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648,826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11 for further information on base and supplemental dividends.</w:t>
      </w:r>
    </w:p>
    <w:p>
      <w:pPr>
        <w:spacing w:after="0" w:line="225"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On August 4, 2015, the Company's Board approved a stock repurchase plan, the Company 10b5-1 Plan, to acquire up to $50 million in the aggregate of the Company’s common stock at prices just below the Company’s net asset value per share over an initial six month period, in accordance with the guidelines specified in Rule 10b-18 and Rule 10b5-1 of the Exchange Act, and has continued to authorize extensions of the plan termination date prior to its expiration since that time.</w:t>
      </w:r>
    </w:p>
    <w:p>
      <w:pPr>
        <w:spacing w:after="0" w:line="187"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The Company 10b5-1 Plan is designed to allow the Company to repurchase its common stock at times when it otherwise might be prevented from doing so under insider trading laws. The Company 10b5-1 Plan, as currently in effect, requires Goldman Sachs &amp; Co. LLC, as agent, to repurchase shares of common stock on the Company’s behalf when the market price per share is just below 1.05x the most recently reported net asset value per share in the Company’s public financial statements or publicly announced by the Company, less the amount of any supplemental dividend that has been publicly announced by the Company but that has yet to be reflected in the net asset value per share most recently reported in public financial statements (including any updates, corrections or adjustments publicly announced by the Company to any such net asset value per share or supplemental dividend). Under the Company 10b5-1 Plan, the agent will increase the volume of purchases made as the price of the Company’s common stock declines, subject to volume restrictions. The timing and amount of any stock repurchases depend on the terms and conditions of the Company 10b5-1</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ind w:right="720"/>
        <w:spacing w:after="0" w:line="277" w:lineRule="auto"/>
        <w:rPr>
          <w:sz w:val="20"/>
          <w:szCs w:val="20"/>
          <w:color w:val="auto"/>
        </w:rPr>
      </w:pPr>
      <w:r>
        <w:rPr>
          <w:rFonts w:ascii="Arial" w:cs="Arial" w:eastAsia="Arial" w:hAnsi="Arial"/>
          <w:sz w:val="18"/>
          <w:szCs w:val="18"/>
          <w:color w:val="auto"/>
        </w:rPr>
        <w:t>Plan, the market price of the common stock and trading volumes, and no assurance can be given that any particular amount of common stock will be repurchased.</w:t>
      </w:r>
    </w:p>
    <w:p>
      <w:pPr>
        <w:spacing w:after="0" w:line="170" w:lineRule="exact"/>
        <w:rPr>
          <w:sz w:val="20"/>
          <w:szCs w:val="20"/>
          <w:color w:val="auto"/>
        </w:rPr>
      </w:pPr>
    </w:p>
    <w:p>
      <w:pPr>
        <w:ind w:right="30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460" w:firstLine="259"/>
        <w:spacing w:after="0" w:line="286" w:lineRule="auto"/>
        <w:rPr>
          <w:sz w:val="20"/>
          <w:szCs w:val="20"/>
          <w:color w:val="auto"/>
        </w:rPr>
      </w:pPr>
      <w:r>
        <w:rPr>
          <w:rFonts w:ascii="Arial" w:cs="Arial" w:eastAsia="Arial" w:hAnsi="Arial"/>
          <w:sz w:val="17"/>
          <w:szCs w:val="17"/>
          <w:color w:val="auto"/>
        </w:rPr>
        <w:t>On November 5, 2019, the Board authorized an amendment to the Company 10b5-1 Plan to extend the termination date to May 31, 2020. 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three and nine months ended September 30, 2019 and 2018, no shares were repurchased under the Company 10b5-1 Plan.</w:t>
      </w:r>
    </w:p>
    <w:p>
      <w:pPr>
        <w:spacing w:after="0" w:line="200" w:lineRule="exact"/>
        <w:rPr>
          <w:sz w:val="20"/>
          <w:szCs w:val="20"/>
          <w:color w:val="auto"/>
        </w:rPr>
      </w:pPr>
    </w:p>
    <w:p>
      <w:pPr>
        <w:spacing w:after="0" w:line="210"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20" w:type="dxa"/>
            <w:vAlign w:val="bottom"/>
            <w:gridSpan w:val="5"/>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28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9"/>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9"/>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r>
      <w:tr>
        <w:trPr>
          <w:trHeight w:val="171"/>
        </w:trPr>
        <w:tc>
          <w:tcPr>
            <w:tcW w:w="28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0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116,881</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104,785</w:t>
            </w:r>
          </w:p>
        </w:tc>
        <w:tc>
          <w:tcPr>
            <w:tcW w:w="80" w:type="dxa"/>
            <w:vAlign w:val="bottom"/>
            <w:shd w:val="clear" w:color="auto" w:fill="CFF0FC"/>
          </w:tcPr>
          <w:p>
            <w:pPr>
              <w:spacing w:after="0"/>
              <w:rPr>
                <w:sz w:val="20"/>
                <w:szCs w:val="20"/>
                <w:color w:val="auto"/>
              </w:rPr>
            </w:pPr>
          </w:p>
        </w:tc>
      </w:tr>
      <w:tr>
        <w:trPr>
          <w:trHeight w:val="215"/>
        </w:trPr>
        <w:tc>
          <w:tcPr>
            <w:tcW w:w="286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66,235,594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65,101,482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65,940,148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63,582,506</w:t>
            </w:r>
          </w:p>
        </w:tc>
        <w:tc>
          <w:tcPr>
            <w:tcW w:w="80" w:type="dxa"/>
            <w:vAlign w:val="bottom"/>
          </w:tcPr>
          <w:p>
            <w:pPr>
              <w:spacing w:after="0"/>
              <w:rPr>
                <w:sz w:val="20"/>
                <w:szCs w:val="20"/>
                <w:color w:val="auto"/>
              </w:rPr>
            </w:pPr>
          </w:p>
        </w:tc>
      </w:tr>
      <w:tr>
        <w:trPr>
          <w:trHeight w:val="215"/>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For the purpose of calculating diluted earnings per common share, the average daily closing price of the Company’s common stock for the three and nine months ended September 30, 2019 was less than the estimated adjusted conversion price for the Convertible Notes outstanding as of September 30, 2019. Therefore, for all periods presented in the consolidated financial statements, the underlying shares for the intrinsic value of the embedded options in the Convertible Notes have no impact on the computation of diluted earnings per common share.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180" w:firstLine="259"/>
        <w:spacing w:after="0" w:line="308" w:lineRule="auto"/>
        <w:rPr>
          <w:sz w:val="20"/>
          <w:szCs w:val="20"/>
          <w:color w:val="auto"/>
        </w:rPr>
      </w:pPr>
      <w:r>
        <w:rPr>
          <w:rFonts w:ascii="Arial" w:cs="Arial" w:eastAsia="Arial" w:hAnsi="Arial"/>
          <w:sz w:val="17"/>
          <w:szCs w:val="17"/>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nine months ended September 30,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3"/>
          </w:tcPr>
          <w:p>
            <w:pPr>
              <w:jc w:val="right"/>
              <w:ind w:right="107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Date Declared</w:t>
            </w:r>
          </w:p>
        </w:tc>
        <w:tc>
          <w:tcPr>
            <w:tcW w:w="3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3"/>
          </w:tcPr>
          <w:p>
            <w:pPr>
              <w:jc w:val="right"/>
              <w:ind w:right="1093"/>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188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rPr>
              <w:t>Record Date</w:t>
            </w:r>
          </w:p>
        </w:tc>
        <w:tc>
          <w:tcPr>
            <w:tcW w:w="1860" w:type="dxa"/>
            <w:vAlign w:val="bottom"/>
          </w:tcPr>
          <w:p>
            <w:pPr>
              <w:jc w:val="right"/>
              <w:ind w:right="433"/>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3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2019</w:t>
            </w:r>
          </w:p>
        </w:tc>
        <w:tc>
          <w:tcPr>
            <w:tcW w:w="12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29, 2019</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February 20, 2019</w:t>
            </w:r>
          </w:p>
        </w:tc>
        <w:tc>
          <w:tcPr>
            <w:tcW w:w="34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March 15, 2019</w:t>
            </w:r>
          </w:p>
        </w:tc>
        <w:tc>
          <w:tcPr>
            <w:tcW w:w="1860" w:type="dxa"/>
            <w:vAlign w:val="bottom"/>
          </w:tcPr>
          <w:p>
            <w:pPr>
              <w:jc w:val="right"/>
              <w:spacing w:after="0"/>
              <w:rPr>
                <w:sz w:val="20"/>
                <w:szCs w:val="20"/>
                <w:color w:val="auto"/>
              </w:rPr>
            </w:pPr>
            <w:r>
              <w:rPr>
                <w:rFonts w:ascii="Arial" w:cs="Arial" w:eastAsia="Arial" w:hAnsi="Arial"/>
                <w:sz w:val="18"/>
                <w:szCs w:val="18"/>
                <w:color w:val="auto"/>
              </w:rPr>
              <w:t>April 15, 2019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May 2, 2019</w:t>
            </w:r>
          </w:p>
        </w:tc>
        <w:tc>
          <w:tcPr>
            <w:tcW w:w="1460" w:type="dxa"/>
            <w:vAlign w:val="bottom"/>
            <w:gridSpan w:val="3"/>
            <w:shd w:val="clear" w:color="auto" w:fill="CFF0FC"/>
          </w:tcPr>
          <w:p>
            <w:pPr>
              <w:jc w:val="center"/>
              <w:ind w:left="110"/>
              <w:spacing w:after="0"/>
              <w:rPr>
                <w:sz w:val="20"/>
                <w:szCs w:val="20"/>
                <w:color w:val="auto"/>
              </w:rPr>
            </w:pPr>
            <w:r>
              <w:rPr>
                <w:rFonts w:ascii="Arial" w:cs="Arial" w:eastAsia="Arial" w:hAnsi="Arial"/>
                <w:sz w:val="18"/>
                <w:szCs w:val="18"/>
                <w:color w:val="auto"/>
                <w:w w:val="89"/>
              </w:rPr>
              <w:t>Supplemental</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May 31, 2019</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28, 2019</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May 2, 2019</w:t>
            </w:r>
          </w:p>
        </w:tc>
        <w:tc>
          <w:tcPr>
            <w:tcW w:w="34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June 14, 2019</w:t>
            </w:r>
          </w:p>
        </w:tc>
        <w:tc>
          <w:tcPr>
            <w:tcW w:w="1860" w:type="dxa"/>
            <w:vAlign w:val="bottom"/>
          </w:tcPr>
          <w:p>
            <w:pPr>
              <w:jc w:val="right"/>
              <w:spacing w:after="0"/>
              <w:rPr>
                <w:sz w:val="20"/>
                <w:szCs w:val="20"/>
                <w:color w:val="auto"/>
              </w:rPr>
            </w:pPr>
            <w:r>
              <w:rPr>
                <w:rFonts w:ascii="Arial" w:cs="Arial" w:eastAsia="Arial" w:hAnsi="Arial"/>
                <w:sz w:val="18"/>
                <w:szCs w:val="18"/>
                <w:color w:val="auto"/>
              </w:rPr>
              <w:t>July 15, 2019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July 31, 2019</w:t>
            </w:r>
          </w:p>
        </w:tc>
        <w:tc>
          <w:tcPr>
            <w:tcW w:w="1460" w:type="dxa"/>
            <w:vAlign w:val="bottom"/>
            <w:gridSpan w:val="3"/>
            <w:shd w:val="clear" w:color="auto" w:fill="CFF0FC"/>
          </w:tcPr>
          <w:p>
            <w:pPr>
              <w:jc w:val="center"/>
              <w:ind w:left="110"/>
              <w:spacing w:after="0"/>
              <w:rPr>
                <w:sz w:val="20"/>
                <w:szCs w:val="20"/>
                <w:color w:val="auto"/>
              </w:rPr>
            </w:pPr>
            <w:r>
              <w:rPr>
                <w:rFonts w:ascii="Arial" w:cs="Arial" w:eastAsia="Arial" w:hAnsi="Arial"/>
                <w:sz w:val="18"/>
                <w:szCs w:val="18"/>
                <w:color w:val="auto"/>
                <w:w w:val="89"/>
              </w:rPr>
              <w:t>Supplemental</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August 30, 2019</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30, 2019</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July 31, 2019</w:t>
            </w:r>
          </w:p>
        </w:tc>
        <w:tc>
          <w:tcPr>
            <w:tcW w:w="3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8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September 13, 2019</w:t>
            </w:r>
          </w:p>
        </w:tc>
        <w:tc>
          <w:tcPr>
            <w:tcW w:w="1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October 15, 2019</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vMerge w:val="restart"/>
          </w:tcPr>
          <w:p>
            <w:pPr>
              <w:jc w:val="right"/>
              <w:ind w:right="995"/>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4" w:name="page45"/>
    <w:bookmarkEnd w:id="44"/>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3"/>
          </w:tcPr>
          <w:p>
            <w:pPr>
              <w:jc w:val="right"/>
              <w:ind w:right="107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3"/>
          </w:tcPr>
          <w:p>
            <w:pPr>
              <w:jc w:val="right"/>
              <w:ind w:right="1093"/>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188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rPr>
              <w:t>Record Date</w:t>
            </w:r>
          </w:p>
        </w:tc>
        <w:tc>
          <w:tcPr>
            <w:tcW w:w="1860" w:type="dxa"/>
            <w:vAlign w:val="bottom"/>
          </w:tcPr>
          <w:p>
            <w:pPr>
              <w:jc w:val="right"/>
              <w:ind w:right="433"/>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3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2018</w:t>
            </w:r>
          </w:p>
        </w:tc>
        <w:tc>
          <w:tcPr>
            <w:tcW w:w="12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30, 2018</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February 21, 2018</w:t>
            </w:r>
          </w:p>
        </w:tc>
        <w:tc>
          <w:tcPr>
            <w:tcW w:w="34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March 15, 2018</w:t>
            </w:r>
          </w:p>
        </w:tc>
        <w:tc>
          <w:tcPr>
            <w:tcW w:w="1860" w:type="dxa"/>
            <w:vAlign w:val="bottom"/>
          </w:tcPr>
          <w:p>
            <w:pPr>
              <w:jc w:val="right"/>
              <w:spacing w:after="0"/>
              <w:rPr>
                <w:sz w:val="20"/>
                <w:szCs w:val="20"/>
                <w:color w:val="auto"/>
              </w:rPr>
            </w:pPr>
            <w:r>
              <w:rPr>
                <w:rFonts w:ascii="Arial" w:cs="Arial" w:eastAsia="Arial" w:hAnsi="Arial"/>
                <w:sz w:val="18"/>
                <w:szCs w:val="18"/>
                <w:color w:val="auto"/>
              </w:rPr>
              <w:t>April 13, 2018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May 3, 2018</w:t>
            </w:r>
          </w:p>
        </w:tc>
        <w:tc>
          <w:tcPr>
            <w:tcW w:w="1460" w:type="dxa"/>
            <w:vAlign w:val="bottom"/>
            <w:gridSpan w:val="3"/>
            <w:shd w:val="clear" w:color="auto" w:fill="CFF0FC"/>
          </w:tcPr>
          <w:p>
            <w:pPr>
              <w:jc w:val="center"/>
              <w:ind w:left="110"/>
              <w:spacing w:after="0"/>
              <w:rPr>
                <w:sz w:val="20"/>
                <w:szCs w:val="20"/>
                <w:color w:val="auto"/>
              </w:rPr>
            </w:pPr>
            <w:r>
              <w:rPr>
                <w:rFonts w:ascii="Arial" w:cs="Arial" w:eastAsia="Arial" w:hAnsi="Arial"/>
                <w:sz w:val="18"/>
                <w:szCs w:val="18"/>
                <w:color w:val="auto"/>
                <w:w w:val="89"/>
              </w:rPr>
              <w:t>Supplemental</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May 31, 2018</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29, 2018</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May 3, 2018</w:t>
            </w:r>
          </w:p>
        </w:tc>
        <w:tc>
          <w:tcPr>
            <w:tcW w:w="34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June 15, 2018</w:t>
            </w:r>
          </w:p>
        </w:tc>
        <w:tc>
          <w:tcPr>
            <w:tcW w:w="1860" w:type="dxa"/>
            <w:vAlign w:val="bottom"/>
          </w:tcPr>
          <w:p>
            <w:pPr>
              <w:jc w:val="right"/>
              <w:spacing w:after="0"/>
              <w:rPr>
                <w:sz w:val="20"/>
                <w:szCs w:val="20"/>
                <w:color w:val="auto"/>
              </w:rPr>
            </w:pPr>
            <w:r>
              <w:rPr>
                <w:rFonts w:ascii="Arial" w:cs="Arial" w:eastAsia="Arial" w:hAnsi="Arial"/>
                <w:sz w:val="18"/>
                <w:szCs w:val="18"/>
                <w:color w:val="auto"/>
              </w:rPr>
              <w:t>July 13, 2018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August 1, 2018</w:t>
            </w:r>
          </w:p>
        </w:tc>
        <w:tc>
          <w:tcPr>
            <w:tcW w:w="1460" w:type="dxa"/>
            <w:vAlign w:val="bottom"/>
            <w:gridSpan w:val="3"/>
            <w:shd w:val="clear" w:color="auto" w:fill="CFF0FC"/>
          </w:tcPr>
          <w:p>
            <w:pPr>
              <w:jc w:val="center"/>
              <w:ind w:left="110"/>
              <w:spacing w:after="0"/>
              <w:rPr>
                <w:sz w:val="20"/>
                <w:szCs w:val="20"/>
                <w:color w:val="auto"/>
              </w:rPr>
            </w:pPr>
            <w:r>
              <w:rPr>
                <w:rFonts w:ascii="Arial" w:cs="Arial" w:eastAsia="Arial" w:hAnsi="Arial"/>
                <w:sz w:val="18"/>
                <w:szCs w:val="18"/>
                <w:color w:val="auto"/>
                <w:w w:val="89"/>
              </w:rPr>
              <w:t>Supplemental</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August 31, 2018</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28, 2018</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August 1, 2018</w:t>
            </w:r>
          </w:p>
        </w:tc>
        <w:tc>
          <w:tcPr>
            <w:tcW w:w="3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8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September 14, 2018</w:t>
            </w:r>
          </w:p>
        </w:tc>
        <w:tc>
          <w:tcPr>
            <w:tcW w:w="1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October 15, 2018</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dividends declared during the three and nine months ended September 30, 2019 and 2018 were derived from net investment income, determined on a tax basis.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40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nine months ended September 30, 2019 and 2018.</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16.25</w:t>
            </w:r>
          </w:p>
        </w:tc>
        <w:tc>
          <w:tcPr>
            <w:tcW w:w="2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w:t>
            </w:r>
            <w:r>
              <w:rPr>
                <w:rFonts w:ascii="Arial" w:cs="Arial" w:eastAsia="Arial" w:hAnsi="Arial"/>
                <w:sz w:val="15"/>
                <w:szCs w:val="15"/>
                <w:color w:val="auto"/>
              </w:rPr>
              <w:t>(1)</w:t>
            </w:r>
          </w:p>
        </w:tc>
        <w:tc>
          <w:tcPr>
            <w:tcW w:w="9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increase in net</w:t>
            </w:r>
          </w:p>
        </w:tc>
        <w:tc>
          <w:tcPr>
            <w:tcW w:w="9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Net Asset Value, End of Period</w:t>
            </w:r>
          </w:p>
        </w:tc>
        <w:tc>
          <w:tcPr>
            <w:tcW w:w="9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16.72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9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1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2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Total return based on net asset</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66,293,373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65,168,251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 average net assets</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Portfolio turnover</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34.44%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1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1,108,258</w:t>
            </w:r>
          </w:p>
        </w:tc>
        <w:tc>
          <w:tcPr>
            <w:tcW w:w="2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1,073,181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20" w:right="140" w:hanging="512"/>
        <w:spacing w:after="0" w:line="250"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20" w:right="500" w:hanging="512"/>
        <w:spacing w:after="0" w:line="250"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14" w:right="319" w:bottom="1440" w:gutter="0" w:footer="0" w:header="0"/>
        </w:sectPr>
      </w:pPr>
    </w:p>
    <w:bookmarkStart w:id="45" w:name="page46"/>
    <w:bookmarkEnd w:id="45"/>
    <w:p>
      <w:pPr>
        <w:ind w:left="520" w:hanging="512"/>
        <w:spacing w:after="0" w:line="269"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ratio of net expenses to average net assets in the table above reflects the Adviser’s waivers of its right to receive a portion of the Management Fee and Incentive Fees with respect to the Company’s ownership of shares of common stock of Triangle Capital Corp. Excluding the effects of waivers, the ratio of net expenses to average net assets would have been 11.24% for the nine months ended September 30, 2018. The Adviser did not waive any Management Fees or Incentive Fees for the nine months ended September 30, 2019.</w:t>
      </w:r>
    </w:p>
    <w:p>
      <w:pPr>
        <w:spacing w:after="0" w:line="2" w:lineRule="exact"/>
        <w:rPr>
          <w:rFonts w:ascii="Arial" w:cs="Arial" w:eastAsia="Arial" w:hAnsi="Arial"/>
          <w:sz w:val="17"/>
          <w:szCs w:val="17"/>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On November 1,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the Company’s option at any time at par plus a “make whole” premium. Total proceeds from the issuance of the 2024 Notes, net of underwriting discounts and estimated offering costs, were approximately $293.1 million. The Company used the net proceeds of the 2024 Notes to repay outstanding indebtedness under the Revolving Credit Facility.</w:t>
      </w:r>
    </w:p>
    <w:p>
      <w:pPr>
        <w:spacing w:after="0" w:line="64"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In connection with the offering, the Company entered into an interest rate swap to better align the interest rates of its liabilities with the Company’s investment portfolio, which consists of predominately floating rate loans. As a result of the swap, the Company’s effective interest rate on the 2024 Notes is three-month LIBOR plus 225 basis points. The swap transaction matures on November 1, 2024.</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80" w:firstLine="259"/>
        <w:spacing w:after="0" w:line="259"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near or below our then-current net asset value per share, it is in the best interest of our stockholders for us to reinvest in our existing portfolio and increase our leverage ratio through share repurchases.</w:t>
      </w:r>
    </w:p>
    <w:p>
      <w:pPr>
        <w:spacing w:after="0" w:line="158"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as currently in effect, requires Goldman Sachs &amp; Co. LLC, as agent, to repurchase shares of common stock on our behalf when the market price per share is just below 1.05x the most recently reported net asset value per share in our public financial statements or publicly announced by us, less the amount of any supplemental dividend that we have publicly announced but that has yet to be reflected in the net asset value per share most recently reported in public financial statements (including any updates, corrections or adjustments publicly announced by us to any such net asset value per share or supplemental dividend). Under the Company 10b5-1 Plan, the agent will increase the volume of purchases made as the price of our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82" w:lineRule="exact"/>
        <w:rPr>
          <w:sz w:val="20"/>
          <w:szCs w:val="20"/>
          <w:color w:val="auto"/>
        </w:rPr>
      </w:pPr>
    </w:p>
    <w:p>
      <w:pPr>
        <w:ind w:right="440" w:firstLine="259"/>
        <w:spacing w:after="0" w:line="286" w:lineRule="auto"/>
        <w:rPr>
          <w:sz w:val="20"/>
          <w:szCs w:val="20"/>
          <w:color w:val="auto"/>
        </w:rPr>
      </w:pPr>
      <w:r>
        <w:rPr>
          <w:rFonts w:ascii="Arial" w:cs="Arial" w:eastAsia="Arial" w:hAnsi="Arial"/>
          <w:sz w:val="17"/>
          <w:szCs w:val="17"/>
          <w:color w:val="auto"/>
        </w:rPr>
        <w:t>On November 5, 2019, the Board authorized an amendment to the Company 10b5-1 Plan to extend the termination date to May 31, 2020. 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September 30, 2019, we have originated more than $11.8 billion aggregate principal amount of investments and retained approximately $6.0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ind w:right="4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September 30, 2019, our core portfolio companies, which excludes certain investments that fall outside of our typical borrower profile and represent 78.1% of our total investments based on fair value, had weighted average annual revenue of $105.7 million and weighted average annual EBITDA of $33.6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1" w:lineRule="exact"/>
        <w:rPr>
          <w:sz w:val="20"/>
          <w:szCs w:val="20"/>
          <w:color w:val="auto"/>
        </w:rPr>
      </w:pPr>
    </w:p>
    <w:p>
      <w:pPr>
        <w:ind w:right="220" w:firstLine="259"/>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September 30, 2019, the largest single investment based on fair value represented 4.2% of our total investment portfolio.</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September 30, 2019, the average investment size in each of our portfolio companies was approximately $37.2 million based on fair value.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2019, the largest industry represented 18.1% of our total investment portfolio based on fair value.</w:t>
      </w:r>
    </w:p>
    <w:p>
      <w:pPr>
        <w:spacing w:after="0" w:line="225"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September 30, 2019,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97.8% of our portfolio was invested in secured debt, including 97.2%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2019, the weighted average term on new investment commitments in new portfolio companies was 4.5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20" w:firstLine="259"/>
        <w:spacing w:after="0" w:line="28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September 30, 2019, we had call protection on 86.4% of our debt investments based on fair value, with weighted average call prices of 105.7% for the first year, 103.3% for the second year and 101.4% for the third year, in each case from the date of the initial investment. As of September 30, 2019,</w:t>
      </w:r>
    </w:p>
    <w:p>
      <w:pPr>
        <w:ind w:right="140"/>
        <w:spacing w:after="0" w:line="261" w:lineRule="auto"/>
        <w:rPr>
          <w:sz w:val="20"/>
          <w:szCs w:val="20"/>
          <w:color w:val="auto"/>
        </w:rPr>
      </w:pPr>
      <w:r>
        <w:rPr>
          <w:rFonts w:ascii="Arial" w:cs="Arial" w:eastAsia="Arial" w:hAnsi="Arial"/>
          <w:sz w:val="18"/>
          <w:szCs w:val="18"/>
          <w:color w:val="auto"/>
        </w:rPr>
        <w:t>99.1% of our debt investments based on fair value bore interest at floating rates (when including investment specific hedges), with 96.2% of these subject to interest rate floors, which we believe helps act as a portfolio-wide hedge against inflation.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Relationship with our Adviser and TSSP</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LLC, or TSSP.</w:t>
      </w:r>
    </w:p>
    <w:p>
      <w:pPr>
        <w:spacing w:after="0" w:line="193"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TSSP is a global finance and investment firm with over $32 billion of assets under management as of June 30, 2019.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240 investment and operating professionals. As of September 30, 2019, thirty four (34) of these personnel are dedicated to our business, including twenty six (26) investment professionals.</w:t>
      </w:r>
    </w:p>
    <w:p>
      <w:pPr>
        <w:spacing w:after="0" w:line="16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firstLine="259"/>
        <w:spacing w:after="0" w:line="273"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September 30, 2019, 99.1% of these investments based on fair value bore interest at a floating rate (when including investment specific hedges), with 96.2% of these subject to interest rate floors. Interest on debt investments is generally payable quarterly or semiannually. Some of our debt investments provide for deferred interest payments or PIK interest. For the three and nine months ended September 30, 2019, 2.6% and 3.0% respectively of our total investment income was comprised of PIK interest.</w:t>
      </w:r>
    </w:p>
    <w:p>
      <w:pPr>
        <w:spacing w:after="0" w:line="178"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2023 Notes and Convertible Notes, after taking into account the effect of the interest rate swaps we have entered into in connection with the Convertible Notes and 2023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line="25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80"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20" w:hanging="255"/>
        <w:spacing w:after="0" w:line="34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3" w:lineRule="exact"/>
        <w:rPr>
          <w:sz w:val="20"/>
          <w:szCs w:val="20"/>
          <w:color w:val="auto"/>
        </w:rPr>
      </w:pPr>
    </w:p>
    <w:p>
      <w:pPr>
        <w:ind w:right="80" w:firstLine="259"/>
        <w:spacing w:after="0" w:line="290" w:lineRule="auto"/>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increase our maximum debt-to-equity ratio from an effective level of one-to-one to two-to-one. 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firstLine="259"/>
        <w:spacing w:after="0" w:line="286" w:lineRule="auto"/>
        <w:rPr>
          <w:sz w:val="20"/>
          <w:szCs w:val="20"/>
          <w:color w:val="auto"/>
        </w:rPr>
      </w:pPr>
      <w:r>
        <w:rPr>
          <w:rFonts w:ascii="Arial" w:cs="Arial" w:eastAsia="Arial" w:hAnsi="Arial"/>
          <w:sz w:val="17"/>
          <w:szCs w:val="17"/>
          <w:color w:val="auto"/>
        </w:rPr>
        <w:t>As of September 30, 2019, our portfolio based on fair value consisted of 97.2% first-lien debt investments, 0.7% second-lien debt investments, 0.1% mezzanine debt investments, and 2.0% equity and other investments. As of December 31, 2018, our portfolio based on fair value consisted of 96.9% first-lien debt investments, 0.2% second-lien debt investments, 0.2% mezzanine debt investments, and 2.7% equity and other investments.</w:t>
      </w:r>
    </w:p>
    <w:p>
      <w:pPr>
        <w:spacing w:after="0" w:line="166"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As of September 30, 2019 and December 31, 2018, our weighted average total yield of debt and income-producing securities at fair value (which includes interest income and amortization of fees and discounts) was 10.7% and 11.6%, respectively, and our weighted average total yield of debt and income-producing securities at amortized cost (which includes interest income and amortization of fees and discounts) was 10.8% and 11.7%, respectively.</w:t>
      </w:r>
    </w:p>
    <w:p>
      <w:pPr>
        <w:spacing w:after="0" w:line="14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As of September 30, 2019 and December 31, 2018, we had investments in 55 and 46 portfolio companies, respectively, with an aggregate fair value of $2,047.5 million and $1,706.0 million,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2" w:name="page53"/>
    <w:bookmarkEnd w:id="52"/>
    <w:p>
      <w:pPr>
        <w:ind w:right="200" w:firstLine="259"/>
        <w:spacing w:after="0" w:line="308" w:lineRule="auto"/>
        <w:rPr>
          <w:sz w:val="20"/>
          <w:szCs w:val="20"/>
          <w:color w:val="auto"/>
        </w:rPr>
      </w:pPr>
      <w:r>
        <w:rPr>
          <w:rFonts w:ascii="Arial" w:cs="Arial" w:eastAsia="Arial" w:hAnsi="Arial"/>
          <w:sz w:val="17"/>
          <w:szCs w:val="17"/>
          <w:color w:val="auto"/>
        </w:rPr>
        <w:t>For the three months ended September 30, 2019, the principal amount of new investments funded was $309.1 million in seven new portfolio companies and four existing portfolio companies. For this period, we had $309.9 million aggregate principal amount in exits and repayments.</w:t>
      </w:r>
    </w:p>
    <w:p>
      <w:pPr>
        <w:spacing w:after="0" w:line="14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For the three months ended September 30, 2018, the principal amount of new investments funded was $134.0 million in four new portfolio companies and two existing portfolio companies. For this period, we had $118.8 million aggregate principal amount in exits and repayments.</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Our investment activity for the three months ended September 30, 2019 and 2018 is presented below (information presented herein is at par value unless otherwise indicated).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4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2"/>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1"/>
                <w:szCs w:val="11"/>
                <w:color w:val="auto"/>
              </w:rPr>
            </w:pPr>
          </w:p>
        </w:tc>
      </w:tr>
      <w:tr>
        <w:trPr>
          <w:trHeight w:val="171"/>
        </w:trPr>
        <w:tc>
          <w:tcPr>
            <w:tcW w:w="45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616.5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317.1</w:t>
            </w: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FF0FC"/>
          </w:tcPr>
          <w:p>
            <w:pPr>
              <w:spacing w:after="0"/>
              <w:rPr>
                <w:sz w:val="19"/>
                <w:szCs w:val="19"/>
                <w:color w:val="auto"/>
              </w:rPr>
            </w:pPr>
          </w:p>
        </w:tc>
      </w:tr>
      <w:tr>
        <w:trPr>
          <w:trHeight w:val="223"/>
        </w:trPr>
        <w:tc>
          <w:tcPr>
            <w:tcW w:w="450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355.6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142.1</w:t>
            </w: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298.9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128.9</w:t>
            </w: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r>
      <w:tr>
        <w:trPr>
          <w:trHeight w:val="223"/>
        </w:trPr>
        <w:tc>
          <w:tcPr>
            <w:tcW w:w="4500" w:type="dxa"/>
            <w:vAlign w:val="bottom"/>
          </w:tcPr>
          <w:p>
            <w:pPr>
              <w:ind w:left="50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309.1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305.8</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Borders>
              <w:bottom w:val="single" w:sz="8" w:color="CFF0FC"/>
            </w:tcBorders>
          </w:tcPr>
          <w:p>
            <w:pPr>
              <w:spacing w:after="0"/>
              <w:rPr>
                <w:sz w:val="19"/>
                <w:szCs w:val="19"/>
                <w:color w:val="auto"/>
              </w:rPr>
            </w:pPr>
          </w:p>
        </w:tc>
      </w:tr>
      <w:tr>
        <w:trPr>
          <w:trHeight w:val="205"/>
        </w:trPr>
        <w:tc>
          <w:tcPr>
            <w:tcW w:w="45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450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20"/>
                <w:szCs w:val="20"/>
                <w:color w:val="auto"/>
              </w:rPr>
            </w:pPr>
          </w:p>
        </w:tc>
      </w:tr>
      <w:tr>
        <w:trPr>
          <w:trHeight w:val="211"/>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450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95.0%</w:t>
            </w:r>
          </w:p>
        </w:tc>
      </w:tr>
      <w:tr>
        <w:trPr>
          <w:trHeight w:val="211"/>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r>
      <w:tr>
        <w:trPr>
          <w:trHeight w:val="211"/>
        </w:trPr>
        <w:tc>
          <w:tcPr>
            <w:tcW w:w="45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450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1"/>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r>
      <w:tr>
        <w:trPr>
          <w:trHeight w:val="211"/>
        </w:trPr>
        <w:tc>
          <w:tcPr>
            <w:tcW w:w="45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450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bl>
    <w:p>
      <w:pPr>
        <w:spacing w:after="0" w:line="242" w:lineRule="exact"/>
        <w:rPr>
          <w:sz w:val="20"/>
          <w:szCs w:val="20"/>
          <w:color w:val="auto"/>
        </w:rPr>
      </w:pPr>
    </w:p>
    <w:p>
      <w:pPr>
        <w:ind w:left="520" w:right="140" w:hanging="512"/>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two fixed rate investments for the three months ended September 30, 2019, for which we entered into interest rate swap agreements to swap to floating rates.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color w:val="auto"/>
        </w:rPr>
        <w:t>As of September 30, 2019 and December 31, 2018, our investments consisted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3300" w:type="dxa"/>
            <w:vAlign w:val="bottom"/>
            <w:tcBorders>
              <w:bottom w:val="single" w:sz="8" w:color="CFF0FC"/>
            </w:tcBorders>
            <w:vMerge w:val="continue"/>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The following tables show the fair value and amortized cost of our performing and non-accrual investments as of September 30, 2019 and December 31, 2018:</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5"/>
          </w:tcPr>
          <w:p>
            <w:pPr>
              <w:jc w:val="right"/>
              <w:ind w:right="93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2,047.5</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2,047.5</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2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2,053.2</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2,053.2</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76"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September 30, 2019 and December 31, 2018 were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2019</w:t>
            </w: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December 31, 2018</w:t>
            </w:r>
          </w:p>
        </w:tc>
      </w:tr>
      <w:tr>
        <w:trPr>
          <w:trHeight w:val="209"/>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4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r>
    </w:tbl>
    <w:p>
      <w:pPr>
        <w:spacing w:after="0" w:line="242"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10.5% at September 30, 2019 and 11.3% at December 31, 2018.</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25"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54" w:name="page55"/>
    <w:bookmarkEnd w:id="54"/>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820" w:hanging="255"/>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3" w:lineRule="exact"/>
        <w:rPr>
          <w:rFonts w:ascii="Arial" w:cs="Arial" w:eastAsia="Arial" w:hAnsi="Arial"/>
          <w:sz w:val="18"/>
          <w:szCs w:val="18"/>
          <w:color w:val="auto"/>
        </w:rPr>
      </w:pPr>
    </w:p>
    <w:p>
      <w:pPr>
        <w:ind w:left="520" w:right="300" w:hanging="255"/>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380" w:hanging="255"/>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160" w:hanging="255"/>
        <w:spacing w:after="0" w:line="255"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5" w:lineRule="exact"/>
        <w:rPr>
          <w:rFonts w:ascii="Arial" w:cs="Arial" w:eastAsia="Arial" w:hAnsi="Arial"/>
          <w:sz w:val="18"/>
          <w:szCs w:val="18"/>
          <w:color w:val="auto"/>
        </w:rPr>
      </w:pPr>
    </w:p>
    <w:p>
      <w:pPr>
        <w:ind w:left="520" w:right="40" w:hanging="255"/>
        <w:spacing w:after="0" w:line="279"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September 30, 2019 and December 31, 2018. Investment performance ratings are accurate only as of those dates and may change due to subsequent developments relating to a portfolio company’s business or financial condition, market conditions or developments, and other factors.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Investment</w:t>
            </w:r>
          </w:p>
        </w:tc>
        <w:tc>
          <w:tcPr>
            <w:tcW w:w="14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w w:val="99"/>
              </w:rPr>
              <w:t>September 30, 2019</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5"/>
              </w:rPr>
              <w:t>December 31, 2018</w:t>
            </w:r>
          </w:p>
        </w:tc>
        <w:tc>
          <w:tcPr>
            <w:tcW w:w="1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300" w:type="dxa"/>
            <w:vAlign w:val="bottom"/>
            <w:gridSpan w:val="2"/>
            <w:vMerge w:val="continue"/>
          </w:tcPr>
          <w:p>
            <w:pPr>
              <w:spacing w:after="0"/>
              <w:rPr>
                <w:sz w:val="12"/>
                <w:szCs w:val="12"/>
                <w:color w:val="auto"/>
              </w:rPr>
            </w:pPr>
          </w:p>
        </w:tc>
        <w:tc>
          <w:tcPr>
            <w:tcW w:w="3780" w:type="dxa"/>
            <w:vAlign w:val="bottom"/>
            <w:gridSpan w:val="4"/>
          </w:tcPr>
          <w:p>
            <w:pPr>
              <w:jc w:val="center"/>
              <w:ind w:right="1728"/>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4"/>
          </w:tcPr>
          <w:p>
            <w:pPr>
              <w:jc w:val="center"/>
              <w:ind w:right="80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Performance</w:t>
            </w:r>
          </w:p>
        </w:tc>
        <w:tc>
          <w:tcPr>
            <w:tcW w:w="1420" w:type="dxa"/>
            <w:vAlign w:val="bottom"/>
          </w:tcPr>
          <w:p>
            <w:pPr>
              <w:jc w:val="center"/>
              <w:ind w:left="461"/>
              <w:spacing w:after="0"/>
              <w:rPr>
                <w:sz w:val="20"/>
                <w:szCs w:val="20"/>
                <w:color w:val="auto"/>
              </w:rPr>
            </w:pPr>
            <w:r>
              <w:rPr>
                <w:rFonts w:ascii="Arial" w:cs="Arial" w:eastAsia="Arial" w:hAnsi="Arial"/>
                <w:sz w:val="14"/>
                <w:szCs w:val="14"/>
                <w:b w:val="1"/>
                <w:bCs w:val="1"/>
                <w:color w:val="auto"/>
                <w:w w:val="95"/>
              </w:rPr>
              <w:t>Fair Value</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ind w:left="408"/>
              <w:spacing w:after="0"/>
              <w:rPr>
                <w:sz w:val="20"/>
                <w:szCs w:val="20"/>
                <w:color w:val="auto"/>
              </w:rPr>
            </w:pPr>
            <w:r>
              <w:rPr>
                <w:rFonts w:ascii="Arial" w:cs="Arial" w:eastAsia="Arial" w:hAnsi="Arial"/>
                <w:sz w:val="14"/>
                <w:szCs w:val="14"/>
                <w:b w:val="1"/>
                <w:bCs w:val="1"/>
                <w:color w:val="auto"/>
                <w:w w:val="90"/>
              </w:rPr>
              <w:t>Percentage of</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Percentage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32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center"/>
              <w:ind w:left="461"/>
              <w:spacing w:after="0"/>
              <w:rPr>
                <w:sz w:val="20"/>
                <w:szCs w:val="20"/>
                <w:color w:val="auto"/>
              </w:rPr>
            </w:pPr>
            <w:r>
              <w:rPr>
                <w:rFonts w:ascii="Arial" w:cs="Arial" w:eastAsia="Arial" w:hAnsi="Arial"/>
                <w:sz w:val="14"/>
                <w:szCs w:val="14"/>
                <w:b w:val="1"/>
                <w:bCs w:val="1"/>
                <w:color w:val="auto"/>
                <w:w w:val="93"/>
              </w:rPr>
              <w:t>($ in millions)</w:t>
            </w: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2"/>
              </w:rPr>
              <w:t>Total Portfolio</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Total Portfolio</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4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1,829.0</w:t>
            </w: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1,531.4</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Pr>
          <w:p>
            <w:pPr>
              <w:jc w:val="right"/>
              <w:ind w:right="81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168.8</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118.1</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Pr>
          <w:p>
            <w:pPr>
              <w:jc w:val="right"/>
              <w:ind w:right="81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360" w:type="dxa"/>
            <w:vAlign w:val="bottom"/>
            <w:gridSpan w:val="3"/>
          </w:tcPr>
          <w:p>
            <w:pPr>
              <w:jc w:val="right"/>
              <w:ind w:right="174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Total</w:t>
            </w:r>
          </w:p>
        </w:tc>
        <w:tc>
          <w:tcPr>
            <w:tcW w:w="1420" w:type="dxa"/>
            <w:vAlign w:val="bottom"/>
          </w:tcPr>
          <w:p>
            <w:pPr>
              <w:jc w:val="right"/>
              <w:ind w:right="124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2,047.5</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1,706.0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60" w:type="dxa"/>
            <w:vAlign w:val="bottom"/>
            <w:gridSpan w:val="3"/>
          </w:tcPr>
          <w:p>
            <w:pPr>
              <w:jc w:val="right"/>
              <w:ind w:right="208"/>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nine months ended September 30, 2019 and 2018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6"/>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432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Borders>
              <w:top w:val="single" w:sz="8" w:color="auto"/>
            </w:tcBorders>
            <w:gridSpan w:val="4"/>
          </w:tcPr>
          <w:p>
            <w:pPr>
              <w:jc w:val="right"/>
              <w:ind w:right="28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right"/>
              <w:ind w:right="10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432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7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8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6"/>
              </w:rPr>
              <w:t>63.0</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7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31.8</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6"/>
              </w:rPr>
              <w:t>30.1</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6"/>
              </w:rPr>
              <w:t>32.9</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7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0.6</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6"/>
              </w:rPr>
              <w:t>32.3</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Net increase in net assets resulting</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b w:val="1"/>
                <w:bCs w:val="1"/>
                <w:color w:val="auto"/>
              </w:rPr>
              <w:t>from operations</w:t>
            </w:r>
          </w:p>
        </w:tc>
        <w:tc>
          <w:tcPr>
            <w:tcW w:w="9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0"/>
                <w:szCs w:val="20"/>
                <w:color w:val="auto"/>
              </w:rPr>
            </w:pPr>
          </w:p>
        </w:tc>
        <w:tc>
          <w:tcPr>
            <w:tcW w:w="860" w:type="dxa"/>
            <w:vAlign w:val="bottom"/>
            <w:gridSpan w:val="3"/>
          </w:tcPr>
          <w:p>
            <w:pPr>
              <w:jc w:val="right"/>
              <w:ind w:right="48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37.4</w:t>
            </w:r>
          </w:p>
        </w:tc>
        <w:tc>
          <w:tcPr>
            <w:tcW w:w="6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116.9</w:t>
            </w:r>
          </w:p>
        </w:tc>
        <w:tc>
          <w:tcPr>
            <w:tcW w:w="62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(1)</w:t>
            </w:r>
          </w:p>
        </w:tc>
        <w:tc>
          <w:tcPr>
            <w:tcW w:w="43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3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6"/>
          </w:tcPr>
          <w:p>
            <w:pPr>
              <w:jc w:val="right"/>
              <w:ind w:right="18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432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432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4"/>
          </w:tcPr>
          <w:p>
            <w:pPr>
              <w:jc w:val="right"/>
              <w:ind w:right="34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2019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7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61.8</w:t>
            </w:r>
          </w:p>
        </w:tc>
        <w:tc>
          <w:tcPr>
            <w:tcW w:w="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42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Dividend income</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7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700" w:type="dxa"/>
            <w:vAlign w:val="bottom"/>
          </w:tcPr>
          <w:p>
            <w:pPr>
              <w:spacing w:after="0"/>
              <w:rPr>
                <w:sz w:val="19"/>
                <w:szCs w:val="19"/>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522"/>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63.0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185.0</w:t>
            </w:r>
          </w:p>
        </w:tc>
        <w:tc>
          <w:tcPr>
            <w:tcW w:w="420" w:type="dxa"/>
            <w:vAlign w:val="bottom"/>
            <w:gridSpan w:val="2"/>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Interest from investments, which includes amortization of upfront fees and prepayment fees, increased from $61.8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to $67.4 million for the three months ended September 30, 2019. The increase in interest from investments was primarily a result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accelerated amortization of upfront fees and prepayment fees. The average size of our investment portfolio was $2.0 billion for both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2018 and 2019. Accelerated amortization of upfront fees, which were primarily from unscheduled paydowns, increased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 million for the three months ended September 30, 2018 to $3.3 million for the three months ended September 30, 2019. Prepayment fees increased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million for the three months ended September 30, 2018 to $8.0 million for the three months ended September 30, 2019. The accelerated amortization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upfront fees and prepayment fees primarily resulted from full paydowns on three portfolio investments and earning prepayment fees on one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during the three months ended September 30, 2018. The accelerated amortization of upfront fees and prepayment fees primarily resulted from full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paydowns on seven portfolio investments and earning prepayment fees on five portfolio investments during the three months ended September 30,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from $1.2 million for the three months ended September 30, 2018 to $2.7 million for the three months ended September 30, 2019,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higher commitment and agency fees during the three months ended September 30, 2019 compared to the same period in 2018.</w:t>
      </w:r>
    </w:p>
    <w:p>
      <w:pPr>
        <w:spacing w:after="0" w:line="263"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$176.6 million for the nine months ended September 30, 2018 to $178.2 million for the nine months ended September 30, 2019. The increase in interest from investments was primarily a result of an increase in interest received and prepayment fees, partially offset by a decrease in accelerated amortization of upfront fees. The average size of our investment portfolio increased from $1.9 billion for the nine months ended September 30, 2018 to $2.0 billion for the nine months ended September 30, 2019. Accelerated amortization of upfront fees, which were primarily from unscheduled paydowns, decreased from $7.8 million for the nine months ended September 30, 2018 to $6.3 million for the nine months ended September 30, 2019; and prepayment fees increased from $10.3 million for the nine months ended September 30, 2018 to $11.0 million for the nine months ended September 30, 2019. The accelerated amortization of upfront fees and prepayment fees primarily resulted from full paydowns on nine portfolio investments, a partial paydown on one portfolio investment, a partial realization on one portfolio investment, and earning prepayment fees on nine portfolio investments during the nine months ended September 30, 2018 and full paydowns on twelve portfolio investments, one partial paydown and earning prepayment fees on eight portfolio investment during the nine months ended September 30, 2019. Other income decreased from $10.4 million for the nine months ended September 30, 2018 to $6.8 million for the nine months ended September 30, 2019, primarily due to higher syndication fees earned during the first three quarters of 2018.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nine months ended September 30, 2019 and 2018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1"/>
                <w:szCs w:val="11"/>
                <w:color w:val="auto"/>
              </w:rPr>
            </w:pPr>
          </w:p>
        </w:tc>
        <w:tc>
          <w:tcPr>
            <w:tcW w:w="1060" w:type="dxa"/>
            <w:vAlign w:val="bottom"/>
            <w:gridSpan w:val="2"/>
          </w:tcPr>
          <w:p>
            <w:pPr>
              <w:jc w:val="right"/>
              <w:ind w:right="3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00" w:type="dxa"/>
            <w:vAlign w:val="bottom"/>
          </w:tcPr>
          <w:p>
            <w:pPr>
              <w:spacing w:after="0"/>
              <w:rPr>
                <w:sz w:val="11"/>
                <w:szCs w:val="11"/>
                <w:color w:val="auto"/>
              </w:rPr>
            </w:pPr>
          </w:p>
        </w:tc>
        <w:tc>
          <w:tcPr>
            <w:tcW w:w="12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1"/>
                <w:szCs w:val="11"/>
                <w:color w:val="auto"/>
              </w:rPr>
            </w:pPr>
          </w:p>
        </w:tc>
        <w:tc>
          <w:tcPr>
            <w:tcW w:w="1040" w:type="dxa"/>
            <w:vAlign w:val="bottom"/>
            <w:gridSpan w:val="2"/>
          </w:tcPr>
          <w:p>
            <w:pPr>
              <w:jc w:val="right"/>
              <w:ind w:right="1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9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12.0</w:t>
            </w:r>
          </w:p>
        </w:tc>
        <w:tc>
          <w:tcPr>
            <w:tcW w:w="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63"/>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investment income (net of waivers)</w:t>
            </w: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8"/>
                <w:szCs w:val="18"/>
                <w:color w:val="auto"/>
              </w:rPr>
              <w:t>Incentive fees related to realized/unrealized</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8"/>
                <w:szCs w:val="18"/>
                <w:color w:val="auto"/>
              </w:rPr>
              <w:t>capital gains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Directors fees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b w:val="1"/>
                <w:bCs w:val="1"/>
                <w:color w:val="auto"/>
              </w:rPr>
              <w:t>Net Expenses</w:t>
            </w:r>
          </w:p>
        </w:tc>
        <w:tc>
          <w:tcPr>
            <w:tcW w:w="98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30.1</w:t>
            </w:r>
          </w:p>
        </w:tc>
        <w:tc>
          <w:tcPr>
            <w:tcW w:w="400" w:type="dxa"/>
            <w:vAlign w:val="bottom"/>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jc w:val="both"/>
        <w:ind w:right="120" w:firstLine="259"/>
        <w:spacing w:after="0" w:line="288" w:lineRule="auto"/>
        <w:rPr>
          <w:sz w:val="20"/>
          <w:szCs w:val="20"/>
          <w:color w:val="auto"/>
        </w:rPr>
      </w:pPr>
      <w:r>
        <w:rPr>
          <w:rFonts w:ascii="Arial" w:cs="Arial" w:eastAsia="Arial" w:hAnsi="Arial"/>
          <w:sz w:val="16"/>
          <w:szCs w:val="16"/>
          <w:color w:val="auto"/>
        </w:rPr>
        <w:t>Interest expense, including other debt financing expenses, increased from $12.0 million for the three months ended September 30, 2018 to $12.6 million for the three months ended September 30, 2019. This increase was primarily due to an increase in the average interest rate on our debt outstanding from the three months ended September 30, 2018 to the three months ended September 30, 2019. The average interest rate on our debt outstanding increased from</w:t>
      </w:r>
    </w:p>
    <w:p>
      <w:pPr>
        <w:ind w:right="300"/>
        <w:spacing w:after="0" w:line="290" w:lineRule="auto"/>
        <w:rPr>
          <w:sz w:val="20"/>
          <w:szCs w:val="20"/>
          <w:color w:val="auto"/>
        </w:rPr>
      </w:pPr>
      <w:r>
        <w:rPr>
          <w:rFonts w:ascii="Arial" w:cs="Arial" w:eastAsia="Arial" w:hAnsi="Arial"/>
          <w:sz w:val="17"/>
          <w:szCs w:val="17"/>
          <w:color w:val="auto"/>
        </w:rPr>
        <w:t>4.3% for three months ended September 30, 2018 to 4.4% for the three months ended September 30, 2019. The average debt outstanding decreased from $968.2 million for the three months ended September 30, 2018 to $946.0 million for the three months ended September 30, 2019.</w:t>
      </w:r>
    </w:p>
    <w:p>
      <w:pPr>
        <w:spacing w:after="0" w:line="162"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Interest expense, including other debt financing expenses, increased from $32.2 million for the nine months ended September 30, 2018 to $35.7 million for the nine months ended September 30, 2019. This increase was primarily due to an increase in the average interest rate on our debt outstanding from 4.0% for the nine months ended September 30, 2018 to 4.6% for the nine months ended September 30, 2019. The average debt outstanding decreased from $911.8 million for the nine months ended September 30, 2018 to $858.1 million for the nine months ended September 30, 2019.</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Management Fees increased from $7.5 million for the three months ended September 30, 2018 to $7.9 million for the three months ended September 30, 2019 due to an increase in assets for the three months ended September 30, 2019 compared to the same period in 2018. The Adviser did not waive any Management Fees for the three months ended September 30, 2019 or 2018.</w:t>
      </w:r>
    </w:p>
    <w:p>
      <w:pPr>
        <w:spacing w:after="0" w:line="181"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Management Fees (net of waivers) increased from $21.5 million for the nine months ended September 30, 2018 to $21.9 million for the nine months ended September 30, 2019 due to a small increase in average total assets for the nine months ended September 30, 2019 as compared to the same period in 2018. Management Fees waived were less than $0.1 million for the nine months ended September 30, 2018, consisting solely of Management Fees attributable to our ownership of shares of common stock in the TCAP Shares. The Adviser did not waive any Management Fees for the nine months ended September 30, 2019.</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Incentive Fees related to pre-Incentive Fee net investment income increased from $6.9 million for the three months ended September 30, 2018 to $7.8 million for the three months ended September 30, 2019. This increase resulted from an increase in investment income resulting from higher interest and other income for the three months ended September 30, 2019. The Adviser did not waive any Incentive Fees related to pre-Incentive Fee net investment income for the three months ended September 30, 2019 or 2018. There were no Incentive Fees related to capital gains and losses for each of the three months ended September 30, 2019 and 2018 due to cumulative realized losses on our investments.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7" w:name="page58"/>
    <w:bookmarkEnd w:id="57"/>
    <w:p>
      <w:pPr>
        <w:ind w:firstLine="259"/>
        <w:spacing w:after="0" w:line="293" w:lineRule="auto"/>
        <w:rPr>
          <w:sz w:val="20"/>
          <w:szCs w:val="20"/>
          <w:color w:val="auto"/>
        </w:rPr>
      </w:pPr>
      <w:r>
        <w:rPr>
          <w:rFonts w:ascii="Arial" w:cs="Arial" w:eastAsia="Arial" w:hAnsi="Arial"/>
          <w:sz w:val="16"/>
          <w:szCs w:val="16"/>
          <w:color w:val="auto"/>
        </w:rPr>
        <w:t>Incentive Fees (net of waivers) related to pre-Incentive Fee net investment income decreased from $21.2 million for the nine months ended September 30, 2018 to $20.1 million for the nine months ended September 30, 2019. This decrease resulted from a decrease in other income resulting from lower syndication fees for the nine months ended September 30, 2019. For the nine months ended September 30, 2018, Incentive Fees related to pre-Incentive Fee net investment income of less than $0.1 million were waived, consisting solely of Incentive Fees attributable to our ownership of the TCAP Shares. There were no Incentive Fees related to pre-Incentive Fee net investment income waived for the nine months ended September 30, 2019. There were no Incentive Fees related to capital gains and losses for the nine months ended September 30, 2019 and 2018 due to cumulative realized losses on our investments.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180" w:firstLine="259"/>
        <w:spacing w:after="0" w:line="286" w:lineRule="auto"/>
        <w:rPr>
          <w:sz w:val="20"/>
          <w:szCs w:val="20"/>
          <w:color w:val="auto"/>
        </w:rPr>
      </w:pPr>
      <w:r>
        <w:rPr>
          <w:rFonts w:ascii="Arial" w:cs="Arial" w:eastAsia="Arial" w:hAnsi="Arial"/>
          <w:sz w:val="17"/>
          <w:szCs w:val="17"/>
          <w:color w:val="auto"/>
        </w:rPr>
        <w:t>Professional fees decreased from $2.1 million for the three months ended September 30, 2018 to $1.8 million for the three months ended September 30, 2019 primarily due to expenses related to the special meeting of stockholders in October 2018. Other general and administrative fees increased from $1.5 million for the three months ended September 30, 2018 to $1.6 million for the three months ended September 30, 2019.</w:t>
      </w:r>
    </w:p>
    <w:p>
      <w:pPr>
        <w:spacing w:after="0" w:line="166"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Professional fees decreased from $5.8 million for the nine months ended September 30, 2018 to $4.9 million for the nine months ended September 30, 2019 primarily due to the recognition of remaining non-recurring expenses associated with the initial shelf registration statement that were previously recorded as deferred financing costs during the nine months ended September 30, 2018. Other general and administrative fees increased from $4.0 million for the nine months ended September 30, 2018 to $4.6 million for the nine months ended September 30,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For the three and nine months ended September 30, 2019, we recorded a net expense of $1.6 million and $2.9 million, respectively, for U.S. federal excise tax and other taxes. For the three and nine months ended September 30, 2018, we recorded a net expense of $0.7 million and $2.4 million, respectively, for U.S. federal excise tax and other taxes.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our net realized and unrealized gains (losses) for the three and nine months ended September 30, 2019 and 2018:</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8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41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1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Borders>
              <w:top w:val="single" w:sz="8" w:color="auto"/>
            </w:tcBorders>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realized gains on foreign currency</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transactions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investments</w:t>
            </w: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(1.4)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on interest rate swaps</w:t>
            </w:r>
          </w:p>
        </w:tc>
        <w:tc>
          <w:tcPr>
            <w:tcW w:w="5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Realized Gains (Losses)</w:t>
            </w:r>
          </w:p>
        </w:tc>
        <w:tc>
          <w:tcPr>
            <w:tcW w:w="540" w:type="dxa"/>
            <w:vAlign w:val="bottom"/>
          </w:tcPr>
          <w:p>
            <w:pPr>
              <w:spacing w:after="0"/>
              <w:rPr>
                <w:sz w:val="22"/>
                <w:szCs w:val="22"/>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Change in unrealized gains on investments</w:t>
            </w:r>
          </w:p>
        </w:tc>
        <w:tc>
          <w:tcPr>
            <w:tcW w:w="74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68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16.8</w:t>
            </w:r>
          </w:p>
        </w:tc>
        <w:tc>
          <w:tcPr>
            <w:tcW w:w="120" w:type="dxa"/>
            <w:vAlign w:val="bottom"/>
          </w:tcPr>
          <w:p>
            <w:pPr>
              <w:spacing w:after="0"/>
              <w:rPr>
                <w:sz w:val="19"/>
                <w:szCs w:val="19"/>
                <w:color w:val="auto"/>
              </w:rPr>
            </w:pPr>
          </w:p>
        </w:tc>
        <w:tc>
          <w:tcPr>
            <w:tcW w:w="2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losses on investments</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(8.4)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5"/>
        </w:trPr>
        <w:tc>
          <w:tcPr>
            <w:tcW w:w="41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w:t>
            </w:r>
          </w:p>
        </w:tc>
        <w:tc>
          <w:tcPr>
            <w:tcW w:w="5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b w:val="1"/>
                <w:bCs w:val="1"/>
                <w:color w:val="auto"/>
              </w:rPr>
              <w:t>Investments</w:t>
            </w:r>
          </w:p>
        </w:tc>
        <w:tc>
          <w:tcPr>
            <w:tcW w:w="74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68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foreign currency</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borrowings</w:t>
            </w: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(1.6)</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Unrealized gains (losses) on foreign currency cash</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and forward contracts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interest rate swaps</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(2.0)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5"/>
        </w:trPr>
        <w:tc>
          <w:tcPr>
            <w:tcW w:w="41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w:t>
            </w:r>
          </w:p>
        </w:tc>
        <w:tc>
          <w:tcPr>
            <w:tcW w:w="5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b w:val="1"/>
                <w:bCs w:val="1"/>
                <w:color w:val="auto"/>
              </w:rPr>
              <w:t>Foreign Currency Transactions and Interest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20"/>
              <w:spacing w:after="0"/>
              <w:rPr>
                <w:sz w:val="20"/>
                <w:szCs w:val="20"/>
                <w:color w:val="auto"/>
              </w:rPr>
            </w:pPr>
            <w:r>
              <w:rPr>
                <w:rFonts w:ascii="Arial" w:cs="Arial" w:eastAsia="Arial" w:hAnsi="Arial"/>
                <w:sz w:val="18"/>
                <w:szCs w:val="18"/>
                <w:b w:val="1"/>
                <w:bCs w:val="1"/>
                <w:color w:val="auto"/>
              </w:rPr>
              <w:t>Rate Swaps</w:t>
            </w:r>
          </w:p>
        </w:tc>
        <w:tc>
          <w:tcPr>
            <w:tcW w:w="74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68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(3.6)</w:t>
            </w:r>
          </w:p>
        </w:tc>
        <w:tc>
          <w:tcPr>
            <w:tcW w:w="2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54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For the three and nine months ended September 30, 2019 we had net realized gains on investments of $4.9 million and $6.0 million, respectively. For the three and nine months ended September 30, 2019 we had net realized gains of $0.2 million and less than $0.1 million, respectively, on foreign currency transactions, primarily as a result of translating foreign currency related to our non-USD denominated investments. For the three and nine months ended September 30, 2019 we had net realized losses of less than $0.1 million and $0.1 million, respectively, on foreign currency investments. For the three and nine months ended September 30, 2019 we had net realized gains of less than $0.1 million and $0.1 million, respectively, on foreign currency borrowings. The net realized gains on foreign currency borrowings were a result of payments on our revolving credit facility. For both the three and nine months ended September 30, 2019 we had net realized gains of less than $0.1 million on interest rate swaps.</w:t>
      </w:r>
    </w:p>
    <w:p>
      <w:pPr>
        <w:spacing w:after="0" w:line="17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For the three months ended September 30, 2019 we had $9.3 million in unrealized gains on 26 portfolio company investments, which was offset by $25.2 million in unrealized losses on 36 portfolio company investments. Unrealized gains resulted from an increase in fair value, primarily due to positive credit-related adjustments. Unrealized losses primarily resulted from reversal of prior period unrealized gains and in some instances negative credit-related adjustments. For the nine months ended September 30, 2019 we had $33.4 million in unrealized gains on 37 portfolio company investments, which was offset by $28.7 million in unrealized losses on 30 portfolio company investments. Unrealized gains resulted from an increase in fair value, primarily due to a tightening spread environment and positive investment-related adjustments. Unrealized losses primarily resulted from reversal of prior period unrealized gains and in some instances negative credit-related adjustments.</w:t>
      </w:r>
    </w:p>
    <w:p>
      <w:pPr>
        <w:spacing w:after="0" w:line="189" w:lineRule="exact"/>
        <w:rPr>
          <w:sz w:val="20"/>
          <w:szCs w:val="20"/>
          <w:color w:val="auto"/>
        </w:rPr>
      </w:pPr>
    </w:p>
    <w:p>
      <w:pPr>
        <w:ind w:right="240" w:firstLine="259"/>
        <w:spacing w:after="0" w:line="297" w:lineRule="auto"/>
        <w:rPr>
          <w:sz w:val="20"/>
          <w:szCs w:val="20"/>
          <w:color w:val="auto"/>
        </w:rPr>
      </w:pPr>
      <w:r>
        <w:rPr>
          <w:rFonts w:ascii="Arial" w:cs="Arial" w:eastAsia="Arial" w:hAnsi="Arial"/>
          <w:sz w:val="16"/>
          <w:szCs w:val="16"/>
          <w:color w:val="auto"/>
        </w:rPr>
        <w:t>For the three and nine months ended September 30, 2019, we had unrealized gains on foreign currency borrowings of $2.9 million and $0.8 million, respectively, as a result of fluctuations in the AUD, CAD and EUR exchange rates. For the three and nine months ended September 30, 2019 we had unrealized losses on foreign currency cash and forward contracts of less than $0.1 million and unrealized gains on foreign currency cash and forward contracts of less than $0.1 million, respectively. For the three and nine months ended September 30, 2019 we had unrealized gains on interest rate swaps of $1.5 million and $10.9 million, respectively, on interest rate swaps due to fluctuations in interest rates and the periodic settlement of interest rate swaps.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ind w:right="20" w:firstLine="259"/>
        <w:spacing w:after="0" w:line="272" w:lineRule="auto"/>
        <w:rPr>
          <w:sz w:val="20"/>
          <w:szCs w:val="20"/>
          <w:color w:val="auto"/>
        </w:rPr>
      </w:pPr>
      <w:r>
        <w:rPr>
          <w:rFonts w:ascii="Arial" w:cs="Arial" w:eastAsia="Arial" w:hAnsi="Arial"/>
          <w:sz w:val="17"/>
          <w:szCs w:val="17"/>
          <w:color w:val="auto"/>
        </w:rPr>
        <w:t>For the three and nine months ended September 30, 2018 we had net realized gains on investments of less than $0.1 million and net realized losses on investments of $6.5 million, respectively. For the three and nine months ended September 30, 2018, we had net realized gains of less than $0.1 million and net realized gains of $0.2 million, respectively, on foreign currency transactions, primarily as a result of translating foreign currency related to our non-USD denominated investments. For both the three and nine months ended September 30, 2018, we had net realized losses of $1.4 million on foreign currency investments. For both the three and nine months ended September 30, 2018, we had net realized gains of 1.7 million on foreign currency borrowings. The net realized gains on foreign currency borrowings and foreign currency investments for the three and nine months ended September 30, 2018 were a result of a full paydown on one investment and a partial realization on one investment.</w:t>
      </w:r>
    </w:p>
    <w:p>
      <w:pPr>
        <w:spacing w:after="0" w:line="178"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For the three months ended September 30, 2018 we had $16.8 million in unrealized gains on 31 portfolio company investments, which was offset by $8.4 million in unrealized losses on 21 portfolio company investments. For the nine months ended September 30, 2018 we had $50.2 million in unrealized gains on 35 portfolio company investments, which was offset by $33.5 million in unrealized losses on 27 portfolio company investments. Unrealized gains resulted from an increase in fair value, primarily due to positive credit-related adjustments offset by widening of credit spreads. Unrealized losses primarily resulted from the reversal of prior period unrealized gains and in some instances negative credit-related adjustments.</w:t>
      </w:r>
    </w:p>
    <w:p>
      <w:pPr>
        <w:spacing w:after="0" w:line="173" w:lineRule="exact"/>
        <w:rPr>
          <w:sz w:val="20"/>
          <w:szCs w:val="20"/>
          <w:color w:val="auto"/>
        </w:rPr>
      </w:pPr>
    </w:p>
    <w:p>
      <w:pPr>
        <w:jc w:val="both"/>
        <w:ind w:right="120" w:firstLine="259"/>
        <w:spacing w:after="0" w:line="257" w:lineRule="auto"/>
        <w:rPr>
          <w:sz w:val="20"/>
          <w:szCs w:val="20"/>
          <w:color w:val="auto"/>
        </w:rPr>
      </w:pPr>
      <w:r>
        <w:rPr>
          <w:rFonts w:ascii="Arial" w:cs="Arial" w:eastAsia="Arial" w:hAnsi="Arial"/>
          <w:sz w:val="18"/>
          <w:szCs w:val="18"/>
          <w:color w:val="auto"/>
        </w:rPr>
        <w:t>For the three and nine months ended September 30, 2018, we had unrealized losses on foreign currency borrowings of $1.6 million and unrealized gains on foreign currency borrowings of $2.3 million, respectively, as a result of fluctuations in the EUR, AUD, and CAD exchange rates. For both the three and nine months ended September 30, 2018, we had unrealized gains on foreign currency cash and forward contracts of less than $0.1 million. For the three and nine months ended September 30, 2018, we had unrealized losses on interest rate swaps of $2.0 million and $8.0 million, respectively, due to fluctuations in interest rates and the periodic settlement of interest rate swaps.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jc w:val="both"/>
        <w:ind w:right="160" w:firstLine="259"/>
        <w:spacing w:after="0" w:line="286" w:lineRule="auto"/>
        <w:rPr>
          <w:sz w:val="20"/>
          <w:szCs w:val="20"/>
          <w:color w:val="auto"/>
        </w:rPr>
      </w:pPr>
      <w:r>
        <w:rPr>
          <w:rFonts w:ascii="Arial" w:cs="Arial" w:eastAsia="Arial" w:hAnsi="Arial"/>
          <w:sz w:val="17"/>
          <w:szCs w:val="17"/>
          <w:color w:val="auto"/>
        </w:rPr>
        <w:t>Since we began investing in 2011 through September 30, 2019, weighted by capital invested, our exited investments have generated an average realized gross internal rate of return to us of 18.6% (based on total capital invested of $3.9 billion and total proceeds from these exited investments of $4.9 billion). Eighty nine percent of these exited investments resulted in a realized gross internal rate of return to us of 10% or greater.</w:t>
      </w:r>
    </w:p>
    <w:p>
      <w:pPr>
        <w:spacing w:after="0" w:line="166"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60" w:firstLine="259"/>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6" w:lineRule="exact"/>
        <w:rPr>
          <w:sz w:val="20"/>
          <w:szCs w:val="20"/>
          <w:color w:val="auto"/>
        </w:rPr>
      </w:pPr>
    </w:p>
    <w:p>
      <w:pPr>
        <w:jc w:val="both"/>
        <w:ind w:right="4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Our current approach to hedging the foreign currency exposure in our non-U.S. dollar denominated investments is primarily to borrow the par amount in local currency under our Revolving Credit Facility to fund these investments. For the three and nine months ended September 30, 2019, we incurred $2.9 million and $0.8 million, respectively, of unrealized gains on the translation of our non-U.S. dollar denominated debt into U.S. dollars; such amounts approximate the corresponding unrealized gains and losses on the translation of our non-U.S. dollar denominated investments into U.S. dollars for the three and nine months ended September 30, 2019.</w:t>
      </w:r>
    </w:p>
    <w:p>
      <w:pPr>
        <w:spacing w:after="0" w:line="188" w:lineRule="exact"/>
        <w:rPr>
          <w:sz w:val="20"/>
          <w:szCs w:val="20"/>
          <w:color w:val="auto"/>
        </w:rPr>
      </w:pPr>
    </w:p>
    <w:p>
      <w:pPr>
        <w:jc w:val="both"/>
        <w:ind w:right="20" w:firstLine="259"/>
        <w:spacing w:after="0" w:line="312" w:lineRule="auto"/>
        <w:rPr>
          <w:sz w:val="20"/>
          <w:szCs w:val="20"/>
          <w:color w:val="auto"/>
        </w:rPr>
      </w:pPr>
      <w:r>
        <w:rPr>
          <w:rFonts w:ascii="Arial" w:cs="Arial" w:eastAsia="Arial" w:hAnsi="Arial"/>
          <w:sz w:val="16"/>
          <w:szCs w:val="16"/>
          <w:color w:val="auto"/>
        </w:rPr>
        <w:t>For the three and nine months ended September 30, 2018, we incurred $1.6 million of unrealized losses and $2.3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nine months ended September 30, 2018.</w:t>
      </w:r>
    </w:p>
    <w:p>
      <w:pPr>
        <w:spacing w:after="0" w:line="147" w:lineRule="exact"/>
        <w:rPr>
          <w:sz w:val="20"/>
          <w:szCs w:val="20"/>
          <w:color w:val="auto"/>
        </w:rPr>
      </w:pPr>
    </w:p>
    <w:p>
      <w:pPr>
        <w:jc w:val="both"/>
        <w:ind w:right="580" w:firstLine="259"/>
        <w:spacing w:after="0" w:line="286" w:lineRule="auto"/>
        <w:rPr>
          <w:sz w:val="20"/>
          <w:szCs w:val="20"/>
          <w:color w:val="auto"/>
        </w:rPr>
      </w:pPr>
      <w:r>
        <w:rPr>
          <w:rFonts w:ascii="Arial" w:cs="Arial" w:eastAsia="Arial" w:hAnsi="Arial"/>
          <w:sz w:val="17"/>
          <w:szCs w:val="17"/>
          <w:color w:val="auto"/>
        </w:rPr>
        <w:t>See Note 2 for additional disclosure regarding our accounting for foreign currency. See Note 7 for additional disclosure regarding the amounts of outstanding debt denominated in each foreign currency at September 30, 2019. See our consolidated schedule of investments for additional disclosure regarding the foreign currency amounts (in both par and fair value) of our non-U.S. dollar denominated investments.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(prior to October 9, 2018, our minimum asset coverage requirement was 200%). For more information, see “Key Components of Our Results of Operations — Leverage” above. As of September 30, 2019 and December 31, 2018, our asset coverage ratio was 220.7% and 270.5%,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78" w:lineRule="exact"/>
        <w:rPr>
          <w:sz w:val="20"/>
          <w:szCs w:val="20"/>
          <w:color w:val="auto"/>
        </w:rPr>
      </w:pPr>
    </w:p>
    <w:p>
      <w:pPr>
        <w:jc w:val="both"/>
        <w:ind w:right="320" w:firstLine="259"/>
        <w:spacing w:after="0" w:line="264" w:lineRule="auto"/>
        <w:rPr>
          <w:sz w:val="20"/>
          <w:szCs w:val="20"/>
          <w:color w:val="auto"/>
        </w:rPr>
      </w:pPr>
      <w:r>
        <w:rPr>
          <w:rFonts w:ascii="Arial" w:cs="Arial" w:eastAsia="Arial" w:hAnsi="Arial"/>
          <w:sz w:val="18"/>
          <w:szCs w:val="18"/>
          <w:color w:val="auto"/>
        </w:rPr>
        <w:t>Cash and cash equivalents as of September 30, 2019, taken together with cash available under our credit facilities, is expected to be sufficient for our investing activities and to conduct our operations in the near term. As of September 30, 2019, we had approximately $763.8 million of availability on our Revolving Credit Facility, subject to asset coverage limitations.</w:t>
      </w:r>
    </w:p>
    <w:p>
      <w:pPr>
        <w:spacing w:after="0" w:line="181"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As of September 30, 2019, we had $8.1 million in cash and cash equivalents, including $5.0 million of restricted cash, a decrease of $2.5 million from December 31, 2018. During the nine months ended September 30, 2019, we used $222.0 million in cash from operating activities, primarily as a result of funding portfolio investments of $817.1 million and other operating activity of $26.3 million, which was offset by repayments and proceeds from investments of $504.5 million and an increase in net assets resulting from operations of $116.9 million. Lastly, cash provided by financing activities was $219.5 million during the period, primarily due to borrowings of $963.0 million on our Revolving Credit Facility, which was partially offset by paydowns on our Revolving Credit Facility of $668.4 million, dividends paid of $71.5 million and deferred financing costs of $3.6 million.</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As of September 30, 2019, we had $5.0 million of restricted cash pledged as collateral under our interest rate swap agreements, a decrease of $2.3 million from December 31, 2018 primarily due to increases in the fair value of our swaps.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On March 21, 2018, we issued 3,750,000 shares of common stock at $17.45 per share. Net of underwriting fees and offering costs, we received total cash proceeds of $63.0 million. Subsequent to the offering we issued an additional 522,224 shares in April 2018 pursuant to the overallotment option granted to underwriters and received, net of underwriting fees, total cash proceeds of $8.8 million.</w:t>
      </w:r>
    </w:p>
    <w:p>
      <w:pPr>
        <w:spacing w:after="0" w:line="181"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During the nine months ended September 30, 2019 and 2018, we also issued 880,556 and 648,826 shares of our common stock, respectively, to investors who have not opted out of our dividend reinvestment plan for proceeds of $16.5 million and $11.5 million, respectively. On October 15, 2019, we issued 187,202 shares of our common stock through our dividend reinvestment plan for proceeds of $3.7 million, which is not reflected in the number of shares issued for the nine months ended September 30, 2019 in this section or the consolidated financial statements for the three and nine months ended September 30, 2019.</w:t>
      </w:r>
    </w:p>
    <w:p>
      <w:pPr>
        <w:spacing w:after="0" w:line="188"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near or below our then-current net asset value per share, it is in the best interest of our stockholders for us to reinvest in our portfolio and increase our leverage ratio through share repurchases.</w:t>
      </w:r>
    </w:p>
    <w:p>
      <w:pPr>
        <w:spacing w:after="0" w:line="158"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as currently in effect, requires Goldman Sachs &amp; Co. LLC, as agent, to repurchase shares of common stock on our behalf when the market price per share is just below 1.05x the most recently reported net asset value per share in our public financial statements or publicly announced by us, less the amount of any supplemental dividend that we have publicly announced but that has yet to be reflected in the net asset value per share most recently reported in public financial statements (including any updates, corrections or adjustments publicly announced by us to any such net asset value per share or supplemental dividend). Under the Company 10b5-1 Plan, the agent will increase the volume of purchases made as the price of our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82" w:lineRule="exact"/>
        <w:rPr>
          <w:sz w:val="20"/>
          <w:szCs w:val="20"/>
          <w:color w:val="auto"/>
        </w:rPr>
      </w:pPr>
    </w:p>
    <w:p>
      <w:pPr>
        <w:ind w:right="30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460" w:firstLine="259"/>
        <w:spacing w:after="0" w:line="286" w:lineRule="auto"/>
        <w:rPr>
          <w:sz w:val="20"/>
          <w:szCs w:val="20"/>
          <w:color w:val="auto"/>
        </w:rPr>
      </w:pPr>
      <w:r>
        <w:rPr>
          <w:rFonts w:ascii="Arial" w:cs="Arial" w:eastAsia="Arial" w:hAnsi="Arial"/>
          <w:sz w:val="17"/>
          <w:szCs w:val="17"/>
          <w:color w:val="auto"/>
        </w:rPr>
        <w:t>On November 5, 2019, the Board authorized an amendment to the Company 10b5-1 Plan to extend the termination date to May 31, 2020. 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nine months ended September 30, 2019 and 2018, no shares were repurchased under the Company 10b5-1 Plan.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September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September 30, 2019</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0"/>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Aggregate 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9"/>
        </w:trPr>
        <w:tc>
          <w:tcPr>
            <w:tcW w:w="4760" w:type="dxa"/>
            <w:vAlign w:val="bottom"/>
            <w:gridSpan w:val="3"/>
          </w:tcPr>
          <w:p>
            <w:pPr>
              <w:ind w:left="580"/>
              <w:spacing w:after="0"/>
              <w:rPr>
                <w:sz w:val="20"/>
                <w:szCs w:val="20"/>
                <w:color w:val="auto"/>
              </w:rPr>
            </w:pPr>
            <w:r>
              <w:rPr>
                <w:rFonts w:ascii="Arial" w:cs="Arial" w:eastAsia="Arial" w:hAnsi="Arial"/>
                <w:sz w:val="14"/>
                <w:szCs w:val="14"/>
                <w:color w:val="auto"/>
              </w:rPr>
              <w:t>($ in millions)</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Amount Committed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Available</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481.2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763.8</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38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ind w:left="720"/>
              <w:spacing w:after="0"/>
              <w:rPr>
                <w:sz w:val="20"/>
                <w:szCs w:val="20"/>
                <w:color w:val="auto"/>
              </w:rPr>
            </w:pPr>
            <w:r>
              <w:rPr>
                <w:rFonts w:ascii="Arial" w:cs="Arial" w:eastAsia="Arial" w:hAnsi="Arial"/>
                <w:sz w:val="18"/>
                <w:szCs w:val="18"/>
                <w:color w:val="auto"/>
                <w:w w:val="88"/>
              </w:rPr>
              <w:t>115.0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ind w:left="720"/>
              <w:spacing w:after="0"/>
              <w:rPr>
                <w:sz w:val="20"/>
                <w:szCs w:val="20"/>
                <w:color w:val="auto"/>
              </w:rPr>
            </w:pPr>
            <w:r>
              <w:rPr>
                <w:rFonts w:ascii="Arial" w:cs="Arial" w:eastAsia="Arial" w:hAnsi="Arial"/>
                <w:sz w:val="18"/>
                <w:szCs w:val="18"/>
                <w:color w:val="auto"/>
                <w:w w:val="88"/>
              </w:rPr>
              <w:t>172.5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3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88"/>
              </w:rPr>
              <w:t>150.0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1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918.7</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763.8</w:t>
            </w:r>
          </w:p>
        </w:tc>
        <w:tc>
          <w:tcPr>
            <w:tcW w:w="3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2" w:name="page63"/>
    <w:bookmarkEnd w:id="62"/>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Revolving Credit Facility borrowing base.</w:t>
      </w:r>
    </w:p>
    <w:p>
      <w:pPr>
        <w:spacing w:after="0" w:line="23"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$10.6 million, $3.7 million and $2.2 million,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Aggregate 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219"/>
        </w:trPr>
        <w:tc>
          <w:tcPr>
            <w:tcW w:w="41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Amount Committed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Available</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38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3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FF0FC"/>
            </w:tcBorders>
          </w:tcPr>
          <w:p>
            <w:pPr>
              <w:spacing w:after="0"/>
              <w:rPr>
                <w:sz w:val="19"/>
                <w:szCs w:val="19"/>
                <w:color w:val="auto"/>
              </w:rPr>
            </w:pPr>
          </w:p>
        </w:tc>
      </w:tr>
      <w:tr>
        <w:trPr>
          <w:trHeight w:val="223"/>
        </w:trPr>
        <w:tc>
          <w:tcPr>
            <w:tcW w:w="41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3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Revolving Credit Facility borrowing base.</w:t>
      </w:r>
    </w:p>
    <w:p>
      <w:pPr>
        <w:spacing w:after="0" w:line="23"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184"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As of September 30, 2019 and December 31, 2018,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On August 23, 2012, we entered into a senior secured revolving credit agreement with SunTrust Bank, as administrative agent, and J.P. Morgan Chase Bank, N.A., as syndication agent, and certain other lenders (as amended and restated, the “Revolving Credit Facility”).</w:t>
      </w:r>
    </w:p>
    <w:p>
      <w:pPr>
        <w:spacing w:after="0" w:line="170" w:lineRule="exact"/>
        <w:rPr>
          <w:sz w:val="20"/>
          <w:szCs w:val="20"/>
          <w:color w:val="auto"/>
        </w:rPr>
      </w:pPr>
    </w:p>
    <w:p>
      <w:pPr>
        <w:ind w:right="60" w:firstLine="259"/>
        <w:spacing w:after="0" w:line="279" w:lineRule="auto"/>
        <w:rPr>
          <w:sz w:val="20"/>
          <w:szCs w:val="20"/>
          <w:color w:val="auto"/>
        </w:rPr>
      </w:pPr>
      <w:r>
        <w:rPr>
          <w:rFonts w:ascii="Arial" w:cs="Arial" w:eastAsia="Arial" w:hAnsi="Arial"/>
          <w:sz w:val="17"/>
          <w:szCs w:val="17"/>
          <w:color w:val="auto"/>
        </w:rPr>
        <w:t>As of December 31, 2018, aggregate commitments under the facility were $940 million. Pursuant to an amendment to the Revolving Credit Facility dated as of February 14, 2019 (the “Eighth Amendment”), the aggregate commitments under the facility were increased to $1,170 million. The facility includes an uncommitted accordion feature that allows us, under certain circumstances, to increase the size of the facility to up to $1,500 million. On June 7, 2019 we exercised our right under the accordion feature and increased the size of the facility to $1,245 million.</w:t>
      </w:r>
    </w:p>
    <w:p>
      <w:pPr>
        <w:spacing w:after="0" w:line="171"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revolving period, during which period we, subject to certain conditions, may make borrowings under the facility, ends February 14, 2023 and the stated maturity date is February 14, 2024.</w:t>
      </w:r>
    </w:p>
    <w:p>
      <w:pPr>
        <w:spacing w:after="0" w:line="170" w:lineRule="exact"/>
        <w:rPr>
          <w:sz w:val="20"/>
          <w:szCs w:val="20"/>
          <w:color w:val="auto"/>
        </w:rPr>
      </w:pPr>
    </w:p>
    <w:p>
      <w:pPr>
        <w:jc w:val="both"/>
        <w:ind w:right="56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September 30, 2019, we had outstanding debt denominated in Australian Dollars (AUD) of 47.4 million, Canadian Dollars (CAD) of 160.9 million, and Euro (EUR) of 7.3 million on our Revolving Credit Facility, included in the Outstanding Principal amount in the table above.</w:t>
      </w:r>
    </w:p>
    <w:p>
      <w:pPr>
        <w:spacing w:after="0" w:line="18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September 30, 2019 and December 31, 2018, we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3"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63" w:name="page64"/>
    <w:bookmarkEnd w:id="63"/>
    <w:p>
      <w:pPr>
        <w:ind w:right="30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20" w:hanging="255"/>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20" w:right="380" w:hanging="255"/>
        <w:spacing w:after="0" w:line="375" w:lineRule="auto"/>
        <w:tabs>
          <w:tab w:leader="none" w:pos="5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spacing w:after="0" w:line="1" w:lineRule="exact"/>
        <w:rPr>
          <w:rFonts w:ascii="Arial" w:cs="Arial" w:eastAsia="Arial" w:hAnsi="Arial"/>
          <w:sz w:val="15"/>
          <w:szCs w:val="15"/>
          <w:color w:val="auto"/>
        </w:rPr>
      </w:pPr>
    </w:p>
    <w:p>
      <w:pPr>
        <w:ind w:left="520" w:hanging="255"/>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November 5, 2018;</w:t>
      </w:r>
    </w:p>
    <w:p>
      <w:pPr>
        <w:spacing w:after="0" w:line="117" w:lineRule="exact"/>
        <w:rPr>
          <w:rFonts w:ascii="Arial" w:cs="Arial" w:eastAsia="Arial" w:hAnsi="Arial"/>
          <w:sz w:val="18"/>
          <w:szCs w:val="18"/>
          <w:color w:val="auto"/>
        </w:rPr>
      </w:pPr>
    </w:p>
    <w:p>
      <w:pPr>
        <w:ind w:left="520" w:hanging="255"/>
        <w:spacing w:after="0" w:line="259"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20" w:right="220" w:hanging="255"/>
        <w:spacing w:after="0" w:line="34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Net proceeds received from our common stock issuance in March 2018 and net proceeds received from the issuance of the 2022 Convertible Notes, 2023 Notes and 2024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right="20" w:firstLine="259"/>
        <w:spacing w:after="0" w:line="269" w:lineRule="auto"/>
        <w:rPr>
          <w:sz w:val="20"/>
          <w:szCs w:val="20"/>
          <w:color w:val="auto"/>
        </w:rPr>
      </w:pPr>
      <w:r>
        <w:rPr>
          <w:rFonts w:ascii="Arial" w:cs="Arial" w:eastAsia="Arial" w:hAnsi="Arial"/>
          <w:sz w:val="17"/>
          <w:szCs w:val="17"/>
          <w:color w:val="auto"/>
        </w:rPr>
        <w:t>In June 2014, we issued in a private offering $115 million aggregate principal amount convertible notes due December 2019.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our common stock or a combination of cash and shares of our common stock, at our election, at an initial conversion rate of 38.7162 shares of common stock per $1,000 principal amount of 2019 Convertible Notes, which is equivalent to an initial conversion price of approximately $25.83 per share of our common stock, subject to customary anti-dilution adjustments. As of September 30, 2019, the estimated adjusted conversion price was approximately $24.83 per share of common stock. The sale of the 2019 Convertible Notes generated net proceeds of approximately $110.8 million. We used the net proceeds of the offering to pay down debt under the Revolving Credit Facility. In connection with the offering of 2019 Convertible Notes, we have entered into interest rate swaps to continue to align the interest rates of our liabilities with our investment portfolio, which consists of predominately floating rate loans. As a result of the swaps, our effective interest rate on the 2019 Convertible Notes is three-month LIBOR plus 2.86%.</w:t>
      </w:r>
    </w:p>
    <w:p>
      <w:pPr>
        <w:spacing w:after="0" w:line="183"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Subsequent to June 15, 2019 until the close of business on the scheduled trading day immediately preceding the maturity date, holders may convert their notes at any time. To the extent the 2019 Convertible Notes are converted, the Company has elected to settle with a combination of cash and shares of common stock.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80" w:firstLine="259"/>
        <w:spacing w:after="0" w:line="269" w:lineRule="auto"/>
        <w:rPr>
          <w:sz w:val="20"/>
          <w:szCs w:val="20"/>
          <w:color w:val="auto"/>
        </w:rPr>
      </w:pPr>
      <w:r>
        <w:rPr>
          <w:rFonts w:ascii="Arial" w:cs="Arial" w:eastAsia="Arial" w:hAnsi="Arial"/>
          <w:sz w:val="17"/>
          <w:szCs w:val="17"/>
          <w:color w:val="auto"/>
        </w:rPr>
        <w:t>In February 2017, we issued in a private offering $115 million aggregate principal amount convertible notes due August 2022.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September 30, 2019, the estimated adjusted conversion price was approximately $20.74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8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predominantly floating rate loans. As a result of the additional swaps, our effective interest rate on the additional 2022 Convertible Notes is approximately three-month LIBOR plus 1.60%. See Note 5 for further information related to our interest rate swaps.</w:t>
      </w:r>
    </w:p>
    <w:p>
      <w:pPr>
        <w:spacing w:after="0" w:line="193"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ind w:right="80" w:firstLine="259"/>
        <w:spacing w:after="0" w:line="257" w:lineRule="auto"/>
        <w:rPr>
          <w:sz w:val="20"/>
          <w:szCs w:val="20"/>
          <w:color w:val="auto"/>
        </w:rPr>
      </w:pPr>
      <w:r>
        <w:rPr>
          <w:rFonts w:ascii="Arial" w:cs="Arial" w:eastAsia="Arial" w:hAnsi="Arial"/>
          <w:sz w:val="18"/>
          <w:szCs w:val="18"/>
          <w:color w:val="auto"/>
        </w:rPr>
        <w:t>The Convertible Notes are our unsecured obligations and rank senior in right of payment to our future indebtedness that is expressly subordinated in right of payment to the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As of September 30, 2019, the principal amount of the Convertible Notes exceeded the value of the underlying shares multiplied by the per share closing price of our common stock.</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indentures governing the Convertible Notes contain certain covenants, including covenants requiring us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September 30, 2019, we were in compliance with the terms of the indentures governing the Convertible Notes.</w:t>
      </w:r>
    </w:p>
    <w:p>
      <w:pPr>
        <w:spacing w:after="0" w:line="187"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Convertible Notes are accounted for in accordance with Accounting Standards Codification (“ASC”) 470-20. Upon conversion of any of the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Convertible Notes. We have determined that the embedded conversion options in each series of Convertible Notes are not required to be separately accounted for as a derivative under U.S. GAAP. In accounting for the Convertible Notes, we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20" w:firstLine="259"/>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September 30, 2019 and December 31, 2018, we had the following commitments to fund investments in current portfolio companies: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Caris Life Sciences, Ltd. - Delayed Draw</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ClearCompany, LLC - Delayed Draw</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Clinicient, Inc.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Dye &amp; Durham Corp.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Energy Alloys, LLC - Delayed Draw</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Ferrellgas, L.P.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 LLC - Delayed Draw</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 Treasury SS, LLC - Delayed Draw</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Gainsight, Inc. - Delayed Draw</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Lucidworks, Inc.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MD America Energy, LLC - Delayed Draw</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Motus, LLC - Revolver</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PageUp People, Ltd.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PayScale Holdings, Inc. - Delayed Draw</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Delayed Draw</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Sovos Compliance, LLC - Revolver</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A1</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TherapeuticsMD, Inc. - Delayed Draw A2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Delayed Draw</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Valant Medical Solutions, Inc.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As of September 30, 2019 and December 31, 2018, we did not have any unfunded commitments to fund new investments to new borrowers that were not current portfolio companies as of such date.</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ind w:right="40" w:firstLine="259"/>
        <w:spacing w:after="0" w:line="270"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September 30,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637"/>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57"/>
              <w:spacing w:after="0" w:line="147" w:lineRule="exact"/>
              <w:rPr>
                <w:sz w:val="20"/>
                <w:szCs w:val="20"/>
                <w:color w:val="auto"/>
              </w:rPr>
            </w:pPr>
            <w:r>
              <w:rPr>
                <w:rFonts w:ascii="Arial" w:cs="Arial" w:eastAsia="Arial" w:hAnsi="Arial"/>
                <w:sz w:val="14"/>
                <w:szCs w:val="14"/>
                <w:b w:val="1"/>
                <w:bCs w:val="1"/>
                <w:color w:val="auto"/>
                <w:w w:val="94"/>
              </w:rPr>
              <w:t>Less than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880" w:type="dxa"/>
            <w:vAlign w:val="bottom"/>
          </w:tcPr>
          <w:p>
            <w:pPr>
              <w:jc w:val="right"/>
              <w:ind w:right="153"/>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2019 Convertible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2023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ind w:right="8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00" w:hanging="255"/>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2018, filed with the SEC on February 20, 2019,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ind w:right="72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260" w:firstLine="259"/>
        <w:spacing w:after="0" w:line="259" w:lineRule="auto"/>
        <w:rPr>
          <w:sz w:val="20"/>
          <w:szCs w:val="20"/>
          <w:color w:val="auto"/>
        </w:rPr>
      </w:pPr>
      <w:r>
        <w:rPr>
          <w:rFonts w:ascii="Arial" w:cs="Arial" w:eastAsia="Arial" w:hAnsi="Arial"/>
          <w:sz w:val="18"/>
          <w:szCs w:val="18"/>
          <w:color w:val="auto"/>
        </w:rPr>
        <w:t>As of September 30, 2019, 99.1% of our debt investments based on fair value in our portfolio bore interest at floating rates (when including investment specific hedges), with 96.2% of these subject to interest rate floors. Our credit facilities also bear interest at floating rates, and in connection with our Convertible Notes and 2023 Notes, which bear interest at fixed rates, we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September 30, 2019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40" w:type="dxa"/>
            <w:vAlign w:val="bottom"/>
          </w:tcPr>
          <w:p>
            <w:pPr>
              <w:spacing w:after="0"/>
              <w:rPr>
                <w:sz w:val="14"/>
                <w:szCs w:val="14"/>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Interest Income</w:t>
            </w:r>
          </w:p>
        </w:tc>
        <w:tc>
          <w:tcPr>
            <w:tcW w:w="80" w:type="dxa"/>
            <w:vAlign w:val="bottom"/>
          </w:tcPr>
          <w:p>
            <w:pPr>
              <w:spacing w:after="0"/>
              <w:rPr>
                <w:sz w:val="14"/>
                <w:szCs w:val="1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Interest Expense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 Interest Income</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Up 200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9"/>
                <w:szCs w:val="19"/>
                <w:color w:val="auto"/>
              </w:rPr>
            </w:pPr>
          </w:p>
        </w:tc>
        <w:tc>
          <w:tcPr>
            <w:tcW w:w="5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5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Down 50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w:t>
            </w:r>
          </w:p>
        </w:tc>
        <w:tc>
          <w:tcPr>
            <w:tcW w:w="5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r>
    </w:tbl>
    <w:p>
      <w:pPr>
        <w:spacing w:after="0" w:line="242"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2018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260" w:firstLine="259"/>
        <w:spacing w:after="0" w:line="302"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4"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On October 8, 2018, our stockholders approved the application of the minimum asset coverage ratio of 150% to us, as set forth in Section 61(a) (2)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increase our maximum debt-to-equity ratio from an effective level of one-to-one to two-to-one.</w:t>
      </w:r>
    </w:p>
    <w:p>
      <w:pPr>
        <w:spacing w:after="0" w:line="18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178"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1"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interest rates of our debt investments to our portfolio companies and our indebtedness that extend beyond 2021 might be subject to change based on recent regulatory changes.</w:t>
      </w:r>
    </w:p>
    <w:p>
      <w:pPr>
        <w:spacing w:after="0" w:line="62"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The terms of our debt investments generally include minimum interest rate floors which are calculated based on LIBOR. Amounts drawn under the Revolving Credit Facility also currently bear interest at LIBOR plus a margin, and obligations under interest rate swaps we enter into are also referenced to LIBOR.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ind w:right="100" w:firstLine="259"/>
        <w:spacing w:after="0" w:line="273" w:lineRule="auto"/>
        <w:rPr>
          <w:sz w:val="20"/>
          <w:szCs w:val="20"/>
          <w:color w:val="auto"/>
        </w:rPr>
      </w:pPr>
      <w:r>
        <w:rPr>
          <w:rFonts w:ascii="Arial" w:cs="Arial" w:eastAsia="Arial" w:hAnsi="Arial"/>
          <w:sz w:val="17"/>
          <w:szCs w:val="17"/>
          <w:color w:val="auto"/>
        </w:rPr>
        <w:t>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The first publication of SOFR was released in April 2018. Whether or not SOFR attains market traction as a LIBOR replacement remains a question and the future of LIBOR at this time is uncertain.</w:t>
      </w:r>
    </w:p>
    <w:p>
      <w:pPr>
        <w:spacing w:after="0" w:line="17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If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ability to receive attractive returns. In addition, if LIBOR ceases to exist, we may need to renegotiate certain terms of our Revolving Credit Facility to replace LIBOR with the new standard that is established in its place. If we are unable to do so, amounts drawn under the Revolving Credit Facility may bear interest at a higher rate, which would increase the cost of our borrowings and, in turn, affect our return on capital. If LIBOR ceases to exist we will also have to renegotiate the terms of any outstanding interest rate swaps.</w:t>
      </w:r>
    </w:p>
    <w:p>
      <w:pPr>
        <w:spacing w:after="0" w:line="193" w:lineRule="exact"/>
        <w:rPr>
          <w:sz w:val="20"/>
          <w:szCs w:val="20"/>
          <w:color w:val="auto"/>
        </w:rPr>
      </w:pPr>
    </w:p>
    <w:p>
      <w:pPr>
        <w:jc w:val="both"/>
        <w:ind w:right="620" w:firstLine="259"/>
        <w:spacing w:after="0" w:line="312" w:lineRule="auto"/>
        <w:rPr>
          <w:sz w:val="20"/>
          <w:szCs w:val="20"/>
          <w:color w:val="auto"/>
        </w:rPr>
      </w:pPr>
      <w:r>
        <w:rPr>
          <w:rFonts w:ascii="Arial" w:cs="Arial" w:eastAsia="Arial" w:hAnsi="Arial"/>
          <w:sz w:val="16"/>
          <w:szCs w:val="16"/>
          <w:i w:val="1"/>
          <w:iCs w:val="1"/>
          <w:color w:val="auto"/>
        </w:rPr>
        <w:t>In addition, 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360" w:firstLine="259"/>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1"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71"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2" w:name="page73"/>
    <w:bookmarkEnd w:id="72"/>
    <w:p>
      <w:pPr>
        <w:ind w:right="60" w:firstLine="259"/>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June 14, 2019, we are currently permitted to sell or otherwise issue shares of our common stock at a price below our then-current net asset value per share, subject to the approval of our Board and certain other conditions. Such stockholder approval expires on June 14, 2020.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5"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80" w:firstLine="259"/>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7" w:lineRule="exact"/>
        <w:rPr>
          <w:sz w:val="20"/>
          <w:szCs w:val="20"/>
          <w:color w:val="auto"/>
        </w:rPr>
      </w:pPr>
    </w:p>
    <w:p>
      <w:pPr>
        <w:ind w:right="20" w:firstLine="259"/>
        <w:spacing w:after="0" w:line="254"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September 30, 2019,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2" w:lineRule="exact"/>
        <w:rPr>
          <w:sz w:val="20"/>
          <w:szCs w:val="20"/>
          <w:color w:val="auto"/>
        </w:rPr>
      </w:pPr>
    </w:p>
    <w:p>
      <w:pPr>
        <w:ind w:right="560" w:firstLine="259"/>
        <w:spacing w:after="0" w:line="308"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ind w:firstLine="259"/>
        <w:spacing w:after="0" w:line="276" w:lineRule="auto"/>
        <w:rPr>
          <w:sz w:val="20"/>
          <w:szCs w:val="20"/>
          <w:color w:val="auto"/>
        </w:rPr>
      </w:pPr>
      <w:r>
        <w:rPr>
          <w:rFonts w:ascii="Arial" w:cs="Arial" w:eastAsia="Arial" w:hAnsi="Arial"/>
          <w:sz w:val="17"/>
          <w:szCs w:val="17"/>
          <w:color w:val="auto"/>
        </w:rPr>
        <w:t>As of September 30, 2019, we had $918.7 million of outstanding indebtedness, which had an annualized interest cost of 4.41% under the terms of our debt, excluding fees (such as fees on undrawn amounts and amortization of upfront fees) and giving effect to the swap-adjusted interest rates on our Convertible Notes and 2023 Notes. As of September 30, 2019, the interest rate on the 2019 Convertible Notes, as adjusted to give effect to the interest rate swaps, was three-month London Interbank Offered Rate, or LIBOR, plus 2.86%, the interest rate on the 2022 Convertible Notes was three-month LIBOR plus 2.11% (on a weighted-average basis) and the interest rate on the 2023 Notes was three-month LIBOR plus 1.99%.</w:t>
      </w:r>
    </w:p>
    <w:p>
      <w:pPr>
        <w:spacing w:after="0" w:line="173"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2.0%.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20" w:firstLine="259"/>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September 30, 2019</w:t>
      </w:r>
    </w:p>
    <w:p>
      <w:pPr>
        <w:spacing w:after="0" w:line="221"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-3175</wp:posOffset>
            </wp:positionV>
            <wp:extent cx="40220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0%</w:t>
            </w: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10%</w:t>
            </w:r>
          </w:p>
        </w:tc>
        <w:tc>
          <w:tcPr>
            <w:tcW w:w="300" w:type="dxa"/>
            <w:vAlign w:val="bottom"/>
            <w:tcBorders>
              <w:bottom w:val="single" w:sz="8" w:color="CCEEFF"/>
            </w:tcBorders>
          </w:tcPr>
          <w:p>
            <w:pPr>
              <w:spacing w:after="0"/>
              <w:rPr>
                <w:sz w:val="14"/>
                <w:szCs w:val="14"/>
                <w:color w:val="auto"/>
              </w:rPr>
            </w:pPr>
          </w:p>
        </w:tc>
      </w:tr>
      <w:tr>
        <w:trPr>
          <w:trHeight w:val="210"/>
        </w:trPr>
        <w:tc>
          <w:tcPr>
            <w:tcW w:w="4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21"/>
                <w:szCs w:val="21"/>
                <w:color w:val="auto"/>
                <w:vertAlign w:val="superscript"/>
              </w:rPr>
              <w:t>(2)</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r>
    </w:tbl>
    <w:p>
      <w:pPr>
        <w:spacing w:after="0" w:line="242" w:lineRule="exact"/>
        <w:rPr>
          <w:sz w:val="20"/>
          <w:szCs w:val="20"/>
          <w:color w:val="auto"/>
        </w:rPr>
      </w:pPr>
    </w:p>
    <w:p>
      <w:pPr>
        <w:ind w:left="520" w:right="140" w:hanging="512"/>
        <w:spacing w:after="0" w:line="271"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September 30, 2019. As a result, it has not been updated to take into account any changes in assets or leverage since September 30, 2019.</w:t>
      </w:r>
    </w:p>
    <w:p>
      <w:pPr>
        <w:ind w:left="520" w:right="60" w:hanging="512"/>
        <w:spacing w:after="0" w:line="253"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September 30, 2019 to obtain an assumed return to us. From this amount, the interest expense (calculated by multiplying the weighted average stated interest rate of 4.4% by the approximately $918.7 million of principal debt outstanding) is subtracted to determine the return available to stockholders. The return available to stockholders is then divided by the total value of our net assets at September 30, 2019 to determine the “Corresponding return to stockholder.”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180" w:firstLine="259"/>
        <w:spacing w:after="0" w:line="255"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4" w:name="page75"/>
    <w:bookmarkEnd w:id="74"/>
    <w:p>
      <w:pPr>
        <w:ind w:right="20" w:firstLine="259"/>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ind w:left="640" w:right="40" w:hanging="634"/>
        <w:spacing w:after="0" w:line="308" w:lineRule="auto"/>
        <w:tabs>
          <w:tab w:leader="none" w:pos="62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110">
        <w:r>
          <w:rPr>
            <w:rFonts w:ascii="Arial" w:cs="Arial" w:eastAsia="Arial" w:hAnsi="Arial"/>
            <w:sz w:val="17"/>
            <w:szCs w:val="17"/>
            <w:u w:val="single" w:color="auto"/>
            <w:color w:val="0000EE"/>
          </w:rPr>
          <w:t>Second Supplemental Indenture, dated as of November 1, 2019, between TPG Specialty Lending, Inc. and Wells Fargo Bank, National Association,</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as Trustee (incorporated by reference to Exhibit 4.2 to the Company’s Current Report on Form 8-K filed on November 1, 2019).</w:t>
        </w:r>
      </w:hyperlink>
    </w:p>
    <w:p>
      <w:pPr>
        <w:spacing w:after="0" w:line="52"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10">
        <w:r>
          <w:rPr>
            <w:rFonts w:ascii="Arial" w:cs="Arial" w:eastAsia="Arial" w:hAnsi="Arial"/>
            <w:sz w:val="16"/>
            <w:szCs w:val="16"/>
            <w:u w:val="single" w:color="auto"/>
            <w:color w:val="0000EE"/>
          </w:rPr>
          <w:t>Form of 3.875% Note Due 2024 (incorporated by reference to the Exhibit 4.3 to the Company’s Current Report on the Form 8-K filed on November</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1, 2019).</w:t>
        </w:r>
      </w:hyperlink>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Certification of Chief Executive Officer Pursuant to 18 U.S.C. Section 1350, as Adopted Pursuant to Section 302 of the Sarbanes-Oxley Act of 2002</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of Chief Financial Officer Pursuant to 18 U.S.C. Section 1350, as Adopted Pursuant to Section 302 of the Sarbanes-Oxley Act of 2002</w:t>
      </w:r>
    </w:p>
    <w:p>
      <w:pPr>
        <w:spacing w:after="0" w:line="225"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0000EE"/>
        </w:rPr>
        <w:t>Certification of CEO and CFO Pursuant to 18 U.S.C. Section 1350, as Adopted Pursuant to Section 906 of the Sarbanes-Oxley Act of 2002</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3180"/>
              <w:spacing w:after="0"/>
              <w:rPr>
                <w:sz w:val="20"/>
                <w:szCs w:val="20"/>
                <w:color w:val="auto"/>
              </w:rPr>
            </w:pPr>
            <w:r>
              <w:rPr>
                <w:rFonts w:ascii="Arial" w:cs="Arial" w:eastAsia="Arial" w:hAnsi="Arial"/>
                <w:sz w:val="18"/>
                <w:szCs w:val="18"/>
                <w:color w:val="auto"/>
              </w:rPr>
              <w:t>TPG SPECIALTY LENDING, INC.</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5, 2019</w:t>
            </w:r>
          </w:p>
        </w:tc>
        <w:tc>
          <w:tcPr>
            <w:tcW w:w="7720" w:type="dxa"/>
            <w:vAlign w:val="bottom"/>
            <w:gridSpan w:val="2"/>
          </w:tcPr>
          <w:p>
            <w:pPr>
              <w:ind w:left="3180"/>
              <w:spacing w:after="0"/>
              <w:rPr>
                <w:sz w:val="20"/>
                <w:szCs w:val="20"/>
                <w:color w:val="auto"/>
              </w:rPr>
            </w:pPr>
            <w:r>
              <w:rPr>
                <w:rFonts w:ascii="Arial" w:cs="Arial" w:eastAsia="Arial" w:hAnsi="Arial"/>
                <w:sz w:val="18"/>
                <w:szCs w:val="18"/>
                <w:color w:val="auto"/>
              </w:rPr>
              <w:t>By: /s/ Joshua Easterly</w:t>
            </w:r>
          </w:p>
        </w:tc>
      </w:tr>
      <w:tr>
        <w:trPr>
          <w:trHeight w:val="195"/>
        </w:trPr>
        <w:tc>
          <w:tcPr>
            <w:tcW w:w="3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5, 2019</w:t>
            </w:r>
          </w:p>
        </w:tc>
        <w:tc>
          <w:tcPr>
            <w:tcW w:w="7720" w:type="dxa"/>
            <w:vAlign w:val="bottom"/>
            <w:gridSpan w:val="2"/>
          </w:tcPr>
          <w:p>
            <w:pPr>
              <w:ind w:left="3180"/>
              <w:spacing w:after="0"/>
              <w:rPr>
                <w:sz w:val="20"/>
                <w:szCs w:val="20"/>
                <w:color w:val="auto"/>
              </w:rPr>
            </w:pPr>
            <w:r>
              <w:rPr>
                <w:rFonts w:ascii="Arial" w:cs="Arial" w:eastAsia="Arial" w:hAnsi="Arial"/>
                <w:sz w:val="18"/>
                <w:szCs w:val="18"/>
                <w:color w:val="auto"/>
              </w:rPr>
              <w:t>By: /s/ Ian Simmonds</w:t>
            </w:r>
          </w:p>
        </w:tc>
      </w:tr>
      <w:tr>
        <w:trPr>
          <w:trHeight w:val="195"/>
        </w:trPr>
        <w:tc>
          <w:tcPr>
            <w:tcW w:w="3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700" w:type="dxa"/>
            <w:vAlign w:val="bottom"/>
          </w:tcPr>
          <w:p>
            <w:pPr>
              <w:spacing w:after="0"/>
              <w:rPr>
                <w:sz w:val="24"/>
                <w:szCs w:val="24"/>
                <w:color w:val="auto"/>
              </w:rPr>
            </w:pPr>
          </w:p>
        </w:tc>
        <w:tc>
          <w:tcPr>
            <w:tcW w:w="3540" w:type="dxa"/>
            <w:vAlign w:val="bottom"/>
          </w:tcPr>
          <w:p>
            <w:pPr>
              <w:jc w:val="right"/>
              <w:ind w:right="1350"/>
              <w:spacing w:after="0"/>
              <w:rPr>
                <w:sz w:val="20"/>
                <w:szCs w:val="20"/>
                <w:color w:val="auto"/>
              </w:rPr>
            </w:pPr>
            <w:r>
              <w:rPr>
                <w:rFonts w:ascii="Arial" w:cs="Arial" w:eastAsia="Arial" w:hAnsi="Arial"/>
                <w:sz w:val="18"/>
                <w:szCs w:val="18"/>
                <w:color w:val="auto"/>
              </w:rPr>
              <w:t>77</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September 30, 2019,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5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Joshua Easterly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November 5, 2019</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32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320"/>
              <w:spacing w:after="0"/>
              <w:rPr>
                <w:sz w:val="20"/>
                <w:szCs w:val="20"/>
                <w:color w:val="auto"/>
              </w:rPr>
            </w:pPr>
            <w:r>
              <w:rPr>
                <w:rFonts w:ascii="Arial" w:cs="Arial" w:eastAsia="Arial" w:hAnsi="Arial"/>
                <w:sz w:val="18"/>
                <w:szCs w:val="18"/>
                <w:color w:val="auto"/>
              </w:rPr>
              <w:t>November 5, 2019</w:t>
            </w: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lvl w:ilvl="1">
      <w:lvlJc w:val="left"/>
      <w:lvlText w:val="(%2)"/>
      <w:numFmt w:val="lowerLetter"/>
      <w:start w:val="1"/>
    </w:lvl>
  </w:abstractNum>
  <w:abstractNum w:abstractNumId="4">
    <w:nsid w:val="71F32454"/>
    <w:multiLevelType w:val="hybridMultilevel"/>
    <w:lvl w:ilvl="0">
      <w:lvlJc w:val="left"/>
      <w:lvlText w:val="(%1)"/>
      <w:numFmt w:val="decimal"/>
      <w:start w:val="1"/>
    </w:lvl>
    <w:lvl w:ilvl="1">
      <w:lvlJc w:val="left"/>
      <w:lvlText w:val="%2"/>
      <w:numFmt w:val="lowerLetter"/>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decimal"/>
      <w:start w:val="7"/>
    </w:lvl>
  </w:abstractNum>
  <w:abstractNum w:abstractNumId="7">
    <w:nsid w:val="2901D82"/>
    <w:multiLevelType w:val="hybridMultilevel"/>
    <w:lvl w:ilvl="0">
      <w:lvlJc w:val="left"/>
      <w:lvlText w:val="%1"/>
      <w:numFmt w:val="decimal"/>
      <w:start w:val="1"/>
    </w:lvl>
    <w:lvl w:ilvl="1">
      <w:lvlJc w:val="left"/>
      <w:lvlText w:val="(%2)"/>
      <w:numFmt w:val="lowerLetter"/>
      <w:start w:val="1"/>
    </w:lvl>
  </w:abstractNum>
  <w:abstractNum w:abstractNumId="8">
    <w:nsid w:val="3A95F874"/>
    <w:multiLevelType w:val="hybridMultilevel"/>
    <w:lvl w:ilvl="0">
      <w:lvlJc w:val="left"/>
      <w:lvlText w:val="(%1)"/>
      <w:numFmt w:val="decimal"/>
      <w:start w:val="8"/>
    </w:lvl>
    <w:lvl w:ilvl="1">
      <w:lvlJc w:val="left"/>
      <w:lvlText w:val="%2"/>
      <w:numFmt w:val="lowerLetter"/>
      <w:start w:val="1"/>
    </w:lvl>
  </w:abstractNum>
  <w:abstractNum w:abstractNumId="9">
    <w:nsid w:val="8138641"/>
    <w:multiLevelType w:val="hybridMultilevel"/>
    <w:lvl w:ilvl="0">
      <w:lvlJc w:val="left"/>
      <w:lvlText w:val="%1"/>
      <w:numFmt w:val="decimal"/>
      <w:start w:val="1"/>
    </w:lvl>
    <w:lvl w:ilvl="1">
      <w:lvlJc w:val="left"/>
      <w:lvlText w:val="(%2)"/>
      <w:numFmt w:val="lowerLetter"/>
      <w:start w:val="1"/>
    </w:lvl>
  </w:abstractNum>
  <w:abstractNum w:abstractNumId="10">
    <w:nsid w:val="1E7FF521"/>
    <w:multiLevelType w:val="hybridMultilevel"/>
    <w:lvl w:ilvl="0">
      <w:lvlJc w:val="left"/>
      <w:lvlText w:val="(%1)"/>
      <w:numFmt w:val="decimal"/>
      <w:start w:val="1"/>
    </w:lvl>
    <w:lvl w:ilvl="1">
      <w:lvlJc w:val="left"/>
      <w:lvlText w:val="%2"/>
      <w:numFmt w:val="lowerLetter"/>
      <w:start w:val="1"/>
    </w:lvl>
  </w:abstractNum>
  <w:abstractNum w:abstractNumId="11">
    <w:nsid w:val="7C3DBD3D"/>
    <w:multiLevelType w:val="hybridMultilevel"/>
    <w:lvl w:ilvl="0">
      <w:lvlJc w:val="left"/>
      <w:lvlText w:val="%1"/>
      <w:numFmt w:val="decimal"/>
      <w:start w:val="1"/>
    </w:lvl>
    <w:lvl w:ilvl="1">
      <w:lvlJc w:val="left"/>
      <w:lvlText w:val="(%2)"/>
      <w:numFmt w:val="lowerLetter"/>
      <w:start w:val="1"/>
    </w:lvl>
  </w:abstractNum>
  <w:abstractNum w:abstractNumId="12">
    <w:nsid w:val="737B8DDC"/>
    <w:multiLevelType w:val="hybridMultilevel"/>
    <w:lvl w:ilvl="0">
      <w:lvlJc w:val="left"/>
      <w:lvlText w:val="(%1)"/>
      <w:numFmt w:val="decimal"/>
      <w:start w:val="7"/>
    </w:lvl>
    <w:lvl w:ilvl="1">
      <w:lvlJc w:val="left"/>
      <w:lvlText w:val="%2"/>
      <w:numFmt w:val="lowerLetter"/>
      <w:start w:val="1"/>
    </w:lvl>
  </w:abstractNum>
  <w:abstractNum w:abstractNumId="13">
    <w:nsid w:val="6CEAF087"/>
    <w:multiLevelType w:val="hybridMultilevel"/>
    <w:lvl w:ilvl="0">
      <w:lvlJc w:val="left"/>
      <w:lvlText w:val="%1"/>
      <w:numFmt w:val="decimal"/>
      <w:start w:val="1"/>
    </w:lvl>
    <w:lvl w:ilvl="1">
      <w:lvlJc w:val="left"/>
      <w:lvlText w:val="(%2)"/>
      <w:numFmt w:val="lowerLetter"/>
      <w:start w:val="1"/>
    </w:lvl>
  </w:abstractNum>
  <w:abstractNum w:abstractNumId="14">
    <w:nsid w:val="22221A70"/>
    <w:multiLevelType w:val="hybridMultilevel"/>
    <w:lvl w:ilvl="0">
      <w:lvlJc w:val="left"/>
      <w:lvlText w:val="(%1)"/>
      <w:numFmt w:val="decimal"/>
      <w:start w:val="8"/>
    </w:lvl>
    <w:lvl w:ilvl="1">
      <w:lvlJc w:val="left"/>
      <w:lvlText w:val="%2"/>
      <w:numFmt w:val="lowerLetter"/>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lowerRoman"/>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0"/>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6"/>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32"/>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0" Type="http://schemas.openxmlformats.org/officeDocument/2006/relationships/hyperlink" Target="http://www.sec.gov/Archives/edgar/data/1508655/000119312519281943/d828545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2019-12-28T02:49:11Z</dcterms:created>
  <dcterms:modified xsi:type="dcterms:W3CDTF">2019-12-28T02:49:11Z</dcterms:modified>
</cp:coreProperties>
</file>