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2180"/>
        <w:spacing w:after="0"/>
        <w:rPr>
          <w:sz w:val="20"/>
          <w:szCs w:val="20"/>
          <w:color w:val="auto"/>
        </w:rPr>
      </w:pPr>
      <w:r>
        <w:rPr>
          <w:rFonts w:ascii="Arial" w:cs="Arial" w:eastAsia="Arial" w:hAnsi="Arial"/>
          <w:sz w:val="18"/>
          <w:szCs w:val="18"/>
          <w:b w:val="1"/>
          <w:bCs w:val="1"/>
          <w:color w:val="auto"/>
        </w:rPr>
        <w:t>As confidentially submitted to the Securities and Exchange Commission on December 13, 2013</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8"/>
          <w:szCs w:val="18"/>
          <w:b w:val="1"/>
          <w:bCs w:val="1"/>
          <w:color w:val="auto"/>
        </w:rPr>
        <w:t>Securities Act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4080" w:type="dxa"/>
        <w:tblCellMar>
          <w:top w:w="0" w:type="dxa"/>
          <w:left w:w="0" w:type="dxa"/>
          <w:bottom w:w="0" w:type="dxa"/>
          <w:right w:w="0" w:type="dxa"/>
        </w:tblCellMar>
      </w:tblPr>
      <w:tr>
        <w:trPr>
          <w:trHeight w:val="225"/>
        </w:trPr>
        <w:tc>
          <w:tcPr>
            <w:tcW w:w="5140" w:type="dxa"/>
            <w:vAlign w:val="bottom"/>
          </w:tcPr>
          <w:p>
            <w:pPr>
              <w:ind w:left="1260"/>
              <w:spacing w:after="0" w:line="225" w:lineRule="exact"/>
              <w:rPr>
                <w:sz w:val="20"/>
                <w:szCs w:val="20"/>
                <w:color w:val="auto"/>
              </w:rPr>
            </w:pPr>
            <w:r>
              <w:rPr>
                <w:rFonts w:ascii="Arial" w:cs="Arial" w:eastAsia="Arial" w:hAnsi="Arial"/>
                <w:sz w:val="22"/>
                <w:szCs w:val="22"/>
                <w:b w:val="1"/>
                <w:bCs w:val="1"/>
                <w:i w:val="1"/>
                <w:iCs w:val="1"/>
                <w:color w:val="auto"/>
              </w:rPr>
              <w:t>UNDER</w:t>
            </w:r>
          </w:p>
        </w:tc>
        <w:tc>
          <w:tcPr>
            <w:tcW w:w="2200" w:type="dxa"/>
            <w:vAlign w:val="bottom"/>
            <w:vMerge w:val="restart"/>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4"/>
        </w:trPr>
        <w:tc>
          <w:tcPr>
            <w:tcW w:w="5140" w:type="dxa"/>
            <w:vAlign w:val="bottom"/>
          </w:tcPr>
          <w:p>
            <w:pPr>
              <w:jc w:val="center"/>
              <w:ind w:right="1952"/>
              <w:spacing w:after="0" w:line="224" w:lineRule="exact"/>
              <w:rPr>
                <w:sz w:val="20"/>
                <w:szCs w:val="20"/>
                <w:color w:val="auto"/>
              </w:rPr>
            </w:pPr>
            <w:r>
              <w:rPr>
                <w:rFonts w:ascii="Arial" w:cs="Arial" w:eastAsia="Arial" w:hAnsi="Arial"/>
                <w:sz w:val="22"/>
                <w:szCs w:val="22"/>
                <w:b w:val="1"/>
                <w:bCs w:val="1"/>
                <w:i w:val="1"/>
                <w:iCs w:val="1"/>
                <w:color w:val="auto"/>
                <w:w w:val="94"/>
              </w:rPr>
              <w:t>THE SECURITIES ACT OF 1933</w:t>
            </w:r>
          </w:p>
        </w:tc>
        <w:tc>
          <w:tcPr>
            <w:tcW w:w="2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tcPr>
          <w:p>
            <w:pPr>
              <w:jc w:val="center"/>
              <w:ind w:right="1952"/>
              <w:spacing w:after="0" w:line="243" w:lineRule="exact"/>
              <w:rPr>
                <w:sz w:val="20"/>
                <w:szCs w:val="20"/>
                <w:color w:val="auto"/>
              </w:rPr>
            </w:pPr>
            <w:r>
              <w:rPr>
                <w:rFonts w:ascii="Arial" w:cs="Arial" w:eastAsia="Arial" w:hAnsi="Arial"/>
                <w:sz w:val="22"/>
                <w:szCs w:val="22"/>
                <w:b w:val="1"/>
                <w:bCs w:val="1"/>
                <w:color w:val="auto"/>
                <w:w w:val="89"/>
              </w:rPr>
              <w:t>Pre-Effective Amendment No.</w:t>
            </w:r>
          </w:p>
        </w:tc>
        <w:tc>
          <w:tcPr>
            <w:tcW w:w="22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94"/>
        </w:trPr>
        <w:tc>
          <w:tcPr>
            <w:tcW w:w="5140" w:type="dxa"/>
            <w:vAlign w:val="bottom"/>
          </w:tcPr>
          <w:p>
            <w:pPr>
              <w:jc w:val="center"/>
              <w:ind w:right="1952"/>
              <w:spacing w:after="0"/>
              <w:rPr>
                <w:sz w:val="20"/>
                <w:szCs w:val="20"/>
                <w:color w:val="auto"/>
              </w:rPr>
            </w:pPr>
            <w:r>
              <w:rPr>
                <w:rFonts w:ascii="Arial" w:cs="Arial" w:eastAsia="Arial" w:hAnsi="Arial"/>
                <w:sz w:val="22"/>
                <w:szCs w:val="22"/>
                <w:b w:val="1"/>
                <w:bCs w:val="1"/>
                <w:color w:val="auto"/>
                <w:w w:val="88"/>
              </w:rPr>
              <w:t>Post-Effective Amendment No.</w:t>
            </w:r>
          </w:p>
        </w:tc>
        <w:tc>
          <w:tcPr>
            <w:tcW w:w="22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(817) 871-4000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Stiepleman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22"/>
        </w:trPr>
        <w:tc>
          <w:tcPr>
            <w:tcW w:w="3280" w:type="dxa"/>
            <w:vAlign w:val="bottom"/>
          </w:tcPr>
          <w:p>
            <w:pPr>
              <w:spacing w:after="0"/>
              <w:rPr>
                <w:sz w:val="19"/>
                <w:szCs w:val="19"/>
                <w:color w:val="auto"/>
              </w:rPr>
            </w:pPr>
          </w:p>
        </w:tc>
        <w:tc>
          <w:tcPr>
            <w:tcW w:w="578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85"/>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88"/>
              </w:rPr>
              <w:t>Michael A. Gerstenzang,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9"/>
              </w:rPr>
              <w:t>Stuart H. Gelfond, Esq.</w:t>
            </w:r>
          </w:p>
        </w:tc>
      </w:tr>
      <w:tr>
        <w:trPr>
          <w:trHeight w:val="228"/>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Adam E. Fleisher,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9"/>
              </w:rPr>
              <w:t>Paul D. Tropp, Esq.</w:t>
            </w:r>
          </w:p>
        </w:tc>
      </w:tr>
      <w:tr>
        <w:trPr>
          <w:trHeight w:val="217"/>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89"/>
              </w:rPr>
              <w:t>Helena K. Grannis,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1"/>
              </w:rPr>
              <w:t>Fried, Frank, Harris, Shriver &amp; Jacobson LLP</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92"/>
              </w:rPr>
              <w:t>Cleary Gottlieb Steen &amp; Hamilton LLP</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0"/>
              </w:rPr>
              <w:t>One New York Plaza</w:t>
            </w:r>
          </w:p>
        </w:tc>
      </w:tr>
      <w:tr>
        <w:trPr>
          <w:trHeight w:val="216"/>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91"/>
              </w:rPr>
              <w:t>One Liberty Plaza</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0"/>
              </w:rPr>
              <w:t>New York, NY 10004</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90"/>
              </w:rPr>
              <w:t>New York, NY 10006</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7"/>
              </w:rPr>
              <w:t>Telephone: (212) 859-8000</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7"/>
              </w:rPr>
              <w:t>Telephone: (212) 225-2000</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8"/>
              </w:rPr>
              <w:t>Facsimile: (212) 859-4000</w:t>
            </w:r>
          </w:p>
        </w:tc>
      </w:tr>
      <w:tr>
        <w:trPr>
          <w:trHeight w:val="228"/>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Facsimile: (212) 225-3999</w:t>
            </w:r>
          </w:p>
        </w:tc>
        <w:tc>
          <w:tcPr>
            <w:tcW w:w="5780" w:type="dxa"/>
            <w:vAlign w:val="bottom"/>
          </w:tcPr>
          <w:p>
            <w:pPr>
              <w:spacing w:after="0"/>
              <w:rPr>
                <w:sz w:val="19"/>
                <w:szCs w:val="19"/>
                <w:color w:val="auto"/>
              </w:rPr>
            </w:pPr>
          </w:p>
        </w:tc>
      </w:tr>
    </w:tbl>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w:t>
      </w:r>
    </w:p>
    <w:p>
      <w:pPr>
        <w:spacing w:after="0" w:line="96" w:lineRule="exact"/>
        <w:rPr>
          <w:sz w:val="24"/>
          <w:szCs w:val="24"/>
          <w:color w:val="auto"/>
        </w:rPr>
      </w:pPr>
    </w:p>
    <w:p>
      <w:pPr>
        <w:ind w:right="20"/>
        <w:spacing w:after="0" w:line="229"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9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32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202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73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jc w:val="center"/>
              <w:ind w:left="10"/>
              <w:spacing w:after="0" w:line="117" w:lineRule="exact"/>
              <w:rPr>
                <w:sz w:val="20"/>
                <w:szCs w:val="20"/>
                <w:color w:val="auto"/>
              </w:rPr>
            </w:pPr>
            <w:r>
              <w:rPr>
                <w:rFonts w:ascii="Arial" w:cs="Arial" w:eastAsia="Arial" w:hAnsi="Arial"/>
                <w:sz w:val="12"/>
                <w:szCs w:val="12"/>
                <w:b w:val="1"/>
                <w:bCs w:val="1"/>
                <w:color w:val="auto"/>
                <w:w w:val="97"/>
              </w:rPr>
              <w:t>Proposed</w:t>
            </w:r>
          </w:p>
        </w:tc>
        <w:tc>
          <w:tcPr>
            <w:tcW w:w="20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73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20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3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3"/>
              </w:rPr>
              <w:t>Aggregate</w:t>
            </w:r>
          </w:p>
        </w:tc>
        <w:tc>
          <w:tcPr>
            <w:tcW w:w="2020" w:type="dxa"/>
            <w:vAlign w:val="bottom"/>
          </w:tcPr>
          <w:p>
            <w:pPr>
              <w:ind w:left="740"/>
              <w:spacing w:after="0" w:line="149" w:lineRule="exact"/>
              <w:rPr>
                <w:sz w:val="20"/>
                <w:szCs w:val="20"/>
                <w:color w:val="auto"/>
              </w:rPr>
            </w:pPr>
            <w:r>
              <w:rPr>
                <w:rFonts w:ascii="Arial" w:cs="Arial" w:eastAsia="Arial" w:hAnsi="Arial"/>
                <w:sz w:val="14"/>
                <w:szCs w:val="14"/>
                <w:b w:val="1"/>
                <w:bCs w:val="1"/>
                <w:color w:val="auto"/>
              </w:rPr>
              <w:t>Amount of</w:t>
            </w:r>
          </w:p>
        </w:tc>
      </w:tr>
      <w:tr>
        <w:trPr>
          <w:trHeight w:val="175"/>
        </w:trPr>
        <w:tc>
          <w:tcPr>
            <w:tcW w:w="20" w:type="dxa"/>
            <w:vAlign w:val="bottom"/>
          </w:tcPr>
          <w:p>
            <w:pPr>
              <w:spacing w:after="0"/>
              <w:rPr>
                <w:sz w:val="15"/>
                <w:szCs w:val="15"/>
                <w:color w:val="auto"/>
              </w:rPr>
            </w:pPr>
          </w:p>
        </w:tc>
        <w:tc>
          <w:tcPr>
            <w:tcW w:w="7320" w:type="dxa"/>
            <w:vAlign w:val="bottom"/>
            <w:tcBorders>
              <w:bottom w:val="single" w:sz="8" w:color="auto"/>
              <w:right w:val="single" w:sz="8" w:color="auto"/>
            </w:tcBorders>
          </w:tcPr>
          <w:p>
            <w:pPr>
              <w:ind w:left="2640"/>
              <w:spacing w:after="0"/>
              <w:rPr>
                <w:sz w:val="20"/>
                <w:szCs w:val="20"/>
                <w:color w:val="auto"/>
              </w:rPr>
            </w:pPr>
            <w:r>
              <w:rPr>
                <w:rFonts w:ascii="Arial" w:cs="Arial" w:eastAsia="Arial" w:hAnsi="Arial"/>
                <w:sz w:val="14"/>
                <w:szCs w:val="14"/>
                <w:b w:val="1"/>
                <w:bCs w:val="1"/>
                <w:color w:val="auto"/>
              </w:rPr>
              <w:t>Title of Securities Being Registered</w:t>
            </w:r>
          </w:p>
        </w:tc>
        <w:tc>
          <w:tcPr>
            <w:tcW w:w="20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89"/>
              </w:rPr>
              <w:t>Offering Price(1)(2)</w:t>
            </w:r>
          </w:p>
        </w:tc>
        <w:tc>
          <w:tcPr>
            <w:tcW w:w="20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7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$0.01 par value per share</w:t>
            </w:r>
          </w:p>
        </w:tc>
        <w:tc>
          <w:tcPr>
            <w:tcW w:w="2060" w:type="dxa"/>
            <w:vAlign w:val="bottom"/>
            <w:tcBorders>
              <w:bottom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the underwriters’ option to purchase additional shares of our common stock to cover over-allotments.</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457(o) under the Securities Act of 1933 solely for the purpose of determining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right="2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DE1A1E"/>
        </w:rPr>
        <w:t>Subject to completion, dated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TPG Specialty Lending, Inc.</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109" w:lineRule="exact"/>
        <w:rPr>
          <w:sz w:val="20"/>
          <w:szCs w:val="20"/>
          <w:color w:val="auto"/>
        </w:rPr>
      </w:pPr>
    </w:p>
    <w:p>
      <w:pPr>
        <w:ind w:right="280" w:firstLine="342"/>
        <w:spacing w:after="0" w:line="259" w:lineRule="auto"/>
        <w:rPr>
          <w:sz w:val="20"/>
          <w:szCs w:val="20"/>
          <w:color w:val="auto"/>
        </w:rPr>
      </w:pPr>
      <w:r>
        <w:rPr>
          <w:rFonts w:ascii="Arial" w:cs="Arial" w:eastAsia="Arial" w:hAnsi="Arial"/>
          <w:sz w:val="18"/>
          <w:szCs w:val="18"/>
          <w:color w:val="auto"/>
        </w:rPr>
        <w:t>We are a specialty finance company that has elected to be regulated as a business development company under the Investment Company Act of 1940. We seek to generate current income primarily through direct investments in senior secured loans and, to a lesser extent, originations of mezzanine loans and investments in corporate bonds and equity securities.</w:t>
      </w:r>
    </w:p>
    <w:p>
      <w:pPr>
        <w:spacing w:after="0" w:line="59" w:lineRule="exact"/>
        <w:rPr>
          <w:sz w:val="20"/>
          <w:szCs w:val="20"/>
          <w:color w:val="auto"/>
        </w:rPr>
      </w:pPr>
    </w:p>
    <w:p>
      <w:pPr>
        <w:jc w:val="both"/>
        <w:ind w:right="280" w:firstLine="342"/>
        <w:spacing w:after="0" w:line="259" w:lineRule="auto"/>
        <w:rPr>
          <w:sz w:val="20"/>
          <w:szCs w:val="20"/>
          <w:color w:val="auto"/>
        </w:rPr>
      </w:pPr>
      <w:r>
        <w:rPr>
          <w:rFonts w:ascii="Arial" w:cs="Arial" w:eastAsia="Arial" w:hAnsi="Arial"/>
          <w:sz w:val="18"/>
          <w:szCs w:val="18"/>
          <w:color w:val="auto"/>
        </w:rPr>
        <w:t>As of September 30, 2013, our investment portfolio consisted of 29 investments in 25 portfolio companies with an aggregate fair value of $889.3 million. Following this offering, we intend to continue to pursue an investment strategy focused on direct origination of loans to middle-market companies principally domiciled in the United States.</w:t>
      </w:r>
    </w:p>
    <w:p>
      <w:pPr>
        <w:spacing w:after="0" w:line="59" w:lineRule="exact"/>
        <w:rPr>
          <w:sz w:val="20"/>
          <w:szCs w:val="20"/>
          <w:color w:val="auto"/>
        </w:rPr>
      </w:pPr>
    </w:p>
    <w:p>
      <w:pPr>
        <w:ind w:right="80" w:firstLine="342"/>
        <w:spacing w:after="0" w:line="298" w:lineRule="auto"/>
        <w:rPr>
          <w:sz w:val="20"/>
          <w:szCs w:val="20"/>
          <w:color w:val="auto"/>
        </w:rPr>
      </w:pPr>
      <w:r>
        <w:rPr>
          <w:rFonts w:ascii="Arial" w:cs="Arial" w:eastAsia="Arial" w:hAnsi="Arial"/>
          <w:sz w:val="16"/>
          <w:szCs w:val="16"/>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$6 billion of assets under management as of September 30, 2013. TPG Special Situations Partners is the opportunistic special situations and credit platform of TPG, a leading global private investment firm founded in 1992 with over $55 billion of assets under management as of September 30, 2013.</w:t>
      </w:r>
    </w:p>
    <w:p>
      <w:pPr>
        <w:spacing w:after="0" w:line="32" w:lineRule="exact"/>
        <w:rPr>
          <w:sz w:val="20"/>
          <w:szCs w:val="20"/>
          <w:color w:val="auto"/>
        </w:rPr>
      </w:pPr>
    </w:p>
    <w:p>
      <w:pPr>
        <w:ind w:right="40" w:firstLine="342"/>
        <w:spacing w:after="0" w:line="256" w:lineRule="auto"/>
        <w:rPr>
          <w:sz w:val="20"/>
          <w:szCs w:val="20"/>
          <w:color w:val="auto"/>
        </w:rPr>
      </w:pPr>
      <w:r>
        <w:rPr>
          <w:rFonts w:ascii="Arial" w:cs="Arial" w:eastAsia="Arial" w:hAnsi="Arial"/>
          <w:sz w:val="18"/>
          <w:szCs w:val="18"/>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Our exposure to below investment grade instruments involves certain risks, including speculation with respect to the borrower’s capacity to pay interest and repay principal.</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is our initial public offering of our shares of common stock. All of the shares of common stock offered by this prospectus are being sold by us.</w:t>
      </w:r>
    </w:p>
    <w:p>
      <w:pPr>
        <w:spacing w:after="0" w:line="113" w:lineRule="exact"/>
        <w:rPr>
          <w:sz w:val="20"/>
          <w:szCs w:val="20"/>
          <w:color w:val="auto"/>
        </w:rPr>
      </w:pPr>
    </w:p>
    <w:p>
      <w:pPr>
        <w:ind w:right="620" w:firstLine="342"/>
        <w:spacing w:after="0" w:line="268" w:lineRule="auto"/>
        <w:rPr>
          <w:sz w:val="20"/>
          <w:szCs w:val="20"/>
          <w:color w:val="auto"/>
        </w:rPr>
      </w:pPr>
      <w:r>
        <w:rPr>
          <w:rFonts w:ascii="Arial" w:cs="Arial" w:eastAsia="Arial" w:hAnsi="Arial"/>
          <w:sz w:val="18"/>
          <w:szCs w:val="18"/>
          <w:color w:val="auto"/>
        </w:rPr>
        <w:t>We are an “emerging growth company,” as defined in Section 2(a) of the U.S. Securities Act of 1933, and will be subject to reduced public company reporting requirements.</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Our shares of common stock have no history of public trading. </w:t>
      </w:r>
      <w:r>
        <w:rPr>
          <w:rFonts w:ascii="Arial" w:cs="Arial" w:eastAsia="Arial" w:hAnsi="Arial"/>
          <w:sz w:val="16"/>
          <w:szCs w:val="16"/>
          <w:color w:val="auto"/>
        </w:rPr>
        <w:t>We currently expect that the initial public offering price per share of our common stock</w:t>
      </w:r>
    </w:p>
    <w:p>
      <w:pPr>
        <w:spacing w:after="0" w:line="44" w:lineRule="exact"/>
        <w:rPr>
          <w:sz w:val="20"/>
          <w:szCs w:val="20"/>
          <w:color w:val="auto"/>
        </w:rPr>
      </w:pPr>
    </w:p>
    <w:p>
      <w:pPr>
        <w:spacing w:after="0"/>
        <w:tabs>
          <w:tab w:leader="none" w:pos="1800" w:val="left"/>
          <w:tab w:leader="none" w:pos="2580" w:val="left"/>
          <w:tab w:leader="none" w:pos="8160" w:val="left"/>
          <w:tab w:leader="none" w:pos="10380" w:val="left"/>
        </w:tabs>
        <w:rPr>
          <w:sz w:val="20"/>
          <w:szCs w:val="20"/>
          <w:color w:val="auto"/>
        </w:rPr>
      </w:pPr>
      <w:r>
        <w:rPr>
          <w:rFonts w:ascii="Arial" w:cs="Arial" w:eastAsia="Arial" w:hAnsi="Arial"/>
          <w:sz w:val="18"/>
          <w:szCs w:val="18"/>
          <w:color w:val="auto"/>
        </w:rPr>
        <w:t>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 We intend to apply to have our common stock listed on</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459" w:right="239" w:bottom="240" w:gutter="0" w:footer="0" w:header="0"/>
        </w:sectPr>
      </w:pPr>
    </w:p>
    <w:p>
      <w:pPr>
        <w:spacing w:after="0" w:line="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Assuming an initial public offering price of $</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per share, purchasers in this offering will experience dilution of approximately $</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per share. See</w:t>
      </w:r>
    </w:p>
    <w:p>
      <w:pPr>
        <w:spacing w:after="0" w:line="60" w:lineRule="exact"/>
        <w:rPr>
          <w:sz w:val="20"/>
          <w:szCs w:val="20"/>
          <w:color w:val="auto"/>
        </w:rPr>
      </w:pPr>
    </w:p>
    <w:p>
      <w:pPr>
        <w:sectPr>
          <w:pgSz w:w="11900" w:h="16838" w:orient="portrait"/>
          <w:cols w:equalWidth="0" w:num="3">
            <w:col w:w="3540" w:space="380"/>
            <w:col w:w="5660" w:space="560"/>
            <w:col w:w="1280"/>
          </w:cols>
          <w:pgMar w:left="240" w:top="459" w:right="239" w:bottom="240" w:gutter="0" w:footer="0" w:header="0"/>
          <w:type w:val="continuous"/>
        </w:sectPr>
      </w:pPr>
    </w:p>
    <w:p>
      <w:pPr>
        <w:spacing w:after="0"/>
        <w:rPr>
          <w:sz w:val="20"/>
          <w:szCs w:val="20"/>
          <w:color w:val="auto"/>
        </w:rPr>
      </w:pPr>
      <w:r>
        <w:rPr>
          <w:rFonts w:ascii="Arial" w:cs="Arial" w:eastAsia="Arial" w:hAnsi="Arial"/>
          <w:sz w:val="16"/>
          <w:szCs w:val="16"/>
          <w:color w:val="auto"/>
        </w:rPr>
        <w:t>“Dilution” for more information.</w:t>
      </w:r>
    </w:p>
    <w:p>
      <w:pPr>
        <w:sectPr>
          <w:pgSz w:w="11900" w:h="16838" w:orient="portrait"/>
          <w:cols w:equalWidth="0" w:num="1">
            <w:col w:w="11420"/>
          </w:cols>
          <w:pgMar w:left="240" w:top="459" w:right="239" w:bottom="240" w:gutter="0" w:footer="0" w:header="0"/>
          <w:type w:val="continuous"/>
        </w:sectPr>
      </w:pPr>
    </w:p>
    <w:p>
      <w:pPr>
        <w:spacing w:after="0" w:line="101" w:lineRule="exact"/>
        <w:rPr>
          <w:sz w:val="20"/>
          <w:szCs w:val="20"/>
          <w:color w:val="auto"/>
        </w:rPr>
      </w:pPr>
    </w:p>
    <w:p>
      <w:pPr>
        <w:ind w:right="40" w:firstLine="456"/>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Shares of closed-end investment companies, including business development companies, frequently trade at a discount to their net asset values. If our shares trade at a discount to our net asset value, purchasers in this offering will face increased risk of loss. In addition, the companies in which we invest are subject to special risks. Before buying any shares, you should read the discussion of the material risks of investing in our common stock, including the risk of leverage, in “</w:t>
      </w:r>
      <w:hyperlink w:anchor="page22">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19 of this prospectus.</w:t>
      </w:r>
    </w:p>
    <w:p>
      <w:pPr>
        <w:spacing w:after="0" w:line="64" w:lineRule="exact"/>
        <w:rPr>
          <w:sz w:val="20"/>
          <w:szCs w:val="20"/>
          <w:color w:val="auto"/>
        </w:rPr>
      </w:pPr>
    </w:p>
    <w:p>
      <w:pPr>
        <w:ind w:right="160" w:firstLine="342"/>
        <w:spacing w:after="0" w:line="294" w:lineRule="auto"/>
        <w:rPr>
          <w:sz w:val="20"/>
          <w:szCs w:val="20"/>
          <w:color w:val="auto"/>
        </w:rPr>
      </w:pPr>
      <w:r>
        <w:rPr>
          <w:rFonts w:ascii="Arial" w:cs="Arial" w:eastAsia="Arial" w:hAnsi="Arial"/>
          <w:sz w:val="16"/>
          <w:szCs w:val="16"/>
          <w:color w:val="auto"/>
        </w:rPr>
        <w:t>This prospectus contains important information you should know before investing in our common stock. Please read it before you invest and keep it for future reference. We also file periodic and current reports, proxy statements and other information about us with the Securities and Exchange Commission. This information is available free of charge by contacting us at 301 Commerce Street, Suite 3300, Fort Worth, TX 76102, calling us at (817) 871-4000 or visiting our website at http://www.tpgspecialtylending.com. Information on our website is not incorporated into or a part of this prospectus. The Securities and Exchange Commission also maintains a website at http://www.sec.gov that contains this information.</w:t>
      </w:r>
    </w:p>
    <w:p>
      <w:pPr>
        <w:spacing w:after="0" w:line="29" w:lineRule="exact"/>
        <w:rPr>
          <w:sz w:val="20"/>
          <w:szCs w:val="20"/>
          <w:color w:val="auto"/>
        </w:rPr>
      </w:pPr>
    </w:p>
    <w:p>
      <w:pPr>
        <w:ind w:right="900" w:firstLine="342"/>
        <w:spacing w:after="0" w:line="335"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tbl>
      <w:tblPr>
        <w:tblLayout w:type="fixed"/>
        <w:tblInd w:w="0" w:type="dxa"/>
        <w:tblCellMar>
          <w:top w:w="0" w:type="dxa"/>
          <w:left w:w="0" w:type="dxa"/>
          <w:bottom w:w="0" w:type="dxa"/>
          <w:right w:w="0" w:type="dxa"/>
        </w:tblCellMar>
      </w:tblPr>
      <w:tr>
        <w:trPr>
          <w:trHeight w:val="150"/>
        </w:trPr>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jc w:val="right"/>
              <w:ind w:right="149"/>
              <w:spacing w:after="0" w:line="150" w:lineRule="exact"/>
              <w:rPr>
                <w:sz w:val="20"/>
                <w:szCs w:val="20"/>
                <w:color w:val="auto"/>
              </w:rPr>
            </w:pPr>
            <w:r>
              <w:rPr>
                <w:rFonts w:ascii="Arial" w:cs="Arial" w:eastAsia="Arial" w:hAnsi="Arial"/>
                <w:sz w:val="14"/>
                <w:szCs w:val="14"/>
                <w:b w:val="1"/>
                <w:bCs w:val="1"/>
                <w:color w:val="auto"/>
              </w:rPr>
              <w:t>Per</w:t>
            </w: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jc w:val="right"/>
              <w:ind w:right="89"/>
              <w:spacing w:after="0"/>
              <w:rPr>
                <w:sz w:val="20"/>
                <w:szCs w:val="20"/>
                <w:color w:val="auto"/>
              </w:rPr>
            </w:pPr>
            <w:r>
              <w:rPr>
                <w:rFonts w:ascii="Arial" w:cs="Arial" w:eastAsia="Arial" w:hAnsi="Arial"/>
                <w:sz w:val="14"/>
                <w:szCs w:val="14"/>
                <w:b w:val="1"/>
                <w:bCs w:val="1"/>
                <w:color w:val="auto"/>
              </w:rPr>
              <w:t>Share</w:t>
            </w:r>
          </w:p>
        </w:tc>
        <w:tc>
          <w:tcPr>
            <w:tcW w:w="520" w:type="dxa"/>
            <w:vAlign w:val="bottom"/>
          </w:tcPr>
          <w:p>
            <w:pPr>
              <w:spacing w:after="0"/>
              <w:rPr>
                <w:sz w:val="14"/>
                <w:szCs w:val="14"/>
                <w:color w:val="auto"/>
              </w:rPr>
            </w:pPr>
          </w:p>
        </w:tc>
        <w:tc>
          <w:tcPr>
            <w:tcW w:w="206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2"/>
              </w:rPr>
              <w:t>Sales load (underwriting discounts and commissions)</w:t>
            </w:r>
          </w:p>
        </w:tc>
        <w:tc>
          <w:tcPr>
            <w:tcW w:w="1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jc w:val="right"/>
              <w:ind w:right="46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expenses(1)</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4180" w:type="dxa"/>
            <w:vAlign w:val="bottom"/>
            <w:gridSpan w:val="2"/>
          </w:tcPr>
          <w:p>
            <w:pPr>
              <w:spacing w:after="0"/>
              <w:rPr>
                <w:sz w:val="9"/>
                <w:szCs w:val="9"/>
                <w:color w:val="auto"/>
              </w:rPr>
            </w:pPr>
          </w:p>
        </w:tc>
        <w:tc>
          <w:tcPr>
            <w:tcW w:w="2320" w:type="dxa"/>
            <w:vAlign w:val="bottom"/>
            <w:gridSpan w:val="2"/>
          </w:tcPr>
          <w:p>
            <w:pPr>
              <w:spacing w:after="0"/>
              <w:rPr>
                <w:sz w:val="9"/>
                <w:szCs w:val="9"/>
                <w:color w:val="auto"/>
              </w:rPr>
            </w:pPr>
          </w:p>
        </w:tc>
        <w:tc>
          <w:tcPr>
            <w:tcW w:w="3740" w:type="dxa"/>
            <w:vAlign w:val="bottom"/>
            <w:gridSpan w:val="6"/>
          </w:tcPr>
          <w:p>
            <w:pPr>
              <w:spacing w:after="0"/>
              <w:rPr>
                <w:sz w:val="9"/>
                <w:szCs w:val="9"/>
                <w:color w:val="auto"/>
              </w:rPr>
            </w:pPr>
          </w:p>
        </w:tc>
      </w:tr>
      <w:tr>
        <w:trPr>
          <w:trHeight w:val="235"/>
        </w:trPr>
        <w:tc>
          <w:tcPr>
            <w:tcW w:w="5340" w:type="dxa"/>
            <w:vAlign w:val="bottom"/>
            <w:gridSpan w:val="3"/>
          </w:tcPr>
          <w:p>
            <w:pPr>
              <w:spacing w:after="0"/>
              <w:rPr>
                <w:sz w:val="20"/>
                <w:szCs w:val="20"/>
                <w:color w:val="auto"/>
              </w:rPr>
            </w:pPr>
            <w:r>
              <w:rPr>
                <w:rFonts w:ascii="Arial" w:cs="Arial" w:eastAsia="Arial" w:hAnsi="Arial"/>
                <w:sz w:val="18"/>
                <w:szCs w:val="18"/>
                <w:color w:val="auto"/>
                <w:w w:val="93"/>
              </w:rPr>
              <w:t>(1)  We estimate that we will incur offering expenses of approximately $</w:t>
            </w:r>
          </w:p>
        </w:tc>
        <w:tc>
          <w:tcPr>
            <w:tcW w:w="2320" w:type="dxa"/>
            <w:vAlign w:val="bottom"/>
            <w:gridSpan w:val="2"/>
          </w:tcPr>
          <w:p>
            <w:pPr>
              <w:ind w:left="200"/>
              <w:spacing w:after="0"/>
              <w:rPr>
                <w:sz w:val="20"/>
                <w:szCs w:val="20"/>
                <w:color w:val="auto"/>
              </w:rPr>
            </w:pPr>
            <w:r>
              <w:rPr>
                <w:rFonts w:ascii="Arial" w:cs="Arial" w:eastAsia="Arial" w:hAnsi="Arial"/>
                <w:sz w:val="18"/>
                <w:szCs w:val="18"/>
                <w:color w:val="auto"/>
              </w:rPr>
              <w:t>million, or approximately $</w:t>
            </w:r>
          </w:p>
        </w:tc>
        <w:tc>
          <w:tcPr>
            <w:tcW w:w="3740" w:type="dxa"/>
            <w:vAlign w:val="bottom"/>
            <w:gridSpan w:val="6"/>
          </w:tcPr>
          <w:p>
            <w:pPr>
              <w:ind w:left="200"/>
              <w:spacing w:after="0"/>
              <w:rPr>
                <w:sz w:val="20"/>
                <w:szCs w:val="20"/>
                <w:color w:val="auto"/>
              </w:rPr>
            </w:pPr>
            <w:r>
              <w:rPr>
                <w:rFonts w:ascii="Arial" w:cs="Arial" w:eastAsia="Arial" w:hAnsi="Arial"/>
                <w:sz w:val="18"/>
                <w:szCs w:val="18"/>
                <w:color w:val="auto"/>
              </w:rPr>
              <w:t>per share, in connection with this offering.</w:t>
            </w:r>
          </w:p>
        </w:tc>
      </w:tr>
      <w:tr>
        <w:trPr>
          <w:trHeight w:val="297"/>
        </w:trPr>
        <w:tc>
          <w:tcPr>
            <w:tcW w:w="6980" w:type="dxa"/>
            <w:vAlign w:val="bottom"/>
            <w:gridSpan w:val="4"/>
          </w:tcPr>
          <w:p>
            <w:pPr>
              <w:ind w:left="360"/>
              <w:spacing w:after="0"/>
              <w:rPr>
                <w:sz w:val="20"/>
                <w:szCs w:val="20"/>
                <w:color w:val="auto"/>
              </w:rPr>
            </w:pPr>
            <w:r>
              <w:rPr>
                <w:rFonts w:ascii="Arial" w:cs="Arial" w:eastAsia="Arial" w:hAnsi="Arial"/>
                <w:sz w:val="18"/>
                <w:szCs w:val="18"/>
                <w:color w:val="auto"/>
                <w:w w:val="91"/>
              </w:rPr>
              <w:t>We have granted the underwriters an over-allotment option to purchase up to an additional</w:t>
            </w:r>
          </w:p>
        </w:tc>
        <w:tc>
          <w:tcPr>
            <w:tcW w:w="4420" w:type="dxa"/>
            <w:vAlign w:val="bottom"/>
            <w:gridSpan w:val="7"/>
          </w:tcPr>
          <w:p>
            <w:pPr>
              <w:ind w:left="280"/>
              <w:spacing w:after="0"/>
              <w:rPr>
                <w:sz w:val="20"/>
                <w:szCs w:val="20"/>
                <w:color w:val="auto"/>
              </w:rPr>
            </w:pPr>
            <w:r>
              <w:rPr>
                <w:rFonts w:ascii="Arial" w:cs="Arial" w:eastAsia="Arial" w:hAnsi="Arial"/>
                <w:sz w:val="18"/>
                <w:szCs w:val="18"/>
                <w:color w:val="auto"/>
                <w:w w:val="88"/>
              </w:rPr>
              <w:t>shares of our common stock from us, at the public offering</w:t>
            </w:r>
          </w:p>
        </w:tc>
      </w:tr>
    </w:tbl>
    <w:p>
      <w:pPr>
        <w:spacing w:after="0"/>
        <w:rPr>
          <w:sz w:val="20"/>
          <w:szCs w:val="20"/>
          <w:color w:val="auto"/>
        </w:rPr>
      </w:pPr>
      <w:r>
        <w:rPr>
          <w:rFonts w:ascii="Arial" w:cs="Arial" w:eastAsia="Arial" w:hAnsi="Arial"/>
          <w:sz w:val="16"/>
          <w:szCs w:val="16"/>
          <w:color w:val="auto"/>
        </w:rPr>
        <w:t>price, less the sales load payable by us, within 30 days from the date of this prospectus. If the underwriters exercise their over-allotment option in full, the total</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20" w:type="dxa"/>
            <w:vAlign w:val="bottom"/>
          </w:tcPr>
          <w:p>
            <w:pPr>
              <w:spacing w:after="0"/>
              <w:rPr>
                <w:sz w:val="20"/>
                <w:szCs w:val="20"/>
                <w:color w:val="auto"/>
              </w:rPr>
            </w:pPr>
            <w:r>
              <w:rPr>
                <w:rFonts w:ascii="Arial" w:cs="Arial" w:eastAsia="Arial" w:hAnsi="Arial"/>
                <w:sz w:val="18"/>
                <w:szCs w:val="18"/>
                <w:color w:val="auto"/>
              </w:rPr>
              <w:t>sales load will be $</w:t>
            </w:r>
          </w:p>
        </w:tc>
        <w:tc>
          <w:tcPr>
            <w:tcW w:w="4640" w:type="dxa"/>
            <w:vAlign w:val="bottom"/>
            <w:gridSpan w:val="2"/>
          </w:tcPr>
          <w:p>
            <w:pPr>
              <w:ind w:left="100"/>
              <w:spacing w:after="0"/>
              <w:rPr>
                <w:sz w:val="20"/>
                <w:szCs w:val="20"/>
                <w:color w:val="auto"/>
              </w:rPr>
            </w:pPr>
            <w:r>
              <w:rPr>
                <w:rFonts w:ascii="Arial" w:cs="Arial" w:eastAsia="Arial" w:hAnsi="Arial"/>
                <w:sz w:val="18"/>
                <w:szCs w:val="18"/>
                <w:color w:val="auto"/>
                <w:w w:val="96"/>
              </w:rPr>
              <w:t>million and total proceeds to us, before expenses, will be $</w:t>
            </w:r>
          </w:p>
        </w:tc>
        <w:tc>
          <w:tcPr>
            <w:tcW w:w="1680" w:type="dxa"/>
            <w:vAlign w:val="bottom"/>
            <w:gridSpan w:val="3"/>
          </w:tcPr>
          <w:p>
            <w:pPr>
              <w:jc w:val="right"/>
              <w:ind w:right="862"/>
              <w:spacing w:after="0"/>
              <w:rPr>
                <w:sz w:val="20"/>
                <w:szCs w:val="20"/>
                <w:color w:val="auto"/>
              </w:rPr>
            </w:pPr>
            <w:r>
              <w:rPr>
                <w:rFonts w:ascii="Arial" w:cs="Arial" w:eastAsia="Arial" w:hAnsi="Arial"/>
                <w:sz w:val="18"/>
                <w:szCs w:val="18"/>
                <w:color w:val="auto"/>
              </w:rPr>
              <w:t>million.</w:t>
            </w:r>
          </w:p>
        </w:tc>
        <w:tc>
          <w:tcPr>
            <w:tcW w:w="3280" w:type="dxa"/>
            <w:vAlign w:val="bottom"/>
          </w:tcPr>
          <w:p>
            <w:pPr>
              <w:spacing w:after="0"/>
              <w:rPr>
                <w:sz w:val="19"/>
                <w:szCs w:val="19"/>
                <w:color w:val="auto"/>
              </w:rPr>
            </w:pPr>
          </w:p>
        </w:tc>
      </w:tr>
      <w:tr>
        <w:trPr>
          <w:trHeight w:val="158"/>
        </w:trPr>
        <w:tc>
          <w:tcPr>
            <w:tcW w:w="18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380" w:type="dxa"/>
            <w:vAlign w:val="bottom"/>
            <w:tcBorders>
              <w:bottom w:val="single" w:sz="8" w:color="auto"/>
            </w:tcBorders>
            <w:gridSpan w:val="2"/>
          </w:tcPr>
          <w:p>
            <w:pPr>
              <w:spacing w:after="0"/>
              <w:rPr>
                <w:sz w:val="13"/>
                <w:szCs w:val="13"/>
                <w:color w:val="auto"/>
              </w:rPr>
            </w:pPr>
          </w:p>
        </w:tc>
        <w:tc>
          <w:tcPr>
            <w:tcW w:w="1240" w:type="dxa"/>
            <w:vAlign w:val="bottom"/>
            <w:gridSpan w:val="2"/>
          </w:tcPr>
          <w:p>
            <w:pPr>
              <w:spacing w:after="0"/>
              <w:rPr>
                <w:sz w:val="13"/>
                <w:szCs w:val="13"/>
                <w:color w:val="auto"/>
              </w:rPr>
            </w:pPr>
          </w:p>
        </w:tc>
        <w:tc>
          <w:tcPr>
            <w:tcW w:w="3280" w:type="dxa"/>
            <w:vAlign w:val="bottom"/>
          </w:tcPr>
          <w:p>
            <w:pPr>
              <w:spacing w:after="0"/>
              <w:rPr>
                <w:sz w:val="13"/>
                <w:szCs w:val="13"/>
                <w:color w:val="auto"/>
              </w:rPr>
            </w:pPr>
          </w:p>
        </w:tc>
      </w:tr>
      <w:tr>
        <w:trPr>
          <w:trHeight w:val="289"/>
        </w:trPr>
        <w:tc>
          <w:tcPr>
            <w:tcW w:w="1820" w:type="dxa"/>
            <w:vAlign w:val="bottom"/>
          </w:tcPr>
          <w:p>
            <w:pPr>
              <w:spacing w:after="0"/>
              <w:rPr>
                <w:sz w:val="24"/>
                <w:szCs w:val="24"/>
                <w:color w:val="auto"/>
              </w:rPr>
            </w:pPr>
          </w:p>
        </w:tc>
        <w:tc>
          <w:tcPr>
            <w:tcW w:w="6320" w:type="dxa"/>
            <w:vAlign w:val="bottom"/>
            <w:gridSpan w:val="5"/>
          </w:tcPr>
          <w:p>
            <w:pPr>
              <w:jc w:val="center"/>
              <w:ind w:left="393"/>
              <w:spacing w:after="0"/>
              <w:rPr>
                <w:sz w:val="20"/>
                <w:szCs w:val="20"/>
                <w:color w:val="auto"/>
              </w:rPr>
            </w:pPr>
            <w:r>
              <w:rPr>
                <w:rFonts w:ascii="Arial" w:cs="Arial" w:eastAsia="Arial" w:hAnsi="Arial"/>
                <w:sz w:val="18"/>
                <w:szCs w:val="18"/>
                <w:color w:val="auto"/>
                <w:w w:val="88"/>
              </w:rPr>
              <w:t>The underwriters expect to deliver the shares of our common stock on or about</w:t>
            </w:r>
          </w:p>
        </w:tc>
        <w:tc>
          <w:tcPr>
            <w:tcW w:w="3280" w:type="dxa"/>
            <w:vAlign w:val="bottom"/>
          </w:tcPr>
          <w:p>
            <w:pPr>
              <w:jc w:val="right"/>
              <w:ind w:right="2335"/>
              <w:spacing w:after="0"/>
              <w:rPr>
                <w:sz w:val="20"/>
                <w:szCs w:val="20"/>
                <w:color w:val="auto"/>
              </w:rPr>
            </w:pPr>
            <w:r>
              <w:rPr>
                <w:rFonts w:ascii="Arial" w:cs="Arial" w:eastAsia="Arial" w:hAnsi="Arial"/>
                <w:sz w:val="18"/>
                <w:szCs w:val="18"/>
                <w:color w:val="auto"/>
              </w:rPr>
              <w:t>.</w:t>
            </w:r>
          </w:p>
        </w:tc>
      </w:tr>
      <w:tr>
        <w:trPr>
          <w:trHeight w:val="297"/>
        </w:trPr>
        <w:tc>
          <w:tcPr>
            <w:tcW w:w="18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0" w:type="dxa"/>
            <w:vAlign w:val="bottom"/>
            <w:gridSpan w:val="3"/>
          </w:tcPr>
          <w:p>
            <w:pPr>
              <w:jc w:val="center"/>
              <w:ind w:right="200"/>
              <w:spacing w:after="0"/>
              <w:rPr>
                <w:sz w:val="20"/>
                <w:szCs w:val="20"/>
                <w:color w:val="auto"/>
              </w:rPr>
            </w:pPr>
            <w:r>
              <w:rPr>
                <w:rFonts w:ascii="Arial" w:cs="Arial" w:eastAsia="Arial" w:hAnsi="Arial"/>
                <w:sz w:val="18"/>
                <w:szCs w:val="18"/>
                <w:i w:val="1"/>
                <w:iCs w:val="1"/>
                <w:color w:val="auto"/>
                <w:w w:val="89"/>
              </w:rPr>
              <w:t>Joint Book-Running Managers</w:t>
            </w:r>
          </w:p>
        </w:tc>
        <w:tc>
          <w:tcPr>
            <w:tcW w:w="1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571"/>
        </w:trPr>
        <w:tc>
          <w:tcPr>
            <w:tcW w:w="1820" w:type="dxa"/>
            <w:vAlign w:val="bottom"/>
          </w:tcPr>
          <w:p>
            <w:pPr>
              <w:spacing w:after="0"/>
              <w:rPr>
                <w:sz w:val="20"/>
                <w:szCs w:val="20"/>
                <w:color w:val="auto"/>
              </w:rPr>
            </w:pPr>
            <w:r>
              <w:rPr>
                <w:rFonts w:ascii="Arial" w:cs="Arial" w:eastAsia="Arial" w:hAnsi="Arial"/>
                <w:sz w:val="32"/>
                <w:szCs w:val="32"/>
                <w:b w:val="1"/>
                <w:bCs w:val="1"/>
                <w:color w:val="auto"/>
                <w:w w:val="99"/>
              </w:rPr>
              <w:t>J.P. Morgan</w:t>
            </w:r>
          </w:p>
        </w:tc>
        <w:tc>
          <w:tcPr>
            <w:tcW w:w="5300" w:type="dxa"/>
            <w:vAlign w:val="bottom"/>
            <w:gridSpan w:val="4"/>
          </w:tcPr>
          <w:p>
            <w:pPr>
              <w:jc w:val="center"/>
              <w:ind w:left="2413"/>
              <w:spacing w:after="0"/>
              <w:rPr>
                <w:sz w:val="20"/>
                <w:szCs w:val="20"/>
                <w:color w:val="auto"/>
              </w:rPr>
            </w:pPr>
            <w:r>
              <w:rPr>
                <w:rFonts w:ascii="Arial" w:cs="Arial" w:eastAsia="Arial" w:hAnsi="Arial"/>
                <w:sz w:val="32"/>
                <w:szCs w:val="32"/>
                <w:b w:val="1"/>
                <w:bCs w:val="1"/>
                <w:color w:val="auto"/>
                <w:w w:val="96"/>
              </w:rPr>
              <w:t>BofA Merrill Lynch</w:t>
            </w:r>
          </w:p>
        </w:tc>
        <w:tc>
          <w:tcPr>
            <w:tcW w:w="1020" w:type="dxa"/>
            <w:vAlign w:val="bottom"/>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32"/>
                <w:szCs w:val="32"/>
                <w:b w:val="1"/>
                <w:bCs w:val="1"/>
                <w:color w:val="auto"/>
                <w:w w:val="94"/>
              </w:rPr>
              <w:t>Goldman, Sachs &amp; Co.</w:t>
            </w:r>
          </w:p>
        </w:tc>
      </w:tr>
      <w:tr>
        <w:trPr>
          <w:trHeight w:val="319"/>
        </w:trPr>
        <w:tc>
          <w:tcPr>
            <w:tcW w:w="1820" w:type="dxa"/>
            <w:vAlign w:val="bottom"/>
          </w:tcPr>
          <w:p>
            <w:pPr>
              <w:spacing w:after="0"/>
              <w:rPr>
                <w:sz w:val="24"/>
                <w:szCs w:val="24"/>
                <w:color w:val="auto"/>
              </w:rPr>
            </w:pPr>
          </w:p>
        </w:tc>
        <w:tc>
          <w:tcPr>
            <w:tcW w:w="4640" w:type="dxa"/>
            <w:vAlign w:val="bottom"/>
            <w:gridSpan w:val="2"/>
          </w:tcPr>
          <w:p>
            <w:pPr>
              <w:ind w:left="540"/>
              <w:spacing w:after="0"/>
              <w:rPr>
                <w:sz w:val="20"/>
                <w:szCs w:val="20"/>
                <w:color w:val="auto"/>
              </w:rPr>
            </w:pPr>
            <w:r>
              <w:rPr>
                <w:rFonts w:ascii="Arial" w:cs="Arial" w:eastAsia="Arial" w:hAnsi="Arial"/>
                <w:sz w:val="22"/>
                <w:szCs w:val="22"/>
                <w:b w:val="1"/>
                <w:bCs w:val="1"/>
                <w:color w:val="auto"/>
              </w:rPr>
              <w:t>Citigroup</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00" w:type="dxa"/>
            <w:vAlign w:val="bottom"/>
            <w:gridSpan w:val="2"/>
          </w:tcPr>
          <w:p>
            <w:pPr>
              <w:jc w:val="right"/>
              <w:ind w:right="1575"/>
              <w:spacing w:after="0"/>
              <w:rPr>
                <w:sz w:val="20"/>
                <w:szCs w:val="20"/>
                <w:color w:val="auto"/>
              </w:rPr>
            </w:pPr>
            <w:r>
              <w:rPr>
                <w:rFonts w:ascii="Arial" w:cs="Arial" w:eastAsia="Arial" w:hAnsi="Arial"/>
                <w:sz w:val="22"/>
                <w:szCs w:val="22"/>
                <w:b w:val="1"/>
                <w:bCs w:val="1"/>
                <w:color w:val="auto"/>
              </w:rPr>
              <w:t>Wells Fargo Securities</w:t>
            </w:r>
          </w:p>
        </w:tc>
      </w:tr>
      <w:tr>
        <w:trPr>
          <w:trHeight w:val="231"/>
        </w:trPr>
        <w:tc>
          <w:tcPr>
            <w:tcW w:w="18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940" w:type="dxa"/>
            <w:vAlign w:val="bottom"/>
          </w:tcPr>
          <w:p>
            <w:pPr>
              <w:jc w:val="center"/>
              <w:ind w:left="352"/>
              <w:spacing w:after="0"/>
              <w:rPr>
                <w:sz w:val="20"/>
                <w:szCs w:val="20"/>
                <w:color w:val="auto"/>
              </w:rPr>
            </w:pPr>
            <w:r>
              <w:rPr>
                <w:rFonts w:ascii="Arial" w:cs="Arial" w:eastAsia="Arial" w:hAnsi="Arial"/>
                <w:sz w:val="18"/>
                <w:szCs w:val="18"/>
                <w:i w:val="1"/>
                <w:iCs w:val="1"/>
                <w:color w:val="auto"/>
                <w:w w:val="89"/>
              </w:rPr>
              <w:t>Co-Managers</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297"/>
        </w:trPr>
        <w:tc>
          <w:tcPr>
            <w:tcW w:w="1820" w:type="dxa"/>
            <w:vAlign w:val="bottom"/>
          </w:tcPr>
          <w:p>
            <w:pPr>
              <w:spacing w:after="0"/>
              <w:rPr>
                <w:sz w:val="24"/>
                <w:szCs w:val="24"/>
                <w:color w:val="auto"/>
              </w:rPr>
            </w:pPr>
          </w:p>
        </w:tc>
        <w:tc>
          <w:tcPr>
            <w:tcW w:w="4640" w:type="dxa"/>
            <w:vAlign w:val="bottom"/>
            <w:gridSpan w:val="2"/>
          </w:tcPr>
          <w:p>
            <w:pPr>
              <w:jc w:val="center"/>
              <w:ind w:left="2113"/>
              <w:spacing w:after="0"/>
              <w:rPr>
                <w:sz w:val="20"/>
                <w:szCs w:val="20"/>
                <w:color w:val="auto"/>
              </w:rPr>
            </w:pPr>
            <w:r>
              <w:rPr>
                <w:rFonts w:ascii="Arial" w:cs="Arial" w:eastAsia="Arial" w:hAnsi="Arial"/>
                <w:sz w:val="18"/>
                <w:szCs w:val="18"/>
                <w:color w:val="auto"/>
                <w:w w:val="87"/>
              </w:rPr>
              <w:t>The date of this prospectus is</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842"/>
              <w:spacing w:after="0"/>
              <w:rPr>
                <w:sz w:val="20"/>
                <w:szCs w:val="20"/>
                <w:color w:val="auto"/>
              </w:rPr>
            </w:pPr>
            <w:r>
              <w:rPr>
                <w:rFonts w:ascii="Arial" w:cs="Arial" w:eastAsia="Arial" w:hAnsi="Arial"/>
                <w:sz w:val="18"/>
                <w:szCs w:val="18"/>
                <w:color w:val="auto"/>
              </w:rPr>
              <w:t>.</w:t>
            </w:r>
          </w:p>
        </w:tc>
        <w:tc>
          <w:tcPr>
            <w:tcW w:w="3280" w:type="dxa"/>
            <w:vAlign w:val="bottom"/>
          </w:tcPr>
          <w:p>
            <w:pPr>
              <w:spacing w:after="0"/>
              <w:rPr>
                <w:sz w:val="24"/>
                <w:szCs w:val="24"/>
                <w:color w:val="auto"/>
              </w:rPr>
            </w:pPr>
          </w:p>
        </w:tc>
      </w:tr>
    </w:tbl>
    <w:p>
      <w:pPr>
        <w:sectPr>
          <w:pgSz w:w="11900" w:h="16838" w:orient="portrait"/>
          <w:cols w:equalWidth="0" w:num="1">
            <w:col w:w="11420"/>
          </w:cols>
          <w:pgMar w:left="240" w:top="459" w:right="239" w:bottom="2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and the underwriters have not, authorized anyone to give you any information other than in this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20" w:type="dxa"/>
            <w:vAlign w:val="bottom"/>
            <w:gridSpan w:val="5"/>
          </w:tcPr>
          <w:p>
            <w:pPr>
              <w:ind w:left="60"/>
              <w:spacing w:after="0"/>
              <w:rPr>
                <w:sz w:val="20"/>
                <w:szCs w:val="20"/>
                <w:color w:val="auto"/>
              </w:rPr>
            </w:pPr>
            <w:r>
              <w:rPr>
                <w:rFonts w:ascii="Arial" w:cs="Arial" w:eastAsia="Arial" w:hAnsi="Arial"/>
                <w:sz w:val="18"/>
                <w:szCs w:val="18"/>
                <w:color w:val="auto"/>
              </w:rPr>
              <w:t>TABLE OF CONTENTS</w:t>
            </w:r>
          </w:p>
        </w:tc>
        <w:tc>
          <w:tcPr>
            <w:tcW w:w="1440" w:type="dxa"/>
            <w:vAlign w:val="bottom"/>
          </w:tcPr>
          <w:p>
            <w:pPr>
              <w:spacing w:after="0"/>
              <w:rPr>
                <w:sz w:val="19"/>
                <w:szCs w:val="19"/>
                <w:color w:val="auto"/>
              </w:rPr>
            </w:pPr>
          </w:p>
        </w:tc>
      </w:tr>
      <w:tr>
        <w:trPr>
          <w:trHeight w:val="380"/>
        </w:trPr>
        <w:tc>
          <w:tcPr>
            <w:tcW w:w="9880" w:type="dxa"/>
            <w:vAlign w:val="bottom"/>
            <w:gridSpan w:val="3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THE OFFERING SUMMARY</w:t>
              </w:r>
            </w:hyperlink>
          </w:p>
        </w:tc>
        <w:tc>
          <w:tcPr>
            <w:tcW w:w="7680" w:type="dxa"/>
            <w:vAlign w:val="bottom"/>
            <w:gridSpan w:val="16"/>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7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FEES AND EXPENSES</w:t>
              </w:r>
            </w:hyperlink>
          </w:p>
        </w:tc>
        <w:tc>
          <w:tcPr>
            <w:tcW w:w="8120" w:type="dxa"/>
            <w:vAlign w:val="bottom"/>
            <w:gridSpan w:val="1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9880" w:type="dxa"/>
            <w:vAlign w:val="bottom"/>
            <w:gridSpan w:val="3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SPECIAL NOTE REGARDING FORWARD-LOOKING STATEMENTS</w:t>
              </w:r>
            </w:hyperlink>
          </w:p>
        </w:tc>
        <w:tc>
          <w:tcPr>
            <w:tcW w:w="466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9880" w:type="dxa"/>
            <w:vAlign w:val="bottom"/>
            <w:gridSpan w:val="3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USE OF PROCEEDS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DISTRIBUTIONS</w:t>
              </w:r>
            </w:hyperlink>
          </w:p>
        </w:tc>
        <w:tc>
          <w:tcPr>
            <w:tcW w:w="200" w:type="dxa"/>
            <w:vAlign w:val="bottom"/>
            <w:tcBorders>
              <w:top w:val="single" w:sz="8" w:color="0000EE"/>
            </w:tcBorders>
            <w:gridSpan w:val="4"/>
          </w:tcPr>
          <w:p>
            <w:pPr>
              <w:spacing w:after="0"/>
              <w:rPr>
                <w:sz w:val="17"/>
                <w:szCs w:val="17"/>
                <w:color w:val="auto"/>
              </w:rPr>
            </w:pPr>
          </w:p>
        </w:tc>
        <w:tc>
          <w:tcPr>
            <w:tcW w:w="8340" w:type="dxa"/>
            <w:vAlign w:val="bottom"/>
            <w:gridSpan w:val="2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CAPITALIZATION</w:t>
              </w:r>
            </w:hyperlink>
          </w:p>
        </w:tc>
        <w:tc>
          <w:tcPr>
            <w:tcW w:w="8440" w:type="dxa"/>
            <w:vAlign w:val="bottom"/>
            <w:gridSpan w:val="2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9880" w:type="dxa"/>
            <w:vAlign w:val="bottom"/>
            <w:gridSpan w:val="3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DILUTION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SELECTED FINANCIAL DATA AND OTHER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7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SENIOR SECURITIES</w:t>
              </w:r>
            </w:hyperlink>
          </w:p>
        </w:tc>
        <w:tc>
          <w:tcPr>
            <w:tcW w:w="1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THE COMPANY</w:t>
              </w:r>
            </w:hyperlink>
          </w:p>
        </w:tc>
        <w:tc>
          <w:tcPr>
            <w:tcW w:w="420" w:type="dxa"/>
            <w:vAlign w:val="bottom"/>
            <w:tcBorders>
              <w:top w:val="single" w:sz="8" w:color="0000EE"/>
            </w:tcBorders>
            <w:gridSpan w:val="7"/>
          </w:tcPr>
          <w:p>
            <w:pPr>
              <w:spacing w:after="0"/>
              <w:rPr>
                <w:sz w:val="17"/>
                <w:szCs w:val="17"/>
                <w:color w:val="auto"/>
              </w:rPr>
            </w:pPr>
          </w:p>
        </w:tc>
        <w:tc>
          <w:tcPr>
            <w:tcW w:w="8200" w:type="dxa"/>
            <w:vAlign w:val="bottom"/>
            <w:gridSpan w:val="1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9880" w:type="dxa"/>
            <w:vAlign w:val="bottom"/>
            <w:gridSpan w:val="31"/>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PORTFOLIO COMPANIES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1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95">
              <w:r>
                <w:rPr>
                  <w:rFonts w:ascii="Arial" w:cs="Arial" w:eastAsia="Arial" w:hAnsi="Arial"/>
                  <w:sz w:val="18"/>
                  <w:szCs w:val="18"/>
                  <w:color w:val="0000EE"/>
                  <w:w w:val="97"/>
                </w:rPr>
                <w:t>MANAGEMENT</w:t>
              </w:r>
            </w:hyperlink>
          </w:p>
        </w:tc>
        <w:tc>
          <w:tcPr>
            <w:tcW w:w="760" w:type="dxa"/>
            <w:vAlign w:val="bottom"/>
            <w:tcBorders>
              <w:top w:val="single" w:sz="8" w:color="0000EE"/>
            </w:tcBorders>
            <w:gridSpan w:val="8"/>
          </w:tcPr>
          <w:p>
            <w:pPr>
              <w:spacing w:after="0"/>
              <w:rPr>
                <w:sz w:val="17"/>
                <w:szCs w:val="17"/>
                <w:color w:val="auto"/>
              </w:rPr>
            </w:pPr>
          </w:p>
        </w:tc>
        <w:tc>
          <w:tcPr>
            <w:tcW w:w="7840" w:type="dxa"/>
            <w:vAlign w:val="bottom"/>
            <w:gridSpan w:val="1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356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105">
              <w:r>
                <w:rPr>
                  <w:rFonts w:ascii="Arial" w:cs="Arial" w:eastAsia="Arial" w:hAnsi="Arial"/>
                  <w:sz w:val="18"/>
                  <w:szCs w:val="18"/>
                  <w:color w:val="0000EE"/>
                  <w:w w:val="95"/>
                </w:rPr>
                <w:t>MANAGEMENT AND OTHER AGREEMENTS</w:t>
              </w:r>
            </w:hyperlink>
          </w:p>
        </w:tc>
        <w:tc>
          <w:tcPr>
            <w:tcW w:w="6320" w:type="dxa"/>
            <w:vAlign w:val="bottom"/>
            <w:gridSpan w:val="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9880" w:type="dxa"/>
            <w:vAlign w:val="bottom"/>
            <w:gridSpan w:val="3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RELATED-PARTY TRANSACTIONS AND CERTAIN RELATIONSHIPS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44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w:anchor="page118">
              <w:r>
                <w:rPr>
                  <w:rFonts w:ascii="Arial" w:cs="Arial" w:eastAsia="Arial" w:hAnsi="Arial"/>
                  <w:sz w:val="18"/>
                  <w:szCs w:val="18"/>
                  <w:color w:val="0000EE"/>
                  <w:w w:val="92"/>
                </w:rPr>
                <w:t>CONTROL PERSONS AND PRINCIPAL STOCKHOLDERS</w:t>
              </w:r>
            </w:hyperlink>
          </w:p>
        </w:tc>
        <w:tc>
          <w:tcPr>
            <w:tcW w:w="920" w:type="dxa"/>
            <w:vAlign w:val="bottom"/>
            <w:tcBorders>
              <w:top w:val="single" w:sz="8" w:color="0000EE"/>
            </w:tcBorders>
            <w:gridSpan w:val="4"/>
          </w:tcPr>
          <w:p>
            <w:pPr>
              <w:spacing w:after="0"/>
              <w:rPr>
                <w:sz w:val="17"/>
                <w:szCs w:val="17"/>
                <w:color w:val="auto"/>
              </w:rPr>
            </w:pPr>
          </w:p>
        </w:tc>
        <w:tc>
          <w:tcPr>
            <w:tcW w:w="452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33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121">
              <w:r>
                <w:rPr>
                  <w:rFonts w:ascii="Arial" w:cs="Arial" w:eastAsia="Arial" w:hAnsi="Arial"/>
                  <w:sz w:val="18"/>
                  <w:szCs w:val="18"/>
                  <w:color w:val="0000EE"/>
                  <w:w w:val="94"/>
                </w:rPr>
                <w:t>DETERMINATION OF NET ASSET VALUE</w:t>
              </w:r>
            </w:hyperlink>
          </w:p>
        </w:tc>
        <w:tc>
          <w:tcPr>
            <w:tcW w:w="6580" w:type="dxa"/>
            <w:vAlign w:val="bottom"/>
            <w:gridSpan w:val="1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276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DIVIDEND REINVESTMENT PLAN</w:t>
              </w:r>
            </w:hyperlink>
          </w:p>
        </w:tc>
        <w:tc>
          <w:tcPr>
            <w:tcW w:w="7120" w:type="dxa"/>
            <w:vAlign w:val="bottom"/>
            <w:gridSpan w:val="1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476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124">
              <w:r>
                <w:rPr>
                  <w:rFonts w:ascii="Arial" w:cs="Arial" w:eastAsia="Arial" w:hAnsi="Arial"/>
                  <w:sz w:val="18"/>
                  <w:szCs w:val="18"/>
                  <w:color w:val="0000EE"/>
                  <w:w w:val="94"/>
                </w:rPr>
                <w:t>MATERIAL U.S. FEDERAL INCOME TAX CONSIDERATIONS</w:t>
              </w:r>
            </w:hyperlink>
          </w:p>
        </w:tc>
        <w:tc>
          <w:tcPr>
            <w:tcW w:w="5120" w:type="dxa"/>
            <w:vAlign w:val="bottom"/>
            <w:gridSpan w:val="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32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132">
              <w:r>
                <w:rPr>
                  <w:rFonts w:ascii="Arial" w:cs="Arial" w:eastAsia="Arial" w:hAnsi="Arial"/>
                  <w:sz w:val="18"/>
                  <w:szCs w:val="18"/>
                  <w:color w:val="0000EE"/>
                  <w:w w:val="92"/>
                </w:rPr>
                <w:t>DESCRIPTION OF OUR CAPITAL STOCK</w:t>
              </w:r>
            </w:hyperlink>
          </w:p>
        </w:tc>
        <w:tc>
          <w:tcPr>
            <w:tcW w:w="6660" w:type="dxa"/>
            <w:vAlign w:val="bottom"/>
            <w:gridSpan w:val="1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37">
              <w:r>
                <w:rPr>
                  <w:rFonts w:ascii="Arial" w:cs="Arial" w:eastAsia="Arial" w:hAnsi="Arial"/>
                  <w:sz w:val="18"/>
                  <w:szCs w:val="18"/>
                  <w:color w:val="0000EE"/>
                  <w:w w:val="93"/>
                </w:rPr>
                <w:t>REGULATION</w:t>
              </w:r>
            </w:hyperlink>
          </w:p>
        </w:tc>
        <w:tc>
          <w:tcPr>
            <w:tcW w:w="8760" w:type="dxa"/>
            <w:vAlign w:val="bottom"/>
            <w:gridSpan w:val="2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9880" w:type="dxa"/>
            <w:vAlign w:val="bottom"/>
            <w:gridSpan w:val="31"/>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SHARES ELIGIBLE FOR FUTURE SALE</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196"/>
        </w:trPr>
        <w:tc>
          <w:tcPr>
            <w:tcW w:w="3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UNDERWRITING</w:t>
              </w:r>
            </w:hyperlink>
          </w:p>
        </w:tc>
        <w:tc>
          <w:tcPr>
            <w:tcW w:w="6780" w:type="dxa"/>
            <w:vAlign w:val="bottom"/>
            <w:gridSpan w:val="1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1"/>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CUSTODIAN, TRANSFER AND DIVIDEND PAYING AGENT AND REGISTRAR</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42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4"/>
              </w:rPr>
            </w:pPr>
            <w:hyperlink w:anchor="page152">
              <w:r>
                <w:rPr>
                  <w:rFonts w:ascii="Arial" w:cs="Arial" w:eastAsia="Arial" w:hAnsi="Arial"/>
                  <w:sz w:val="18"/>
                  <w:szCs w:val="18"/>
                  <w:color w:val="0000EE"/>
                  <w:w w:val="94"/>
                </w:rPr>
                <w:t>BROKERAGE ALLOCATION AND OTHER PRACTICES</w:t>
              </w:r>
            </w:hyperlink>
          </w:p>
        </w:tc>
        <w:tc>
          <w:tcPr>
            <w:tcW w:w="1800" w:type="dxa"/>
            <w:vAlign w:val="bottom"/>
            <w:tcBorders>
              <w:top w:val="single" w:sz="8" w:color="0000EE"/>
            </w:tcBorders>
            <w:gridSpan w:val="6"/>
          </w:tcPr>
          <w:p>
            <w:pPr>
              <w:spacing w:after="0"/>
              <w:rPr>
                <w:sz w:val="17"/>
                <w:szCs w:val="17"/>
                <w:color w:val="auto"/>
              </w:rPr>
            </w:pPr>
          </w:p>
        </w:tc>
        <w:tc>
          <w:tcPr>
            <w:tcW w:w="380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9880" w:type="dxa"/>
            <w:vAlign w:val="bottom"/>
            <w:gridSpan w:val="31"/>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LEGAL MATTERS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52">
              <w:r>
                <w:rPr>
                  <w:rFonts w:ascii="Arial" w:cs="Arial" w:eastAsia="Arial" w:hAnsi="Arial"/>
                  <w:sz w:val="18"/>
                  <w:szCs w:val="18"/>
                  <w:color w:val="0000EE"/>
                  <w:w w:val="88"/>
                </w:rPr>
                <w:t>EXPERTS</w:t>
              </w:r>
            </w:hyperlink>
          </w:p>
        </w:tc>
        <w:tc>
          <w:tcPr>
            <w:tcW w:w="660" w:type="dxa"/>
            <w:vAlign w:val="bottom"/>
            <w:tcBorders>
              <w:top w:val="single" w:sz="8" w:color="0000EE"/>
            </w:tcBorders>
            <w:gridSpan w:val="8"/>
          </w:tcPr>
          <w:p>
            <w:pPr>
              <w:spacing w:after="0"/>
              <w:rPr>
                <w:sz w:val="17"/>
                <w:szCs w:val="17"/>
                <w:color w:val="auto"/>
              </w:rPr>
            </w:pPr>
          </w:p>
        </w:tc>
        <w:tc>
          <w:tcPr>
            <w:tcW w:w="8460" w:type="dxa"/>
            <w:vAlign w:val="bottom"/>
            <w:gridSpan w:val="2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9880" w:type="dxa"/>
            <w:vAlign w:val="bottom"/>
            <w:gridSpan w:val="31"/>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AVAILABLE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20"/>
        </w:trPr>
        <w:tc>
          <w:tcPr>
            <w:tcW w:w="2220" w:type="dxa"/>
            <w:vAlign w:val="bottom"/>
            <w:gridSpan w:val="16"/>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900" w:type="dxa"/>
            <w:vAlign w:val="bottom"/>
            <w:gridSpan w:val="1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54">
              <w:r>
                <w:rPr>
                  <w:rFonts w:ascii="Arial" w:cs="Arial" w:eastAsia="Arial" w:hAnsi="Arial"/>
                  <w:sz w:val="18"/>
                  <w:szCs w:val="18"/>
                  <w:color w:val="0000EE"/>
                  <w:w w:val="95"/>
                </w:rPr>
                <w:t>INDEX TO FINANCIAL STATEMENTS</w:t>
              </w:r>
            </w:hyperlink>
          </w:p>
        </w:tc>
        <w:tc>
          <w:tcPr>
            <w:tcW w:w="6900" w:type="dxa"/>
            <w:vAlign w:val="bottom"/>
            <w:gridSpan w:val="1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75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You should read this entire prospectus carefully. In particular, you should read the more detailed information set forth under “Risk Factors” and the consolidated financial statements and the related notes included elsewhere in this prospectus.</w:t>
      </w:r>
    </w:p>
    <w:p>
      <w:pPr>
        <w:spacing w:after="0" w:line="86"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i w:val="1"/>
          <w:iCs w:val="1"/>
          <w:color w:val="auto"/>
        </w:rPr>
        <w:t>As used in this prospectus, except where the context suggests otherwise, the terms “TSL,” “we,” “us,” “our,” “the Company” and the “Registrant” refer to TPG Specialty Lending, Inc., a Delaware corporation, and its consolidated subsidiaries. The term “Adviser” refers to TSL Advisers, LLC, a Delaware limited liability company. The term “TSSP” refers to TPG Special Situations Partners.</w:t>
      </w:r>
    </w:p>
    <w:p>
      <w:pPr>
        <w:spacing w:after="0" w:line="86"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w:t>
      </w:r>
    </w:p>
    <w:p>
      <w:pPr>
        <w:spacing w:after="0" w:line="77"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assumes no exercise of the underwriters’ option to purchase additional shares of our common stock to cover over-allotments; and</w:t>
      </w:r>
    </w:p>
    <w:p>
      <w:pPr>
        <w:spacing w:after="0" w:line="99" w:lineRule="exact"/>
        <w:rPr>
          <w:rFonts w:ascii="Arial" w:cs="Arial" w:eastAsia="Arial" w:hAnsi="Arial"/>
          <w:sz w:val="16"/>
          <w:szCs w:val="16"/>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gives effect to our stock split in the form of a stock dividend on December 5, 2013, as described under “—Stock Split.”</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96" w:lineRule="exact"/>
        <w:rPr>
          <w:sz w:val="20"/>
          <w:szCs w:val="20"/>
          <w:color w:val="auto"/>
        </w:rPr>
      </w:pPr>
    </w:p>
    <w:p>
      <w:pPr>
        <w:ind w:left="200" w:right="120" w:firstLine="443"/>
        <w:spacing w:after="0" w:line="290"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we have originated more than $2.0 billion aggregate principal amount of investments and retained more than $1.3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18" w:lineRule="exact"/>
        <w:rPr>
          <w:sz w:val="20"/>
          <w:szCs w:val="20"/>
          <w:color w:val="auto"/>
        </w:rPr>
      </w:pPr>
    </w:p>
    <w:p>
      <w:pPr>
        <w:ind w:left="200" w:firstLine="443"/>
        <w:spacing w:after="0" w:line="33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administration fees.</w:t>
      </w:r>
    </w:p>
    <w:p>
      <w:pPr>
        <w:spacing w:after="0" w:line="85"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believe we will be one of the largest BDCs by total assets at the time of an initial public offering.</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96" w:lineRule="exact"/>
        <w:rPr>
          <w:sz w:val="20"/>
          <w:szCs w:val="20"/>
          <w:color w:val="auto"/>
        </w:rPr>
      </w:pPr>
    </w:p>
    <w:p>
      <w:pPr>
        <w:ind w:left="200" w:right="120" w:firstLine="443"/>
        <w:spacing w:after="0" w:line="254"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both senior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27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8273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fair value as of September 30, 2013, our portfolio consisted of 90.4% first-lien debt, 9.4% second-lien debt and 0.2% equity securities. Approximately 98.5% of our investments based on fair value as of September 30, 2013 are floating rate in nature, which we believe helps act as a portfolio-wide hedge against inflation.</w:t>
      </w:r>
    </w:p>
    <w:p>
      <w:pPr>
        <w:spacing w:after="0" w:line="140" w:lineRule="exact"/>
        <w:rPr>
          <w:sz w:val="20"/>
          <w:szCs w:val="20"/>
          <w:color w:val="auto"/>
        </w:rPr>
      </w:pPr>
    </w:p>
    <w:p>
      <w:pPr>
        <w:ind w:left="200" w:right="20" w:firstLine="443"/>
        <w:spacing w:after="0" w:line="256" w:lineRule="auto"/>
        <w:rPr>
          <w:sz w:val="20"/>
          <w:szCs w:val="20"/>
          <w:color w:val="auto"/>
        </w:rPr>
      </w:pPr>
      <w:r>
        <w:rPr>
          <w:rFonts w:ascii="Arial" w:cs="Arial" w:eastAsia="Arial" w:hAnsi="Arial"/>
          <w:sz w:val="18"/>
          <w:szCs w:val="18"/>
          <w:color w:val="auto"/>
        </w:rPr>
        <w:t>We have diversified our portfolio across 15 industries. The largest industries in our portfolio based on fair value as of September 30, 2013 were healthcare and pharmaceuticals, which represented 15.5% of our portfolio, and business services, which represented 14.2% of our portfolio. We expect that no single investment will represent more than 15% of our total investment portfolio, based on fair value. See “Portfolio Companies” for more information on our portfolio as of September 30, 2013.</w:t>
      </w:r>
    </w:p>
    <w:p>
      <w:pPr>
        <w:spacing w:after="0" w:line="143"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As of September 30, 2013, we had 29 investments in 25 portfolio companies with an aggregate fair value of $889.3 million. During the nine months ended September 30, 2013, we invested $352.6 million aggregate principal amount in eleven new portfolio companies and invested $53.1 million aggregate principal amount in ten existing portfolio companies. During this period, we had $160.4 million aggregate principal amount in exits and repayments resulting in net portfolio growth of $245.3 million aggregate principal amount.</w:t>
      </w:r>
    </w:p>
    <w:p>
      <w:pPr>
        <w:spacing w:after="0" w:line="143" w:lineRule="exact"/>
        <w:rPr>
          <w:sz w:val="20"/>
          <w:szCs w:val="20"/>
          <w:color w:val="auto"/>
        </w:rPr>
      </w:pPr>
    </w:p>
    <w:p>
      <w:pPr>
        <w:ind w:left="200" w:right="140" w:firstLine="443"/>
        <w:spacing w:after="0" w:line="256" w:lineRule="auto"/>
        <w:rPr>
          <w:sz w:val="20"/>
          <w:szCs w:val="20"/>
          <w:color w:val="auto"/>
        </w:rPr>
      </w:pPr>
      <w:r>
        <w:rPr>
          <w:rFonts w:ascii="Arial" w:cs="Arial" w:eastAsia="Arial" w:hAnsi="Arial"/>
          <w:sz w:val="18"/>
          <w:szCs w:val="18"/>
          <w:color w:val="auto"/>
        </w:rPr>
        <w:t>As of December 31, 2012, we had investments in 21 portfolio companies with an aggregate fair value of $653.9 million. For the year ended December 31, 2012, we invested $553.6 million aggregate principal amount in 19 new portfolio companies and invested $127.0 million aggregate principal amount in 13 existing portfolio companies. During this period, we had $200.7 million aggregate principal amount in exits and repayments resulting in net portfolio growth of $479.9 million aggregate principal amount.</w:t>
      </w:r>
    </w:p>
    <w:p>
      <w:pPr>
        <w:spacing w:after="0" w:line="14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Since we began investing in 2011 through September 30, 2013, our exited investments have resulted in an aggregate cash flow realized gross internal rate of return to us of approximately 17.5% (based on cash invested of approximately $329 million and total proceeds from these exited investments of approximately $373 million). Approximately 79%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96" w:lineRule="exact"/>
        <w:rPr>
          <w:sz w:val="20"/>
          <w:szCs w:val="20"/>
          <w:color w:val="auto"/>
        </w:rPr>
      </w:pPr>
    </w:p>
    <w:p>
      <w:pPr>
        <w:ind w:left="200" w:right="800" w:firstLine="443"/>
        <w:spacing w:after="0" w:line="268" w:lineRule="auto"/>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 We make our investments either directly or through our wholly owned subsidiaries.</w:t>
      </w:r>
    </w:p>
    <w:p>
      <w:pPr>
        <w:spacing w:after="0" w:line="132"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w:t>
      </w:r>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 on these requirements.</w:t>
      </w:r>
    </w:p>
    <w:p>
      <w:pPr>
        <w:spacing w:after="0" w:line="140"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To date, we have conducted private offerings of our common stock to investors in reliance on exemptions from certain registration requirements of the U.S. Securities Act of 1933, as amended, or the Securities Act, and other applicable securities laws. At the closing of each private offering, investors made capital commitments to purchase our common stock from time to time at net asset value. The majority of our existing investors, as measured by total capital commitments, are participants in our dividend reinvestment plan.</w:t>
      </w:r>
    </w:p>
    <w:p>
      <w:pPr>
        <w:spacing w:after="0" w:line="143"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On January 31, 2013, we reached a $1.5 billion cap on private offering commitments agreed to with our investors, which includes a $100 million capital commitment by the Adviser. We have drawn $517 million of these capital commitments as of September 30, 2013, which has been further augmented by reinvestments under our dividend reinvestment plan. Our existing investors’ obligations to purchase additional shares from the undrawn portion of their capital commitments will terminate upon the completion of this initial public offering, or IPO.</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chart depicts our ownership structure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96" w:lineRule="exact"/>
        <w:rPr>
          <w:sz w:val="20"/>
          <w:szCs w:val="20"/>
          <w:color w:val="auto"/>
        </w:rPr>
      </w:pPr>
    </w:p>
    <w:p>
      <w:pPr>
        <w:ind w:left="200" w:right="420" w:firstLine="443"/>
        <w:spacing w:after="0" w:line="332"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Securities and Exchange Commission, or the SEC, under the Investment Advisers Act of 1940, as amended, or the Advisers Act.</w:t>
      </w:r>
    </w:p>
    <w:p>
      <w:pPr>
        <w:spacing w:after="0" w:line="85"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43"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TSSP, which encompasses TPG Specialty Lending, TPG Opportunities Partners and TPG Institutional Credit Partners, is TPG’s opportunistic special situations and credit platform. TSSP had over $6 billion of assets under management as of September 30, 2013. TSSP has extensive experience with highly complex, global public and private investments executed through primary originations, secondary market purchases and restructurings, and has a team of 74 investment and operating professionals. Nineteen of these personnel are dedicated to our business, including 16 investment professionals. The TSSP members of the Investment Review Committee are Joshua Easterly, Michael Fishman, Alan Waxman and David Stiepleman.</w:t>
      </w:r>
    </w:p>
    <w:p>
      <w:pPr>
        <w:spacing w:after="0" w:line="116"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TPG is a leading global private investment firm founded in 1992 with over $55 billion of assets under management as of September 30, 2013 and offices in San Francisco, Fort Worth, Austin, New York and throughout the world. TPG has extensive experience with global public and private investments executed through leveraged buyouts, recapitalizations, spinouts, growth investments, joint ventures and restructurings, and has a team of 256 investment and operations professionals. The TPG members of the Investment Review Committee are TPG co-founders, David Bonderman and James Coulter, and TPG Senior Partners, Jonathan Coslet and James Gates.</w:t>
      </w:r>
    </w:p>
    <w:p>
      <w:pPr>
        <w:spacing w:after="0" w:line="143"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06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1066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360" w:firstLine="443"/>
        <w:spacing w:after="0" w:line="298"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September 30, 2013, our Adviser owned 6.4% of our common stock and had committed $100 million in equity capital under the subscription agreements with our existing investors. See “Management,” “Related-Party Transactions and Certain Relationships” and “Control Persons and Principal Stockholders.”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00" w:firstLine="443"/>
        <w:spacing w:after="0" w:line="332" w:lineRule="auto"/>
        <w:rPr>
          <w:sz w:val="20"/>
          <w:szCs w:val="20"/>
          <w:color w:val="auto"/>
        </w:rPr>
      </w:pPr>
      <w:r>
        <w:rPr>
          <w:rFonts w:ascii="Arial" w:cs="Arial" w:eastAsia="Arial" w:hAnsi="Arial"/>
          <w:sz w:val="16"/>
          <w:szCs w:val="16"/>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85"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i w:val="1"/>
          <w:iCs w:val="1"/>
          <w:color w:val="auto"/>
        </w:rPr>
        <w:t>Limited availability of capital for middle-market companies</w:t>
      </w:r>
      <w:r>
        <w:rPr>
          <w:rFonts w:ascii="Arial" w:cs="Arial" w:eastAsia="Arial" w:hAnsi="Arial"/>
          <w:sz w:val="16"/>
          <w:szCs w:val="16"/>
          <w:color w:val="auto"/>
        </w:rPr>
        <w:t>. We believe that certain structural changes in the market have reduced the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20" w:lineRule="exact"/>
        <w:rPr>
          <w:sz w:val="20"/>
          <w:szCs w:val="20"/>
          <w:color w:val="auto"/>
        </w:rPr>
      </w:pPr>
    </w:p>
    <w:p>
      <w:pPr>
        <w:ind w:left="200" w:firstLine="443"/>
        <w:spacing w:after="0" w:line="323" w:lineRule="auto"/>
        <w:rPr>
          <w:sz w:val="20"/>
          <w:szCs w:val="20"/>
          <w:color w:val="auto"/>
        </w:rPr>
      </w:pPr>
      <w:r>
        <w:rPr>
          <w:rFonts w:ascii="Arial" w:cs="Arial" w:eastAsia="Arial" w:hAnsi="Arial"/>
          <w:sz w:val="15"/>
          <w:szCs w:val="15"/>
          <w:i w:val="1"/>
          <w:iCs w:val="1"/>
          <w:color w:val="auto"/>
        </w:rPr>
        <w:t>Strong demand for debt capital</w:t>
      </w:r>
      <w:r>
        <w:rPr>
          <w:rFonts w:ascii="Arial" w:cs="Arial" w:eastAsia="Arial" w:hAnsi="Arial"/>
          <w:sz w:val="15"/>
          <w:szCs w:val="15"/>
          <w:color w:val="auto"/>
        </w:rPr>
        <w:t>. We believe middle-market companies will continue to require access to debt capital to refinance existing debt, support</w:t>
      </w:r>
      <w:r>
        <w:rPr>
          <w:rFonts w:ascii="Arial" w:cs="Arial" w:eastAsia="Arial" w:hAnsi="Arial"/>
          <w:sz w:val="15"/>
          <w:szCs w:val="15"/>
          <w:i w:val="1"/>
          <w:iCs w:val="1"/>
          <w:color w:val="auto"/>
        </w:rPr>
        <w:t xml:space="preserve"> </w:t>
      </w:r>
      <w:r>
        <w:rPr>
          <w:rFonts w:ascii="Arial" w:cs="Arial" w:eastAsia="Arial" w:hAnsi="Arial"/>
          <w:sz w:val="15"/>
          <w:szCs w:val="15"/>
          <w:color w:val="auto"/>
        </w:rPr>
        <w:t>growth and finance acquisitions. In addition, we believe the large amount of uninvested capital held by funds of private equity firms, estimated by Preqin Ltd., an alternative assets industry data and research company, at $389 billion as of October 2013, will continue to drive deal activity. We expect that private equity firms will continue to pursue acquisitions and to seek to leverage their equity investments with secured loans provided by companies such as ours.</w:t>
      </w:r>
    </w:p>
    <w:p>
      <w:pPr>
        <w:spacing w:after="0" w:line="98"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 dynamics.</w:t>
      </w:r>
      <w:r>
        <w:rPr>
          <w:rFonts w:ascii="Arial" w:cs="Arial" w:eastAsia="Arial" w:hAnsi="Arial"/>
          <w:sz w:val="16"/>
          <w:szCs w:val="16"/>
          <w:i w:val="1"/>
          <w:iCs w:val="1"/>
          <w:color w:val="auto"/>
        </w:rPr>
        <w:t xml:space="preserve"> </w:t>
      </w:r>
      <w:r>
        <w:rPr>
          <w:rFonts w:ascii="Arial" w:cs="Arial" w:eastAsia="Arial" w:hAnsi="Arial"/>
          <w:sz w:val="16"/>
          <w:szCs w:val="16"/>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20"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43" w:lineRule="exact"/>
        <w:rPr>
          <w:sz w:val="20"/>
          <w:szCs w:val="20"/>
          <w:color w:val="auto"/>
        </w:rPr>
      </w:pPr>
    </w:p>
    <w:p>
      <w:pPr>
        <w:jc w:val="both"/>
        <w:ind w:left="200" w:right="180" w:firstLine="443"/>
        <w:spacing w:after="0" w:line="306"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i w:val="1"/>
          <w:iCs w:val="1"/>
          <w:color w:val="auto"/>
        </w:rPr>
        <w:t>Leading platform and access to proprietary deal flow</w:t>
      </w:r>
      <w:r>
        <w:rPr>
          <w:rFonts w:ascii="Arial" w:cs="Arial" w:eastAsia="Arial" w:hAnsi="Arial"/>
          <w:sz w:val="16"/>
          <w:szCs w:val="16"/>
          <w:color w:val="auto"/>
        </w:rPr>
        <w:t>. The substantial majority of our investments are not intermediated and are originated without the</w:t>
      </w:r>
      <w:r>
        <w:rPr>
          <w:rFonts w:ascii="Arial" w:cs="Arial" w:eastAsia="Arial" w:hAnsi="Arial"/>
          <w:sz w:val="16"/>
          <w:szCs w:val="16"/>
          <w:i w:val="1"/>
          <w:iCs w:val="1"/>
          <w:color w:val="auto"/>
        </w:rPr>
        <w:t xml:space="preserve"> </w:t>
      </w:r>
      <w:r>
        <w:rPr>
          <w:rFonts w:ascii="Arial" w:cs="Arial" w:eastAsia="Arial" w:hAnsi="Arial"/>
          <w:sz w:val="16"/>
          <w:szCs w:val="16"/>
          <w:color w:val="auto"/>
        </w:rPr>
        <w:t>assistance of investment banks or other traditional Wall Street sources. Our Adviser has a dedicated team of 16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substantial experience as commercial dealmakers and executing direct calling campaigns on companies based on the Adviser’s sector and macroeconomic views.</w:t>
      </w:r>
    </w:p>
    <w:p>
      <w:pPr>
        <w:spacing w:after="0" w:line="116" w:lineRule="exact"/>
        <w:rPr>
          <w:sz w:val="20"/>
          <w:szCs w:val="20"/>
          <w:color w:val="auto"/>
        </w:rPr>
      </w:pPr>
    </w:p>
    <w:p>
      <w:pPr>
        <w:ind w:left="200" w:right="220" w:firstLine="443"/>
        <w:spacing w:after="0" w:line="256" w:lineRule="auto"/>
        <w:rPr>
          <w:sz w:val="20"/>
          <w:szCs w:val="20"/>
          <w:color w:val="auto"/>
        </w:rPr>
      </w:pPr>
      <w:r>
        <w:rPr>
          <w:rFonts w:ascii="Arial" w:cs="Arial" w:eastAsia="Arial" w:hAnsi="Arial"/>
          <w:sz w:val="18"/>
          <w:szCs w:val="18"/>
          <w:color w:val="auto"/>
        </w:rPr>
        <w:t>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43"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40" w:lineRule="exact"/>
        <w:rPr>
          <w:sz w:val="20"/>
          <w:szCs w:val="20"/>
          <w:color w:val="auto"/>
        </w:rPr>
      </w:pPr>
    </w:p>
    <w:p>
      <w:pPr>
        <w:ind w:left="200" w:right="200" w:firstLine="443"/>
        <w:spacing w:after="0" w:line="335" w:lineRule="auto"/>
        <w:rPr>
          <w:sz w:val="20"/>
          <w:szCs w:val="20"/>
          <w:color w:val="auto"/>
        </w:rPr>
      </w:pPr>
      <w:r>
        <w:rPr>
          <w:rFonts w:ascii="Arial" w:cs="Arial" w:eastAsia="Arial" w:hAnsi="Arial"/>
          <w:sz w:val="15"/>
          <w:szCs w:val="15"/>
          <w:i w:val="1"/>
          <w:iCs w:val="1"/>
          <w:color w:val="auto"/>
        </w:rPr>
        <w:t>Disciplined investment and underwriting process</w:t>
      </w:r>
      <w:r>
        <w:rPr>
          <w:rFonts w:ascii="Arial" w:cs="Arial" w:eastAsia="Arial" w:hAnsi="Arial"/>
          <w:sz w:val="15"/>
          <w:szCs w:val="15"/>
          <w:color w:val="auto"/>
        </w:rPr>
        <w:t>. Through our Adviser, we seek to achieve the highest risk-adjusted returns available as opposed to</w:t>
      </w:r>
      <w:r>
        <w:rPr>
          <w:rFonts w:ascii="Arial" w:cs="Arial" w:eastAsia="Arial" w:hAnsi="Arial"/>
          <w:sz w:val="15"/>
          <w:szCs w:val="15"/>
          <w:i w:val="1"/>
          <w:iCs w:val="1"/>
          <w:color w:val="auto"/>
        </w:rPr>
        <w:t xml:space="preserve"> </w:t>
      </w:r>
      <w:r>
        <w:rPr>
          <w:rFonts w:ascii="Arial" w:cs="Arial" w:eastAsia="Arial" w:hAnsi="Arial"/>
          <w:sz w:val="15"/>
          <w:szCs w:val="15"/>
          <w:color w:val="auto"/>
        </w:rPr>
        <w:t>the highest absolute return available. Our investment approach seeks to combine a rigorous analysis of macroeconomic and market factors with a deep understanding of individual companies and their assets, management and prospects. We believe three factors distinguish our investment approach:</w:t>
      </w:r>
    </w:p>
    <w:p>
      <w:pPr>
        <w:spacing w:after="0" w:line="7" w:lineRule="exact"/>
        <w:rPr>
          <w:sz w:val="20"/>
          <w:szCs w:val="20"/>
          <w:color w:val="auto"/>
        </w:rPr>
      </w:pPr>
    </w:p>
    <w:p>
      <w:pPr>
        <w:ind w:left="1060" w:right="240" w:hanging="323"/>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50" w:lineRule="exact"/>
        <w:rPr>
          <w:rFonts w:ascii="Arial" w:cs="Arial" w:eastAsia="Arial" w:hAnsi="Arial"/>
          <w:sz w:val="18"/>
          <w:szCs w:val="18"/>
          <w:color w:val="auto"/>
        </w:rPr>
      </w:pPr>
    </w:p>
    <w:p>
      <w:pPr>
        <w:ind w:left="1060" w:right="20" w:hanging="323"/>
        <w:spacing w:after="0" w:line="256"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Conversely, during periods when risk premiums are wide, we seek to capture an incremental risk premium by offering more junior instruments that have higher rates and longer durations.</w:t>
      </w:r>
    </w:p>
    <w:p>
      <w:pPr>
        <w:spacing w:after="0" w:line="62" w:lineRule="exact"/>
        <w:rPr>
          <w:rFonts w:ascii="Arial" w:cs="Arial" w:eastAsia="Arial" w:hAnsi="Arial"/>
          <w:sz w:val="18"/>
          <w:szCs w:val="18"/>
          <w:color w:val="auto"/>
        </w:rPr>
      </w:pPr>
    </w:p>
    <w:p>
      <w:pPr>
        <w:ind w:left="1060" w:right="200" w:hanging="323"/>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5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46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40" w:lineRule="exact"/>
        <w:rPr>
          <w:sz w:val="20"/>
          <w:szCs w:val="20"/>
          <w:color w:val="auto"/>
        </w:rPr>
      </w:pPr>
    </w:p>
    <w:p>
      <w:pPr>
        <w:ind w:left="200" w:right="620"/>
        <w:spacing w:after="0" w:line="332" w:lineRule="auto"/>
        <w:rPr>
          <w:sz w:val="20"/>
          <w:szCs w:val="20"/>
          <w:color w:val="auto"/>
        </w:rPr>
      </w:pPr>
      <w:r>
        <w:rPr>
          <w:rFonts w:ascii="Arial" w:cs="Arial" w:eastAsia="Arial" w:hAnsi="Arial"/>
          <w:sz w:val="16"/>
          <w:szCs w:val="16"/>
          <w:color w:val="auto"/>
        </w:rPr>
        <w:t>We tailor investments rather than focusing only on driving investment volume. Of the more than 2,400 investment transactions our Investment Team reviewed from our inception through December 6, 2013, we closed approximately 1.7% of the number of investments reviewed.</w:t>
      </w:r>
    </w:p>
    <w:p>
      <w:pPr>
        <w:spacing w:after="0" w:line="85"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i w:val="1"/>
          <w:iCs w:val="1"/>
          <w:color w:val="auto"/>
        </w:rPr>
        <w:t>Carefully constructed, existing, diversified portfolio consisting of predominantly senior, floating rate loans</w:t>
      </w:r>
      <w:r>
        <w:rPr>
          <w:rFonts w:ascii="Arial" w:cs="Arial" w:eastAsia="Arial" w:hAnsi="Arial"/>
          <w:sz w:val="16"/>
          <w:szCs w:val="16"/>
          <w:color w:val="auto"/>
        </w:rPr>
        <w:t>. Since we began investing in 2011,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invested more than $1.3 billion. As of September 30, 2013, we had a portfolio of investments in 25 portfolio companies totaling $889.3 million that we believe exhibits strong credit quality and industry diversification. As of September 30, 2013, approximately 98.5% of the fair value of our portfolio was invested in secured loans with floating rates of interest, and 90.4% of the fair value of our portfolio was invested in first-lien loans. We believe this portfolio will allow us to generate meaningful investment income, and consequently dividend income, for our stockholders.</w:t>
      </w:r>
    </w:p>
    <w:p>
      <w:pPr>
        <w:spacing w:after="0" w:line="11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seven managing directors of TSSP on the Adviser’s team, with a collective 140 years of experience investing in</w:t>
      </w:r>
      <w:r>
        <w:rPr>
          <w:rFonts w:ascii="Arial" w:cs="Arial" w:eastAsia="Arial" w:hAnsi="Arial"/>
          <w:sz w:val="16"/>
          <w:szCs w:val="16"/>
          <w:i w:val="1"/>
          <w:iCs w:val="1"/>
          <w:color w:val="auto"/>
        </w:rPr>
        <w:t xml:space="preserve"> </w:t>
      </w:r>
      <w:r>
        <w:rPr>
          <w:rFonts w:ascii="Arial" w:cs="Arial" w:eastAsia="Arial" w:hAnsi="Arial"/>
          <w:sz w:val="16"/>
          <w:szCs w:val="16"/>
          <w:color w:val="auto"/>
        </w:rPr>
        <w:t>middle-market companies, have deep experience identifying and executing transactions across a broad range of industries and types of financings. Over their careers, our team has developed unique relationships and access to proprietary sourcing and servicing channels. The team includes senior members that built and managed the Goldman Sachs Specialty Lending Group from its inception in 2003 through 2009, as well as members who worked at Wells Fargo Capital Finance, where Michael Fishman built the team that grew assets under management from approximately $2 billion to more than $10 billion.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18" w:lineRule="exact"/>
        <w:rPr>
          <w:sz w:val="20"/>
          <w:szCs w:val="20"/>
          <w:color w:val="auto"/>
        </w:rPr>
      </w:pPr>
    </w:p>
    <w:p>
      <w:pPr>
        <w:jc w:val="both"/>
        <w:ind w:left="200" w:right="140" w:firstLine="443"/>
        <w:spacing w:after="0" w:line="259"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20" w:firstLine="443"/>
        <w:spacing w:after="0" w:line="33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90" w:lineRule="exact"/>
        <w:rPr>
          <w:sz w:val="20"/>
          <w:szCs w:val="20"/>
          <w:color w:val="auto"/>
        </w:rPr>
      </w:pPr>
    </w:p>
    <w:p>
      <w:pPr>
        <w:ind w:left="1060" w:hanging="323"/>
        <w:spacing w:after="0" w:line="25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Regulations under the 1940 Act limit our ability to use borrowing, also known as leverage, in significant respects. With certain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we are currently only allowed to borrow amounts, including by issuing debt securities, or issue preferred stock where our asset coverage, as defined in the 1940 Act, equals at least 200% after the borrowing. See “Regulation.” The asset coverage rule may change over time. For example, recent legislation introduced in the U.S. House of Representatives, if passed, would modify this section of the 1940 Act and increase the amount of debt that BDCs may incur.</w:t>
      </w:r>
    </w:p>
    <w:p>
      <w:pPr>
        <w:spacing w:after="0" w:line="61" w:lineRule="exact"/>
        <w:rPr>
          <w:rFonts w:ascii="Arial" w:cs="Arial" w:eastAsia="Arial" w:hAnsi="Arial"/>
          <w:sz w:val="18"/>
          <w:szCs w:val="18"/>
          <w:color w:val="auto"/>
        </w:rPr>
      </w:pPr>
    </w:p>
    <w:p>
      <w:pPr>
        <w:ind w:left="1060" w:right="4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Our business strategy focuses on investments that are deemed “qualifying assets.” As a BDC, we are generally prohibited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investing in assets other than qualifying assets</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04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3041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right="40"/>
        <w:spacing w:after="0" w:line="306" w:lineRule="auto"/>
        <w:rPr>
          <w:sz w:val="20"/>
          <w:szCs w:val="20"/>
          <w:color w:val="auto"/>
        </w:rPr>
      </w:pPr>
      <w:r>
        <w:rPr>
          <w:rFonts w:ascii="Arial" w:cs="Arial" w:eastAsia="Arial" w:hAnsi="Arial"/>
          <w:sz w:val="16"/>
          <w:szCs w:val="16"/>
          <w:color w:val="auto"/>
        </w:rPr>
        <w:t>unless, at the time of the investment and after giving effect to it, at least 70% of our total assets are qualifying assets. Qualifying assets generally include securities of “eligible portfolio companies,” cash, cash equivalents, U.S. government securities and high-quality debt instruments maturing in one year or less from the time of investment. Under the rules of the 1940 Act, “eligible portfolio companies” include:</w:t>
      </w:r>
    </w:p>
    <w:p>
      <w:pPr>
        <w:spacing w:after="0" w:line="26" w:lineRule="exact"/>
        <w:rPr>
          <w:sz w:val="20"/>
          <w:szCs w:val="20"/>
          <w:color w:val="auto"/>
        </w:rPr>
      </w:pPr>
    </w:p>
    <w:p>
      <w:pPr>
        <w:ind w:left="1620" w:hanging="437"/>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90" w:lineRule="exact"/>
        <w:rPr>
          <w:rFonts w:ascii="Arial" w:cs="Arial" w:eastAsia="Arial" w:hAnsi="Arial"/>
          <w:sz w:val="18"/>
          <w:szCs w:val="18"/>
          <w:color w:val="auto"/>
        </w:rPr>
      </w:pPr>
    </w:p>
    <w:p>
      <w:pPr>
        <w:ind w:left="1620" w:right="220" w:hanging="437"/>
        <w:spacing w:after="0" w:line="259"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domestic operating companies whose securities are not listed on a national securities exchange (e.g., the New York Stock Exchange, NYSE Amex Equities and The NASDAQ Global Market) or registered under the U.S. Securities Exchange Act of 1934, as amended, or the Exchange Act; and</w:t>
      </w:r>
    </w:p>
    <w:p>
      <w:pPr>
        <w:spacing w:after="0" w:line="59" w:lineRule="exact"/>
        <w:rPr>
          <w:rFonts w:ascii="Arial" w:cs="Arial" w:eastAsia="Arial" w:hAnsi="Arial"/>
          <w:sz w:val="18"/>
          <w:szCs w:val="18"/>
          <w:color w:val="auto"/>
        </w:rPr>
      </w:pPr>
    </w:p>
    <w:p>
      <w:pPr>
        <w:ind w:left="1620" w:hanging="437"/>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Public domestic operating companies whose securities are quoted on the over-the-counter bulletin board and through OTC Markets Group, Inc.</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are not listed on a national securities exchange and, as a result, are eligible portfolio companies.</w:t>
      </w:r>
    </w:p>
    <w:p>
      <w:pPr>
        <w:spacing w:after="0" w:line="205" w:lineRule="exact"/>
        <w:rPr>
          <w:sz w:val="20"/>
          <w:szCs w:val="20"/>
          <w:color w:val="auto"/>
        </w:rPr>
      </w:pPr>
    </w:p>
    <w:p>
      <w:pPr>
        <w:ind w:left="1060" w:right="20" w:hanging="323"/>
        <w:spacing w:after="0" w:line="25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subject to corporate-level U.S. federal income taxation, we must satisfy certain source of income, asset diversification and distribution requirements. See “Material U.S. Federal Income Tax Considerations.”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additional information regarding qualifying as an emerging growth company, see “—Implications of Being an Emerging Growth Company.”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96" w:lineRule="exact"/>
        <w:rPr>
          <w:sz w:val="20"/>
          <w:szCs w:val="20"/>
          <w:color w:val="auto"/>
        </w:rPr>
      </w:pPr>
    </w:p>
    <w:p>
      <w:pPr>
        <w:jc w:val="both"/>
        <w:ind w:left="200" w:right="200" w:firstLine="443"/>
        <w:spacing w:after="0" w:line="256"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common stock. The costs associated with our borrowings, including any increase in the management fee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143"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Members of the Adviser’s senior management and Investment Review Committee are and will continue to be active in other investment funds affiliated with TSSP and TPG that pursue investment opportunities that could overlap with those pursued by us. However, we expect that TSSP and TPG will refer all middle-market loan origination activities for companies domiciled in the United States to us and conduct those activities through us, unless it would not be permissible, advisable or otherwise appropriate for us to pursue a particular investment opportunity.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01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5010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 w:firstLine="443"/>
        <w:spacing w:after="0" w:line="253" w:lineRule="auto"/>
        <w:rPr>
          <w:sz w:val="20"/>
          <w:szCs w:val="20"/>
          <w:color w:val="auto"/>
        </w:rPr>
      </w:pPr>
      <w:r>
        <w:rPr>
          <w:rFonts w:ascii="Arial" w:cs="Arial" w:eastAsia="Arial" w:hAnsi="Arial"/>
          <w:sz w:val="18"/>
          <w:szCs w:val="18"/>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45"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Our ability to pursue investment opportunities other than middle-market loan originations for companies domiciled in the United States is subject to the priorities of these other funds and allocation decisions by TSSP and TPG senior professionals. As a result, our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Relief Application</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On September 17, 2013, we filed a revised application with the SEC. If granted, the exemptive relief would allow us to co-invest in certain transactions with affiliates of TSSP and TPG if certain conditions are met. These conditions include prior approval by a majority of the directors of the Board who are not “interested persons” of us, the Adviser or any of our or its respective affiliates, as defined in the 1940 Act (known as the Independent Directors). The terms and conditions of the investment applicable to any affiliates of TSSP and TPG also must be the same as those applicable to us.</w:t>
      </w:r>
    </w:p>
    <w:p>
      <w:pPr>
        <w:spacing w:after="0" w:line="116" w:lineRule="exact"/>
        <w:rPr>
          <w:sz w:val="20"/>
          <w:szCs w:val="20"/>
          <w:color w:val="auto"/>
        </w:rPr>
      </w:pPr>
    </w:p>
    <w:p>
      <w:pPr>
        <w:ind w:left="200" w:right="60" w:firstLine="443"/>
        <w:spacing w:after="0" w:line="294" w:lineRule="auto"/>
        <w:rPr>
          <w:sz w:val="20"/>
          <w:szCs w:val="20"/>
          <w:color w:val="auto"/>
        </w:rPr>
      </w:pPr>
      <w:r>
        <w:rPr>
          <w:rFonts w:ascii="Arial" w:cs="Arial" w:eastAsia="Arial" w:hAnsi="Arial"/>
          <w:sz w:val="16"/>
          <w:szCs w:val="16"/>
          <w:color w:val="auto"/>
        </w:rPr>
        <w:t>If the SEC grants our exemptive relief request, our affiliates may be able to co-invest with us, subject to our expected first priority described above for middle-market loan originations for companies domiciled in the United States. We believe that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96" w:lineRule="exact"/>
        <w:rPr>
          <w:sz w:val="20"/>
          <w:szCs w:val="20"/>
          <w:color w:val="auto"/>
        </w:rPr>
      </w:pPr>
    </w:p>
    <w:p>
      <w:pPr>
        <w:jc w:val="both"/>
        <w:ind w:left="200" w:right="200" w:firstLine="443"/>
        <w:spacing w:after="0" w:line="259" w:lineRule="auto"/>
        <w:rPr>
          <w:sz w:val="20"/>
          <w:szCs w:val="20"/>
          <w:color w:val="auto"/>
        </w:rPr>
      </w:pPr>
      <w:r>
        <w:rPr>
          <w:rFonts w:ascii="Arial" w:cs="Arial" w:eastAsia="Arial" w:hAnsi="Arial"/>
          <w:sz w:val="18"/>
          <w:szCs w:val="18"/>
          <w:color w:val="auto"/>
        </w:rPr>
        <w:t>We qualify as an emerging growth company, as that term is used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59" w:lineRule="exact"/>
        <w:rPr>
          <w:sz w:val="20"/>
          <w:szCs w:val="20"/>
          <w:color w:val="auto"/>
        </w:rPr>
      </w:pPr>
    </w:p>
    <w:p>
      <w:pPr>
        <w:ind w:left="1060" w:right="50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 of 2002, or the Sarbanes-Oxley Act;</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171"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common stock less attractive as a result of our taking advantage of exemptions available to emerging growth companies. The result may be a less active trading market for our common stock and our stock price may be more volatile.</w:t>
      </w:r>
    </w:p>
    <w:p>
      <w:pPr>
        <w:spacing w:after="0" w:line="11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90" w:lineRule="exact"/>
        <w:rPr>
          <w:rFonts w:ascii="Arial" w:cs="Arial" w:eastAsia="Arial" w:hAnsi="Arial"/>
          <w:sz w:val="18"/>
          <w:szCs w:val="18"/>
          <w:color w:val="auto"/>
        </w:rPr>
      </w:pPr>
    </w:p>
    <w:p>
      <w:pPr>
        <w:ind w:left="1060" w:right="160" w:hanging="323"/>
        <w:spacing w:after="0" w:line="25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Split</w:t>
      </w:r>
    </w:p>
    <w:p>
      <w:pPr>
        <w:spacing w:after="0" w:line="96"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On December 3, 2013, our Board approved a stock split in the form of a stock dividend, which we refer to as the stock split,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5, 2013, our issued and outstanding shares total 37,026,023, as adjusted for the stock split.</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96" w:lineRule="exact"/>
        <w:rPr>
          <w:sz w:val="20"/>
          <w:szCs w:val="20"/>
          <w:color w:val="auto"/>
        </w:rPr>
      </w:pPr>
    </w:p>
    <w:p>
      <w:pPr>
        <w:jc w:val="both"/>
        <w:ind w:left="200" w:right="260" w:firstLine="443"/>
        <w:spacing w:after="0" w:line="306"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common stock, including that:</w:t>
      </w:r>
    </w:p>
    <w:p>
      <w:pPr>
        <w:spacing w:after="0" w:line="26" w:lineRule="exact"/>
        <w:rPr>
          <w:sz w:val="20"/>
          <w:szCs w:val="20"/>
          <w:color w:val="auto"/>
        </w:rPr>
      </w:pPr>
    </w:p>
    <w:p>
      <w:pPr>
        <w:ind w:left="5680" w:right="2060" w:hanging="4943"/>
        <w:spacing w:after="0" w:line="644" w:lineRule="auto"/>
        <w:tabs>
          <w:tab w:leader="none" w:pos="10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 9</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90" w:lineRule="exact"/>
        <w:rPr>
          <w:rFonts w:ascii="Arial" w:cs="Arial" w:eastAsia="Arial" w:hAnsi="Arial"/>
          <w:sz w:val="18"/>
          <w:szCs w:val="18"/>
          <w:color w:val="auto"/>
        </w:rPr>
      </w:pPr>
    </w:p>
    <w:p>
      <w:pPr>
        <w:ind w:left="1060" w:right="420" w:hanging="323"/>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50" w:lineRule="exact"/>
        <w:rPr>
          <w:rFonts w:ascii="Arial" w:cs="Arial" w:eastAsia="Arial" w:hAnsi="Arial"/>
          <w:sz w:val="18"/>
          <w:szCs w:val="18"/>
          <w:color w:val="auto"/>
        </w:rPr>
      </w:pPr>
    </w:p>
    <w:p>
      <w:pPr>
        <w:ind w:left="1060" w:right="500" w:hanging="323"/>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50" w:lineRule="exact"/>
        <w:rPr>
          <w:rFonts w:ascii="Arial" w:cs="Arial" w:eastAsia="Arial" w:hAnsi="Arial"/>
          <w:sz w:val="18"/>
          <w:szCs w:val="18"/>
          <w:color w:val="auto"/>
        </w:rPr>
      </w:pPr>
    </w:p>
    <w:p>
      <w:pPr>
        <w:ind w:left="1060" w:right="120" w:hanging="323"/>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50" w:lineRule="exact"/>
        <w:rPr>
          <w:rFonts w:ascii="Arial" w:cs="Arial" w:eastAsia="Arial" w:hAnsi="Arial"/>
          <w:sz w:val="18"/>
          <w:szCs w:val="18"/>
          <w:color w:val="auto"/>
        </w:rPr>
      </w:pPr>
    </w:p>
    <w:p>
      <w:pPr>
        <w:ind w:left="1060" w:right="80" w:hanging="323"/>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9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benefits from our relationship with TSSP and TPG;</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Adviser and its management have limited experience managing a BDC or a RIC;</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incur significant costs as a result of being a publicly traded company;</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90" w:lineRule="exact"/>
        <w:rPr>
          <w:rFonts w:ascii="Arial" w:cs="Arial" w:eastAsia="Arial" w:hAnsi="Arial"/>
          <w:sz w:val="18"/>
          <w:szCs w:val="18"/>
          <w:color w:val="auto"/>
        </w:rPr>
      </w:pPr>
    </w:p>
    <w:p>
      <w:pPr>
        <w:ind w:left="1060" w:right="40" w:hanging="323"/>
        <w:spacing w:after="0" w:line="25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90" w:lineRule="exact"/>
        <w:rPr>
          <w:rFonts w:ascii="Arial" w:cs="Arial" w:eastAsia="Arial" w:hAnsi="Arial"/>
          <w:sz w:val="18"/>
          <w:szCs w:val="18"/>
          <w:color w:val="auto"/>
        </w:rPr>
      </w:pPr>
    </w:p>
    <w:p>
      <w:pPr>
        <w:ind w:left="1060" w:right="60" w:hanging="323"/>
        <w:spacing w:after="0" w:line="25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because we currently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90" w:lineRule="exact"/>
        <w:rPr>
          <w:rFonts w:ascii="Arial" w:cs="Arial" w:eastAsia="Arial" w:hAnsi="Arial"/>
          <w:sz w:val="18"/>
          <w:szCs w:val="18"/>
          <w:color w:val="auto"/>
        </w:rPr>
      </w:pPr>
    </w:p>
    <w:p>
      <w:pPr>
        <w:ind w:left="1060" w:right="220" w:hanging="323"/>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50" w:lineRule="exact"/>
        <w:rPr>
          <w:rFonts w:ascii="Arial" w:cs="Arial" w:eastAsia="Arial" w:hAnsi="Arial"/>
          <w:sz w:val="18"/>
          <w:szCs w:val="18"/>
          <w:color w:val="auto"/>
        </w:rPr>
      </w:pPr>
    </w:p>
    <w:p>
      <w:pPr>
        <w:ind w:left="1060" w:right="300" w:hanging="323"/>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56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21564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90" w:lineRule="exact"/>
        <w:rPr>
          <w:rFonts w:ascii="Arial" w:cs="Arial" w:eastAsia="Arial" w:hAnsi="Arial"/>
          <w:sz w:val="18"/>
          <w:szCs w:val="18"/>
          <w:color w:val="auto"/>
        </w:rPr>
      </w:pPr>
    </w:p>
    <w:p>
      <w:pPr>
        <w:ind w:left="1060" w:right="80" w:hanging="323"/>
        <w:spacing w:after="0" w:line="33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is a risk that the withholding tax treatment that applies to dividend distributions we make to certain non-U.S. stockholders may change in the future if Congress fails to renew certain exemptions that are set to expire for taxable years commencing after December 31, 2013;</w:t>
      </w:r>
    </w:p>
    <w:p>
      <w:pPr>
        <w:spacing w:after="0" w:line="4" w:lineRule="exact"/>
        <w:rPr>
          <w:rFonts w:ascii="Arial" w:cs="Arial" w:eastAsia="Arial" w:hAnsi="Arial"/>
          <w:sz w:val="16"/>
          <w:szCs w:val="16"/>
          <w:color w:val="auto"/>
        </w:rPr>
      </w:pPr>
    </w:p>
    <w:p>
      <w:pPr>
        <w:ind w:left="1060" w:hanging="323"/>
        <w:spacing w:after="0" w:line="335" w:lineRule="auto"/>
        <w:tabs>
          <w:tab w:leader="none" w:pos="10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7" w:lineRule="exact"/>
        <w:rPr>
          <w:rFonts w:ascii="Arial" w:cs="Arial" w:eastAsia="Arial" w:hAnsi="Arial"/>
          <w:sz w:val="15"/>
          <w:szCs w:val="15"/>
          <w:color w:val="auto"/>
        </w:rPr>
      </w:pPr>
    </w:p>
    <w:p>
      <w:pPr>
        <w:ind w:left="1060" w:hanging="323"/>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a risk that you may not receive dividends or that our dividends may not grow over time;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301 Commerce Street, Suite 3300, Fort Worth, TX 76102 and our telephone number is (817) 871-4000.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corporate website is located at http://www.tpgspecialtylending.com. Information on our website is not incorporated into or a part of this prospectus.</w:t>
      </w:r>
    </w:p>
    <w:p>
      <w:pPr>
        <w:spacing w:after="0" w:line="3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75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THE OFFERING SUMMARY</w:t>
      </w:r>
    </w:p>
    <w:p>
      <w:pPr>
        <w:sectPr>
          <w:pgSz w:w="11900" w:h="16838" w:orient="portrait"/>
          <w:cols w:equalWidth="0" w:num="1">
            <w:col w:w="11220"/>
          </w:cols>
          <w:pgMar w:left="240" w:top="459" w:right="43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80" w:firstLine="527"/>
        <w:spacing w:after="0" w:line="268" w:lineRule="auto"/>
        <w:rPr>
          <w:sz w:val="20"/>
          <w:szCs w:val="20"/>
          <w:color w:val="auto"/>
        </w:rPr>
      </w:pPr>
      <w:r>
        <w:rPr>
          <w:rFonts w:ascii="Arial" w:cs="Arial" w:eastAsia="Arial" w:hAnsi="Arial"/>
          <w:sz w:val="18"/>
          <w:szCs w:val="18"/>
          <w:color w:val="auto"/>
        </w:rPr>
        <w:t>shares (or shares if the underwriters exercise their option to purchase additional shares of our common stock to cover over-allotments in full).</w:t>
      </w:r>
    </w:p>
    <w:p>
      <w:pPr>
        <w:spacing w:after="0" w:line="17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ind w:right="200" w:firstLine="527"/>
        <w:spacing w:after="0" w:line="268" w:lineRule="auto"/>
        <w:rPr>
          <w:sz w:val="20"/>
          <w:szCs w:val="20"/>
          <w:color w:val="auto"/>
        </w:rPr>
      </w:pPr>
      <w:r>
        <w:rPr>
          <w:rFonts w:ascii="Arial" w:cs="Arial" w:eastAsia="Arial" w:hAnsi="Arial"/>
          <w:sz w:val="18"/>
          <w:szCs w:val="18"/>
          <w:color w:val="auto"/>
        </w:rPr>
        <w:t>shares, or shares if the underwriters exercise their option to purchase additional shares of our common stock to cover over-allotments in full.</w:t>
      </w:r>
    </w:p>
    <w:p>
      <w:pPr>
        <w:spacing w:after="0" w:line="172" w:lineRule="exact"/>
        <w:rPr>
          <w:sz w:val="20"/>
          <w:szCs w:val="20"/>
          <w:color w:val="auto"/>
        </w:rPr>
      </w:pPr>
    </w:p>
    <w:p>
      <w:pPr>
        <w:sectPr>
          <w:pgSz w:w="11900" w:h="16838" w:orient="portrait"/>
          <w:cols w:equalWidth="0" w:num="2">
            <w:col w:w="3900" w:space="50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tabs>
          <w:tab w:leader="none" w:pos="4580" w:val="left"/>
        </w:tabs>
        <w:rPr>
          <w:sz w:val="20"/>
          <w:szCs w:val="20"/>
          <w:color w:val="auto"/>
        </w:rPr>
      </w:pPr>
      <w:r>
        <w:rPr>
          <w:rFonts w:ascii="Arial" w:cs="Arial" w:eastAsia="Arial" w:hAnsi="Arial"/>
          <w:sz w:val="18"/>
          <w:szCs w:val="18"/>
          <w:color w:val="auto"/>
        </w:rPr>
        <w:t>Our net proceeds from this offering will be approximately $</w:t>
      </w:r>
      <w:r>
        <w:rPr>
          <w:sz w:val="20"/>
          <w:szCs w:val="20"/>
          <w:color w:val="auto"/>
        </w:rPr>
        <w:tab/>
      </w:r>
      <w:r>
        <w:rPr>
          <w:rFonts w:ascii="Arial" w:cs="Arial" w:eastAsia="Arial" w:hAnsi="Arial"/>
          <w:sz w:val="16"/>
          <w:szCs w:val="16"/>
          <w:color w:val="auto"/>
        </w:rPr>
        <w:t>million, or approximately</w:t>
      </w:r>
    </w:p>
    <w:p>
      <w:pPr>
        <w:spacing w:after="0" w:line="15"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4400" w:right="460" w:hanging="3"/>
        <w:spacing w:after="0" w:line="261" w:lineRule="auto"/>
        <w:tabs>
          <w:tab w:leader="none" w:pos="48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million if the underwriters exercise their option to purchase additional shares of our common stock to cover over-allotments in full.</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8200" w:type="dxa"/>
            <w:vAlign w:val="bottom"/>
            <w:gridSpan w:val="3"/>
          </w:tcPr>
          <w:p>
            <w:pPr>
              <w:ind w:left="1380"/>
              <w:spacing w:after="0"/>
              <w:rPr>
                <w:sz w:val="20"/>
                <w:szCs w:val="20"/>
                <w:color w:val="auto"/>
              </w:rPr>
            </w:pPr>
            <w:r>
              <w:rPr>
                <w:rFonts w:ascii="Arial" w:cs="Arial" w:eastAsia="Arial" w:hAnsi="Arial"/>
                <w:sz w:val="18"/>
                <w:szCs w:val="18"/>
                <w:color w:val="auto"/>
                <w:w w:val="87"/>
              </w:rPr>
              <w:t>We intend to use the net proceeds of this offering, together with our cash and cash equivalents, to</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260" w:type="dxa"/>
            <w:vAlign w:val="bottom"/>
          </w:tcPr>
          <w:p>
            <w:pPr>
              <w:ind w:left="1380"/>
              <w:spacing w:after="0"/>
              <w:rPr>
                <w:sz w:val="20"/>
                <w:szCs w:val="20"/>
                <w:color w:val="auto"/>
              </w:rPr>
            </w:pPr>
            <w:r>
              <w:rPr>
                <w:rFonts w:ascii="Arial" w:cs="Arial" w:eastAsia="Arial" w:hAnsi="Arial"/>
                <w:sz w:val="18"/>
                <w:szCs w:val="18"/>
                <w:color w:val="auto"/>
                <w:w w:val="93"/>
              </w:rPr>
              <w:t>pay down $</w:t>
            </w:r>
          </w:p>
        </w:tc>
        <w:tc>
          <w:tcPr>
            <w:tcW w:w="5940" w:type="dxa"/>
            <w:vAlign w:val="bottom"/>
            <w:gridSpan w:val="2"/>
          </w:tcPr>
          <w:p>
            <w:pPr>
              <w:ind w:left="340"/>
              <w:spacing w:after="0"/>
              <w:rPr>
                <w:sz w:val="20"/>
                <w:szCs w:val="20"/>
                <w:color w:val="auto"/>
              </w:rPr>
            </w:pPr>
            <w:r>
              <w:rPr>
                <w:rFonts w:ascii="Arial" w:cs="Arial" w:eastAsia="Arial" w:hAnsi="Arial"/>
                <w:sz w:val="18"/>
                <w:szCs w:val="18"/>
                <w:color w:val="auto"/>
                <w:w w:val="88"/>
              </w:rPr>
              <w:t>million of outstanding indebtedness incurred under a Senior Secured Revolving</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200" w:type="dxa"/>
            <w:vAlign w:val="bottom"/>
            <w:gridSpan w:val="3"/>
          </w:tcPr>
          <w:p>
            <w:pPr>
              <w:ind w:left="1380"/>
              <w:spacing w:after="0"/>
              <w:rPr>
                <w:sz w:val="20"/>
                <w:szCs w:val="20"/>
                <w:color w:val="auto"/>
              </w:rPr>
            </w:pPr>
            <w:r>
              <w:rPr>
                <w:rFonts w:ascii="Arial" w:cs="Arial" w:eastAsia="Arial" w:hAnsi="Arial"/>
                <w:sz w:val="18"/>
                <w:szCs w:val="18"/>
                <w:color w:val="auto"/>
                <w:w w:val="91"/>
              </w:rPr>
              <w:t>Credit Agreement between us and SunTrust, as amended, which we refer to as the Revolving</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200" w:type="dxa"/>
            <w:vAlign w:val="bottom"/>
            <w:gridSpan w:val="3"/>
          </w:tcPr>
          <w:p>
            <w:pPr>
              <w:ind w:left="1380"/>
              <w:spacing w:after="0"/>
              <w:rPr>
                <w:sz w:val="20"/>
                <w:szCs w:val="20"/>
                <w:color w:val="auto"/>
              </w:rPr>
            </w:pPr>
            <w:r>
              <w:rPr>
                <w:rFonts w:ascii="Arial" w:cs="Arial" w:eastAsia="Arial" w:hAnsi="Arial"/>
                <w:sz w:val="18"/>
                <w:szCs w:val="18"/>
                <w:color w:val="auto"/>
                <w:w w:val="91"/>
              </w:rPr>
              <w:t>Credit Facility (SunTrust). We will not, however, terminate the facility and may reborrow these</w:t>
            </w:r>
          </w:p>
        </w:tc>
        <w:tc>
          <w:tcPr>
            <w:tcW w:w="0" w:type="dxa"/>
            <w:vAlign w:val="bottom"/>
          </w:tcPr>
          <w:p>
            <w:pPr>
              <w:spacing w:after="0"/>
              <w:rPr>
                <w:sz w:val="1"/>
                <w:szCs w:val="1"/>
                <w:color w:val="auto"/>
              </w:rPr>
            </w:pPr>
          </w:p>
        </w:tc>
      </w:tr>
      <w:tr>
        <w:trPr>
          <w:trHeight w:val="222"/>
        </w:trPr>
        <w:tc>
          <w:tcPr>
            <w:tcW w:w="2820" w:type="dxa"/>
            <w:vAlign w:val="bottom"/>
          </w:tcPr>
          <w:p>
            <w:pPr>
              <w:spacing w:after="0"/>
              <w:rPr>
                <w:sz w:val="19"/>
                <w:szCs w:val="19"/>
                <w:color w:val="auto"/>
              </w:rPr>
            </w:pPr>
          </w:p>
        </w:tc>
        <w:tc>
          <w:tcPr>
            <w:tcW w:w="4700" w:type="dxa"/>
            <w:vAlign w:val="bottom"/>
            <w:gridSpan w:val="2"/>
          </w:tcPr>
          <w:p>
            <w:pPr>
              <w:ind w:left="1380"/>
              <w:spacing w:after="0"/>
              <w:rPr>
                <w:sz w:val="20"/>
                <w:szCs w:val="20"/>
                <w:color w:val="auto"/>
              </w:rPr>
            </w:pPr>
            <w:r>
              <w:rPr>
                <w:rFonts w:ascii="Arial" w:cs="Arial" w:eastAsia="Arial" w:hAnsi="Arial"/>
                <w:sz w:val="18"/>
                <w:szCs w:val="18"/>
                <w:color w:val="auto"/>
              </w:rPr>
              <w:t>amounts, subject to certain conditions.</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820" w:type="dxa"/>
            <w:vAlign w:val="bottom"/>
          </w:tcPr>
          <w:p>
            <w:pPr>
              <w:spacing w:after="0"/>
              <w:rPr>
                <w:sz w:val="24"/>
                <w:szCs w:val="24"/>
                <w:color w:val="auto"/>
              </w:rPr>
            </w:pPr>
          </w:p>
        </w:tc>
        <w:tc>
          <w:tcPr>
            <w:tcW w:w="8200" w:type="dxa"/>
            <w:vAlign w:val="bottom"/>
            <w:gridSpan w:val="3"/>
          </w:tcPr>
          <w:p>
            <w:pPr>
              <w:ind w:left="1380"/>
              <w:spacing w:after="0"/>
              <w:rPr>
                <w:sz w:val="20"/>
                <w:szCs w:val="20"/>
                <w:color w:val="auto"/>
              </w:rPr>
            </w:pPr>
            <w:r>
              <w:rPr>
                <w:rFonts w:ascii="Arial" w:cs="Arial" w:eastAsia="Arial" w:hAnsi="Arial"/>
                <w:sz w:val="18"/>
                <w:szCs w:val="18"/>
                <w:color w:val="auto"/>
                <w:w w:val="91"/>
              </w:rPr>
              <w:t>We will use the remaining net proceeds, if any, to invest in portfolio companies in accordance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200" w:type="dxa"/>
            <w:vAlign w:val="bottom"/>
            <w:gridSpan w:val="3"/>
          </w:tcPr>
          <w:p>
            <w:pPr>
              <w:ind w:left="1380"/>
              <w:spacing w:after="0"/>
              <w:rPr>
                <w:sz w:val="20"/>
                <w:szCs w:val="20"/>
                <w:color w:val="auto"/>
              </w:rPr>
            </w:pPr>
            <w:r>
              <w:rPr>
                <w:rFonts w:ascii="Arial" w:cs="Arial" w:eastAsia="Arial" w:hAnsi="Arial"/>
                <w:sz w:val="18"/>
                <w:szCs w:val="18"/>
                <w:color w:val="auto"/>
                <w:w w:val="92"/>
              </w:rPr>
              <w:t>with our investment objective and the strategies described in this prospectus and for general</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200" w:type="dxa"/>
            <w:vAlign w:val="bottom"/>
            <w:gridSpan w:val="3"/>
          </w:tcPr>
          <w:p>
            <w:pPr>
              <w:ind w:left="1380"/>
              <w:spacing w:after="0"/>
              <w:rPr>
                <w:sz w:val="20"/>
                <w:szCs w:val="20"/>
                <w:color w:val="auto"/>
              </w:rPr>
            </w:pPr>
            <w:r>
              <w:rPr>
                <w:rFonts w:ascii="Arial" w:cs="Arial" w:eastAsia="Arial" w:hAnsi="Arial"/>
                <w:sz w:val="18"/>
                <w:szCs w:val="18"/>
                <w:color w:val="auto"/>
                <w:w w:val="92"/>
              </w:rPr>
              <w:t>corporate purposes. We will also pay other operating expenses from the net proceeds of this</w:t>
            </w:r>
          </w:p>
        </w:tc>
        <w:tc>
          <w:tcPr>
            <w:tcW w:w="0" w:type="dxa"/>
            <w:vAlign w:val="bottom"/>
          </w:tcPr>
          <w:p>
            <w:pPr>
              <w:spacing w:after="0"/>
              <w:rPr>
                <w:sz w:val="1"/>
                <w:szCs w:val="1"/>
                <w:color w:val="auto"/>
              </w:rPr>
            </w:pPr>
          </w:p>
        </w:tc>
      </w:tr>
      <w:tr>
        <w:trPr>
          <w:trHeight w:val="222"/>
        </w:trPr>
        <w:tc>
          <w:tcPr>
            <w:tcW w:w="2820" w:type="dxa"/>
            <w:vAlign w:val="bottom"/>
          </w:tcPr>
          <w:p>
            <w:pPr>
              <w:spacing w:after="0"/>
              <w:rPr>
                <w:sz w:val="19"/>
                <w:szCs w:val="19"/>
                <w:color w:val="auto"/>
              </w:rPr>
            </w:pPr>
          </w:p>
        </w:tc>
        <w:tc>
          <w:tcPr>
            <w:tcW w:w="4700" w:type="dxa"/>
            <w:vAlign w:val="bottom"/>
            <w:gridSpan w:val="2"/>
          </w:tcPr>
          <w:p>
            <w:pPr>
              <w:ind w:left="1380"/>
              <w:spacing w:after="0"/>
              <w:rPr>
                <w:sz w:val="20"/>
                <w:szCs w:val="20"/>
                <w:color w:val="auto"/>
              </w:rPr>
            </w:pPr>
            <w:r>
              <w:rPr>
                <w:rFonts w:ascii="Arial" w:cs="Arial" w:eastAsia="Arial" w:hAnsi="Arial"/>
                <w:sz w:val="18"/>
                <w:szCs w:val="18"/>
                <w:color w:val="auto"/>
              </w:rPr>
              <w:t>offering. See “Use of Proceeds.”</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820" w:type="dxa"/>
            <w:vAlign w:val="bottom"/>
          </w:tcPr>
          <w:p>
            <w:pPr>
              <w:spacing w:after="0"/>
              <w:rPr>
                <w:sz w:val="20"/>
                <w:szCs w:val="20"/>
                <w:color w:val="auto"/>
              </w:rPr>
            </w:pPr>
            <w:r>
              <w:rPr>
                <w:rFonts w:ascii="Arial" w:cs="Arial" w:eastAsia="Arial" w:hAnsi="Arial"/>
                <w:sz w:val="18"/>
                <w:szCs w:val="18"/>
                <w:color w:val="auto"/>
              </w:rPr>
              <w:t>Proposed Symbol on</w:t>
            </w:r>
          </w:p>
        </w:tc>
        <w:tc>
          <w:tcPr>
            <w:tcW w:w="2260" w:type="dxa"/>
            <w:vAlign w:val="bottom"/>
          </w:tcPr>
          <w:p>
            <w:pPr>
              <w:ind w:left="1380"/>
              <w:spacing w:after="0"/>
              <w:rPr>
                <w:sz w:val="20"/>
                <w:szCs w:val="20"/>
                <w:color w:val="auto"/>
              </w:rPr>
            </w:pPr>
            <w:r>
              <w:rPr>
                <w:rFonts w:ascii="Arial" w:cs="Arial" w:eastAsia="Arial" w:hAnsi="Arial"/>
                <w:sz w:val="18"/>
                <w:szCs w:val="18"/>
                <w:color w:val="auto"/>
              </w:rPr>
              <w:t>“</w:t>
            </w:r>
          </w:p>
        </w:tc>
        <w:tc>
          <w:tcPr>
            <w:tcW w:w="2440" w:type="dxa"/>
            <w:vAlign w:val="bottom"/>
          </w:tcPr>
          <w:p>
            <w:pPr>
              <w:ind w:left="80"/>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820" w:type="dxa"/>
            <w:vAlign w:val="bottom"/>
          </w:tcPr>
          <w:p>
            <w:pPr>
              <w:spacing w:after="0"/>
              <w:rPr>
                <w:sz w:val="20"/>
                <w:szCs w:val="20"/>
                <w:color w:val="auto"/>
              </w:rPr>
            </w:pPr>
            <w:r>
              <w:rPr>
                <w:rFonts w:ascii="Arial" w:cs="Arial" w:eastAsia="Arial" w:hAnsi="Arial"/>
                <w:sz w:val="18"/>
                <w:szCs w:val="18"/>
                <w:color w:val="auto"/>
              </w:rPr>
              <w:t>Distributions</w:t>
            </w:r>
          </w:p>
        </w:tc>
        <w:tc>
          <w:tcPr>
            <w:tcW w:w="8200" w:type="dxa"/>
            <w:vAlign w:val="bottom"/>
            <w:gridSpan w:val="3"/>
          </w:tcPr>
          <w:p>
            <w:pPr>
              <w:ind w:left="1380"/>
              <w:spacing w:after="0"/>
              <w:rPr>
                <w:sz w:val="20"/>
                <w:szCs w:val="20"/>
                <w:color w:val="auto"/>
              </w:rPr>
            </w:pPr>
            <w:r>
              <w:rPr>
                <w:rFonts w:ascii="Arial" w:cs="Arial" w:eastAsia="Arial" w:hAnsi="Arial"/>
                <w:sz w:val="18"/>
                <w:szCs w:val="18"/>
                <w:color w:val="auto"/>
                <w:w w:val="94"/>
              </w:rPr>
              <w:t>To the extent we have earnings available for distribution, we expect to continue distributing</w:t>
            </w:r>
          </w:p>
        </w:tc>
        <w:tc>
          <w:tcPr>
            <w:tcW w:w="0" w:type="dxa"/>
            <w:vAlign w:val="bottom"/>
          </w:tcPr>
          <w:p>
            <w:pPr>
              <w:spacing w:after="0"/>
              <w:rPr>
                <w:sz w:val="1"/>
                <w:szCs w:val="1"/>
                <w:color w:val="auto"/>
              </w:rPr>
            </w:pPr>
          </w:p>
        </w:tc>
      </w:tr>
      <w:tr>
        <w:trPr>
          <w:trHeight w:val="222"/>
        </w:trPr>
        <w:tc>
          <w:tcPr>
            <w:tcW w:w="2820" w:type="dxa"/>
            <w:vAlign w:val="bottom"/>
          </w:tcPr>
          <w:p>
            <w:pPr>
              <w:spacing w:after="0"/>
              <w:rPr>
                <w:sz w:val="19"/>
                <w:szCs w:val="19"/>
                <w:color w:val="auto"/>
              </w:rPr>
            </w:pPr>
          </w:p>
        </w:tc>
        <w:tc>
          <w:tcPr>
            <w:tcW w:w="4700" w:type="dxa"/>
            <w:vAlign w:val="bottom"/>
            <w:gridSpan w:val="2"/>
          </w:tcPr>
          <w:p>
            <w:pPr>
              <w:ind w:left="1380"/>
              <w:spacing w:after="0"/>
              <w:rPr>
                <w:sz w:val="20"/>
                <w:szCs w:val="20"/>
                <w:color w:val="auto"/>
              </w:rPr>
            </w:pPr>
            <w:r>
              <w:rPr>
                <w:rFonts w:ascii="Arial" w:cs="Arial" w:eastAsia="Arial" w:hAnsi="Arial"/>
                <w:sz w:val="18"/>
                <w:szCs w:val="18"/>
                <w:color w:val="auto"/>
              </w:rPr>
              <w:t>quarterly dividends to our stockholders.</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820" w:type="dxa"/>
            <w:vAlign w:val="bottom"/>
          </w:tcPr>
          <w:p>
            <w:pPr>
              <w:spacing w:after="0"/>
              <w:rPr>
                <w:sz w:val="24"/>
                <w:szCs w:val="24"/>
                <w:color w:val="auto"/>
              </w:rPr>
            </w:pPr>
          </w:p>
        </w:tc>
        <w:tc>
          <w:tcPr>
            <w:tcW w:w="4700" w:type="dxa"/>
            <w:vAlign w:val="bottom"/>
            <w:gridSpan w:val="2"/>
          </w:tcPr>
          <w:p>
            <w:pPr>
              <w:ind w:left="1380"/>
              <w:spacing w:after="0"/>
              <w:rPr>
                <w:sz w:val="20"/>
                <w:szCs w:val="20"/>
                <w:color w:val="auto"/>
              </w:rPr>
            </w:pPr>
            <w:r>
              <w:rPr>
                <w:rFonts w:ascii="Arial" w:cs="Arial" w:eastAsia="Arial" w:hAnsi="Arial"/>
                <w:sz w:val="18"/>
                <w:szCs w:val="18"/>
                <w:color w:val="auto"/>
                <w:w w:val="93"/>
              </w:rPr>
              <w:t>Our Board intends to declare a dividend of $</w:t>
            </w:r>
          </w:p>
        </w:tc>
        <w:tc>
          <w:tcPr>
            <w:tcW w:w="3500" w:type="dxa"/>
            <w:vAlign w:val="bottom"/>
          </w:tcPr>
          <w:p>
            <w:pPr>
              <w:ind w:left="200"/>
              <w:spacing w:after="0"/>
              <w:rPr>
                <w:sz w:val="20"/>
                <w:szCs w:val="20"/>
                <w:color w:val="auto"/>
              </w:rPr>
            </w:pPr>
            <w:r>
              <w:rPr>
                <w:rFonts w:ascii="Arial" w:cs="Arial" w:eastAsia="Arial" w:hAnsi="Arial"/>
                <w:sz w:val="18"/>
                <w:szCs w:val="18"/>
                <w:color w:val="auto"/>
              </w:rPr>
              <w:t>per share for the quarter ending</w:t>
            </w:r>
          </w:p>
        </w:tc>
        <w:tc>
          <w:tcPr>
            <w:tcW w:w="0" w:type="dxa"/>
            <w:vAlign w:val="bottom"/>
          </w:tcPr>
          <w:p>
            <w:pPr>
              <w:spacing w:after="0"/>
              <w:rPr>
                <w:sz w:val="1"/>
                <w:szCs w:val="1"/>
                <w:color w:val="auto"/>
              </w:rPr>
            </w:pPr>
          </w:p>
        </w:tc>
      </w:tr>
      <w:tr>
        <w:trPr>
          <w:trHeight w:val="222"/>
        </w:trPr>
        <w:tc>
          <w:tcPr>
            <w:tcW w:w="2820" w:type="dxa"/>
            <w:vAlign w:val="bottom"/>
          </w:tcPr>
          <w:p>
            <w:pPr>
              <w:spacing w:after="0"/>
              <w:rPr>
                <w:sz w:val="19"/>
                <w:szCs w:val="19"/>
                <w:color w:val="auto"/>
              </w:rPr>
            </w:pPr>
          </w:p>
        </w:tc>
        <w:tc>
          <w:tcPr>
            <w:tcW w:w="2260" w:type="dxa"/>
            <w:vAlign w:val="bottom"/>
            <w:vMerge w:val="restart"/>
          </w:tcPr>
          <w:p>
            <w:pPr>
              <w:ind w:left="1380"/>
              <w:spacing w:after="0"/>
              <w:rPr>
                <w:sz w:val="20"/>
                <w:szCs w:val="20"/>
                <w:color w:val="auto"/>
              </w:rPr>
            </w:pPr>
            <w:r>
              <w:rPr>
                <w:rFonts w:ascii="Arial" w:cs="Arial" w:eastAsia="Arial" w:hAnsi="Arial"/>
                <w:sz w:val="18"/>
                <w:szCs w:val="18"/>
                <w:color w:val="auto"/>
              </w:rPr>
              <w:t>payment.</w:t>
            </w:r>
          </w:p>
        </w:tc>
        <w:tc>
          <w:tcPr>
            <w:tcW w:w="5940" w:type="dxa"/>
            <w:vAlign w:val="bottom"/>
            <w:gridSpan w:val="2"/>
          </w:tcPr>
          <w:p>
            <w:pPr>
              <w:ind w:left="260"/>
              <w:spacing w:after="0"/>
              <w:rPr>
                <w:sz w:val="20"/>
                <w:szCs w:val="20"/>
                <w:color w:val="auto"/>
              </w:rPr>
            </w:pPr>
            <w:r>
              <w:rPr>
                <w:rFonts w:ascii="Arial" w:cs="Arial" w:eastAsia="Arial" w:hAnsi="Arial"/>
                <w:sz w:val="18"/>
                <w:szCs w:val="18"/>
                <w:color w:val="auto"/>
                <w:w w:val="97"/>
              </w:rPr>
              <w:t>. Shares offered in this prospectus will be entitled to receive this dividend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26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400" w:right="60"/>
        <w:spacing w:after="0" w:line="268" w:lineRule="auto"/>
        <w:rPr>
          <w:sz w:val="20"/>
          <w:szCs w:val="20"/>
          <w:color w:val="auto"/>
        </w:rPr>
      </w:pPr>
      <w:r>
        <w:rPr>
          <w:rFonts w:ascii="Arial" w:cs="Arial" w:eastAsia="Arial" w:hAnsi="Arial"/>
          <w:sz w:val="18"/>
          <w:szCs w:val="18"/>
          <w:color w:val="auto"/>
        </w:rPr>
        <w:t>We anticipate that this dividend will be paid from income generated primarily by interest earned on our investment portfolio.</w:t>
      </w:r>
    </w:p>
    <w:p>
      <w:pPr>
        <w:spacing w:after="0" w:line="172" w:lineRule="exact"/>
        <w:rPr>
          <w:sz w:val="20"/>
          <w:szCs w:val="20"/>
          <w:color w:val="auto"/>
        </w:rPr>
      </w:pPr>
    </w:p>
    <w:p>
      <w:pPr>
        <w:ind w:left="4400" w:right="80"/>
        <w:spacing w:after="0" w:line="259" w:lineRule="auto"/>
        <w:rPr>
          <w:sz w:val="20"/>
          <w:szCs w:val="20"/>
          <w:color w:val="auto"/>
        </w:rPr>
      </w:pPr>
      <w:r>
        <w:rPr>
          <w:rFonts w:ascii="Arial" w:cs="Arial" w:eastAsia="Arial" w:hAnsi="Arial"/>
          <w:sz w:val="18"/>
          <w:szCs w:val="18"/>
          <w:color w:val="auto"/>
        </w:rPr>
        <w:t>The specific tax characteristics of our distributions will be reported to stockholders after the end of the calendar year. Future quarterly dividends, if any, will be determined by our Board. See “Distributions.”</w:t>
      </w:r>
    </w:p>
    <w:p>
      <w:pPr>
        <w:spacing w:after="0" w:line="181"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To maintain our tax treatment as a RIC, we must make certain distributions. See “Material U.S.</w:t>
      </w:r>
    </w:p>
    <w:p>
      <w:pPr>
        <w:spacing w:after="0" w:line="38"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Federal Income Tax Considerations —Regulated Investment Company Classification.”</w:t>
      </w:r>
    </w:p>
    <w:p>
      <w:pPr>
        <w:spacing w:after="0" w:line="3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262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Taxation</w:t>
            </w:r>
          </w:p>
        </w:tc>
        <w:tc>
          <w:tcPr>
            <w:tcW w:w="884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color w:val="auto"/>
                <w:w w:val="89"/>
              </w:rPr>
              <w:t>We have elected to be treated as a RIC for U.S. federal income tax purposes. Our status as a RIC</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2"/>
              </w:rPr>
              <w:t>will enable us to deduct qualifying distributions to our stockholders, so that we will be subject to</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1"/>
              </w:rPr>
              <w:t>corporate-level U.S. federal income taxation only in respect of earnings that we retain and do not</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distribute.</w:t>
            </w:r>
          </w:p>
        </w:tc>
      </w:tr>
      <w:tr>
        <w:trPr>
          <w:trHeight w:val="412"/>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0"/>
              </w:rPr>
              <w:t>To maintain our status as a RIC and to avoid being subject to corporate-level U.S. federal income</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taxation on our earnings, we must, among other things:</w:t>
            </w:r>
          </w:p>
        </w:tc>
      </w:tr>
      <w:tr>
        <w:trPr>
          <w:trHeight w:val="297"/>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291"/>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1"/>
              </w:rPr>
              <w:t>• derive in each taxable year at least 90% of our gross income from dividends, interest, gains</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4"/>
              </w:rPr>
              <w:t>from the sale or other disposition of stock or securities and other specified categories of</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investment income; and</w:t>
            </w:r>
          </w:p>
        </w:tc>
      </w:tr>
      <w:tr>
        <w:trPr>
          <w:trHeight w:val="297"/>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 maintain diversified holdings.</w:t>
            </w:r>
          </w:p>
        </w:tc>
      </w:tr>
      <w:tr>
        <w:trPr>
          <w:trHeight w:val="412"/>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 for</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89"/>
              </w:rPr>
              <w:t>tax purposes equal to at least 90% of our investment company taxable income and net tax-exempt</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income for that taxable year.</w:t>
            </w:r>
          </w:p>
        </w:tc>
      </w:tr>
      <w:tr>
        <w:trPr>
          <w:trHeight w:val="412"/>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7"/>
              </w:rPr>
              <w:t>As a RIC, we generally will not be subject to corporate-level U.S. federal income tax on our</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3"/>
              </w:rPr>
              <w:t>investment company taxable income and net capital gains that we distribute to stockholders. If</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6"/>
              </w:rPr>
              <w:t>we fail to distribute our investment company taxable income or net capital gains on a timely</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1"/>
              </w:rPr>
              <w:t>basis, we will be subject to a nondeductible 4% U.S. federal excise tax. We may choose to carry</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2"/>
              </w:rPr>
              <w:t>forward investment company taxable income in excess of current year distributions into the next</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1"/>
              </w:rPr>
              <w:t>tax year and pay a 4% excise tax on such income. Any carryover of investment company taxable</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2"/>
              </w:rPr>
              <w:t>income or net capital gains must be timely declared and distributed as a dividend in the taxable</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5"/>
              </w:rPr>
              <w:t>year following the taxable year in which the income or gains were earned. See “Distributions”</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and “Material U.S. Federal Income Tax Considerations.”</w:t>
            </w:r>
          </w:p>
        </w:tc>
      </w:tr>
      <w:tr>
        <w:trPr>
          <w:trHeight w:val="412"/>
        </w:trPr>
        <w:tc>
          <w:tcPr>
            <w:tcW w:w="2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Leverage</w:t>
            </w: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 to</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2"/>
              </w:rPr>
              <w:t>finance a portion of our investments. As a result, we are exposed to the risks of leverage, which</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may be considered a speculative investment technique.</w:t>
            </w:r>
          </w:p>
        </w:tc>
      </w:tr>
      <w:tr>
        <w:trPr>
          <w:trHeight w:val="412"/>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89"/>
              </w:rPr>
              <w:t>Leverage increases the potential for gain and loss on amounts invested and, as a result, increases</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2"/>
              </w:rPr>
              <w:t>the risks associated with investing in our securities. With certain limited exceptions, we currently</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1"/>
              </w:rPr>
              <w:t>are only allowed to borrow amounts, including by issuing debt securities, or issue preferred stock</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2"/>
              </w:rPr>
              <w:t>where our asset coverage, as defined in the 1940 Act, equals at least 200% after the borrowing.</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0"/>
              </w:rPr>
              <w:t>The costs associated with our borrowings, including any increase in the management fee payable</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to the Adviser, are borne by our stockholders. See “Regulation.”</w:t>
            </w:r>
          </w:p>
        </w:tc>
      </w:tr>
      <w:tr>
        <w:trPr>
          <w:trHeight w:val="161"/>
        </w:trPr>
        <w:tc>
          <w:tcPr>
            <w:tcW w:w="2620" w:type="dxa"/>
            <w:vAlign w:val="bottom"/>
            <w:tcBorders>
              <w:left w:val="single" w:sz="8" w:color="auto"/>
              <w:bottom w:val="single" w:sz="8" w:color="auto"/>
            </w:tcBorders>
          </w:tcPr>
          <w:p>
            <w:pPr>
              <w:spacing w:after="0"/>
              <w:rPr>
                <w:sz w:val="13"/>
                <w:szCs w:val="13"/>
                <w:color w:val="auto"/>
              </w:rPr>
            </w:pPr>
          </w:p>
        </w:tc>
        <w:tc>
          <w:tcPr>
            <w:tcW w:w="8840" w:type="dxa"/>
            <w:vAlign w:val="bottom"/>
            <w:tcBorders>
              <w:bottom w:val="single" w:sz="8" w:color="auto"/>
              <w:right w:val="single" w:sz="8" w:color="auto"/>
            </w:tcBorders>
          </w:tcPr>
          <w:p>
            <w:pPr>
              <w:spacing w:after="0"/>
              <w:rPr>
                <w:sz w:val="13"/>
                <w:szCs w:val="13"/>
                <w:color w:val="auto"/>
              </w:rPr>
            </w:pPr>
          </w:p>
        </w:tc>
      </w:tr>
      <w:tr>
        <w:trPr>
          <w:trHeight w:val="359"/>
        </w:trPr>
        <w:tc>
          <w:tcPr>
            <w:tcW w:w="2620" w:type="dxa"/>
            <w:vAlign w:val="bottom"/>
          </w:tcPr>
          <w:p>
            <w:pPr>
              <w:spacing w:after="0"/>
              <w:rPr>
                <w:sz w:val="24"/>
                <w:szCs w:val="24"/>
                <w:color w:val="auto"/>
              </w:rPr>
            </w:pPr>
          </w:p>
        </w:tc>
        <w:tc>
          <w:tcPr>
            <w:tcW w:w="8840" w:type="dxa"/>
            <w:vAlign w:val="bottom"/>
          </w:tcPr>
          <w:p>
            <w:pPr>
              <w:ind w:left="300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01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55010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7"/>
              </w:rPr>
              <w:t>As of September 30, 2013 and December 31, 2012, our asset coverage was 265.9% and 244.6%,</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8"/>
              </w:rPr>
              <w:t>respectively. Following this IPO and the repayment of indebtedness as contemplated under “Use</w:t>
            </w:r>
          </w:p>
        </w:tc>
      </w:tr>
      <w:tr>
        <w:trPr>
          <w:trHeight w:val="216"/>
        </w:trPr>
        <w:tc>
          <w:tcPr>
            <w:tcW w:w="3100" w:type="dxa"/>
            <w:vAlign w:val="bottom"/>
          </w:tcPr>
          <w:p>
            <w:pPr>
              <w:spacing w:after="0"/>
              <w:rPr>
                <w:sz w:val="18"/>
                <w:szCs w:val="18"/>
                <w:color w:val="auto"/>
              </w:rPr>
            </w:pPr>
          </w:p>
        </w:tc>
        <w:tc>
          <w:tcPr>
            <w:tcW w:w="5900" w:type="dxa"/>
            <w:vAlign w:val="bottom"/>
          </w:tcPr>
          <w:p>
            <w:pPr>
              <w:ind w:left="1100"/>
              <w:spacing w:after="0"/>
              <w:rPr>
                <w:sz w:val="20"/>
                <w:szCs w:val="20"/>
                <w:color w:val="auto"/>
              </w:rPr>
            </w:pPr>
            <w:r>
              <w:rPr>
                <w:rFonts w:ascii="Arial" w:cs="Arial" w:eastAsia="Arial" w:hAnsi="Arial"/>
                <w:sz w:val="18"/>
                <w:szCs w:val="18"/>
                <w:color w:val="auto"/>
                <w:w w:val="97"/>
              </w:rPr>
              <w:t>of Proceeds,” and based on the value of our total assets as of</w:t>
            </w:r>
          </w:p>
        </w:tc>
        <w:tc>
          <w:tcPr>
            <w:tcW w:w="2040" w:type="dxa"/>
            <w:vAlign w:val="bottom"/>
          </w:tcPr>
          <w:p>
            <w:pPr>
              <w:ind w:left="540"/>
              <w:spacing w:after="0"/>
              <w:rPr>
                <w:sz w:val="20"/>
                <w:szCs w:val="20"/>
                <w:color w:val="auto"/>
              </w:rPr>
            </w:pPr>
            <w:r>
              <w:rPr>
                <w:rFonts w:ascii="Arial" w:cs="Arial" w:eastAsia="Arial" w:hAnsi="Arial"/>
                <w:sz w:val="18"/>
                <w:szCs w:val="18"/>
                <w:color w:val="auto"/>
                <w:w w:val="86"/>
              </w:rPr>
              <w:t>, we expect our asset</w:t>
            </w:r>
          </w:p>
        </w:tc>
      </w:tr>
      <w:tr>
        <w:trPr>
          <w:trHeight w:val="222"/>
        </w:trPr>
        <w:tc>
          <w:tcPr>
            <w:tcW w:w="3100" w:type="dxa"/>
            <w:vAlign w:val="bottom"/>
          </w:tcPr>
          <w:p>
            <w:pPr>
              <w:spacing w:after="0"/>
              <w:rPr>
                <w:sz w:val="19"/>
                <w:szCs w:val="19"/>
                <w:color w:val="auto"/>
              </w:rPr>
            </w:pPr>
          </w:p>
        </w:tc>
        <w:tc>
          <w:tcPr>
            <w:tcW w:w="5900" w:type="dxa"/>
            <w:vAlign w:val="bottom"/>
          </w:tcPr>
          <w:p>
            <w:pPr>
              <w:ind w:left="1100"/>
              <w:spacing w:after="0"/>
              <w:rPr>
                <w:sz w:val="20"/>
                <w:szCs w:val="20"/>
                <w:color w:val="auto"/>
              </w:rPr>
            </w:pPr>
            <w:r>
              <w:rPr>
                <w:rFonts w:ascii="Arial" w:cs="Arial" w:eastAsia="Arial" w:hAnsi="Arial"/>
                <w:sz w:val="18"/>
                <w:szCs w:val="18"/>
                <w:color w:val="auto"/>
              </w:rPr>
              <w:t>coverage ratio to be approximately   %.</w:t>
            </w:r>
          </w:p>
        </w:tc>
        <w:tc>
          <w:tcPr>
            <w:tcW w:w="2040" w:type="dxa"/>
            <w:vAlign w:val="bottom"/>
          </w:tcPr>
          <w:p>
            <w:pPr>
              <w:spacing w:after="0"/>
              <w:rPr>
                <w:sz w:val="19"/>
                <w:szCs w:val="19"/>
                <w:color w:val="auto"/>
              </w:rPr>
            </w:pPr>
          </w:p>
        </w:tc>
      </w:tr>
      <w:tr>
        <w:trPr>
          <w:trHeight w:val="412"/>
        </w:trPr>
        <w:tc>
          <w:tcPr>
            <w:tcW w:w="3100" w:type="dxa"/>
            <w:vAlign w:val="bottom"/>
          </w:tcPr>
          <w:p>
            <w:pPr>
              <w:spacing w:after="0"/>
              <w:rPr>
                <w:sz w:val="20"/>
                <w:szCs w:val="20"/>
                <w:color w:val="auto"/>
              </w:rPr>
            </w:pPr>
            <w:r>
              <w:rPr>
                <w:rFonts w:ascii="Arial" w:cs="Arial" w:eastAsia="Arial" w:hAnsi="Arial"/>
                <w:sz w:val="18"/>
                <w:szCs w:val="18"/>
                <w:color w:val="auto"/>
              </w:rPr>
              <w:t>Dividend Reinvestment Plan</w:t>
            </w: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6"/>
              </w:rPr>
              <w:t>We have adopted a dividend reinvestment plan for our stockholders, which is an “opt out”</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0"/>
              </w:rPr>
              <w:t>dividend reinvestment plan. Under this plan, if we declare a cash dividend or other distribution,</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1"/>
              </w:rPr>
              <w:t>our stockholders who have not elected to “opt out” of our dividend reinvestment plan will have</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0"/>
              </w:rPr>
              <w:t>their cash distribution automatically reinvested in additional shares of our common stock, rather</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4"/>
              </w:rPr>
              <w:t>than receiving the cash distribution. If a stockholder elects to “opt out”, that stockholder will</w:t>
            </w:r>
          </w:p>
        </w:tc>
      </w:tr>
      <w:tr>
        <w:trPr>
          <w:trHeight w:val="222"/>
        </w:trPr>
        <w:tc>
          <w:tcPr>
            <w:tcW w:w="3100" w:type="dxa"/>
            <w:vAlign w:val="bottom"/>
          </w:tcPr>
          <w:p>
            <w:pPr>
              <w:spacing w:after="0"/>
              <w:rPr>
                <w:sz w:val="19"/>
                <w:szCs w:val="19"/>
                <w:color w:val="auto"/>
              </w:rPr>
            </w:pPr>
          </w:p>
        </w:tc>
        <w:tc>
          <w:tcPr>
            <w:tcW w:w="5900" w:type="dxa"/>
            <w:vAlign w:val="bottom"/>
          </w:tcPr>
          <w:p>
            <w:pPr>
              <w:ind w:left="1100"/>
              <w:spacing w:after="0"/>
              <w:rPr>
                <w:sz w:val="20"/>
                <w:szCs w:val="20"/>
                <w:color w:val="auto"/>
              </w:rPr>
            </w:pPr>
            <w:r>
              <w:rPr>
                <w:rFonts w:ascii="Arial" w:cs="Arial" w:eastAsia="Arial" w:hAnsi="Arial"/>
                <w:sz w:val="18"/>
                <w:szCs w:val="18"/>
                <w:color w:val="auto"/>
              </w:rPr>
              <w:t>receive cash dividends or other distributions.</w:t>
            </w:r>
          </w:p>
        </w:tc>
        <w:tc>
          <w:tcPr>
            <w:tcW w:w="2040" w:type="dxa"/>
            <w:vAlign w:val="bottom"/>
          </w:tcPr>
          <w:p>
            <w:pPr>
              <w:spacing w:after="0"/>
              <w:rPr>
                <w:sz w:val="19"/>
                <w:szCs w:val="19"/>
                <w:color w:val="auto"/>
              </w:rPr>
            </w:pPr>
          </w:p>
        </w:tc>
      </w:tr>
      <w:tr>
        <w:trPr>
          <w:trHeight w:val="412"/>
        </w:trPr>
        <w:tc>
          <w:tcPr>
            <w:tcW w:w="3100" w:type="dxa"/>
            <w:vAlign w:val="bottom"/>
          </w:tcPr>
          <w:p>
            <w:pPr>
              <w:spacing w:after="0"/>
              <w:rPr>
                <w:sz w:val="24"/>
                <w:szCs w:val="24"/>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6"/>
              </w:rPr>
              <w:t>We will determine the number of shares to be issued to a stockholder under the dividend</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9"/>
              </w:rPr>
              <w:t>reinvestment plan by dividing the total dollar amount of the dividend payable to such stockholder</w:t>
            </w:r>
          </w:p>
        </w:tc>
      </w:tr>
      <w:tr>
        <w:trPr>
          <w:trHeight w:val="222"/>
        </w:trPr>
        <w:tc>
          <w:tcPr>
            <w:tcW w:w="3100" w:type="dxa"/>
            <w:vAlign w:val="bottom"/>
          </w:tcPr>
          <w:p>
            <w:pPr>
              <w:spacing w:after="0"/>
              <w:rPr>
                <w:sz w:val="19"/>
                <w:szCs w:val="19"/>
                <w:color w:val="auto"/>
              </w:rPr>
            </w:pPr>
          </w:p>
        </w:tc>
        <w:tc>
          <w:tcPr>
            <w:tcW w:w="5900" w:type="dxa"/>
            <w:vAlign w:val="bottom"/>
          </w:tcPr>
          <w:p>
            <w:pPr>
              <w:ind w:left="1100"/>
              <w:spacing w:after="0"/>
              <w:rPr>
                <w:sz w:val="20"/>
                <w:szCs w:val="20"/>
                <w:color w:val="auto"/>
              </w:rPr>
            </w:pPr>
            <w:r>
              <w:rPr>
                <w:rFonts w:ascii="Arial" w:cs="Arial" w:eastAsia="Arial" w:hAnsi="Arial"/>
                <w:sz w:val="18"/>
                <w:szCs w:val="18"/>
                <w:color w:val="auto"/>
              </w:rPr>
              <w:t>by the market price of our common stock.</w:t>
            </w:r>
          </w:p>
        </w:tc>
        <w:tc>
          <w:tcPr>
            <w:tcW w:w="2040" w:type="dxa"/>
            <w:vAlign w:val="bottom"/>
          </w:tcPr>
          <w:p>
            <w:pPr>
              <w:spacing w:after="0"/>
              <w:rPr>
                <w:sz w:val="19"/>
                <w:szCs w:val="19"/>
                <w:color w:val="auto"/>
              </w:rPr>
            </w:pPr>
          </w:p>
        </w:tc>
      </w:tr>
      <w:tr>
        <w:trPr>
          <w:trHeight w:val="412"/>
        </w:trPr>
        <w:tc>
          <w:tcPr>
            <w:tcW w:w="3100" w:type="dxa"/>
            <w:vAlign w:val="bottom"/>
          </w:tcPr>
          <w:p>
            <w:pPr>
              <w:spacing w:after="0"/>
              <w:rPr>
                <w:sz w:val="24"/>
                <w:szCs w:val="24"/>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3"/>
              </w:rPr>
              <w:t>Stockholders who receive dividends and other distributions in the form of shares of common</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8"/>
              </w:rPr>
              <w:t>stock generally are subject to the same U.S. federal tax consequences as stockholders who elect</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8"/>
              </w:rPr>
              <w:t>to receive their distributions in cash; however, since their cash dividends will be reinvested, those</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8"/>
              </w:rPr>
              <w:t>stockholders will not receive cash with which to pay any applicable taxes on reinvested</w:t>
            </w:r>
          </w:p>
        </w:tc>
      </w:tr>
      <w:tr>
        <w:trPr>
          <w:trHeight w:val="222"/>
        </w:trPr>
        <w:tc>
          <w:tcPr>
            <w:tcW w:w="3100" w:type="dxa"/>
            <w:vAlign w:val="bottom"/>
          </w:tcPr>
          <w:p>
            <w:pPr>
              <w:spacing w:after="0"/>
              <w:rPr>
                <w:sz w:val="19"/>
                <w:szCs w:val="19"/>
                <w:color w:val="auto"/>
              </w:rPr>
            </w:pPr>
          </w:p>
        </w:tc>
        <w:tc>
          <w:tcPr>
            <w:tcW w:w="5900" w:type="dxa"/>
            <w:vAlign w:val="bottom"/>
          </w:tcPr>
          <w:p>
            <w:pPr>
              <w:ind w:left="1100"/>
              <w:spacing w:after="0"/>
              <w:rPr>
                <w:sz w:val="20"/>
                <w:szCs w:val="20"/>
                <w:color w:val="auto"/>
              </w:rPr>
            </w:pPr>
            <w:r>
              <w:rPr>
                <w:rFonts w:ascii="Arial" w:cs="Arial" w:eastAsia="Arial" w:hAnsi="Arial"/>
                <w:sz w:val="18"/>
                <w:szCs w:val="18"/>
                <w:color w:val="auto"/>
              </w:rPr>
              <w:t>dividends. See “Dividend Reinvestment Plan.”</w:t>
            </w:r>
          </w:p>
        </w:tc>
        <w:tc>
          <w:tcPr>
            <w:tcW w:w="2040" w:type="dxa"/>
            <w:vAlign w:val="bottom"/>
          </w:tcPr>
          <w:p>
            <w:pPr>
              <w:spacing w:after="0"/>
              <w:rPr>
                <w:sz w:val="19"/>
                <w:szCs w:val="19"/>
                <w:color w:val="auto"/>
              </w:rPr>
            </w:pPr>
          </w:p>
        </w:tc>
      </w:tr>
      <w:tr>
        <w:trPr>
          <w:trHeight w:val="412"/>
        </w:trPr>
        <w:tc>
          <w:tcPr>
            <w:tcW w:w="3100" w:type="dxa"/>
            <w:vAlign w:val="bottom"/>
          </w:tcPr>
          <w:p>
            <w:pPr>
              <w:spacing w:after="0"/>
              <w:rPr>
                <w:sz w:val="20"/>
                <w:szCs w:val="20"/>
                <w:color w:val="auto"/>
              </w:rPr>
            </w:pPr>
            <w:r>
              <w:rPr>
                <w:rFonts w:ascii="Arial" w:cs="Arial" w:eastAsia="Arial" w:hAnsi="Arial"/>
                <w:sz w:val="18"/>
                <w:szCs w:val="18"/>
                <w:color w:val="auto"/>
              </w:rPr>
              <w:t>Investment Advisory Fees</w:t>
            </w: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9"/>
              </w:rPr>
              <w:t>We pay the Adviser a fee for its services under an advisory agreement, which we refer to as the</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8"/>
              </w:rPr>
              <w:t>Investment Advisory Agreement, consisting of two components—a base management fee, which</w:t>
            </w:r>
          </w:p>
        </w:tc>
      </w:tr>
      <w:tr>
        <w:trPr>
          <w:trHeight w:val="222"/>
        </w:trPr>
        <w:tc>
          <w:tcPr>
            <w:tcW w:w="3100" w:type="dxa"/>
            <w:vAlign w:val="bottom"/>
          </w:tcPr>
          <w:p>
            <w:pPr>
              <w:spacing w:after="0"/>
              <w:rPr>
                <w:sz w:val="19"/>
                <w:szCs w:val="19"/>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8"/>
              </w:rPr>
              <w:t>we refer to as the Management Fee, and an incentive fee, which we refer to as the Incentive Fee.</w:t>
            </w:r>
          </w:p>
        </w:tc>
      </w:tr>
    </w:tbl>
    <w:p>
      <w:pPr>
        <w:spacing w:after="0" w:line="196" w:lineRule="exact"/>
        <w:rPr>
          <w:sz w:val="20"/>
          <w:szCs w:val="20"/>
          <w:color w:val="auto"/>
        </w:rPr>
      </w:pPr>
    </w:p>
    <w:p>
      <w:pPr>
        <w:ind w:left="4400" w:right="320"/>
        <w:spacing w:after="0" w:line="268" w:lineRule="auto"/>
        <w:rPr>
          <w:sz w:val="20"/>
          <w:szCs w:val="20"/>
          <w:color w:val="auto"/>
        </w:rPr>
      </w:pPr>
      <w:r>
        <w:rPr>
          <w:rFonts w:ascii="Arial" w:cs="Arial" w:eastAsia="Arial" w:hAnsi="Arial"/>
          <w:sz w:val="18"/>
          <w:szCs w:val="18"/>
          <w:color w:val="auto"/>
        </w:rPr>
        <w:t>The Management Fee paid to the Adviser is calculated at an annual rate of 1.5% of our gross assets.</w:t>
      </w:r>
    </w:p>
    <w:p>
      <w:pPr>
        <w:spacing w:after="0" w:line="1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Incentive Fee consists of two parts.</w:t>
      </w:r>
    </w:p>
    <w:p>
      <w:pPr>
        <w:spacing w:after="0" w:line="90" w:lineRule="exact"/>
        <w:rPr>
          <w:sz w:val="20"/>
          <w:szCs w:val="20"/>
          <w:color w:val="auto"/>
        </w:rPr>
      </w:pPr>
    </w:p>
    <w:p>
      <w:pPr>
        <w:ind w:left="4820" w:hanging="160"/>
        <w:spacing w:after="0" w:line="298" w:lineRule="auto"/>
        <w:tabs>
          <w:tab w:leader="none" w:pos="4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first part is calculated and payable quarterly in arrears and equals 17.5% of our “pre-Incentive Fee net investment income” for the immediately preceding quarter (an increase from 15% prior to this IPO and for the quarter in which this IPO is completed), subject to a preferred return, or “hurdle,” and a “catch-up” feature.</w:t>
      </w:r>
    </w:p>
    <w:p>
      <w:pPr>
        <w:spacing w:after="0" w:line="31" w:lineRule="exact"/>
        <w:rPr>
          <w:rFonts w:ascii="Arial" w:cs="Arial" w:eastAsia="Arial" w:hAnsi="Arial"/>
          <w:sz w:val="16"/>
          <w:szCs w:val="16"/>
          <w:color w:val="auto"/>
        </w:rPr>
      </w:pPr>
    </w:p>
    <w:p>
      <w:pPr>
        <w:ind w:left="4820" w:right="40" w:hanging="160"/>
        <w:spacing w:after="0" w:line="298" w:lineRule="auto"/>
        <w:tabs>
          <w:tab w:leader="none" w:pos="4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second part is determined and payable in arrears as of the end of each calendar year in an amount equal to a weighted percentage of our realized capital gains, if any, on a cumulative basis as between our inception to the end of the quarter in which this IPO is completed at 15% and thereafter at 17.5%, less</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14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w w:val="91"/>
              </w:rPr>
              <w:t>cumulative realized capital losses, unrealized capital depreciation and net of the aggregate</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amount of any previously paid capital gain Incentive Fee for prior periods.</w:t>
            </w:r>
          </w:p>
        </w:tc>
      </w:tr>
      <w:tr>
        <w:trPr>
          <w:trHeight w:val="291"/>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See “Management and Other Agreements—Investment Advisory Agreement; Administration</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Agreement; License Agreement.”</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Administration Agreement</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We reimburse the Adviser under an administration agreement, which we refer to as the</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Administration Agreement, for certain administrative services to us.</w:t>
            </w:r>
          </w:p>
        </w:tc>
      </w:tr>
      <w:tr>
        <w:trPr>
          <w:trHeight w:val="412"/>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8"/>
              </w:rPr>
              <w:t>These services include providing office space, equipment and office services, maintaining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financial records, preparing reports to stockholders and reports filed with the SEC, and managing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the payment of expenses and the performance of administrative and professional services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rendered by others. In addition, the Adviser may delegate its duties under the Administration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8"/>
              </w:rPr>
              <w:t>Agreement to affiliates or third parties and we will pay or reimburse the Adviser expenses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incurred by any of those affiliates or third parties for work done on our behalf. See “Management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and Other Agreements—Investment Advisory Agreement; Administration Agreement; License</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Agreement.”</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License Arrangements</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We have entered into a license agreement with an affiliate of TPG, under which the affiliate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granted us a non-exclusive license to use the TPG name and logo, for a nominal fee, for so long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as the Adviser or one of its affiliates remains our investment adviser. Other than with respect to</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this limited license, we have no legal right to the “TPG” name or logo.</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 at a Discount</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Shares of closed-end investment companies, including BDCs, frequently trade at a discount to</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their net asset value. We are not generally able to issue and sell our common stock at a price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89"/>
              </w:rPr>
              <w:t>below our net asset value per share unless we have stockholder approval. The risk that our shares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may trade at a discount to our net asset value is separate and distinct from the risk that our net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asset value per share may decline. We cannot predict whether our shares will trade above, at or</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below net asset value. See “Risk Factors.”</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Custodian, Transfer and Dividend Paying Agent and</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State Street Bank and Trust Company serves as our custodian and will serve as our transfer and</w:t>
            </w:r>
          </w:p>
        </w:tc>
      </w:tr>
      <w:tr>
        <w:trPr>
          <w:trHeight w:val="216"/>
        </w:trPr>
        <w:tc>
          <w:tcPr>
            <w:tcW w:w="414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Registrar</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dividend paying agent and registrar. See “Custodian, Transfer and Dividend Paying Agent and</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Registrar.”</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Available Information</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 is a</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part, under the Securities Act. This registration statement contains additional information about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us and the shares of our common stock being offered by this prospectus. We are also required to</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file periodic reports, current reports, proxy statements and other information with the SEC. This</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information is</w:t>
            </w:r>
          </w:p>
        </w:tc>
      </w:tr>
      <w:tr>
        <w:trPr>
          <w:trHeight w:val="161"/>
        </w:trPr>
        <w:tc>
          <w:tcPr>
            <w:tcW w:w="4140" w:type="dxa"/>
            <w:vAlign w:val="bottom"/>
            <w:tcBorders>
              <w:left w:val="single" w:sz="8" w:color="auto"/>
              <w:bottom w:val="single" w:sz="8" w:color="auto"/>
            </w:tcBorders>
          </w:tcPr>
          <w:p>
            <w:pPr>
              <w:spacing w:after="0"/>
              <w:rPr>
                <w:sz w:val="13"/>
                <w:szCs w:val="13"/>
                <w:color w:val="auto"/>
              </w:rPr>
            </w:pPr>
          </w:p>
        </w:tc>
        <w:tc>
          <w:tcPr>
            <w:tcW w:w="7320" w:type="dxa"/>
            <w:vAlign w:val="bottom"/>
            <w:tcBorders>
              <w:bottom w:val="single" w:sz="8" w:color="auto"/>
              <w:right w:val="single" w:sz="8" w:color="auto"/>
            </w:tcBorders>
          </w:tcPr>
          <w:p>
            <w:pPr>
              <w:spacing w:after="0"/>
              <w:rPr>
                <w:sz w:val="13"/>
                <w:szCs w:val="13"/>
                <w:color w:val="auto"/>
              </w:rPr>
            </w:pPr>
          </w:p>
        </w:tc>
      </w:tr>
      <w:tr>
        <w:trPr>
          <w:trHeight w:val="359"/>
        </w:trPr>
        <w:tc>
          <w:tcPr>
            <w:tcW w:w="4140" w:type="dxa"/>
            <w:vAlign w:val="bottom"/>
          </w:tcPr>
          <w:p>
            <w:pPr>
              <w:spacing w:after="0"/>
              <w:rPr>
                <w:sz w:val="24"/>
                <w:szCs w:val="24"/>
                <w:color w:val="auto"/>
              </w:rPr>
            </w:pPr>
          </w:p>
        </w:tc>
        <w:tc>
          <w:tcPr>
            <w:tcW w:w="7320" w:type="dxa"/>
            <w:vAlign w:val="bottom"/>
          </w:tcPr>
          <w:p>
            <w:pPr>
              <w:ind w:left="14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6078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16078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
        <w:spacing w:after="0" w:line="306" w:lineRule="auto"/>
        <w:rPr>
          <w:sz w:val="20"/>
          <w:szCs w:val="20"/>
          <w:color w:val="auto"/>
        </w:rPr>
      </w:pPr>
      <w:r>
        <w:rPr>
          <w:rFonts w:ascii="Arial" w:cs="Arial" w:eastAsia="Arial" w:hAnsi="Arial"/>
          <w:sz w:val="16"/>
          <w:szCs w:val="16"/>
          <w:color w:val="auto"/>
        </w:rPr>
        <w:t>available at the SEC’s public reference room at 100 F Street, N.E., Washington, D.C. 20549 and on the SEC’s website at http://www.sec.gov</w:t>
      </w:r>
      <w:r>
        <w:rPr>
          <w:rFonts w:ascii="Arial" w:cs="Arial" w:eastAsia="Arial" w:hAnsi="Arial"/>
          <w:sz w:val="16"/>
          <w:szCs w:val="16"/>
          <w:i w:val="1"/>
          <w:iCs w:val="1"/>
          <w:color w:val="auto"/>
        </w:rPr>
        <w:t>.</w:t>
      </w:r>
      <w:r>
        <w:rPr>
          <w:rFonts w:ascii="Arial" w:cs="Arial" w:eastAsia="Arial" w:hAnsi="Arial"/>
          <w:sz w:val="16"/>
          <w:szCs w:val="16"/>
          <w:color w:val="auto"/>
        </w:rPr>
        <w:t xml:space="preserve"> Information on the operation of the SEC’s public reference room may be obtained by calling the SEC at 1 (800) SEC-0330.</w:t>
      </w:r>
    </w:p>
    <w:p>
      <w:pPr>
        <w:spacing w:after="0" w:line="161" w:lineRule="exact"/>
        <w:rPr>
          <w:sz w:val="20"/>
          <w:szCs w:val="20"/>
          <w:color w:val="auto"/>
        </w:rPr>
      </w:pPr>
    </w:p>
    <w:p>
      <w:pPr>
        <w:ind w:left="4400"/>
        <w:spacing w:after="0" w:line="254" w:lineRule="auto"/>
        <w:rPr>
          <w:sz w:val="20"/>
          <w:szCs w:val="20"/>
          <w:color w:val="auto"/>
        </w:rPr>
      </w:pPr>
      <w:r>
        <w:rPr>
          <w:rFonts w:ascii="Arial" w:cs="Arial" w:eastAsia="Arial" w:hAnsi="Arial"/>
          <w:sz w:val="18"/>
          <w:szCs w:val="18"/>
          <w:color w:val="auto"/>
        </w:rPr>
        <w:t xml:space="preserve">We maintain a website at http://www.tpgspecialtylending.com and make all of our periodic and current reports, proxy statements and other information available, free of charge, on or through our website. Information on our website is not incorporated into or part of this prospectus. You may also obtain such information free of charge by contacting us in writing at 345 California Street, Suite 3300, San Francisco, CA 94104, Attention: Investor Relations, or by emailing us at </w:t>
      </w:r>
      <w:r>
        <w:rPr>
          <w:rFonts w:ascii="Arial" w:cs="Arial" w:eastAsia="Arial" w:hAnsi="Arial"/>
          <w:sz w:val="18"/>
          <w:szCs w:val="18"/>
          <w:i w:val="1"/>
          <w:iCs w:val="1"/>
          <w:color w:val="auto"/>
        </w:rPr>
        <w:t xml:space="preserve">IRTSL </w:t>
      </w:r>
      <w:r>
        <w:rPr>
          <w:sz w:val="1"/>
          <w:szCs w:val="1"/>
          <w:color w:val="auto"/>
        </w:rPr>
        <w:drawing>
          <wp:inline distT="0" distB="0" distL="0" distR="0">
            <wp:extent cx="77470" cy="774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8"/>
          <w:szCs w:val="18"/>
          <w:i w:val="1"/>
          <w:iCs w:val="1"/>
          <w:color w:val="auto"/>
        </w:rPr>
        <w:t xml:space="preserve"> tpg.com</w:t>
      </w:r>
      <w:r>
        <w:rPr>
          <w:rFonts w:ascii="Arial" w:cs="Arial" w:eastAsia="Arial" w:hAnsi="Arial"/>
          <w:sz w:val="18"/>
          <w:szCs w:val="18"/>
          <w:color w:val="auto"/>
        </w:rPr>
        <w:t>.</w:t>
      </w:r>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24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784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55784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The following table is intended to assist you in understanding the costs and expenses that you will bear directly or indirectly.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“us,” “the Company” or “TPG Specialty Lending,” or that “we” will pay fees or expenses, you will indirectly bear these fees or expenses as an investor in TPG Specialty Lending.</w:t>
      </w:r>
    </w:p>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Sales load (as a percentage of offering price)</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Arial" w:cs="Arial" w:eastAsia="Arial" w:hAnsi="Arial"/>
                <w:sz w:val="18"/>
                <w:szCs w:val="18"/>
                <w:color w:val="auto"/>
              </w:rPr>
              <w:t>Dividend reinvestment plan expenses</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 transaction expenses (as a percentage of offering price)</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Annual expenses (as a percentage of net assets attributable to common stock):</w:t>
            </w: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400" w:type="dxa"/>
            <w:vAlign w:val="bottom"/>
            <w:tcBorders>
              <w:bottom w:val="single" w:sz="8" w:color="auto"/>
            </w:tcBorders>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annual expenses</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9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20" w:right="220" w:hanging="423"/>
        <w:spacing w:after="0" w:line="268"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sales load (underwriting discount and commission) with respect to the shares of our common stock sold in this offering, which is a one-time fee paid to the underwriters, is the only sales load paid in connection with this offering.</w:t>
      </w:r>
    </w:p>
    <w:p>
      <w:pPr>
        <w:spacing w:after="0" w:line="51" w:lineRule="exact"/>
        <w:rPr>
          <w:sz w:val="20"/>
          <w:szCs w:val="20"/>
          <w:color w:val="auto"/>
        </w:rPr>
      </w:pPr>
    </w:p>
    <w:p>
      <w:pPr>
        <w:ind w:left="200"/>
        <w:spacing w:after="0"/>
        <w:tabs>
          <w:tab w:leader="none" w:pos="600" w:val="left"/>
          <w:tab w:leader="none" w:pos="5820" w:val="left"/>
        </w:tabs>
        <w:rPr>
          <w:sz w:val="20"/>
          <w:szCs w:val="20"/>
          <w:color w:val="auto"/>
        </w:rPr>
      </w:pPr>
      <w:r>
        <w:rPr>
          <w:rFonts w:ascii="Arial" w:cs="Arial" w:eastAsia="Arial" w:hAnsi="Arial"/>
          <w:sz w:val="18"/>
          <w:szCs w:val="18"/>
          <w:color w:val="auto"/>
        </w:rPr>
        <w:t>(2)</w:t>
        <w:tab/>
        <w:t>Amount reflects estimated offering expenses of approximately $</w:t>
      </w:r>
      <w:r>
        <w:rPr>
          <w:sz w:val="20"/>
          <w:szCs w:val="20"/>
          <w:color w:val="auto"/>
        </w:rPr>
        <w:tab/>
      </w:r>
      <w:r>
        <w:rPr>
          <w:rFonts w:ascii="Arial" w:cs="Arial" w:eastAsia="Arial" w:hAnsi="Arial"/>
          <w:sz w:val="18"/>
          <w:szCs w:val="18"/>
          <w:color w:val="auto"/>
        </w:rPr>
        <w:t>.</w:t>
      </w:r>
    </w:p>
    <w:p>
      <w:pPr>
        <w:spacing w:after="0" w:line="90" w:lineRule="exact"/>
        <w:rPr>
          <w:sz w:val="20"/>
          <w:szCs w:val="20"/>
          <w:color w:val="auto"/>
        </w:rPr>
      </w:pPr>
    </w:p>
    <w:p>
      <w:pPr>
        <w:ind w:left="620" w:right="620" w:hanging="423"/>
        <w:spacing w:after="0" w:line="268"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spacing w:after="0" w:line="50" w:lineRule="exact"/>
        <w:rPr>
          <w:rFonts w:ascii="Arial" w:cs="Arial" w:eastAsia="Arial" w:hAnsi="Arial"/>
          <w:sz w:val="18"/>
          <w:szCs w:val="18"/>
          <w:color w:val="auto"/>
        </w:rPr>
      </w:pPr>
    </w:p>
    <w:p>
      <w:pPr>
        <w:ind w:left="620" w:right="240" w:hanging="423"/>
        <w:spacing w:after="0" w:line="256"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Management Fee is 1.5% of our gross assets (including cash and cash equivalents and assets purchased with borrowed amounts). We may from time to time decide it is appropriate to change the terms of the agreement. Under the 1940 Act, any material change to our Investment Advisory Agreement must be submitted to stockholders for approval. See “Management and Other Agreements—Investment Advisory Agreement; Administration Agreement; License Agreement.”</w:t>
      </w:r>
    </w:p>
    <w:p>
      <w:pPr>
        <w:spacing w:after="0" w:line="62" w:lineRule="exact"/>
        <w:rPr>
          <w:sz w:val="20"/>
          <w:szCs w:val="20"/>
          <w:color w:val="auto"/>
        </w:rPr>
      </w:pPr>
    </w:p>
    <w:p>
      <w:pPr>
        <w:ind w:left="620" w:right="120"/>
        <w:spacing w:after="0" w:line="305" w:lineRule="auto"/>
        <w:rPr>
          <w:sz w:val="20"/>
          <w:szCs w:val="20"/>
          <w:color w:val="auto"/>
        </w:rPr>
      </w:pPr>
      <w:r>
        <w:rPr>
          <w:rFonts w:ascii="Arial" w:cs="Arial" w:eastAsia="Arial" w:hAnsi="Arial"/>
          <w:sz w:val="15"/>
          <w:szCs w:val="15"/>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w:t>
      </w:r>
    </w:p>
    <w:p>
      <w:pPr>
        <w:ind w:left="620" w:right="20"/>
        <w:spacing w:after="0" w:line="261" w:lineRule="auto"/>
        <w:rPr>
          <w:sz w:val="20"/>
          <w:szCs w:val="20"/>
          <w:color w:val="auto"/>
        </w:rPr>
      </w:pPr>
      <w:r>
        <w:rPr>
          <w:rFonts w:ascii="Arial" w:cs="Arial" w:eastAsia="Arial" w:hAnsi="Arial"/>
          <w:sz w:val="18"/>
          <w:szCs w:val="18"/>
          <w:color w:val="auto"/>
        </w:rPr>
        <w:t>and cash equivalents and assets purchased with borrowed money) and net assets pro forma as of after giving effect to this offering and the expected repayment of indebtedness, as discussed in more detail under “Use of Proceeds.”</w:t>
      </w:r>
    </w:p>
    <w:p>
      <w:pPr>
        <w:spacing w:after="0" w:line="57" w:lineRule="exact"/>
        <w:rPr>
          <w:sz w:val="20"/>
          <w:szCs w:val="20"/>
          <w:color w:val="auto"/>
        </w:rPr>
      </w:pPr>
    </w:p>
    <w:p>
      <w:pPr>
        <w:ind w:left="620" w:right="60" w:hanging="423"/>
        <w:spacing w:after="0" w:line="298" w:lineRule="auto"/>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have capital gains and interest income that could result in the payment of an Incentive Fee to the Adviser in the first year after completion of this offering. The Incentive Fee payable in the example above is based upon our actual results for the year ended December 31, 2013 as if they had occurred following the IPO, and assumes that the Incentive Fee is 17.5% for all relevant periods. However, the Incentive Fee payable to the Adviser is based on our performance and will not be paid unless we achieve certain goals.</w:t>
      </w: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09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51409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“Management and Other Agreements—Payment of Our Expenses.”</w:t>
      </w:r>
    </w:p>
    <w:p>
      <w:pPr>
        <w:spacing w:after="0" w:line="90" w:lineRule="exact"/>
        <w:rPr>
          <w:sz w:val="20"/>
          <w:szCs w:val="20"/>
          <w:color w:val="auto"/>
        </w:rPr>
      </w:pPr>
    </w:p>
    <w:p>
      <w:pPr>
        <w:ind w:left="620" w:right="40" w:hanging="423"/>
        <w:spacing w:after="0" w:line="298" w:lineRule="auto"/>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Interest payments on borrowed funds represents an estimate of our annualized interest expenses under our credit facilities based on the amounts expected to be outstanding after this offering and the repayment of certain credit facility indebtedness described in “Use of Proceeds.”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31" w:lineRule="exact"/>
        <w:rPr>
          <w:rFonts w:ascii="Arial" w:cs="Arial" w:eastAsia="Arial" w:hAnsi="Arial"/>
          <w:sz w:val="16"/>
          <w:szCs w:val="16"/>
          <w:color w:val="auto"/>
        </w:rPr>
      </w:pPr>
    </w:p>
    <w:p>
      <w:pPr>
        <w:ind w:left="620" w:right="120" w:hanging="423"/>
        <w:spacing w:after="0" w:line="259"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our overhead expenses, such as payments under the Administration Agreement for certain expenses incurred by the Adviser. See “Management and Other Agreements— Investment Advisory Agreement; Administration Agreement; License Agreement.” We based these expenses on estimated amounts for the current fiscal year.</w:t>
      </w:r>
    </w:p>
    <w:p>
      <w:pPr>
        <w:spacing w:after="0" w:line="59" w:lineRule="exact"/>
        <w:rPr>
          <w:rFonts w:ascii="Arial" w:cs="Arial" w:eastAsia="Arial" w:hAnsi="Arial"/>
          <w:sz w:val="18"/>
          <w:szCs w:val="18"/>
          <w:color w:val="auto"/>
        </w:rPr>
      </w:pPr>
    </w:p>
    <w:p>
      <w:pPr>
        <w:ind w:left="620" w:hanging="42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Estimated.</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(taking into account the repayment of certain credit facility indebtedness as described in “Use of Proceeds”) and that our annual operating expenses would remain at the levels set forth in the table above. Transaction expenses are included in the following example.</w:t>
      </w:r>
    </w:p>
    <w:p>
      <w:pPr>
        <w:spacing w:after="0" w:line="14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1 year</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3 years</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9"/>
              </w:rPr>
              <w:t>10 years</w:t>
            </w:r>
          </w:p>
        </w:tc>
      </w:tr>
      <w:tr>
        <w:trPr>
          <w:trHeight w:val="188"/>
        </w:trPr>
        <w:tc>
          <w:tcPr>
            <w:tcW w:w="79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2"/>
              </w:rPr>
              <w:t>You would pay the following expenses on a $1,000 investment, assuming a 5% annual return from realized</w:t>
            </w:r>
          </w:p>
        </w:tc>
        <w:tc>
          <w:tcPr>
            <w:tcW w:w="4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gains</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bl>
    <w:p>
      <w:pPr>
        <w:spacing w:after="0" w:line="154"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if our Board authorizes and we declare a cash dividend, participants in our dividend reinvestment plan who have not otherwise elected to receive cash will receive a number of shares of our common stock, determined by dividing the total dollar amount of the dividend payable to a participant by the market price per share of our common stock at the close of trading on the valuation date for the dividend. See “Dividend Reinvestment Plan” for additional information regarding our dividend reinvestment plan.</w:t>
      </w:r>
    </w:p>
    <w:p>
      <w:pPr>
        <w:spacing w:after="0" w:line="124"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Investing in our common stock involves a number of significant risks. Before you invest in our common stock, you should be aware of various risks associated with the investment, including those described below. You should carefully consider these risk factors, together with all of the other information included in this prospectus, before you decide whether to make an investment in our common stock.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recently formed company with relatively little operating history.</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began our investing activities on July 8, 2011. As a result, we have relatively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upon at least 60 days’ written notice to the other party. The holders of a majority of our outstanding voting securities may also terminate the Investment Advisory Agreement without penalty upon not less than 60 days’ written notice.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Although we do not anticipate issuing preferred stock during the 12 months following this offering, 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1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sell our common stock, or warrants, options or rights to acquire our common stock, at a price below the then-current net asset value per share of our common stock if our Board determines that a sale is in the best interests of us and our stockholders and our stockholders approve it.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and the investors who acquire shares in the offering may thereafter experience the same type of dilution from subsequent offerings at a discount.</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may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also could expose us to losses because the portions of the securitized investments that we would typically retain tend to be those that are riskier and more apt to generate losses. See “—We may enter into collateralized loan obligations or their equivalents, which may subject us to certain structured financing risks.”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part of our business strategy, we borrow from and may in the future issue senior debt securities to banks, insurance companies and other lenders. Holders of these loans or senior securities would have fixed-dollar claims on our assets that are superior to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amount of leverage that we employ will depend on our Adviser’s and our Board’s assessment of market and other factors at the time of any proposed borrowing.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we will be able to obtain credit at all or on terms acceptable to us.</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credit facilities also impose financial and operating covenants that restrict our business activities, remedies on default and similar matters. As of November 30, 2013,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of November 30, 2013, we had approximately $372 million of outstanding indebtedness, which would have an annualized interest cost of 2.55% under the terms of our credit facilities, excluding fees (such as fees on undrawn amounts and amortization of upfront fees), to the extent the amount remains outstanding. For us to cover these annualized interest payments on indebtedness (exclusive of other fees we owe), we must achieve annual returns on our investments of at least 1.01%. Since we generally pay interest at a floating rate on our credit facilities, an increase in interest rates will generally increase our borrowing costs.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2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89"/>
              </w:rPr>
              <w:t>Assumed Return on Our Portfolio</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3"/>
              </w:rPr>
              <w:t>(net of expenses)</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13"/>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w:t>
            </w:r>
          </w:p>
        </w:tc>
        <w:tc>
          <w:tcPr>
            <w:tcW w:w="38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0%</w:t>
            </w:r>
          </w:p>
        </w:tc>
        <w:tc>
          <w:tcPr>
            <w:tcW w:w="500" w:type="dxa"/>
            <w:vAlign w:val="bottom"/>
          </w:tcPr>
          <w:p>
            <w:pPr>
              <w:spacing w:after="0"/>
              <w:rPr>
                <w:sz w:val="24"/>
                <w:szCs w:val="24"/>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rPr>
              <w:t>5%</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10%</w:t>
            </w:r>
          </w:p>
        </w:tc>
        <w:tc>
          <w:tcPr>
            <w:tcW w:w="200" w:type="dxa"/>
            <w:vAlign w:val="bottom"/>
          </w:tcPr>
          <w:p>
            <w:pPr>
              <w:spacing w:after="0"/>
              <w:rPr>
                <w:sz w:val="24"/>
                <w:szCs w:val="24"/>
                <w:color w:val="auto"/>
              </w:rPr>
            </w:pPr>
          </w:p>
        </w:tc>
      </w:tr>
      <w:tr>
        <w:trPr>
          <w:trHeight w:val="210"/>
        </w:trPr>
        <w:tc>
          <w:tcPr>
            <w:tcW w:w="37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Corresponding return to stockholder</w:t>
            </w:r>
          </w:p>
        </w:tc>
        <w:tc>
          <w:tcPr>
            <w:tcW w:w="1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257"/>
              <w:spacing w:after="0"/>
              <w:rPr>
                <w:sz w:val="20"/>
                <w:szCs w:val="20"/>
                <w:color w:val="auto"/>
              </w:rPr>
            </w:pPr>
            <w:r>
              <w:rPr>
                <w:rFonts w:ascii="Arial" w:cs="Arial" w:eastAsia="Arial" w:hAnsi="Arial"/>
                <w:sz w:val="18"/>
                <w:szCs w:val="18"/>
                <w:color w:val="auto"/>
                <w:w w:val="74"/>
              </w:rPr>
              <w:t>%</w:t>
            </w: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108"/>
        </w:trPr>
        <w:tc>
          <w:tcPr>
            <w:tcW w:w="11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8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1520" w:type="dxa"/>
            <w:vAlign w:val="bottom"/>
            <w:gridSpan w:val="4"/>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28"/>
        </w:trPr>
        <w:tc>
          <w:tcPr>
            <w:tcW w:w="1620" w:type="dxa"/>
            <w:vAlign w:val="bottom"/>
            <w:gridSpan w:val="2"/>
          </w:tcPr>
          <w:p>
            <w:pPr>
              <w:spacing w:after="0"/>
              <w:rPr>
                <w:sz w:val="20"/>
                <w:szCs w:val="20"/>
                <w:color w:val="auto"/>
              </w:rPr>
            </w:pPr>
            <w:r>
              <w:rPr>
                <w:rFonts w:ascii="Arial" w:cs="Arial" w:eastAsia="Arial" w:hAnsi="Arial"/>
                <w:sz w:val="18"/>
                <w:szCs w:val="18"/>
                <w:color w:val="auto"/>
              </w:rPr>
              <w:t>(1)   Assumes (i) $</w:t>
            </w:r>
          </w:p>
        </w:tc>
        <w:tc>
          <w:tcPr>
            <w:tcW w:w="2100" w:type="dxa"/>
            <w:vAlign w:val="bottom"/>
          </w:tcPr>
          <w:p>
            <w:pPr>
              <w:ind w:left="200"/>
              <w:spacing w:after="0"/>
              <w:rPr>
                <w:sz w:val="20"/>
                <w:szCs w:val="20"/>
                <w:color w:val="auto"/>
              </w:rPr>
            </w:pPr>
            <w:r>
              <w:rPr>
                <w:rFonts w:ascii="Arial" w:cs="Arial" w:eastAsia="Arial" w:hAnsi="Arial"/>
                <w:sz w:val="18"/>
                <w:szCs w:val="18"/>
                <w:color w:val="auto"/>
                <w:w w:val="98"/>
              </w:rPr>
              <w:t>million in investments at</w:t>
            </w:r>
          </w:p>
        </w:tc>
        <w:tc>
          <w:tcPr>
            <w:tcW w:w="1220" w:type="dxa"/>
            <w:vAlign w:val="bottom"/>
          </w:tcPr>
          <w:p>
            <w:pPr>
              <w:ind w:left="600"/>
              <w:spacing w:after="0"/>
              <w:rPr>
                <w:sz w:val="20"/>
                <w:szCs w:val="20"/>
                <w:color w:val="auto"/>
              </w:rPr>
            </w:pPr>
            <w:r>
              <w:rPr>
                <w:rFonts w:ascii="Arial" w:cs="Arial" w:eastAsia="Arial" w:hAnsi="Arial"/>
                <w:sz w:val="18"/>
                <w:szCs w:val="18"/>
                <w:color w:val="auto"/>
              </w:rPr>
              <w:t>, (ii) $</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w w:val="95"/>
              </w:rPr>
              <w:t>million in outstanding indebtedness at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 (iii) $</w:t>
            </w:r>
          </w:p>
        </w:tc>
        <w:tc>
          <w:tcPr>
            <w:tcW w:w="1520" w:type="dxa"/>
            <w:vAlign w:val="bottom"/>
            <w:gridSpan w:val="4"/>
          </w:tcPr>
          <w:p>
            <w:pPr>
              <w:ind w:left="120"/>
              <w:spacing w:after="0"/>
              <w:rPr>
                <w:sz w:val="20"/>
                <w:szCs w:val="20"/>
                <w:color w:val="auto"/>
              </w:rPr>
            </w:pPr>
            <w:r>
              <w:rPr>
                <w:rFonts w:ascii="Arial" w:cs="Arial" w:eastAsia="Arial" w:hAnsi="Arial"/>
                <w:sz w:val="18"/>
                <w:szCs w:val="18"/>
                <w:color w:val="auto"/>
                <w:w w:val="87"/>
              </w:rPr>
              <w:t>million in net assets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2"/>
        </w:trPr>
        <w:tc>
          <w:tcPr>
            <w:tcW w:w="1160" w:type="dxa"/>
            <w:vAlign w:val="bottom"/>
          </w:tcPr>
          <w:p>
            <w:pPr>
              <w:ind w:left="460"/>
              <w:spacing w:after="0"/>
              <w:rPr>
                <w:sz w:val="20"/>
                <w:szCs w:val="20"/>
                <w:color w:val="auto"/>
              </w:rPr>
            </w:pPr>
            <w:r>
              <w:rPr>
                <w:rFonts w:ascii="Arial" w:cs="Arial" w:eastAsia="Arial" w:hAnsi="Arial"/>
                <w:sz w:val="18"/>
                <w:szCs w:val="18"/>
                <w:color w:val="auto"/>
              </w:rPr>
              <w:t>at</w:t>
            </w: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w w:val="92"/>
              </w:rPr>
              <w:t>and (iv) average cost of funds of</w:t>
            </w:r>
          </w:p>
        </w:tc>
        <w:tc>
          <w:tcPr>
            <w:tcW w:w="4660" w:type="dxa"/>
            <w:vAlign w:val="bottom"/>
            <w:gridSpan w:val="6"/>
          </w:tcPr>
          <w:p>
            <w:pPr>
              <w:jc w:val="right"/>
              <w:ind w:right="20"/>
              <w:spacing w:after="0"/>
              <w:rPr>
                <w:sz w:val="20"/>
                <w:szCs w:val="20"/>
                <w:color w:val="auto"/>
              </w:rPr>
            </w:pPr>
            <w:r>
              <w:rPr>
                <w:rFonts w:ascii="Arial" w:cs="Arial" w:eastAsia="Arial" w:hAnsi="Arial"/>
                <w:sz w:val="18"/>
                <w:szCs w:val="18"/>
                <w:color w:val="auto"/>
                <w:w w:val="91"/>
              </w:rPr>
              <w:t>%, which is the estimated borrowing cost on our credit facilities.</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90" w:lineRule="exact"/>
        <w:rPr>
          <w:sz w:val="20"/>
          <w:szCs w:val="20"/>
          <w:color w:val="auto"/>
        </w:rPr>
      </w:pPr>
    </w:p>
    <w:p>
      <w:pPr>
        <w:jc w:val="both"/>
        <w:ind w:right="80" w:firstLine="456"/>
        <w:spacing w:after="0" w:line="291"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under the 1940 Act we generally will not be permitted to incur borrowings, issue debt securities or issue preferred stock unless immediately after the borrowing or issuance the ratio of total assets (less total liabilities other than indebtedness) to total indebtedness plus preferred stock, is at least 200%. Recent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no longer have the ability to call capital from our existing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where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0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3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90" w:lineRule="exact"/>
        <w:rPr>
          <w:rFonts w:ascii="Arial" w:cs="Arial" w:eastAsia="Arial" w:hAnsi="Arial"/>
          <w:sz w:val="18"/>
          <w:szCs w:val="18"/>
          <w:color w:val="auto"/>
        </w:rPr>
      </w:pPr>
    </w:p>
    <w:p>
      <w:pPr>
        <w:ind w:left="1480" w:right="80" w:hanging="446"/>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90"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2" w:lineRule="exact"/>
        <w:rPr>
          <w:sz w:val="20"/>
          <w:szCs w:val="20"/>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50" w:lineRule="exact"/>
        <w:rPr>
          <w:rFonts w:ascii="Arial" w:cs="Arial" w:eastAsia="Arial" w:hAnsi="Arial"/>
          <w:sz w:val="18"/>
          <w:szCs w:val="18"/>
          <w:color w:val="auto"/>
        </w:rPr>
      </w:pPr>
    </w:p>
    <w:p>
      <w:pPr>
        <w:ind w:left="900" w:right="260" w:hanging="325"/>
        <w:spacing w:after="0" w:line="335"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elect to retain some income and capital gains in excess of what is permissible for excise tax purposes and such amounts will be subject to 4%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excise tax.</w:t>
      </w:r>
    </w:p>
    <w:p>
      <w:pPr>
        <w:spacing w:after="0" w:line="8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elected in prior years to retain some income and capital gains rather than distribute those amounts to our stockholders. The retained amounts have been subject to 4% U.S. federal excise tax. We may decide to retain some income and capital gains in the future and thus such amounts may similarly be subject to the 4% U.S. federal excise tax. In that event, we will be liable for the tax on the amount by which we do not meet the foregoing distribution requirement. See “Material U.S. Federal Income Tax Considerations—Regulated Investment Company Classification.”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expect that TSSP and TPG will refer all middle-market loan origination activities for companies domiciled in the United States to us and conduct those activities through us, unless it would not be permissible, advisable or otherwise appropriate for us to pursue a particular investment opportunity. However, the Adviser, its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or TPG may in the future organize a separate investment vehicle aimed specifically at non-U.S. middle-market loan originations or other loan origination opportunities outside our primary focus. Our ability to pursue investment opportunities other than middle-market loan originations for companies domiciled in the United States is subject to the priorities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4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if we receive an order from the SEC permitting us to do so or the investment is otherwise permitted under relevant SEC guidance. We have applied for an order permitting certain co-investment transactions, but we cannot assure you when or whether the order will be obtained. See “Related-Party Transactions and Certain Relationships.”</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Adviser has the right, under the Investment Advisory Agreement and the Administration Agreement, to resign at any time upon not less than 60 days’ written notice, regardless of whether we have found a replacement. In addition, our Board has the authority to remove the Adviser for any reason or for no reason, or may choose not to renew the Investment Advisory Agreement and the Administration Agreement. If the Adviser resigns or is terminated,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other than acts not in good faith with the reasonable belief that the conduct was in, or not opposed to, our best interest, and conduct constituting gross negligence, bad faith, reckless disregard, or willful misconduct. These protections may lead the Adviser to act in a riskier manner when acting on our behalf than it would when acting for its own account.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Adviser and its management have limited experience managing a BDC or a RIC.</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we cannot assure you that we will replicate the historical performance of other businesses or companies with which the senior members of our Investment Team have been affiliated, and we caution you that our investment returns could be substantially lower than the returns achieved by these other companies.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2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shares of common stock less attractive to investors.</w:t>
      </w:r>
    </w:p>
    <w:p>
      <w:pPr>
        <w:spacing w:after="0" w:line="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Although we expect to become a large accelerated filer at some point following this IPO, we currently are a “non-accelerated filer” under the Exchange Act, which has exempted us from compliance with these auditor attestation requirements. We cannot predict if investors will find shares of our common stock less attractive because we will rely on these exemptions. If some investors find our shares of</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common stock less attractive as a result, there may be a less active trading market for our shares and our share price may be more volatile.</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choosing not to take advantage of the extended transition period for complying with new or revised accounting standards, which may make it more difficult for investors and securities analysts to compare our financial statements to companies that comply with private company effective dates.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last day of the fiscal year in which our annual gross revenue exceeds $1 billion;</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as a result of being a publicly traded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publicly traded company, we will incur legal, accounting, investor relations and other expenses, including costs associated with corporate governance</w:t>
      </w:r>
    </w:p>
    <w:p>
      <w:pPr>
        <w:spacing w:after="0" w:line="3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requirements, such as those under the Sarbanes-Oxley Act, and other rules implemented by the SEC and the listing standards of . Upon ceasing to qualify as an emerging growth company under the JOBS Act, our independent registered public accounting firm will be required to attest to the effectiveness of our internal controls over financial reporting pursuant to Section 404 of the Sarbanes-Oxley Act, which will increase the costs associated with our periodic reporting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amendment and syndication fees, the level of our expenses and default rates on our investments. As a result of these and other possible factors, results for any period should not be relied upon as being indicative of performance in future periods.</w:t>
      </w:r>
    </w:p>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These provisions and others also may have the effect of deterring hostile takeovers or delaying changes in control or management. We are subject to Section 203 of the DGCL, the application of which is subject to any applicable requirements of the 1940 Act. This section generally prohibits us from engaging in mergers and other business combinations with stockholders that beneficially own 15% or more of our voting stock, or with their affiliates, unless our directors or stockholders approve the business combination in the prescribed manner. Section 203 of the DGCL may discourage third parties from trying to acquire control of us and increase the difficulty of consummating such an offer.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We have also adopted measures that may make it difficult for a third party to obtain control of us, including provisions of our certificate of incorporation classifying our Board in three staggered terms and authorizing our Board to issue preferred stock in one or more series. These provisions, as well as other provisions of our certificate of incorporation and bylaws, may delay, defer or prevent a transaction or a change in control that might otherwise be in the best interests of our stockholders. Our certificate of incorporation and bylaws also contain provisions that limit liability and provide for the indemnification of our directors and officers.</w:t>
      </w:r>
    </w:p>
    <w:p>
      <w:pPr>
        <w:spacing w:after="0" w:line="22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32"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cyber attacks.</w:t>
      </w:r>
    </w:p>
    <w:p>
      <w:pPr>
        <w:spacing w:after="0" w:line="17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90"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“—There is a risk that the withholding tax treatment that applies to dividend distributions we make to certain non-U.S. stockholders may change in the future if Congress fails to renew certain exemptions that are set to expire for taxable years commencing after December 31, 2013.”</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21, 2010, the Wall Street Reform and Consumer Protection Act, or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3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Uncertainty about the financial stability of the United States and of several countries in the European Union (EU) could have a significant adverse effect on our business, results of operations and financial condition.</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Due to federal budget deficit concerns, S&amp;P downgraded the federal government’s credit rating from AAA to AA+ for the first time in history on August 5, 2011. Further, Moody’s and Fitch have warned that they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2010, a financial crisis emerged in Europe, triggered by high budget deficits and rising direct and contingent sovereign debt in Greece, Ireland, Italy, Portugal and Spain, which created concerns about the ability of these nations to continue to service their sovereign debt obligations. Risks and ongoing concerns resulting from the debt crisis in Europe could have a detrimental impact on the global economic recovery, sovereign and non-sovereign debt in these countries and the financial condition of European financial institutions. Market and economic disruptions have affected, and may continue to affect, consumer confidence levels and spending, personal bankruptcy rates, levels of incurrence and default on consumer debt and home prices, among other factors. We cannot assure you that the market disruptions in Europe, including the increased cost of funding for certain governments and financial institutions, will not spread, and we cannot assure you that future assistance packages will be available, or if available, sufficient to stabilize the affected countries and markets in Europe or elsewhere. To the extent uncertainty regarding any economic recovery in Europe continues to negatively impact consumer confidence and consumer credit factors, our business and results of operations could be significantly and adversely affected.</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Absent continued quantitative easing by the U.S. Federal Reserve, these developments, along with the European sovereign debt crisis, could cause interest rates and borrowing costs to rise, which may negatively impact our ability to access the debt markets on favorable terms.</w:t>
      </w:r>
    </w:p>
    <w:p>
      <w:pPr>
        <w:spacing w:after="0" w:line="2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failure or the perceived risk of a failure to raise the statutory debt limit of the United States, or a shutdown of the United States federal government, could have a material adverse effect on our business, financial condition and results of operations.</w:t>
      </w:r>
    </w:p>
    <w:p>
      <w:pPr>
        <w:spacing w:after="0" w:line="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widely reported, the federal government may not be able to meet its debt payments in the relatively near future unless the federal debt ceiling is raised. If legislation increasing the debt ceiling is not enacted and the debt ceiling is reached, the federal government may stop or delay making payments on its obligations. A failure by Congress to raise the debt limit would increase the risk of default by the United States on its obligations, as well as the risk of other economic dislocations.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the U.S. government fails to complete its budget process or to provide for a continuing resolution before the expiration of the current continuing resolution, a federal government shutdown may result. Such a failure or the perceived risk of such a failure consequently could have a material adverse effect on the financial markets and economic conditions in the United States and throughout the world. It could also limit our ability and the ability of our portfolio companies to obtain financing, and it could have a material adverse effect on the valuation of our portfolio companies. Consequently, the continued uncertainty in the general economic environment, including the recent government shutdown and potential debt ceiling implications, as well in specific economies of several individual geographic markets in which our portfolio companies operate, could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primarily invest in first-lien debt, second-lien debt, mezzanine debt or equity securities issued by middle-market companies. The companies in which we intend to invest will typically be highly leveraged, and, in most cases, our investments in these companies will not be rated by any rating agency. If these instruments were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rated, we believe that they would likely receive a rating of below investment grade (that is, below BBB- or Baa3). Exposure to below investment grade instruments involves certain risks, including speculation with respect to the borrower’s capacity to pay interest and repay principal.</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First-Lien Debt</w:t>
      </w:r>
      <w:r>
        <w:rPr>
          <w:rFonts w:ascii="Arial" w:cs="Arial" w:eastAsia="Arial" w:hAnsi="Arial"/>
          <w:sz w:val="16"/>
          <w:szCs w:val="16"/>
          <w:color w:val="auto"/>
        </w:rPr>
        <w:t>. When we make a first-lien loan, we generally take a security interest in the available assets of the portfolio company, including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be subordinated to those of other lenders in the loan under certain circumstances. This may result in greater risk and loss of principal on these loans.</w:t>
      </w:r>
    </w:p>
    <w:p>
      <w:pPr>
        <w:spacing w:after="0" w:line="11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i w:val="1"/>
          <w:iCs w:val="1"/>
          <w:color w:val="auto"/>
        </w:rPr>
        <w:t>Second-Lien and Mezzanine Debt</w:t>
      </w:r>
      <w:r>
        <w:rPr>
          <w:rFonts w:ascii="Arial" w:cs="Arial" w:eastAsia="Arial" w:hAnsi="Arial"/>
          <w:sz w:val="15"/>
          <w:szCs w:val="15"/>
          <w:color w:val="auto"/>
        </w:rPr>
        <w:t>. Our investments in second-lien and mezzanine debt generally are subordinated to senior loans and will either have junior</w:t>
      </w:r>
      <w:r>
        <w:rPr>
          <w:rFonts w:ascii="Arial" w:cs="Arial" w:eastAsia="Arial" w:hAnsi="Arial"/>
          <w:sz w:val="15"/>
          <w:szCs w:val="15"/>
          <w:i w:val="1"/>
          <w:iCs w:val="1"/>
          <w:color w:val="auto"/>
        </w:rPr>
        <w:t xml:space="preserve"> </w:t>
      </w:r>
      <w:r>
        <w:rPr>
          <w:rFonts w:ascii="Arial" w:cs="Arial" w:eastAsia="Arial" w:hAnsi="Arial"/>
          <w:sz w:val="15"/>
          <w:szCs w:val="15"/>
          <w:color w:val="auto"/>
        </w:rPr>
        <w:t>security interests or be unsecured. As such, other creditors may rank senior to us in the event of insolvency. This may result in greater risk and loss of principal.</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When we invest in first-lien debt, second-lien debt or mezzanine debt, we may acquire equity securities, such as warrants,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as well.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involve a number of significant risks, including:</w:t>
      </w:r>
    </w:p>
    <w:p>
      <w:pPr>
        <w:spacing w:after="0" w:line="90" w:lineRule="exact"/>
        <w:rPr>
          <w:sz w:val="20"/>
          <w:szCs w:val="20"/>
          <w:color w:val="auto"/>
        </w:rPr>
      </w:pPr>
    </w:p>
    <w:p>
      <w:pPr>
        <w:ind w:left="900" w:right="12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4" w:lineRule="exact"/>
        <w:rPr>
          <w:rFonts w:ascii="Arial" w:cs="Arial" w:eastAsia="Arial" w:hAnsi="Arial"/>
          <w:sz w:val="16"/>
          <w:szCs w:val="16"/>
          <w:color w:val="auto"/>
        </w:rPr>
      </w:pPr>
    </w:p>
    <w:p>
      <w:pPr>
        <w:jc w:val="both"/>
        <w:ind w:left="900" w:right="10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59"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90" w:lineRule="exact"/>
        <w:rPr>
          <w:sz w:val="20"/>
          <w:szCs w:val="20"/>
          <w:color w:val="auto"/>
        </w:rPr>
      </w:pPr>
    </w:p>
    <w:p>
      <w:pPr>
        <w:ind w:left="900" w:right="36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2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will be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1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197"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portfolio is currently concentrated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concentrated in relatively few industries. For example, although we classify the industries of our portfolio companies by end-market (such as healthcare and 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enter into collateralized loan obligations or their equivalents, which may subject us to certain structured financing risks.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To finance investments, we may securitize certain of our investments,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we create a CLO or similar vehicle, we depend on distributions from the vehicle to make distributions to our stockholders. The ability of a CLO or similar vehicle to make distributions will be subject to various limitations, including the terms and covenants of the debt it issues. For example, tests (based on interest coverage or other financial ratios or other criteria) may restrict our ability, as holder of a CLO’s equity interests, to receive cash flow from these investments. We cannot assure you that any such performance tests will be satisfied. Also, a CLO or similar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cash flow may be completely restricted for the life of the CLO.</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addition, a decline in the credit quality of loans in a CLO or similar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To the extent that any losses are incurred by the financing vehicle in respect of any collateral, these losses will be borne first by us as owners of its equity interests. Any equity interests that we retain in a CLO or similar vehicle will not be secured by its assets and we will rank behind all of its creditors.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CLO or similar vehicle also will likely be consolidated in our financial statements and consequently affect our asset coverage ratio, which may limit our ability to incur additional leverage. See “Regulation.”</w:t>
      </w:r>
    </w:p>
    <w:p>
      <w:pPr>
        <w:spacing w:after="0" w:line="213" w:lineRule="exact"/>
        <w:rPr>
          <w:sz w:val="20"/>
          <w:szCs w:val="20"/>
          <w:color w:val="auto"/>
        </w:rPr>
      </w:pPr>
    </w:p>
    <w:p>
      <w:pPr>
        <w:ind w:right="300"/>
        <w:spacing w:after="0" w:line="357" w:lineRule="auto"/>
        <w:rPr>
          <w:sz w:val="20"/>
          <w:szCs w:val="20"/>
          <w:color w:val="auto"/>
        </w:rPr>
      </w:pPr>
      <w:r>
        <w:rPr>
          <w:rFonts w:ascii="Arial" w:cs="Arial" w:eastAsia="Arial" w:hAnsi="Arial"/>
          <w:sz w:val="15"/>
          <w:szCs w:val="15"/>
          <w:b w:val="1"/>
          <w:bCs w:val="1"/>
          <w:i w:val="1"/>
          <w:iCs w:val="1"/>
          <w:color w:val="auto"/>
        </w:rPr>
        <w:t>Because we currently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ind w:firstLine="456"/>
        <w:spacing w:after="0" w:line="291" w:lineRule="auto"/>
        <w:rPr>
          <w:sz w:val="20"/>
          <w:szCs w:val="20"/>
          <w:color w:val="auto"/>
        </w:rPr>
      </w:pPr>
      <w:r>
        <w:rPr>
          <w:rFonts w:ascii="Arial" w:cs="Arial" w:eastAsia="Arial" w:hAnsi="Arial"/>
          <w:sz w:val="16"/>
          <w:szCs w:val="16"/>
          <w:color w:val="auto"/>
        </w:rPr>
        <w:t>We are a lender, and loans (and any equity investments we make)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13"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applied for an exemptive order from the SEC that would permit us and certain of our affiliates, including investment funds managed by our affiliates, to co-invest. The order would be subject to certain terms and conditions and we cannot assure you that the order will be granted by the SEC. Accordingly, we cannot assure you that we or our affiliates, including investment funds managed by our affiliates, will be permitted to co-invest, other than in the limited circumstances currently permitted by regulatory guidance.</w:t>
      </w:r>
    </w:p>
    <w:p>
      <w:pPr>
        <w:spacing w:after="0" w:line="22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Use of these hedging instruments may include counter-party credit risk. To the extent we have non-U.S. investments, particularly investments denominated in non-U.S. currencies, our hedging costs will increase.</w:t>
      </w:r>
    </w:p>
    <w:p>
      <w:pPr>
        <w:spacing w:after="0" w:line="98"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Hedging against a decline in the values of our portfolio positions would not eliminate the possibility of fluctuations in the values of such positions or prevent losses if the values of such positions decline. However, such hedging can establish other positions designed to gain from those same developments, thereby offsetting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decline in the value of such portfolio positions. Such hedging transactions may also limit the opportunity for gain if the values of the underlying portfolio positions should increase. It also may not be possible to hedge against an exchange rate or interest rate fluctuation that is so generally anticipated that we are not able to enter into a hedging transaction at an acceptable price.</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success of our hedging strategy will depend on our ability to correctly identify appropriate exposures for hedging. To date, we have entered into such transactions to seek to reduce currency exchange rate risk.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variety of reasons, we may not seek to (or be able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1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Adviser intends to claim relief available under a no-action letter, known as Letter 12-40, issued by the staff of the Commodity Futures Trading Commission, or CFTC. Letter 12-40 would relieve our Adviser from registering with the CFTC as the commodity pool operator, or CPO of us, so long as we:</w:t>
      </w:r>
    </w:p>
    <w:p>
      <w:pPr>
        <w:spacing w:after="0" w:line="4"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we can no longer satisfy the conditions of Letter 12-40,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4.13(a)(3), which is not available for advisers of companies whose stock is marketed to the public.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Investments in below-investment grade debt instruments and certain equity securities may present special tax issues for us. U.S. federal income tax rules are not entirely clear about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19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There is a risk that the withholding tax treatment that applies to dividend distributions we make to certain non-U.S. stockholders may change in the future if Congress fails to renew certain exemptions that are set to expire for taxable years commencing after December 31, 2013.</w:t>
      </w:r>
    </w:p>
    <w:p>
      <w:pPr>
        <w:spacing w:after="0" w:line="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recent years, Congress has renewed the rules under which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will expire for taxable years commencing after December 31, 2013. Further legislation will be required to make the exemption available in taxable years commencing after December 31, 2013. We cannot assure you that Congress will extend the pass-through rules for taxable years commencing after December 31, 2013, or that any such extension will apply to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201"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2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our investment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Considerations—Potential Limitation with respect to Certain U.S. Stockholders on Deductions for Certain Fees and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not receive dividends or that our dividends may not grow over time.</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certain cases, we may recognize income before or without receiving cash representing the income, such as the accretion of original issue discount, or OID. OID may arise if we hold securities issued at a discount, receive warrants in connection with the making of a loan or in other circumstances, or through contractual payment-in-kind, or PIK, interest (meaning interest paid in the form of additional principal amount of the loan instead of in cash), which represents contractual interest added to the loan balance and due at the end of the loan term. Such OID, which could be significant relative to our overall investment activities, or increases in loan balances as a result of PIK arrangements, will be included in income before we receive any corresponding cash payments. Loans structured with these features may represent a higher level of credit risk than loans the interest on which must be paid in cash at regular intervals. We also may be required to include in income certain other amounts that we will not receive in cash.</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Depending on the amount of noncash income, this requirement could make it difficult for us to satisfy the distribution requirement applicable to RICs. Accordingly, we may delay distributions during a taxable year until we generate cash or we may have to sell some of our investments at times we would not consider advantageous, raise additional debt or equity capital or reduce new investments to meet these distribution requirements. In addition, the withholding tax treatment of our distributions to certain of our non-U.S. stockholders will depend on whether and when Congress enacts legislation extending the pass-through treatment of “interest-related dividends.” See “Material U.S. Federal Income Tax Considerations—Regulated Investment Company Classification.”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That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investment adviser, the amount of accrued income written off in any period will reduce the income in the period in which the write-off is taken and thereby reduce that period’s Incentive Fee payment, if any.</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common stock may involve a high degree of risk.</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market price and liquidity of the market for shares of our common stock that will prevail in the market after this offering may be higher or lower than the price you pay and may be significantly affected by numerous factors, some of which are beyond our control and may not be directly related to our operating performance. These factors include:</w:t>
      </w:r>
    </w:p>
    <w:p>
      <w:pPr>
        <w:spacing w:after="0" w:line="59" w:lineRule="exact"/>
        <w:rPr>
          <w:sz w:val="20"/>
          <w:szCs w:val="20"/>
          <w:color w:val="auto"/>
        </w:rPr>
      </w:pPr>
    </w:p>
    <w:p>
      <w:pPr>
        <w:ind w:left="900" w:right="1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our common stock, and we cannot assure you that a market for our common stock will develop or that the market price of shares of our common stock will not decline following the offering.</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intend to apply to list our common stock on . We cannot assure you that a trading market will develop for our common stock after this offering or, if one develops, that the trading market can be sustained. In addition, we cannot predict the prices at which our common stock will trade. The IPO price for our common stock will be determined through our negotiations with the underwriters and may not bear any relationship to the market price at which it may trade after our IPO. Shares of companies offered in an IPO often trade at a discount to the initial offering price due to underwriting discounts and commissions and related offering expenses. Also,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The risk of loss associated with this characteristic of closed-end management investment companies may be greater for investors expecting to sell shares of common stock purchased in the offering soon after the offering.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completion of this offering, we will have shares of common stock outstanding (or shares of common stock if the underwriters’ over-allotment option is fully exercised). The shares of common stock sold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offering will be freely tradable without restriction or limitation under the Securities Act. Any shares purchased in this offering or currently owned by our affiliates, as defined in the Securities Act, will be subject to the public information, manner of sale and volume limitations of Rule 144 under the Securities Act. The remaining shares of our common stock that will be outstanding upon the completion of this offering will be “restricted securities” under the meaning of Rule 144 promulgated under the Securities Act and may only be sold if such sale is registered under the Securities Act or exempt from registration, including the exemption under Rule 144. See “Shares Eligible for Future Sale.” Following this offering and the expiration of applicable lock-up periods, subject to applicable securities laws, sales of substantial amounts of our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adopted a dividend reinvestment plan, pursuant to which we will reinvest all cash dividends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“Distributions” and “Dividend Reinvestment Plan” for a description of our dividend policy and obligations.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the number of shares issued pursuant to the dividend reinvestment plan will be determined based on the market price of shares of our common stock, which may be below the net asset value per share. Accordingly, participants in the dividend reinvestment plan may receive a greater number shares of our common stock than the number of shares associated with our net asset value per share, resulting in dilution for other stockholders. Stockholders that opt out of our dividend reinvestment plan will experience dilution in their ownership percentage of our common stock over time.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51" w:lineRule="exact"/>
        <w:rPr>
          <w:sz w:val="20"/>
          <w:szCs w:val="20"/>
          <w:color w:val="auto"/>
        </w:rPr>
      </w:pPr>
    </w:p>
    <w:p>
      <w:pPr>
        <w:ind w:left="900" w:right="4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Sections 27A(b)(2)(B) and (D) of the Securities Act and Section 21E(b)(2)(B) and (D) of the Exchange Act, the “safe harbor” provisions of the Private Securities Litigation Reform Act of 1995 do not apply to statements made in connection with any offering of securities pursuant to this prospectus.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estimate that the net proceeds we will receive from the sale of shares of our common stock in this offering will be approximately $ million (or approximately $ million if the underwriters exercise their option to purchase additional shares of our common stock to cover over-allotments in full), after deducting the underwriting discounts and commissions and estimated offering expenses of approximately $ million payable by us.</w:t>
      </w:r>
    </w:p>
    <w:p>
      <w:pPr>
        <w:spacing w:after="0" w:line="107" w:lineRule="exact"/>
        <w:rPr>
          <w:sz w:val="20"/>
          <w:szCs w:val="20"/>
          <w:color w:val="auto"/>
        </w:rPr>
      </w:pPr>
    </w:p>
    <w:p>
      <w:pPr>
        <w:ind w:left="460"/>
        <w:spacing w:after="0"/>
        <w:tabs>
          <w:tab w:leader="none" w:pos="8520" w:val="left"/>
        </w:tabs>
        <w:rPr>
          <w:sz w:val="20"/>
          <w:szCs w:val="20"/>
          <w:color w:val="auto"/>
        </w:rPr>
      </w:pPr>
      <w:r>
        <w:rPr>
          <w:rFonts w:ascii="Arial" w:cs="Arial" w:eastAsia="Arial" w:hAnsi="Arial"/>
          <w:sz w:val="18"/>
          <w:szCs w:val="18"/>
          <w:color w:val="auto"/>
        </w:rPr>
        <w:t>We intend to use the net proceeds of this offering, together with our cash and cash equivalents, to pay down $</w:t>
      </w:r>
      <w:r>
        <w:rPr>
          <w:sz w:val="20"/>
          <w:szCs w:val="20"/>
          <w:color w:val="auto"/>
        </w:rPr>
        <w:tab/>
      </w:r>
      <w:r>
        <w:rPr>
          <w:rFonts w:ascii="Arial" w:cs="Arial" w:eastAsia="Arial" w:hAnsi="Arial"/>
          <w:sz w:val="16"/>
          <w:szCs w:val="16"/>
          <w:color w:val="auto"/>
        </w:rPr>
        <w:t>million of outstanding indebtedness</w:t>
      </w:r>
    </w:p>
    <w:p>
      <w:pPr>
        <w:spacing w:after="0" w:line="1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under the Revolving Credit Facility (SunTrust), which matures on July 2, 2018. As of September 30, 2013, amounts outstanding under our Revolving Credit Facility (SunTrust) bore interest at a floating rate of 30-day LIBOR plus 225 basis points. We will not, however, terminate the facility and may reborrow these amounts, subject to certain conditions. Affiliates of certain underwriters are lenders under the Revolving Credit Facility (SunTrust). Accordingly, affiliates of certain of the underwriters may receive more than 5% of the proceeds of this offering to the extent the proceeds are used to pay down outstanding indebtedness under the Revolving Credit Facility (SunTrust).</w:t>
      </w:r>
    </w:p>
    <w:p>
      <w:pPr>
        <w:spacing w:after="0" w:line="14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will use the remaining net proceeds, if any, to invest in portfolio companies in accordance with our investment objective and the strategies described in this prospectus and for general corporate purposes. We will also pay other operating expenses from the net proceeds of this offering.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Board intends to declare a dividend of $ per share for the quarter ending . Shares offered by this prospectus will be entitled to receive this dividend payment. We anticipate that this dividend will be paid from income generated primarily by interest earned on our investment portfolio.</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3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one-year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171"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cannot assure you that we will achieve results that will permit the payment of any dividends.</w:t>
      </w:r>
    </w:p>
    <w:p>
      <w:pPr>
        <w:spacing w:after="0" w:line="1" w:lineRule="exact"/>
        <w:rPr>
          <w:sz w:val="20"/>
          <w:szCs w:val="20"/>
          <w:color w:val="auto"/>
        </w:rPr>
      </w:pPr>
    </w:p>
    <w:p>
      <w:pPr>
        <w:jc w:val="both"/>
        <w:ind w:right="80"/>
        <w:spacing w:after="0" w:line="323" w:lineRule="auto"/>
        <w:rPr>
          <w:sz w:val="20"/>
          <w:szCs w:val="20"/>
          <w:color w:val="auto"/>
        </w:rPr>
      </w:pPr>
      <w:r>
        <w:rPr>
          <w:rFonts w:ascii="Arial" w:cs="Arial" w:eastAsia="Arial" w:hAnsi="Arial"/>
          <w:sz w:val="16"/>
          <w:szCs w:val="16"/>
          <w:color w:val="auto"/>
        </w:rPr>
        <w:t>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you. If this happens, you will be treated for U.S. federal income tax purposes as if you had received an actual distribution of the net capital gains that we retain and you reinvested the net after-tax proceeds in us. In this situation, you would be eligible to claim a tax credit (or, in certain circumstances, a tax refund) equal to your allocable share of the tax we paid on the capital gains deemed distributed to you.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Unless you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Declared</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5, 2013, our issued and outstanding shares total 37,026,023, as adjusted for the stock split.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the dividends declared during the nine months ended September 30, 2013, and the years ended December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8"/>
              </w:rPr>
              <w:t>Nine Months Ended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center"/>
              <w:ind w:right="940"/>
              <w:spacing w:after="0"/>
              <w:rPr>
                <w:sz w:val="20"/>
                <w:szCs w:val="20"/>
                <w:color w:val="auto"/>
              </w:rPr>
            </w:pPr>
            <w:r>
              <w:rPr>
                <w:rFonts w:ascii="Arial" w:cs="Arial" w:eastAsia="Arial" w:hAnsi="Arial"/>
                <w:sz w:val="14"/>
                <w:szCs w:val="14"/>
                <w:b w:val="1"/>
                <w:bCs w:val="1"/>
                <w:color w:val="auto"/>
                <w:w w:val="87"/>
              </w:rPr>
              <w:t>September 30, 2013</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00" w:type="dxa"/>
            <w:vAlign w:val="bottom"/>
            <w:gridSpan w:val="3"/>
            <w:vMerge w:val="continue"/>
          </w:tcPr>
          <w:p>
            <w:pPr>
              <w:spacing w:after="0"/>
              <w:rPr>
                <w:sz w:val="14"/>
                <w:szCs w:val="14"/>
                <w:color w:val="auto"/>
              </w:rPr>
            </w:pPr>
          </w:p>
        </w:tc>
        <w:tc>
          <w:tcPr>
            <w:tcW w:w="1800" w:type="dxa"/>
            <w:vAlign w:val="bottom"/>
            <w:gridSpan w:val="2"/>
          </w:tcPr>
          <w:p>
            <w:pPr>
              <w:ind w:left="440"/>
              <w:spacing w:after="0"/>
              <w:rPr>
                <w:sz w:val="20"/>
                <w:szCs w:val="20"/>
                <w:color w:val="auto"/>
              </w:rPr>
            </w:pPr>
            <w:r>
              <w:rPr>
                <w:rFonts w:ascii="Arial" w:cs="Arial" w:eastAsia="Arial" w:hAnsi="Arial"/>
                <w:sz w:val="14"/>
                <w:szCs w:val="14"/>
                <w:b w:val="1"/>
                <w:bCs w:val="1"/>
                <w:color w:val="auto"/>
              </w:rPr>
              <w:t>Record Date</w:t>
            </w:r>
          </w:p>
        </w:tc>
        <w:tc>
          <w:tcPr>
            <w:tcW w:w="460" w:type="dxa"/>
            <w:vAlign w:val="bottom"/>
          </w:tcPr>
          <w:p>
            <w:pPr>
              <w:spacing w:after="0"/>
              <w:rPr>
                <w:sz w:val="14"/>
                <w:szCs w:val="14"/>
                <w:color w:val="auto"/>
              </w:rPr>
            </w:pPr>
          </w:p>
        </w:tc>
        <w:tc>
          <w:tcPr>
            <w:tcW w:w="20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Payment Date</w:t>
            </w:r>
          </w:p>
        </w:tc>
        <w:tc>
          <w:tcPr>
            <w:tcW w:w="18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31, 2013</w:t>
            </w:r>
          </w:p>
        </w:tc>
        <w:tc>
          <w:tcPr>
            <w:tcW w:w="5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June 30, 2013</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June 30, 2013</w:t>
            </w:r>
          </w:p>
        </w:tc>
        <w:tc>
          <w:tcPr>
            <w:tcW w:w="460" w:type="dxa"/>
            <w:vAlign w:val="bottom"/>
          </w:tcPr>
          <w:p>
            <w:pPr>
              <w:spacing w:after="0"/>
              <w:rPr>
                <w:sz w:val="18"/>
                <w:szCs w:val="18"/>
                <w:color w:val="auto"/>
              </w:rPr>
            </w:pPr>
          </w:p>
        </w:tc>
        <w:tc>
          <w:tcPr>
            <w:tcW w:w="2060" w:type="dxa"/>
            <w:vAlign w:val="bottom"/>
            <w:gridSpan w:val="2"/>
          </w:tcPr>
          <w:p>
            <w:pPr>
              <w:jc w:val="right"/>
              <w:ind w:right="660"/>
              <w:spacing w:after="0"/>
              <w:rPr>
                <w:sz w:val="20"/>
                <w:szCs w:val="20"/>
                <w:color w:val="auto"/>
              </w:rPr>
            </w:pPr>
            <w:r>
              <w:rPr>
                <w:rFonts w:ascii="Arial" w:cs="Arial" w:eastAsia="Arial" w:hAnsi="Arial"/>
                <w:sz w:val="18"/>
                <w:szCs w:val="18"/>
                <w:color w:val="auto"/>
              </w:rPr>
              <w:t>July 31, 2013</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September 30, 2013</w:t>
            </w:r>
          </w:p>
        </w:tc>
        <w:tc>
          <w:tcPr>
            <w:tcW w:w="4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October 31, 2013</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00" w:type="dxa"/>
            <w:vAlign w:val="bottom"/>
            <w:gridSpan w:val="3"/>
          </w:tcPr>
          <w:p>
            <w:pPr>
              <w:ind w:left="44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gridSpan w:val="3"/>
            <w:vMerge w:val="restart"/>
          </w:tcPr>
          <w:p>
            <w:pPr>
              <w:jc w:val="center"/>
              <w:ind w:right="960"/>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1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center"/>
              <w:ind w:right="940"/>
              <w:spacing w:after="0"/>
              <w:rPr>
                <w:sz w:val="20"/>
                <w:szCs w:val="20"/>
                <w:color w:val="auto"/>
              </w:rPr>
            </w:pPr>
            <w:r>
              <w:rPr>
                <w:rFonts w:ascii="Arial" w:cs="Arial" w:eastAsia="Arial" w:hAnsi="Arial"/>
                <w:sz w:val="14"/>
                <w:szCs w:val="14"/>
                <w:b w:val="1"/>
                <w:bCs w:val="1"/>
                <w:color w:val="auto"/>
                <w:w w:val="87"/>
              </w:rPr>
              <w:t>December 31, 2012</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00" w:type="dxa"/>
            <w:vAlign w:val="bottom"/>
            <w:gridSpan w:val="3"/>
            <w:vMerge w:val="continue"/>
          </w:tcPr>
          <w:p>
            <w:pPr>
              <w:spacing w:after="0"/>
              <w:rPr>
                <w:sz w:val="14"/>
                <w:szCs w:val="14"/>
                <w:color w:val="auto"/>
              </w:rPr>
            </w:pPr>
          </w:p>
        </w:tc>
        <w:tc>
          <w:tcPr>
            <w:tcW w:w="1800" w:type="dxa"/>
            <w:vAlign w:val="bottom"/>
            <w:gridSpan w:val="2"/>
          </w:tcPr>
          <w:p>
            <w:pPr>
              <w:ind w:left="440"/>
              <w:spacing w:after="0"/>
              <w:rPr>
                <w:sz w:val="20"/>
                <w:szCs w:val="20"/>
                <w:color w:val="auto"/>
              </w:rPr>
            </w:pPr>
            <w:r>
              <w:rPr>
                <w:rFonts w:ascii="Arial" w:cs="Arial" w:eastAsia="Arial" w:hAnsi="Arial"/>
                <w:sz w:val="14"/>
                <w:szCs w:val="14"/>
                <w:b w:val="1"/>
                <w:bCs w:val="1"/>
                <w:color w:val="auto"/>
              </w:rPr>
              <w:t>Record Date</w:t>
            </w:r>
          </w:p>
        </w:tc>
        <w:tc>
          <w:tcPr>
            <w:tcW w:w="460" w:type="dxa"/>
            <w:vAlign w:val="bottom"/>
          </w:tcPr>
          <w:p>
            <w:pPr>
              <w:spacing w:after="0"/>
              <w:rPr>
                <w:sz w:val="14"/>
                <w:szCs w:val="14"/>
                <w:color w:val="auto"/>
              </w:rPr>
            </w:pPr>
          </w:p>
        </w:tc>
        <w:tc>
          <w:tcPr>
            <w:tcW w:w="20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Payment Date</w:t>
            </w:r>
          </w:p>
        </w:tc>
        <w:tc>
          <w:tcPr>
            <w:tcW w:w="18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20, 2012</w:t>
            </w:r>
          </w:p>
        </w:tc>
        <w:tc>
          <w:tcPr>
            <w:tcW w:w="5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2012</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7, 2012</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May 9, 2012</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June 30, 2012</w:t>
            </w:r>
          </w:p>
        </w:tc>
        <w:tc>
          <w:tcPr>
            <w:tcW w:w="460" w:type="dxa"/>
            <w:vAlign w:val="bottom"/>
          </w:tcPr>
          <w:p>
            <w:pPr>
              <w:spacing w:after="0"/>
              <w:rPr>
                <w:sz w:val="18"/>
                <w:szCs w:val="18"/>
                <w:color w:val="auto"/>
              </w:rPr>
            </w:pPr>
          </w:p>
        </w:tc>
        <w:tc>
          <w:tcPr>
            <w:tcW w:w="2060" w:type="dxa"/>
            <w:vAlign w:val="bottom"/>
            <w:gridSpan w:val="2"/>
          </w:tcPr>
          <w:p>
            <w:pPr>
              <w:jc w:val="right"/>
              <w:ind w:right="660"/>
              <w:spacing w:after="0"/>
              <w:rPr>
                <w:sz w:val="20"/>
                <w:szCs w:val="20"/>
                <w:color w:val="auto"/>
              </w:rPr>
            </w:pPr>
            <w:r>
              <w:rPr>
                <w:rFonts w:ascii="Arial" w:cs="Arial" w:eastAsia="Arial" w:hAnsi="Arial"/>
                <w:sz w:val="18"/>
                <w:szCs w:val="18"/>
                <w:color w:val="auto"/>
              </w:rPr>
              <w:t>August 3, 2012</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September 30, 2012</w:t>
            </w:r>
          </w:p>
        </w:tc>
        <w:tc>
          <w:tcPr>
            <w:tcW w:w="4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October 30, 2012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3"/>
        </w:trPr>
        <w:tc>
          <w:tcPr>
            <w:tcW w:w="4300" w:type="dxa"/>
            <w:vAlign w:val="bottom"/>
            <w:gridSpan w:val="3"/>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1"/>
                <w:szCs w:val="11"/>
                <w:color w:val="auto"/>
              </w:rPr>
              <w:t>(1)</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December 31, 2012</w:t>
            </w:r>
          </w:p>
        </w:tc>
        <w:tc>
          <w:tcPr>
            <w:tcW w:w="460" w:type="dxa"/>
            <w:vAlign w:val="bottom"/>
          </w:tcPr>
          <w:p>
            <w:pPr>
              <w:spacing w:after="0"/>
              <w:rPr>
                <w:sz w:val="19"/>
                <w:szCs w:val="19"/>
                <w:color w:val="auto"/>
              </w:rPr>
            </w:pPr>
          </w:p>
        </w:tc>
        <w:tc>
          <w:tcPr>
            <w:tcW w:w="206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January 31, 2013</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center"/>
              <w:ind w:right="920"/>
              <w:spacing w:after="0"/>
              <w:rPr>
                <w:sz w:val="20"/>
                <w:szCs w:val="20"/>
                <w:color w:val="auto"/>
              </w:rPr>
            </w:pPr>
            <w:r>
              <w:rPr>
                <w:rFonts w:ascii="Arial" w:cs="Arial" w:eastAsia="Arial" w:hAnsi="Arial"/>
                <w:sz w:val="14"/>
                <w:szCs w:val="14"/>
                <w:b w:val="1"/>
                <w:bCs w:val="1"/>
                <w:color w:val="auto"/>
                <w:w w:val="85"/>
              </w:rPr>
              <w:t>December 31, 2011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Dividend per</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00" w:type="dxa"/>
            <w:vAlign w:val="bottom"/>
            <w:gridSpan w:val="2"/>
            <w:vMerge w:val="continue"/>
          </w:tcPr>
          <w:p>
            <w:pPr>
              <w:spacing w:after="0"/>
              <w:rPr>
                <w:sz w:val="14"/>
                <w:szCs w:val="14"/>
                <w:color w:val="auto"/>
              </w:rPr>
            </w:pPr>
          </w:p>
        </w:tc>
        <w:tc>
          <w:tcPr>
            <w:tcW w:w="1760" w:type="dxa"/>
            <w:vAlign w:val="bottom"/>
            <w:gridSpan w:val="2"/>
          </w:tcPr>
          <w:p>
            <w:pPr>
              <w:ind w:left="400"/>
              <w:spacing w:after="0"/>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4"/>
                <w:szCs w:val="14"/>
                <w:color w:val="auto"/>
              </w:rPr>
            </w:pPr>
          </w:p>
        </w:tc>
        <w:tc>
          <w:tcPr>
            <w:tcW w:w="2040" w:type="dxa"/>
            <w:vAlign w:val="bottom"/>
            <w:gridSpan w:val="2"/>
          </w:tcPr>
          <w:p>
            <w:pPr>
              <w:ind w:left="280"/>
              <w:spacing w:after="0"/>
              <w:rPr>
                <w:sz w:val="20"/>
                <w:szCs w:val="20"/>
                <w:color w:val="auto"/>
              </w:rPr>
            </w:pPr>
            <w:r>
              <w:rPr>
                <w:rFonts w:ascii="Arial" w:cs="Arial" w:eastAsia="Arial" w:hAnsi="Arial"/>
                <w:sz w:val="14"/>
                <w:szCs w:val="14"/>
                <w:b w:val="1"/>
                <w:bCs w:val="1"/>
                <w:color w:val="auto"/>
              </w:rPr>
              <w:t>Payment Date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5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6"/>
              </w:rPr>
              <w:t>December 31, 2011</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4"/>
              </w:rPr>
              <w:t>January 30, 2012</w:t>
            </w: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dividends declared during the year ended December 31, 2012, were derived from net investment income and long-term capital gains, determined on a tax basis. The dividends declared during the year ended December 31, 2011 and during the nine months ended September 30, 2013 were derived from net investment income determined on a tax basis.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w:t>
      </w:r>
    </w:p>
    <w:p>
      <w:pPr>
        <w:spacing w:after="0" w:line="9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actual consolidated capitalization of TPG Specialty Lending, Inc. at September 30, 2013; and</w:t>
      </w:r>
    </w:p>
    <w:p>
      <w:pPr>
        <w:sectPr>
          <w:pgSz w:w="11900" w:h="16838" w:orient="portrait"/>
          <w:cols w:equalWidth="0" w:num="1">
            <w:col w:w="11160"/>
          </w:cols>
          <w:pgMar w:left="240" w:top="459" w:right="499" w:bottom="1440" w:gutter="0" w:footer="0" w:header="0"/>
        </w:sectPr>
      </w:pP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consolidated capitalization of TPG Specialty Lending, Inc. at , as adjusted to reflect the assumed sale of shares of our common stock in this offering at the initial public offering price of $ per share (the mid-point of the range on the front cover of this prospectus) after deducting the underwriting discounts and commissions and estimated offering expenses of approximately $ million payable by us and application of the net proceeds as discussed in more detail under “Use of Proceeds.”</w:t>
      </w:r>
    </w:p>
    <w:p>
      <w:pPr>
        <w:spacing w:after="0" w:line="143" w:lineRule="exact"/>
        <w:rPr>
          <w:sz w:val="20"/>
          <w:szCs w:val="20"/>
          <w:color w:val="auto"/>
        </w:rPr>
      </w:pPr>
    </w:p>
    <w:p>
      <w:pPr>
        <w:sectPr>
          <w:pgSz w:w="11900" w:h="16838" w:orient="portrait"/>
          <w:cols w:equalWidth="0" w:num="2">
            <w:col w:w="640" w:space="260"/>
            <w:col w:w="10260"/>
          </w:cols>
          <w:pgMar w:left="240" w:top="459" w:right="499" w:bottom="1440" w:gutter="0" w:footer="0" w:header="0"/>
          <w:type w:val="continuous"/>
        </w:sectPr>
      </w:pPr>
    </w:p>
    <w:p>
      <w:pPr>
        <w:ind w:right="20" w:firstLine="456"/>
        <w:spacing w:after="0" w:line="268" w:lineRule="auto"/>
        <w:rPr>
          <w:sz w:val="20"/>
          <w:szCs w:val="20"/>
          <w:color w:val="auto"/>
        </w:rPr>
      </w:pPr>
      <w:r>
        <w:rPr>
          <w:rFonts w:ascii="Arial" w:cs="Arial" w:eastAsia="Arial" w:hAnsi="Arial"/>
          <w:sz w:val="18"/>
          <w:szCs w:val="18"/>
          <w:color w:val="auto"/>
        </w:rPr>
        <w:t>You should read this table together with “Use of Proceeds” and the consolidated financial statements and the related notes thereto included elsewhere in this prospectus.</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5"/>
              </w:rPr>
              <w:t>Actual</w:t>
            </w:r>
            <w:r>
              <w:rPr>
                <w:rFonts w:ascii="Arial" w:cs="Arial" w:eastAsia="Arial" w:hAnsi="Arial"/>
                <w:sz w:val="22"/>
                <w:szCs w:val="22"/>
                <w:b w:val="1"/>
                <w:bCs w:val="1"/>
                <w:color w:val="auto"/>
                <w:w w:val="95"/>
                <w:vertAlign w:val="superscript"/>
              </w:rPr>
              <w:t>(1)</w:t>
            </w:r>
          </w:p>
        </w:tc>
        <w:tc>
          <w:tcPr>
            <w:tcW w:w="240" w:type="dxa"/>
            <w:vAlign w:val="bottom"/>
          </w:tcPr>
          <w:p>
            <w:pPr>
              <w:spacing w:after="0"/>
              <w:rPr>
                <w:sz w:val="14"/>
                <w:szCs w:val="14"/>
                <w:color w:val="auto"/>
              </w:rPr>
            </w:pPr>
          </w:p>
        </w:tc>
        <w:tc>
          <w:tcPr>
            <w:tcW w:w="760" w:type="dxa"/>
            <w:vAlign w:val="bottom"/>
            <w:gridSpan w:val="2"/>
          </w:tcPr>
          <w:p>
            <w:pPr>
              <w:ind w:left="24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000" w:type="dxa"/>
            <w:vAlign w:val="bottom"/>
            <w:gridSpan w:val="3"/>
          </w:tcPr>
          <w:p>
            <w:pPr>
              <w:ind w:left="240"/>
              <w:spacing w:after="0" w:line="176" w:lineRule="exact"/>
              <w:rPr>
                <w:sz w:val="20"/>
                <w:szCs w:val="20"/>
                <w:color w:val="auto"/>
              </w:rPr>
            </w:pPr>
            <w:r>
              <w:rPr>
                <w:rFonts w:ascii="Arial" w:cs="Arial" w:eastAsia="Arial" w:hAnsi="Arial"/>
                <w:sz w:val="13"/>
                <w:szCs w:val="13"/>
                <w:b w:val="1"/>
                <w:bCs w:val="1"/>
                <w:color w:val="auto"/>
              </w:rPr>
              <w:t>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ind w:left="380"/>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Investments at fair value</w:t>
            </w:r>
          </w:p>
        </w:tc>
        <w:tc>
          <w:tcPr>
            <w:tcW w:w="39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$889,330</w:t>
            </w:r>
          </w:p>
        </w:tc>
        <w:tc>
          <w:tcPr>
            <w:tcW w:w="30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Cash and cash equivalents</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9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926,154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18"/>
                <w:szCs w:val="18"/>
                <w:color w:val="auto"/>
              </w:rPr>
              <w:t>:</w:t>
            </w: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60" w:type="dxa"/>
            <w:vAlign w:val="bottom"/>
            <w:vMerge w:val="continue"/>
          </w:tcPr>
          <w:p>
            <w:pPr>
              <w:spacing w:after="0"/>
              <w:rPr>
                <w:sz w:val="18"/>
                <w:szCs w:val="18"/>
                <w:color w:val="auto"/>
              </w:rPr>
            </w:pPr>
          </w:p>
        </w:tc>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facilities</w:t>
            </w:r>
          </w:p>
        </w:tc>
        <w:tc>
          <w:tcPr>
            <w:tcW w:w="39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$338,267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ind w:left="440"/>
              <w:spacing w:after="0"/>
              <w:rPr>
                <w:sz w:val="20"/>
                <w:szCs w:val="20"/>
                <w:color w:val="auto"/>
              </w:rPr>
            </w:pPr>
            <w:r>
              <w:rPr>
                <w:rFonts w:ascii="Arial" w:cs="Arial" w:eastAsia="Arial" w:hAnsi="Arial"/>
                <w:sz w:val="18"/>
                <w:szCs w:val="18"/>
                <w:color w:val="auto"/>
              </w:rPr>
              <w:t>Management fee payable to affiliate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Incentive fee payable to affiliate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Dividends payable</w:t>
            </w:r>
          </w:p>
        </w:tc>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39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365,065</w:t>
            </w:r>
          </w:p>
        </w:tc>
        <w:tc>
          <w:tcPr>
            <w:tcW w:w="300" w:type="dxa"/>
            <w:vAlign w:val="bottom"/>
          </w:tcPr>
          <w:p>
            <w:pPr>
              <w:spacing w:after="0"/>
              <w:rPr>
                <w:sz w:val="19"/>
                <w:szCs w:val="19"/>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r>
              <w:rPr>
                <w:rFonts w:ascii="Arial" w:cs="Arial" w:eastAsia="Arial" w:hAnsi="Arial"/>
                <w:sz w:val="18"/>
                <w:szCs w:val="18"/>
                <w:color w:val="auto"/>
              </w:rPr>
              <w:t>:</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20" w:type="dxa"/>
            <w:vAlign w:val="bottom"/>
            <w:gridSpan w:val="2"/>
          </w:tcPr>
          <w:p>
            <w:pPr>
              <w:ind w:left="440"/>
              <w:spacing w:after="0"/>
              <w:rPr>
                <w:sz w:val="20"/>
                <w:szCs w:val="20"/>
                <w:color w:val="auto"/>
              </w:rPr>
            </w:pPr>
            <w:r>
              <w:rPr>
                <w:rFonts w:ascii="Arial" w:cs="Arial" w:eastAsia="Arial" w:hAnsi="Arial"/>
                <w:sz w:val="18"/>
                <w:szCs w:val="18"/>
                <w:color w:val="auto"/>
                <w:w w:val="90"/>
              </w:rPr>
              <w:t>Preferred stock, $0.01 par value; 100,000,000 shares authorized; no shares issued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640"/>
              <w:spacing w:after="0"/>
              <w:rPr>
                <w:sz w:val="20"/>
                <w:szCs w:val="20"/>
                <w:color w:val="auto"/>
              </w:rPr>
            </w:pPr>
            <w:r>
              <w:rPr>
                <w:rFonts w:ascii="Arial" w:cs="Arial" w:eastAsia="Arial" w:hAnsi="Arial"/>
                <w:sz w:val="18"/>
                <w:szCs w:val="18"/>
                <w:color w:val="auto"/>
              </w:rPr>
              <w:t>and outstanding</w:t>
            </w:r>
          </w:p>
        </w:tc>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Common stock, par value $0.01 per share; 100,000,000 shares authorized;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36,547,515 shares issued and 36,546,516 shares outstanding, actual;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5"/>
              </w:rPr>
              <w:t>shares issued and</w:t>
            </w: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outstanding, as adjusted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545,283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stock at cost; 999 shares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ind w:left="440"/>
              <w:spacing w:after="0"/>
              <w:rPr>
                <w:sz w:val="20"/>
                <w:szCs w:val="20"/>
                <w:color w:val="auto"/>
              </w:rPr>
            </w:pPr>
            <w:r>
              <w:rPr>
                <w:rFonts w:ascii="Arial" w:cs="Arial" w:eastAsia="Arial" w:hAnsi="Arial"/>
                <w:sz w:val="18"/>
                <w:szCs w:val="18"/>
                <w:color w:val="auto"/>
              </w:rPr>
              <w:t>Undistributed net investment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(1,083)</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gains</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ind w:left="440"/>
              <w:spacing w:after="0"/>
              <w:rPr>
                <w:sz w:val="20"/>
                <w:szCs w:val="20"/>
                <w:color w:val="auto"/>
              </w:rPr>
            </w:pPr>
            <w:r>
              <w:rPr>
                <w:rFonts w:ascii="Arial" w:cs="Arial" w:eastAsia="Arial" w:hAnsi="Arial"/>
                <w:sz w:val="18"/>
                <w:szCs w:val="18"/>
                <w:color w:val="auto"/>
              </w:rPr>
              <w:t>Undistributed net unrealized gains on investments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Net Assets</w:t>
            </w:r>
          </w:p>
        </w:tc>
        <w:tc>
          <w:tcPr>
            <w:tcW w:w="39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$561,089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Liabilities and Net Assets</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926,154</w:t>
            </w:r>
          </w:p>
        </w:tc>
        <w:tc>
          <w:tcPr>
            <w:tcW w:w="30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Asset Value Per 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Common stock and additional paid-in capital as of September 30, 2013 have been adjusted to reflect the stock split. Amounts in this table do not include the shares issued under our dividend reinvestment plan on November 5, 2013.</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60"/>
          </w:cols>
          <w:pgMar w:left="240" w:top="459" w:right="49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initial public offering price per share of our common stock and the pro forma net asset value per share of our common stock immediately after the completion of this offering. The net asset value per share is determined by dividing the value of (a) total assets minus liabilities by (b) the total number of shares outstanding.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net asset value as of September 30, 2013 was approximately $561.1 million. After giving effect to the sale of shares to be sold in this offering at the</w:t>
      </w:r>
    </w:p>
    <w:p>
      <w:pPr>
        <w:spacing w:after="0" w:line="38"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initial public offering price of $ per share, the deduction of discounts and estimated expenses of this offering payable by us, and the application of the net proceeds as discussed in more detail under “Use of Proceeds,” our net asset value would have been approximately $ million, or $ per share. That net asset value represents an immediate dilution of $ per share, or %, to new investors who purchase our common stock in the offering at the initial public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offering price. The foregoing assumes no exercise of the underwriters’ option to purchase additional shares to cover over-allotments. If the underwriters’ option to</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320" w:type="dxa"/>
            <w:vAlign w:val="bottom"/>
            <w:gridSpan w:val="2"/>
          </w:tcPr>
          <w:p>
            <w:pPr>
              <w:spacing w:after="0"/>
              <w:rPr>
                <w:sz w:val="20"/>
                <w:szCs w:val="20"/>
                <w:color w:val="auto"/>
              </w:rPr>
            </w:pPr>
            <w:r>
              <w:rPr>
                <w:rFonts w:ascii="Arial" w:cs="Arial" w:eastAsia="Arial" w:hAnsi="Arial"/>
                <w:sz w:val="18"/>
                <w:szCs w:val="18"/>
                <w:color w:val="auto"/>
                <w:w w:val="90"/>
              </w:rPr>
              <w:t>purchase additional shares to cover over-allotments is exercised in full, the immediate dilution to shares sold in this offering would instead be $</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300" w:type="dxa"/>
            <w:vAlign w:val="bottom"/>
          </w:tcPr>
          <w:p>
            <w:pPr>
              <w:jc w:val="right"/>
              <w:ind w:right="4412"/>
              <w:spacing w:after="0"/>
              <w:rPr>
                <w:sz w:val="20"/>
                <w:szCs w:val="20"/>
                <w:color w:val="auto"/>
              </w:rPr>
            </w:pPr>
            <w:r>
              <w:rPr>
                <w:rFonts w:ascii="Arial" w:cs="Arial" w:eastAsia="Arial" w:hAnsi="Arial"/>
                <w:sz w:val="18"/>
                <w:szCs w:val="18"/>
                <w:color w:val="auto"/>
                <w:w w:val="95"/>
              </w:rPr>
              <w:t>The following table illustrates the dilution to the shares on a per share basis: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Net asset value per share immediately prior to this offering</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asset value per share immediately after this offering</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0"/>
              </w:rPr>
              <w:t>Dilution per share to new stockholders (without exercise of the underwriters’ option to purchase additional shares of our common stock to cover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300" w:type="dxa"/>
            <w:vAlign w:val="bottom"/>
          </w:tcPr>
          <w:p>
            <w:pPr>
              <w:jc w:val="right"/>
              <w:ind w:right="8852"/>
              <w:spacing w:after="0"/>
              <w:rPr>
                <w:sz w:val="20"/>
                <w:szCs w:val="20"/>
                <w:color w:val="auto"/>
              </w:rPr>
            </w:pPr>
            <w:r>
              <w:rPr>
                <w:rFonts w:ascii="Arial" w:cs="Arial" w:eastAsia="Arial" w:hAnsi="Arial"/>
                <w:sz w:val="18"/>
                <w:szCs w:val="18"/>
                <w:color w:val="auto"/>
              </w:rPr>
              <w:t>over-allotments)</w:t>
            </w: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0320" w:type="dxa"/>
            <w:vAlign w:val="bottom"/>
            <w:gridSpan w:val="2"/>
          </w:tcPr>
          <w:p>
            <w:pPr>
              <w:jc w:val="right"/>
              <w:ind w:right="4432"/>
              <w:spacing w:after="0"/>
              <w:rPr>
                <w:sz w:val="20"/>
                <w:szCs w:val="20"/>
                <w:color w:val="auto"/>
              </w:rPr>
            </w:pPr>
            <w:r>
              <w:rPr>
                <w:rFonts w:ascii="Arial" w:cs="Arial" w:eastAsia="Arial" w:hAnsi="Arial"/>
                <w:sz w:val="18"/>
                <w:szCs w:val="18"/>
                <w:color w:val="auto"/>
              </w:rPr>
              <w:t>48</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The selected financial data in this section is not intended to replace the consolidated financial statements and is qualified in its entirety by the consolidated financial statements and related notes included in this prospectus.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derived the selected consolidated financial data for the years ended December 31, 2012 and 2011 from our audited consolidated financial statements and related notes, which are included elsewhere in this prospectus, and have been adjusted to reflect the stock split. We derived the selected consolidated financial data for the nine months ended September 30, 2013 and 2012 from our consolidated financial statements and related notes, which are included elsewhere in this prospectus and have been adjusted to reflect the stock split. In the opinion of management, the unaudited consolidated financial statements presented include all adjustments (consisting only of normal recurring adjustments and adjustments to reflect the stock split) necessary to present fairly the information set forth therein.</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ind w:left="58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w w:val="87"/>
              </w:rPr>
              <w:t>Consolidated Statement of Operations Data:</w:t>
            </w:r>
          </w:p>
        </w:tc>
        <w:tc>
          <w:tcPr>
            <w:tcW w:w="1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20" w:type="dxa"/>
            <w:vAlign w:val="bottom"/>
            <w:tcBorders>
              <w:bottom w:val="single" w:sz="8" w:color="auto"/>
            </w:tcBorders>
            <w:vMerge w:val="continue"/>
          </w:tcPr>
          <w:p>
            <w:pPr>
              <w:spacing w:after="0"/>
              <w:rPr>
                <w:sz w:val="10"/>
                <w:szCs w:val="10"/>
                <w:color w:val="auto"/>
              </w:rPr>
            </w:pPr>
          </w:p>
        </w:tc>
        <w:tc>
          <w:tcPr>
            <w:tcW w:w="1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95"/>
              <w:spacing w:after="0" w:line="114" w:lineRule="exact"/>
              <w:rPr>
                <w:sz w:val="20"/>
                <w:szCs w:val="20"/>
                <w:color w:val="auto"/>
              </w:rPr>
            </w:pPr>
            <w:r>
              <w:rPr>
                <w:rFonts w:ascii="Arial" w:cs="Arial" w:eastAsia="Arial" w:hAnsi="Arial"/>
                <w:sz w:val="12"/>
                <w:szCs w:val="12"/>
                <w:b w:val="1"/>
                <w:bCs w:val="1"/>
                <w:color w:val="auto"/>
              </w:rPr>
              <w:t>2013</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94"/>
              <w:spacing w:after="0" w:line="114" w:lineRule="exact"/>
              <w:rPr>
                <w:sz w:val="20"/>
                <w:szCs w:val="20"/>
                <w:color w:val="auto"/>
              </w:rPr>
            </w:pPr>
            <w:r>
              <w:rPr>
                <w:rFonts w:ascii="Arial" w:cs="Arial" w:eastAsia="Arial" w:hAnsi="Arial"/>
                <w:sz w:val="12"/>
                <w:szCs w:val="12"/>
                <w:b w:val="1"/>
                <w:bCs w:val="1"/>
                <w:color w:val="auto"/>
              </w:rPr>
              <w:t>2012</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175"/>
              <w:spacing w:after="0" w:line="114" w:lineRule="exact"/>
              <w:rPr>
                <w:sz w:val="20"/>
                <w:szCs w:val="20"/>
                <w:color w:val="auto"/>
              </w:rPr>
            </w:pPr>
            <w:r>
              <w:rPr>
                <w:rFonts w:ascii="Arial" w:cs="Arial" w:eastAsia="Arial" w:hAnsi="Arial"/>
                <w:sz w:val="12"/>
                <w:szCs w:val="12"/>
                <w:b w:val="1"/>
                <w:bCs w:val="1"/>
                <w:color w:val="auto"/>
              </w:rPr>
              <w:t>2012</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194"/>
              <w:spacing w:after="0" w:line="114" w:lineRule="exact"/>
              <w:rPr>
                <w:sz w:val="20"/>
                <w:szCs w:val="20"/>
                <w:color w:val="auto"/>
              </w:rPr>
            </w:pPr>
            <w:r>
              <w:rPr>
                <w:rFonts w:ascii="Arial" w:cs="Arial" w:eastAsia="Arial" w:hAnsi="Arial"/>
                <w:sz w:val="12"/>
                <w:szCs w:val="12"/>
                <w:b w:val="1"/>
                <w:bCs w:val="1"/>
                <w:color w:val="auto"/>
              </w:rPr>
              <w:t>2011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64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Interest from investments</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63.3</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49.1</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Investment Income</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Management fees (net of waivers)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 fees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Net Expenses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Total net change in unrealized gains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realized gains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w w:val="98"/>
              </w:rPr>
              <w:t>Increase in Net Assets Resulting from Operations</w:t>
            </w: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vMerge w:val="continue"/>
          </w:tcPr>
          <w:p>
            <w:pPr>
              <w:spacing w:after="0"/>
              <w:rPr>
                <w:sz w:val="19"/>
                <w:szCs w:val="19"/>
                <w:color w:val="auto"/>
              </w:rPr>
            </w:pP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45.9</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27.1</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39.6</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Share—basic and diluted</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vMerge w:val="restart"/>
          </w:tcPr>
          <w:p>
            <w:pPr>
              <w:ind w:left="520"/>
              <w:spacing w:after="0"/>
              <w:rPr>
                <w:sz w:val="20"/>
                <w:szCs w:val="20"/>
                <w:color w:val="auto"/>
              </w:rPr>
            </w:pPr>
            <w:r>
              <w:rPr>
                <w:rFonts w:ascii="Arial" w:cs="Arial" w:eastAsia="Arial" w:hAnsi="Arial"/>
                <w:sz w:val="18"/>
                <w:szCs w:val="18"/>
                <w:color w:val="auto"/>
              </w:rPr>
              <w:t>49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8"/>
              </w:rPr>
              <w:t>Nine Months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w w:val="85"/>
              </w:rPr>
              <w:t>Consolidated Balance Sheet Data</w:t>
            </w:r>
          </w:p>
        </w:tc>
        <w:tc>
          <w:tcPr>
            <w:tcW w:w="4040" w:type="dxa"/>
            <w:vAlign w:val="bottom"/>
            <w:vMerge w:val="restart"/>
          </w:tcPr>
          <w:p>
            <w:pPr>
              <w:jc w:val="right"/>
              <w:ind w:right="3962"/>
              <w:spacing w:after="0"/>
              <w:rPr>
                <w:sz w:val="20"/>
                <w:szCs w:val="20"/>
                <w:color w:val="auto"/>
              </w:rPr>
            </w:pPr>
            <w:r>
              <w:rPr>
                <w:rFonts w:ascii="Arial" w:cs="Arial" w:eastAsia="Arial" w:hAnsi="Arial"/>
                <w:sz w:val="8"/>
                <w:szCs w:val="8"/>
                <w:b w:val="1"/>
                <w:bCs w:val="1"/>
                <w:color w:val="auto"/>
                <w:w w:val="73"/>
              </w:rPr>
              <w:t>:</w:t>
            </w:r>
          </w:p>
        </w:tc>
        <w:tc>
          <w:tcPr>
            <w:tcW w:w="40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940" w:type="dxa"/>
            <w:vAlign w:val="bottom"/>
          </w:tcPr>
          <w:p>
            <w:pPr>
              <w:spacing w:after="0"/>
              <w:rPr>
                <w:sz w:val="11"/>
                <w:szCs w:val="11"/>
                <w:color w:val="auto"/>
              </w:rPr>
            </w:pPr>
          </w:p>
        </w:tc>
        <w:tc>
          <w:tcPr>
            <w:tcW w:w="1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6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Borders>
              <w:bottom w:val="single" w:sz="8" w:color="auto"/>
            </w:tcBorders>
            <w:vMerge w:val="continue"/>
          </w:tcPr>
          <w:p>
            <w:pPr>
              <w:spacing w:after="0"/>
              <w:rPr>
                <w:sz w:val="10"/>
                <w:szCs w:val="10"/>
                <w:color w:val="auto"/>
              </w:rPr>
            </w:pPr>
          </w:p>
        </w:tc>
        <w:tc>
          <w:tcPr>
            <w:tcW w:w="40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ind w:right="75"/>
              <w:spacing w:after="0" w:line="114" w:lineRule="exact"/>
              <w:rPr>
                <w:sz w:val="20"/>
                <w:szCs w:val="20"/>
                <w:color w:val="auto"/>
              </w:rPr>
            </w:pPr>
            <w:r>
              <w:rPr>
                <w:rFonts w:ascii="Arial" w:cs="Arial" w:eastAsia="Arial" w:hAnsi="Arial"/>
                <w:sz w:val="12"/>
                <w:szCs w:val="12"/>
                <w:b w:val="1"/>
                <w:bCs w:val="1"/>
                <w:color w:val="auto"/>
                <w:w w:val="97"/>
              </w:rPr>
              <w:t>2013</w:t>
            </w: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Pr>
          <w:p>
            <w:pPr>
              <w:jc w:val="right"/>
              <w:ind w:right="1055"/>
              <w:spacing w:after="0" w:line="114" w:lineRule="exact"/>
              <w:rPr>
                <w:sz w:val="20"/>
                <w:szCs w:val="20"/>
                <w:color w:val="auto"/>
              </w:rPr>
            </w:pPr>
            <w:r>
              <w:rPr>
                <w:rFonts w:ascii="Arial" w:cs="Arial" w:eastAsia="Arial" w:hAnsi="Arial"/>
                <w:sz w:val="12"/>
                <w:szCs w:val="12"/>
                <w:b w:val="1"/>
                <w:bCs w:val="1"/>
                <w:color w:val="auto"/>
              </w:rPr>
              <w:t>2012</w:t>
            </w:r>
          </w:p>
        </w:tc>
        <w:tc>
          <w:tcPr>
            <w:tcW w:w="240" w:type="dxa"/>
            <w:vAlign w:val="bottom"/>
          </w:tcPr>
          <w:p>
            <w:pPr>
              <w:spacing w:after="0"/>
              <w:rPr>
                <w:sz w:val="10"/>
                <w:szCs w:val="10"/>
                <w:color w:val="auto"/>
              </w:rPr>
            </w:pPr>
          </w:p>
        </w:tc>
        <w:tc>
          <w:tcPr>
            <w:tcW w:w="620" w:type="dxa"/>
            <w:vAlign w:val="bottom"/>
          </w:tcPr>
          <w:p>
            <w:pPr>
              <w:jc w:val="right"/>
              <w:ind w:right="174"/>
              <w:spacing w:after="0" w:line="114" w:lineRule="exact"/>
              <w:rPr>
                <w:sz w:val="20"/>
                <w:szCs w:val="20"/>
                <w:color w:val="auto"/>
              </w:rPr>
            </w:pPr>
            <w:r>
              <w:rPr>
                <w:rFonts w:ascii="Arial" w:cs="Arial" w:eastAsia="Arial" w:hAnsi="Arial"/>
                <w:sz w:val="12"/>
                <w:szCs w:val="12"/>
                <w:b w:val="1"/>
                <w:bCs w:val="1"/>
                <w:color w:val="auto"/>
              </w:rPr>
              <w:t>2011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5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9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161.8</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653.9</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926.2</w:t>
            </w:r>
          </w:p>
        </w:tc>
        <w:tc>
          <w:tcPr>
            <w:tcW w:w="9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833.1</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331.8</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365.1</w:t>
            </w:r>
          </w:p>
        </w:tc>
        <w:tc>
          <w:tcPr>
            <w:tcW w:w="9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353.3</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479.8</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Net Asset Value Per Share</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15.35</w:t>
            </w:r>
          </w:p>
        </w:tc>
        <w:tc>
          <w:tcPr>
            <w:tcW w:w="9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15.19</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4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Number of Portfolio Companies at Period End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 Investments Funded during the Period</w:t>
            </w:r>
            <w:r>
              <w:rPr>
                <w:rFonts w:ascii="Arial" w:cs="Arial" w:eastAsia="Arial" w:hAnsi="Arial"/>
                <w:sz w:val="11"/>
                <w:szCs w:val="11"/>
                <w:color w:val="auto"/>
              </w:rPr>
              <w:t>(1)</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760.7</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Average Total Investment in New Portfolio Companies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28.2</w:t>
            </w:r>
          </w:p>
        </w:tc>
        <w:tc>
          <w:tcPr>
            <w:tcW w:w="9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34.5</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1"/>
                <w:szCs w:val="11"/>
                <w:color w:val="auto"/>
              </w:rPr>
              <w:t>(2)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500" w:type="dxa"/>
            <w:vAlign w:val="bottom"/>
          </w:tcPr>
          <w:p>
            <w:pPr>
              <w:jc w:val="right"/>
              <w:ind w:right="635"/>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Yield of Debt and Income Producing Securities at Fair Value</w:t>
            </w:r>
            <w:r>
              <w:rPr>
                <w:rFonts w:ascii="Arial" w:cs="Arial" w:eastAsia="Arial" w:hAnsi="Arial"/>
                <w:sz w:val="11"/>
                <w:szCs w:val="11"/>
                <w:color w:val="auto"/>
              </w:rPr>
              <w:t>(3)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w w:val="94"/>
              </w:rPr>
              <w:t>Weighted Average Yield of Debt and Income Producing Securities at Amortized Cost</w:t>
            </w:r>
            <w:r>
              <w:rPr>
                <w:rFonts w:ascii="Arial" w:cs="Arial" w:eastAsia="Arial" w:hAnsi="Arial"/>
                <w:sz w:val="11"/>
                <w:szCs w:val="11"/>
                <w:color w:val="auto"/>
                <w:w w:val="94"/>
              </w:rPr>
              <w:t>(3)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1500" w:type="dxa"/>
            <w:vAlign w:val="bottom"/>
          </w:tcPr>
          <w:p>
            <w:pPr>
              <w:jc w:val="right"/>
              <w:ind w:right="635"/>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of investments funded includes amounts funded on term loans and revolving credit facilities, but not amounts subsequently repaid by borrowers during the period.</w:t>
      </w:r>
    </w:p>
    <w:p>
      <w:pPr>
        <w:spacing w:after="0" w:line="50" w:lineRule="exact"/>
        <w:rPr>
          <w:rFonts w:ascii="Arial" w:cs="Arial" w:eastAsia="Arial" w:hAnsi="Arial"/>
          <w:sz w:val="18"/>
          <w:szCs w:val="18"/>
          <w:color w:val="auto"/>
        </w:rPr>
      </w:pPr>
    </w:p>
    <w:p>
      <w:pPr>
        <w:ind w:left="460" w:hanging="452"/>
        <w:spacing w:after="0" w:line="289"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Generally accepted accounting principles in the United States, or U.S. GAAP, requires that total return be calculated as the change in net asset value per share during the period plus declared dividends per share, divided by the beginning net asset value per share. For the year ended December 31, 2011, calculating total return in this manner does not adjust for the effect of the initial seed funding as part of our formation (at $0.01 per share) and accordingly the information is not meaningful. Excluding the effect of the initial seed funding, total return for the period July 1, 2011 through December 31, 2011 would be (1.58%). Our total return set forth in the table above reflects the Adviser’s waiver of its right to receive a portion of the Management Fee prior to this IPO. Following this IPO, the Adviser does not intend to waive its right to receive the full Management Fee. The Management Fee, excluding the effects of the waiver, would have been $9.7 million, $8.9 million and $1.6 million for the nine months ended September 30, 2013 and the years ended December 31, 2012 and December 31, 2011, respectively.</w:t>
      </w:r>
    </w:p>
    <w:p>
      <w:pPr>
        <w:spacing w:after="0" w:line="37" w:lineRule="exact"/>
        <w:rPr>
          <w:rFonts w:ascii="Arial" w:cs="Arial" w:eastAsia="Arial" w:hAnsi="Arial"/>
          <w:sz w:val="16"/>
          <w:szCs w:val="16"/>
          <w:color w:val="auto"/>
        </w:rPr>
      </w:pPr>
    </w:p>
    <w:p>
      <w:pPr>
        <w:ind w:left="460" w:right="240" w:hanging="452"/>
        <w:spacing w:after="0" w:line="284"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Weighted average yield on debt and income-producing securities at fair value is computed as (a) the annual stated interest rate or yield earned plus additional interest, if any, as a result of arrangements for each period between us and other lenders in any syndication plus the net annual amortization of original issue discount and market discount earned on accruing debt and income-producing securities for investments made in the period, divided by</w:t>
      </w:r>
    </w:p>
    <w:p>
      <w:pPr>
        <w:spacing w:after="0" w:line="1" w:lineRule="exact"/>
        <w:rPr>
          <w:rFonts w:ascii="Arial" w:cs="Arial" w:eastAsia="Arial" w:hAnsi="Arial"/>
          <w:sz w:val="16"/>
          <w:szCs w:val="16"/>
          <w:color w:val="auto"/>
        </w:rPr>
      </w:pPr>
    </w:p>
    <w:p>
      <w:pPr>
        <w:ind w:left="460" w:right="60" w:hanging="6"/>
        <w:spacing w:after="0" w:line="300" w:lineRule="auto"/>
        <w:tabs>
          <w:tab w:leader="none" w:pos="709" w:val="left"/>
        </w:tabs>
        <w:numPr>
          <w:ilvl w:val="1"/>
          <w:numId w:val="37"/>
        </w:numPr>
        <w:rPr>
          <w:rFonts w:ascii="Arial" w:cs="Arial" w:eastAsia="Arial" w:hAnsi="Arial"/>
          <w:sz w:val="15"/>
          <w:szCs w:val="15"/>
          <w:color w:val="auto"/>
        </w:rPr>
      </w:pPr>
      <w:r>
        <w:rPr>
          <w:rFonts w:ascii="Arial" w:cs="Arial" w:eastAsia="Arial" w:hAnsi="Arial"/>
          <w:sz w:val="15"/>
          <w:szCs w:val="15"/>
          <w:color w:val="auto"/>
        </w:rPr>
        <w:t>total debt and income-producing securities at fair value. Weighted average yield on debt and income-producing securities at amortized cost is computed as (a)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w:t>
      </w:r>
    </w:p>
    <w:p>
      <w:pPr>
        <w:spacing w:after="0" w:line="1" w:lineRule="exact"/>
        <w:rPr>
          <w:rFonts w:ascii="Arial" w:cs="Arial" w:eastAsia="Arial" w:hAnsi="Arial"/>
          <w:sz w:val="15"/>
          <w:szCs w:val="15"/>
          <w:color w:val="auto"/>
        </w:rPr>
      </w:pPr>
    </w:p>
    <w:p>
      <w:pPr>
        <w:ind w:left="700" w:hanging="246"/>
        <w:spacing w:after="0"/>
        <w:tabs>
          <w:tab w:leader="none" w:pos="7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total debt and income-producing securities at amortized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two wholly owned subsidiaries, TC Lending, LLC, a Delaware limited liability company, which holds a California finance lender and broker license, and TPG SL SPV, LLC, a Delaware limited liability company, in which we hold assets to support our asset-backed credit facility. We make our investments either directly or through our wholly owned subsidiaries. Our results reflect our ramp-up of initial investments, which is now complete, as well as the ongoing measured growth of our portfolio of investments.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1"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we have originated more than $2.0 billion aggregate principal amount of investments and retained more than $1.3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September 30, 2013, our borrowers had a weighted average annual revenue of $194 million and weighted average annual EBITDA of $35 million.</w:t>
      </w:r>
    </w:p>
    <w:p>
      <w:pPr>
        <w:spacing w:after="0" w:line="14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our average investment in each of our portfolio companies was $36 million.</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expect that no single investment will represent more than 15% of our total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investment portfolio, based on fair value. The debt in which we invest typically is not rated by any rating agency, but if these instruments were rated, they would likely receive a rating of below investment grade (that is, below BBB- or Baa3).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our Adviser, we consider potential investments utilizing a four-tiered investment framework and against our existing portfolio as a whole:</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no industry represented more than 16% of our portfolio based on fair value.</w:t>
      </w:r>
    </w:p>
    <w:p>
      <w:pPr>
        <w:spacing w:after="0" w:line="17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Investment Structuring. </w:t>
      </w:r>
      <w:r>
        <w:rPr>
          <w:rFonts w:ascii="Arial" w:cs="Arial" w:eastAsia="Arial" w:hAnsi="Arial"/>
          <w:sz w:val="18"/>
          <w:szCs w:val="18"/>
          <w:color w:val="auto"/>
        </w:rPr>
        <w:t>We focus on investing at the top of the capital structure and protecting that position. As of September 30, 2013,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99.8% of the fair value of our portfolio was invested in secured debt, including 90.4% in first-lien debt.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nine months ended September 30, 2013, the weighted average term on new investment commitments was 4.7 years.</w:t>
      </w:r>
    </w:p>
    <w:p>
      <w:pPr>
        <w:spacing w:after="0" w:line="14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 transaction.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2013, a substantial majority of our portfolio investments were sourced through our direct or proprietary relationships.</w:t>
      </w:r>
    </w:p>
    <w:p>
      <w:pPr>
        <w:spacing w:after="0" w:line="8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Based on fair value as of September 30, 2013, we had call protection on 94.0% of our portfolio, with weighted average call prices of 106.8% for one year, 103.6% for two years and 101.4% for the third year, in each case from the date of the initial investment. Based on fair value as of September 30, 2013, 98.7% of our debt investments bore interest at floating rates, which we believe helps act as a portfolio-wide hedge against inflation.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4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We expect that TSSP and TPG will refer all middle-market loan origination activities for companies domiciled in the United States to us and conduct those activities through us, unless it would not be permissible, advisable or otherwise appropriate for us to pursue a particular investment opportunity.</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the SEC grants the exemptive relief we have requested, our affiliates may be able to co-invest with us, subject to our expected first priority described above for middle-market loan originations in the United States. We believe that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the Incentive Fee.</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administration fees. Our debt investments typically have a term of two to six years, and, based on fair value as of September 30, 2013, 98.7% currently bear interest at a floating rate. Interest on debt securities is generally payable quarterly or semiannually. In some cases, some of our investments provide for deferred interest payments or PIK interest.</w:t>
      </w:r>
    </w:p>
    <w:p>
      <w:pPr>
        <w:spacing w:after="0" w:line="9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significantly. We record prepayment premiums on loans as interest income. We also may generate revenue in the form of commitment, amendment, structuring, syndication, prepayment or due diligence fees, fees for providing managerial assistance and consulting fees.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59"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right="80" w:hanging="325"/>
        <w:spacing w:after="0" w:line="306"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25" w:lineRule="exact"/>
        <w:rPr>
          <w:rFonts w:ascii="Arial" w:cs="Arial" w:eastAsia="Arial" w:hAnsi="Arial"/>
          <w:sz w:val="16"/>
          <w:szCs w:val="16"/>
          <w:color w:val="auto"/>
        </w:rPr>
      </w:pPr>
    </w:p>
    <w:p>
      <w:pPr>
        <w:ind w:left="900" w:right="14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the Revolving Credit and Security Agreement between our wholly owned subsidiary, TPG SL SPV, LLC and Natixis, which we refer to as the Revolving Credit Facility (Natixis).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40" w:lineRule="exact"/>
        <w:rPr>
          <w:sz w:val="20"/>
          <w:szCs w:val="20"/>
          <w:color w:val="auto"/>
        </w:rPr>
      </w:pPr>
    </w:p>
    <w:p>
      <w:pPr>
        <w:ind w:right="420" w:firstLine="456"/>
        <w:spacing w:after="0" w:line="323" w:lineRule="auto"/>
        <w:rPr>
          <w:sz w:val="20"/>
          <w:szCs w:val="20"/>
          <w:color w:val="auto"/>
        </w:rPr>
      </w:pPr>
      <w:r>
        <w:rPr>
          <w:rFonts w:ascii="Arial" w:cs="Arial" w:eastAsia="Arial" w:hAnsi="Arial"/>
          <w:sz w:val="15"/>
          <w:szCs w:val="15"/>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fair value as of September 30, 2013, our portfolio consisted of 90.4% first-lien debt, 9.4% second-lien debt and 0.2% equity securities.</w:t>
      </w:r>
    </w:p>
    <w:p>
      <w:pPr>
        <w:spacing w:after="0" w:line="19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Based on fair value as of December 31, 2012, our portfolio consisted of 89.0% first-lien debt, 10.7% second-lien debt and 0.3% equity securities. As of September 30, 2013 and December 31, 2012, our income-producing assets had a weighted average interest rate (which excludes income resulting from amortization of fees and discounts) of 10.1% and 10.0%, respectively, and a weighted average interest yield at amortized cost, (which includes interest income and amortization of fees and discounts) of 10.6% and 10.7%,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As of September 30, 2013 and December 31, 2012, we had investments in 25 and 21 portfolio companies, respectively, with an aggregate fair value of $889.3 million and $653.9 million, respectively. During the nine months ended September 30, 2013, we invested $352.6 million aggregate principal amount in eleven new portfolio companies and invested $53.1 million aggregate principal amount in ten existing portfolio companies. During this period, we had $160.4 million aggregate principal amount in exits and repayments resulting in net portfolio growth of $245.3 million aggregate principal amount.</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year ended December 31, 2012, we invested $553.6 million aggregate principal amount in 19 new portfolio companies and invested $127.0 million aggregate principal amount in 13 existing portfolio companies. During this period, we had $200.7 million in aggregate principal amount in exits and repayments resulting in net portfolio growth of $479.9 million aggregate principal amount. For the year ended December 31, 2011, we invested $191.1 million aggregate principal amount in seven new portfolio companies and had no repayments.</w:t>
      </w:r>
    </w:p>
    <w:p>
      <w:pPr>
        <w:spacing w:after="0" w:line="143"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Our investment activity for the nine months ended September 30, 2013 and for the years ended December 31, 2012 and 2011 is presented below (information presented herein is at amortized cost unless otherwise indicated).</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Nine Months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2013</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investment commitments: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Gross originations</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634.6</w:t>
            </w:r>
          </w:p>
        </w:tc>
        <w:tc>
          <w:tcPr>
            <w:tcW w:w="54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1,073.5</w:t>
            </w:r>
          </w:p>
        </w:tc>
        <w:tc>
          <w:tcPr>
            <w:tcW w:w="8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syndications/sell downs</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tcPr>
          <w:p>
            <w:pPr>
              <w:ind w:left="880"/>
              <w:spacing w:after="0"/>
              <w:rPr>
                <w:sz w:val="20"/>
                <w:szCs w:val="20"/>
                <w:color w:val="auto"/>
              </w:rPr>
            </w:pPr>
            <w:r>
              <w:rPr>
                <w:rFonts w:ascii="Arial" w:cs="Arial" w:eastAsia="Arial" w:hAnsi="Arial"/>
                <w:sz w:val="18"/>
                <w:szCs w:val="18"/>
                <w:color w:val="auto"/>
              </w:rPr>
              <w:t>Total new investment commitments</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417.4</w:t>
            </w:r>
          </w:p>
        </w:tc>
        <w:tc>
          <w:tcPr>
            <w:tcW w:w="540" w:type="dxa"/>
            <w:vAlign w:val="bottom"/>
          </w:tcPr>
          <w:p>
            <w:pPr>
              <w:spacing w:after="0"/>
              <w:rPr>
                <w:sz w:val="19"/>
                <w:szCs w:val="19"/>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713.3</w:t>
            </w:r>
          </w:p>
        </w:tc>
        <w:tc>
          <w:tcPr>
            <w:tcW w:w="88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First-lien</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354.3</w:t>
            </w:r>
          </w:p>
        </w:tc>
        <w:tc>
          <w:tcPr>
            <w:tcW w:w="54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603.9</w:t>
            </w:r>
          </w:p>
        </w:tc>
        <w:tc>
          <w:tcPr>
            <w:tcW w:w="8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Mezzanine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tcPr>
          <w:p>
            <w:pPr>
              <w:ind w:left="880"/>
              <w:spacing w:after="0"/>
              <w:rPr>
                <w:sz w:val="20"/>
                <w:szCs w:val="20"/>
                <w:color w:val="auto"/>
              </w:rPr>
            </w:pPr>
            <w:r>
              <w:rPr>
                <w:rFonts w:ascii="Arial" w:cs="Arial" w:eastAsia="Arial" w:hAnsi="Arial"/>
                <w:sz w:val="18"/>
                <w:szCs w:val="18"/>
                <w:color w:val="auto"/>
              </w:rPr>
              <w:t>Total</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405.7</w:t>
            </w:r>
          </w:p>
        </w:tc>
        <w:tc>
          <w:tcPr>
            <w:tcW w:w="540" w:type="dxa"/>
            <w:vAlign w:val="bottom"/>
          </w:tcPr>
          <w:p>
            <w:pPr>
              <w:spacing w:after="0"/>
              <w:rPr>
                <w:sz w:val="19"/>
                <w:szCs w:val="19"/>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680.6</w:t>
            </w:r>
          </w:p>
        </w:tc>
        <w:tc>
          <w:tcPr>
            <w:tcW w:w="88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First-lien</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141.7</w:t>
            </w:r>
          </w:p>
        </w:tc>
        <w:tc>
          <w:tcPr>
            <w:tcW w:w="54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168.6</w:t>
            </w:r>
          </w:p>
        </w:tc>
        <w:tc>
          <w:tcPr>
            <w:tcW w:w="8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Mezzanine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new investment commitments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34.1</w:t>
            </w:r>
          </w:p>
        </w:tc>
        <w:tc>
          <w:tcPr>
            <w:tcW w:w="54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30.6</w:t>
            </w:r>
          </w:p>
        </w:tc>
        <w:tc>
          <w:tcPr>
            <w:tcW w:w="8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Weighted average term for new investment</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commitments (in years)</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b w:val="1"/>
                <w:bCs w:val="1"/>
                <w:color w:val="auto"/>
                <w:w w:val="99"/>
              </w:rPr>
              <w:t>Percentage of new debt investment commitments at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floating rates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672"/>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Percentage of new debt investment commitments at</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fixed rates</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December 31, 2012 and December 31, 2011, our investments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 2013</w:t>
            </w:r>
          </w:p>
        </w:tc>
        <w:tc>
          <w:tcPr>
            <w:tcW w:w="17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4"/>
                <w:szCs w:val="14"/>
                <w:color w:val="auto"/>
              </w:rPr>
            </w:pP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0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Fair</w:t>
            </w:r>
          </w:p>
        </w:tc>
        <w:tc>
          <w:tcPr>
            <w:tcW w:w="4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Amortized</w:t>
            </w:r>
          </w:p>
        </w:tc>
        <w:tc>
          <w:tcPr>
            <w:tcW w:w="420" w:type="dxa"/>
            <w:vAlign w:val="bottom"/>
          </w:tcPr>
          <w:p>
            <w:pPr>
              <w:spacing w:after="0"/>
              <w:rPr>
                <w:sz w:val="11"/>
                <w:szCs w:val="11"/>
                <w:color w:val="auto"/>
              </w:rPr>
            </w:pPr>
          </w:p>
        </w:tc>
        <w:tc>
          <w:tcPr>
            <w:tcW w:w="50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rPr>
              <w:t>Fair</w:t>
            </w:r>
          </w:p>
        </w:tc>
        <w:tc>
          <w:tcPr>
            <w:tcW w:w="4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Fair</w:t>
            </w: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2380" w:type="dxa"/>
            <w:vAlign w:val="bottom"/>
          </w:tcPr>
          <w:p>
            <w:pPr>
              <w:spacing w:after="0"/>
              <w:rPr>
                <w:sz w:val="14"/>
                <w:szCs w:val="14"/>
                <w:color w:val="auto"/>
              </w:rPr>
            </w:pPr>
          </w:p>
        </w:tc>
        <w:tc>
          <w:tcPr>
            <w:tcW w:w="500" w:type="dxa"/>
            <w:vAlign w:val="bottom"/>
          </w:tcPr>
          <w:p>
            <w:pPr>
              <w:jc w:val="right"/>
              <w:ind w:right="2"/>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42"/>
        </w:trPr>
        <w:tc>
          <w:tcPr>
            <w:tcW w:w="348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First-lien</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805.4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$582.3</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575.1</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Second-lien</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66.4</w:t>
            </w:r>
          </w:p>
        </w:tc>
        <w:tc>
          <w:tcPr>
            <w:tcW w:w="500" w:type="dxa"/>
            <w:vAlign w:val="bottom"/>
          </w:tcPr>
          <w:p>
            <w:pPr>
              <w:jc w:val="right"/>
              <w:spacing w:after="0"/>
              <w:rPr>
                <w:sz w:val="20"/>
                <w:szCs w:val="20"/>
                <w:color w:val="auto"/>
              </w:rPr>
            </w:pPr>
            <w:r>
              <w:rPr>
                <w:rFonts w:ascii="Arial" w:cs="Arial" w:eastAsia="Arial" w:hAnsi="Arial"/>
                <w:sz w:val="18"/>
                <w:szCs w:val="18"/>
                <w:color w:val="auto"/>
              </w:rPr>
              <w:t>69.6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67.3</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Mezzanine</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Equity</w:t>
            </w:r>
          </w:p>
        </w:tc>
        <w:tc>
          <w:tcPr>
            <w:tcW w:w="2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889.3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874.6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653.9</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644.4</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38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amortized cost of our performing and non-accrual investments as September 30, 2013, December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6"/>
              </w:rPr>
              <w:t>September 30, 2013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9"/>
              </w:rPr>
              <w:t>December 31, 2012</w:t>
            </w:r>
          </w:p>
        </w:tc>
        <w:tc>
          <w:tcPr>
            <w:tcW w:w="140" w:type="dxa"/>
            <w:vAlign w:val="bottom"/>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9"/>
              </w:rPr>
              <w:t>December 31, 2011</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Amortized</w:t>
            </w:r>
          </w:p>
        </w:tc>
        <w:tc>
          <w:tcPr>
            <w:tcW w:w="6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4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Amortized</w:t>
            </w: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2"/>
              </w:rPr>
              <w:t>Percentage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00"/>
              <w:spacing w:after="0"/>
              <w:rPr>
                <w:sz w:val="20"/>
                <w:szCs w:val="20"/>
                <w:color w:val="auto"/>
              </w:rPr>
            </w:pPr>
            <w:r>
              <w:rPr>
                <w:rFonts w:ascii="Arial" w:cs="Arial" w:eastAsia="Arial" w:hAnsi="Arial"/>
                <w:sz w:val="14"/>
                <w:szCs w:val="14"/>
                <w:b w:val="1"/>
                <w:bCs w:val="1"/>
                <w:color w:val="auto"/>
                <w:w w:val="96"/>
              </w:rPr>
              <w:t>Cost</w:t>
            </w:r>
          </w:p>
        </w:tc>
        <w:tc>
          <w:tcPr>
            <w:tcW w:w="46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8"/>
              </w:rPr>
              <w:t>874.6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182.0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Non-accrual</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480" w:type="dxa"/>
            <w:vAlign w:val="bottom"/>
          </w:tcPr>
          <w:p>
            <w:pPr>
              <w:jc w:val="center"/>
              <w:ind w:left="6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874.6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182.0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98"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 See “—Critical Accounting Policies—Interest and Dividend Income Recognition.”</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weighted average yields and interest rates of our debt investments at fair value as of September 30, 2013 and December 31, 2012 and 2011,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32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84"/>
              </w:rPr>
              <w:t>September 30, 2013</w:t>
            </w:r>
          </w:p>
        </w:tc>
        <w:tc>
          <w:tcPr>
            <w:tcW w:w="230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85"/>
              </w:rPr>
              <w:t>December 31, 2012</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Weighted average total yield on investments</w:t>
            </w:r>
          </w:p>
        </w:tc>
        <w:tc>
          <w:tcPr>
            <w:tcW w:w="112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shd w:val="clear" w:color="auto" w:fill="CCEEFF"/>
          </w:tcPr>
          <w:p>
            <w:pPr>
              <w:spacing w:after="0"/>
              <w:rPr>
                <w:sz w:val="18"/>
                <w:szCs w:val="18"/>
                <w:color w:val="auto"/>
              </w:rPr>
            </w:pPr>
          </w:p>
        </w:tc>
        <w:tc>
          <w:tcPr>
            <w:tcW w:w="23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10.4%</w:t>
            </w:r>
          </w:p>
        </w:tc>
        <w:tc>
          <w:tcPr>
            <w:tcW w:w="23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Weighted average interest rate on investments</w:t>
            </w:r>
          </w:p>
        </w:tc>
        <w:tc>
          <w:tcPr>
            <w:tcW w:w="2320" w:type="dxa"/>
            <w:vAlign w:val="bottom"/>
            <w:gridSpan w:val="2"/>
          </w:tcPr>
          <w:p>
            <w:pPr>
              <w:jc w:val="right"/>
              <w:ind w:right="1040"/>
              <w:spacing w:after="0"/>
              <w:rPr>
                <w:sz w:val="20"/>
                <w:szCs w:val="20"/>
                <w:color w:val="auto"/>
              </w:rPr>
            </w:pPr>
            <w:r>
              <w:rPr>
                <w:rFonts w:ascii="Arial" w:cs="Arial" w:eastAsia="Arial" w:hAnsi="Arial"/>
                <w:sz w:val="18"/>
                <w:szCs w:val="18"/>
                <w:color w:val="auto"/>
              </w:rPr>
              <w:t>10.1%</w:t>
            </w:r>
          </w:p>
        </w:tc>
        <w:tc>
          <w:tcPr>
            <w:tcW w:w="2300" w:type="dxa"/>
            <w:vAlign w:val="bottom"/>
            <w:gridSpan w:val="2"/>
          </w:tcPr>
          <w:p>
            <w:pPr>
              <w:jc w:val="right"/>
              <w:ind w:right="106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spread over LIBOR of all floating rate</w:t>
            </w: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23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8.8%</w:t>
            </w:r>
          </w:p>
        </w:tc>
        <w:tc>
          <w:tcPr>
            <w:tcW w:w="23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results for the nine months ended September 30, 2013 and 2012 and the years ended December 31, 2012 and 2011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7"/>
              </w:rPr>
              <w:t>Nine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2013</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expenses</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(loss) before income taxes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Income taxes, including excise taxes</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realized gains on investments</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r>
              <w:rPr>
                <w:rFonts w:ascii="Arial" w:cs="Arial" w:eastAsia="Arial" w:hAnsi="Arial"/>
                <w:sz w:val="11"/>
                <w:szCs w:val="11"/>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45.9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3"/>
              </w:rPr>
              <w:t>2013</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Dividend income</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80" w:type="dxa"/>
            <w:vAlign w:val="bottom"/>
          </w:tcPr>
          <w:p>
            <w:pPr>
              <w:ind w:left="440"/>
              <w:spacing w:after="0"/>
              <w:rPr>
                <w:sz w:val="20"/>
                <w:szCs w:val="20"/>
                <w:color w:val="auto"/>
              </w:rPr>
            </w:pPr>
            <w:r>
              <w:rPr>
                <w:rFonts w:ascii="Arial" w:cs="Arial" w:eastAsia="Arial" w:hAnsi="Arial"/>
                <w:sz w:val="18"/>
                <w:szCs w:val="18"/>
                <w:color w:val="auto"/>
              </w:rPr>
              <w:t>Total investment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65.0</w:t>
            </w:r>
          </w:p>
        </w:tc>
        <w:tc>
          <w:tcPr>
            <w:tcW w:w="6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32.8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51.0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Interest from investments increased from $32.5 million for the nine months ended September 30, 2012 to $63.3 million for the nine months ended September 30, 2013, primarily due to the increase in the size of the portfolio. The average size of our total investment portfolio at fair value increased from $358 million during the nine months ended September 30, 2012 to $739 million during the nine months ended September 30, 2013. There was no dividend income in the nine months ended September 30, 2013 and 2012. In addition, there was an increase of $2.2 million in prepayment fees for the nine months ended September 30, 2013 compared to the prior period. These prepayment fees resulted from full or partial paydowns on four portfolio investments. Other income increased from $0.3 million for the nine months ended September 30, 2012 to $1.7 million for the nine months ended September 30, 2013, primarily due to higher syndication, amendment and agency fees earned during 2013.</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Interest from investments increased from $5.3 million for the year ended December 31, 2011 to $49.1 million for the year ended December 31, 2012 primarily due to the increase in the size of the portfolio. The average size of our total investment portfolio at fair value increased from $57 million during the year ended December 31, 2011 to $417 million during the year ended December 31, 2012. There was no dividend income in the year ended December 31, 2011. Dividend income was $1.2 million for the year ended December 31, 2012 due to the receipt of a dividend in the fourth quarter of 2012 from a non-controlled, affiliated investment. In addition, there was an increase of $0.9 million in prepayment fees for the year ended December 31, 2012 compared to the prior year. These prepayment fees resulted from full paydowns on two portfolio investments. There was no other income in the year ended December 31, 2011. Other income for the year ended December 31, 2012 was $0.7 million primarily due to higher amendment, syndication and agency fees earned during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30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2013</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vMerge w:val="continue"/>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Initial organization</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(net of waivers)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Arial" w:cs="Arial" w:eastAsia="Arial" w:hAnsi="Arial"/>
                <w:sz w:val="18"/>
                <w:szCs w:val="18"/>
                <w:color w:val="auto"/>
              </w:rPr>
              <w:t>Incentive fees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20"/>
              <w:spacing w:after="0"/>
              <w:rPr>
                <w:sz w:val="20"/>
                <w:szCs w:val="20"/>
                <w:color w:val="auto"/>
              </w:rPr>
            </w:pPr>
            <w:r>
              <w:rPr>
                <w:rFonts w:ascii="Arial" w:cs="Arial" w:eastAsia="Arial" w:hAnsi="Arial"/>
                <w:sz w:val="18"/>
                <w:szCs w:val="18"/>
                <w:color w:val="auto"/>
              </w:rPr>
              <w:t>Pre-incentive fee net investment income</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gains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Professional fees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Expenses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040" w:type="dxa"/>
            <w:vAlign w:val="bottom"/>
            <w:vMerge w:val="restart"/>
          </w:tcPr>
          <w:p>
            <w:pPr>
              <w:jc w:val="right"/>
              <w:ind w:right="1492"/>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for the nine months ended September 30, 2013 and 2012 and the years ended December 31, 2012 and 2011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9"/>
              </w:rPr>
              <w:t>2013</w:t>
            </w: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2012</w:t>
            </w: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2012</w:t>
            </w: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Commitment fees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Stated interest expense increased from $2.1 million for the nine months ended September 30, 2012 to $4.7 million for the nine months ended September 30, 2013. This increase was primarily due to an increase in the weighted average debt outstanding from $92 million for the nine months ended September 30, 2012 to $226 million for the nine months ended September 30, 2013. The weighted average interest rate on our debt outstanding decreased from 2.9% for the nine months ended September 30, 2012 to 2.7% for the nine months ended September 30, 2013.</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Stated interest expense increased from $0.4 million for the year ended December 31, 2011 to $3.3 million for the year ended December 31, 2012. This increase was primarily due to an increase in the weighted average debt outstanding from $11 million for the year ended December 31, 2011 to $111 million for the year ended December 31, 2012. The weighted average interest rate on our debt outstanding decreased from 3.0% for the year ended December 31, 2011 to 2.9% for the year ended December 31, 2012.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Commitment Fees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Commitment fees increased from $0.8 million for the nine months ended September 30, 2012 to $1.1 million for the nine months ended September 30, 2013, primarily due to the addition of our Revolving Credit Facility (Natixis) in May 2012 and our Revolving Credit Facility (SunTrust) in August 2012. Commitment fees increased from $0.2 million for the year ended December 31, 2011 to $1.2 million for the year ended December 31, 2012, primarily due to the addition of our Revolving Credit Facility (Natixis) in May 2012 and our Revolving Credit Facility (SunTrust) in August 2012.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Amortization of Debt Issuance Costs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Amortization of debt issuance costs increased from $1.0 million for the nine months ended September 30, 2012 to $1.5 million for the nine months ended September 30, 2013, primarily due to the addition of our Revolving Credit Facility (SunTrust) in August 2012. Amortization of debt issuance costs increased from $0.2 million for the year ended December 31, 2011 to $1.5 million for the year ended December 31, 2012, primarily due to the addition of our Revolving Credit Facility (Natixis) in May 2012 and our Revolving Credit Facility (SunTrust) in August 2012.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Management Fees (net of waivers) increased from $3.7 million for the nine months ended September 30, 2012 to $4.7 million for the nine months ended September 30, 2013. Management Fees increased from $6.1 million for the nine months ended September 30, 2012 to $9.7 million for the nine months ended September 30, 2013 due to the increase in total assets, which increased from an average of $555 million for the nine months ended September 30, 2012 to an average of $874 million for the nine months ended September 30, 2013. Management Fees waived increased from $2.4 million for the nine months ended September 30, 2012 to $5.0 million for the nine months ended September 30, 2013 due to an increase in total assets.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Management Fees (net of waivers) increased from $1.6 million for the year ended December 31, 2011 to $5.2 million for the year ended December 31, 2012. Management Fees increased from $1.6 million for the year ended December 31, 2011 to $8.9 million for the year ended December 31, 2012 due to the increase in total assets, which increased from an average of $115 million for the year ended December 31, 2011 to an average of $611 million for the year ended December 31, 2012. Management Fees waived increased from $7 thousand for the year ended December 31, 2011 to $3.7 million for the year ended December 31, 2012 due to an increase in total assets.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Until this IPO, the Adviser has waived its right to receive the Management Fee in excess of the sum of (i) 0.25% of aggregate committed but undrawn capital; and (ii) 0.75% of aggregate drawn capital (including capital drawn to pay our expenses) as determined as of the end of any calendar quarter. Following the IPO, the Adviser does not intend to waive its right to receive the full Management Fee.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Fees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Incentive Fees related to pre-Incentive Fee net investment income increased from $3.3 million for the nine months ended September 30, 2012 to $7.3 million for the nine months ended September 30, 2013. This increase resulted from the increase in the size of the portfolio and related increase in pre-Incentive Fee net investment income. Incentive Fees related to capital gains decreased from $1.5 million for the nine months ended September 30, 2012 to $0.8 million for the nine months ended September 30, 2013 due to changes in unrealized gains and losses on our investments and realized gains on our investments.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There were no Incentive Fees related to pre-Incentive Fee net investment income for the year ended December 31, 2011. Incentive fees related to pre-Incentive Fee net investment income were $5.3 million for the year ended December 31, 2012 due to an increase in the size of the portfolio and related increase in pre-Incentive Fee net investment income. Incentive Fees related to capital gains increased from $0.3 million for the year ended December 31, 2011 to $1.7 million for the year ended December 31, 2012 due to changes in unrealized gains and losses on our investments and realized gains on our investments.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Professional Fees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Professional fees increased from $2.0 million for the nine months ended September 30, 2012 to $2.4 million for the nine months ended September 30, 2013 and other general and administrative fees increased from $1.1 million for the nine months ended September 30, 2012 to $1.7 million for the nine months ended September 30, 2013, both due to an increase in costs associated with servicing a growing investment portfolio.</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Professional fees increased from $1.6 million for the year ended December 31, 2011 to $2.9 million for the year ended December 31, 2012 and other general and administrative fees increased from $0.8 million for the year ended December 31, 2011 to $1.6 million for the year ended December 31, 2012, both due to an increase in costs associated with servicing a growing investment portfolio. A significant portion of our expenses for the year ended December 31, 2011 were related to the initial organization of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Depending on the level of taxable income earned in a tax year, we may choose to carry forward taxable income (including net capital gain, if any) in excess of current year dividend distributions from the current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taxable income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each of the nine months ended September 30, 2013 and the calendar year ended December 31, 2012, we recorded a net expense of $0.1 million for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federal excise tax. For the calendar year ended December 31, 2011, we did not incur any U.S. federal excise tax.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During the nine months ended September 30, 2013, we had $1.4 million of net realized gains, including realized gains on foreign currency forward contracts. During the nine months ended September 30, 2012, we had $3.8 million of net realized gains.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2012, we had $4.4 million of net realized gains. During the year ended December 31, 2011, we had no net realized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gains.</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realized gains and losses on investments during the nine months ended September 30, 2013 and 2012 and the years ended December 31, 2012 and 2011 consisted of the following (certain gains (losses) have been rounded to zero):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4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Attachmate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6"/>
              </w:rPr>
              <w:t>(0.0)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Centaur, LLC</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w w:val="87"/>
              </w:rPr>
              <w:t>0.1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120" w:type="dxa"/>
            <w:vAlign w:val="bottom"/>
          </w:tcPr>
          <w:p>
            <w:pPr>
              <w:spacing w:after="0"/>
              <w:rPr>
                <w:sz w:val="18"/>
                <w:szCs w:val="18"/>
                <w:color w:val="auto"/>
              </w:rPr>
            </w:pPr>
          </w:p>
        </w:tc>
        <w:tc>
          <w:tcPr>
            <w:tcW w:w="420" w:type="dxa"/>
            <w:vAlign w:val="bottom"/>
          </w:tcPr>
          <w:p>
            <w:pPr>
              <w:jc w:val="center"/>
              <w:ind w:left="116"/>
              <w:spacing w:after="0"/>
              <w:rPr>
                <w:sz w:val="20"/>
                <w:szCs w:val="20"/>
                <w:color w:val="auto"/>
              </w:rPr>
            </w:pPr>
            <w:r>
              <w:rPr>
                <w:rFonts w:ascii="Arial" w:cs="Arial" w:eastAsia="Arial" w:hAnsi="Arial"/>
                <w:sz w:val="18"/>
                <w:szCs w:val="18"/>
                <w:color w:val="auto"/>
                <w:w w:val="87"/>
              </w:rPr>
              <w:t>0.8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120" w:type="dxa"/>
            <w:vAlign w:val="bottom"/>
          </w:tcPr>
          <w:p>
            <w:pPr>
              <w:spacing w:after="0"/>
              <w:rPr>
                <w:sz w:val="18"/>
                <w:szCs w:val="18"/>
                <w:color w:val="auto"/>
              </w:rPr>
            </w:pPr>
          </w:p>
        </w:tc>
        <w:tc>
          <w:tcPr>
            <w:tcW w:w="420" w:type="dxa"/>
            <w:vAlign w:val="bottom"/>
          </w:tcPr>
          <w:p>
            <w:pPr>
              <w:jc w:val="center"/>
              <w:ind w:left="116"/>
              <w:spacing w:after="0"/>
              <w:rPr>
                <w:sz w:val="20"/>
                <w:szCs w:val="20"/>
                <w:color w:val="auto"/>
              </w:rPr>
            </w:pPr>
            <w:r>
              <w:rPr>
                <w:rFonts w:ascii="Arial" w:cs="Arial" w:eastAsia="Arial" w:hAnsi="Arial"/>
                <w:sz w:val="18"/>
                <w:szCs w:val="18"/>
                <w:color w:val="auto"/>
                <w:w w:val="87"/>
              </w:rPr>
              <w:t>0.1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Rare Restaurant Group, LLC.</w:t>
            </w:r>
          </w:p>
        </w:tc>
        <w:tc>
          <w:tcPr>
            <w:tcW w:w="12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SumTotal</w:t>
            </w:r>
          </w:p>
        </w:tc>
        <w:tc>
          <w:tcPr>
            <w:tcW w:w="12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(0.0)</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Synagro Technologies, Inc.</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ind w:left="116"/>
              <w:spacing w:after="0"/>
              <w:rPr>
                <w:sz w:val="20"/>
                <w:szCs w:val="20"/>
                <w:color w:val="auto"/>
              </w:rPr>
            </w:pPr>
            <w:r>
              <w:rPr>
                <w:rFonts w:ascii="Arial" w:cs="Arial" w:eastAsia="Arial" w:hAnsi="Arial"/>
                <w:sz w:val="18"/>
                <w:szCs w:val="18"/>
                <w:color w:val="auto"/>
                <w:w w:val="87"/>
              </w:rPr>
              <w:t>0.1</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Subtotal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center"/>
              <w:ind w:left="116"/>
              <w:spacing w:after="0"/>
              <w:rPr>
                <w:sz w:val="20"/>
                <w:szCs w:val="20"/>
                <w:color w:val="auto"/>
              </w:rPr>
            </w:pPr>
            <w:r>
              <w:rPr>
                <w:rFonts w:ascii="Arial" w:cs="Arial" w:eastAsia="Arial" w:hAnsi="Arial"/>
                <w:sz w:val="18"/>
                <w:szCs w:val="18"/>
                <w:color w:val="auto"/>
                <w:w w:val="87"/>
              </w:rPr>
              <w:t>1.1</w:t>
            </w:r>
          </w:p>
        </w:tc>
        <w:tc>
          <w:tcPr>
            <w:tcW w:w="6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79"/>
              </w:rPr>
              <w:t>3.8</w:t>
            </w:r>
          </w:p>
        </w:tc>
        <w:tc>
          <w:tcPr>
            <w:tcW w:w="6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ind w:left="116"/>
              <w:spacing w:after="0"/>
              <w:rPr>
                <w:sz w:val="20"/>
                <w:szCs w:val="20"/>
                <w:color w:val="auto"/>
              </w:rPr>
            </w:pPr>
            <w:r>
              <w:rPr>
                <w:rFonts w:ascii="Arial" w:cs="Arial" w:eastAsia="Arial" w:hAnsi="Arial"/>
                <w:sz w:val="18"/>
                <w:szCs w:val="18"/>
                <w:color w:val="auto"/>
                <w:w w:val="87"/>
              </w:rPr>
              <w:t>0.3</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Net Realized Gains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ind w:left="116"/>
              <w:spacing w:after="0"/>
              <w:rPr>
                <w:sz w:val="20"/>
                <w:szCs w:val="20"/>
                <w:color w:val="auto"/>
              </w:rPr>
            </w:pPr>
            <w:r>
              <w:rPr>
                <w:rFonts w:ascii="Arial" w:cs="Arial" w:eastAsia="Arial" w:hAnsi="Arial"/>
                <w:sz w:val="18"/>
                <w:szCs w:val="18"/>
                <w:color w:val="auto"/>
                <w:w w:val="87"/>
              </w:rPr>
              <w:t>1.4</w:t>
            </w: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Cash Flow Realized Gross Internal Rate of Return</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Since we began investing in 2011 through September 30, 2013, our exited investments have resulted in an aggregate cash flow realized gross internal rate of return to us of approximately 17.5% (based on cash invested of approximately $329 million and total proceeds from these exited investments of approximately $373 million). Approximately 79% of these exited investments resulted in an aggregate cash flow realized gross internal rate of return to us of 10% or greater.</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Internal rate of return, or IRR, is a measure of our discounted cash flows (inflows and outflows). Specifically, IRR is the discount rate at which the net present value of all cash flows is equal to zero. That is, IRR is the discount rate at which (i) the present value of total capital invested in our investments is equal to (ii) the present value of all returns from the investments (whether or not realized). Our IRR calculations are unaudited.</w:t>
      </w:r>
    </w:p>
    <w:p>
      <w:pPr>
        <w:spacing w:after="0" w:line="147" w:lineRule="exact"/>
        <w:rPr>
          <w:sz w:val="20"/>
          <w:szCs w:val="20"/>
          <w:color w:val="auto"/>
        </w:rPr>
      </w:pPr>
    </w:p>
    <w:p>
      <w:pPr>
        <w:ind w:left="900" w:right="7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Total capital invested for an investment equals the sum of (i) capital invested and (ii) realized losses on hedging activity, with respect to the investment.</w:t>
      </w:r>
    </w:p>
    <w:p>
      <w:pPr>
        <w:spacing w:after="0" w:line="50" w:lineRule="exact"/>
        <w:rPr>
          <w:rFonts w:ascii="Arial" w:cs="Arial" w:eastAsia="Arial" w:hAnsi="Arial"/>
          <w:sz w:val="18"/>
          <w:szCs w:val="18"/>
          <w:color w:val="auto"/>
        </w:rPr>
      </w:pPr>
    </w:p>
    <w:p>
      <w:pPr>
        <w:ind w:left="1480" w:right="480" w:hanging="446"/>
        <w:spacing w:after="0" w:line="268"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w:t>
      </w:r>
    </w:p>
    <w:p>
      <w:pPr>
        <w:spacing w:after="0" w:line="50" w:lineRule="exact"/>
        <w:rPr>
          <w:rFonts w:ascii="Arial" w:cs="Arial" w:eastAsia="Arial" w:hAnsi="Arial"/>
          <w:sz w:val="18"/>
          <w:szCs w:val="18"/>
          <w:color w:val="auto"/>
        </w:rPr>
      </w:pPr>
    </w:p>
    <w:p>
      <w:pPr>
        <w:ind w:left="1480" w:right="560" w:hanging="446"/>
        <w:spacing w:after="0" w:line="268"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Realized losses on hedging activity, with respect to an investment, represent any inception-to-date realized losses on foreign currency forward contracts allocable to the investment.</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 For additional information on these amounts, see “—Results of Operations—Expenses” and “—Results of Operations—Income Tax Expense, Including Excise Tax” above.</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Aggregate cash flow realized gross IRR reflects only invested and realized cash amounts as described above, and does not reflect any unrealized gains or losses in our portfolio. For additional information on our unrealized gains and losses, see “—Results of Operations— Net Change in Unrealized Gains/Losses”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Gains/Losses</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value our investments quarterly and any changes in fair value are recorded as unrealized gains or losses. See“—Critical Accounting Policies— Investments at Fair Value.”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nine months ended September 30, 2013 and 2012 and the years ended December 31, 2012 and 2011, the net change in unrealized gains (losses)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 our investment portfolio, including losses on foreign currency forward contracts,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2013</w:t>
            </w: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2012</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2012</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Change in unrealized losses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80" w:type="dxa"/>
            <w:vAlign w:val="bottom"/>
            <w:vMerge w:val="restart"/>
          </w:tcPr>
          <w:p>
            <w:pPr>
              <w:jc w:val="right"/>
              <w:ind w:right="1232"/>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4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net change in unrealized gains (losses) for the nine months ended September 30, 2013 and 2012 and the years ended December 31, 2012 and 2011 consisted of the following (certain gains (losses) have been rounded to zero):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2013</w:t>
            </w: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3"/>
              </w:rPr>
              <w:t>2012</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2012</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Actian Corporation</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AFS Technologies,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AMF Bowling Worldwide,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Attachmate Corporation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Centaur, LLC.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Center Cut Hospitality,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Checkers Drive-In Restaurants,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Consona Holdings,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eResearch Technology,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Federal Signal Corporation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LLC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Infogix,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Intelident Solutions,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International Equipment Solutions,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Jeeves Information Systems AB.</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Mandalay Baseball Properties, LLC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Mediware Information Systems,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MSC Software Corporation</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Network Merchants,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The Newark Group,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PAI Group,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Rogue Wave Holdings,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Sage Automotive Interiors,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Soho House Bond Ltd.</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Solarsoft, LP (f/k/a CMS-XKO Holding Company, LP)</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SRS Software, LLC.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SumTotal Systems, LLC.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Synagro Technologies,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Teletrac,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Vivint,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Foreign currency forward contracts</w:t>
            </w:r>
          </w:p>
        </w:tc>
        <w:tc>
          <w:tcPr>
            <w:tcW w:w="1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For the nine months ended September 30, 2013, we had $10.0 million in unrealized appreciation on 16 portfolio company investments, which was partially offset by $6.0 million in unrealized depreciation on 14 portfolio company investments, including unrealized losses on foreign currency forward contracts. For the nine months ended September 30, 2012, we had $7.9 million in unrealized appreciation on 13 portfolio company investments, which was partially offset by $1.7 million in unrealized depreciation on six portfolio company investments. Unrealized appreciation resulted from an increase in fair market value, primarily due to a tightening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year ended December 31, 2012, we had $9.2 million in unrealized appreciation on 13 portfolio company investments, which was partially offset by $2.0 million in unrealized depreciation on five portfolio company investments, including unrealized losses on foreign currency forward contracts. For the year ended December 31, 2011, we had $2.4 million in unrealized appreciation on six portfolio company investments, which was partially offset by $0.1 million in unrealized depreciation on one portfolio company investment.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nine months ended September 30, 2013, we entered into foreign currency forward contracts related to our investments in Jeeves Information Systems AB and Soho House Bond Ltd., which in total generated an unrealized loss of $1.2 million and a realized gain of $0.3 million. Other than these foreign currency forward contracts, we did not enter into any other interest rate or other derivative agreements. During the nine months ended September 30, 2012, we did not enter into any interest rate, foreign exchange or other derivative agreements.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2012 and 2011, we did not enter into any interest rate, foreign exchange or other derivative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1"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capital commitments of our existing investors terminate on the completion of this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September 30, 2013 and December 31, 2012 and 2011, our asset coverage ratio was 265.9%, 244.6% and 211.7%, respectively.</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Cash and cash equivalents as of September 30, 2013, taken together with cash available under our credit facilities and proceeds from this offering, is expected to be sufficient for our investing activities and to conduct our operations in the near term. The Revolving Credit Facility (DBCTA) will terminate 25 days in advance of this offering.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459"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of September 30, 2013, we had $19.6 million in cash and cash equivalents, a decrease of $142.2 million from December 31, 2012. The decrease was primarily attributable to investments made during the period. During the nine months ended September 30, 2013, we used $186.2 million in operating activities, primarily as a result of funding of portfolio investments of $432.4 million. This was partially offset by proceeds from investments of $46.4 million, repayments on investments of $164.3 million, an increase in net assets resulting from operations of $45.9 million and other operating activity of $10.4 million. Lastly, cash provided by financing activities was $44.0 million during the period, primarily due to proceeds from issuance of common stock of $56.9 million and net borrowings on debt of $6.4 million, partially offset by debt issuance costs of $1.4 million and dividends paid of $17.9 million.</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of December 31, 2012, we had $161.8 million in cash and cash equivalents, an increase of $18.1 million from December 31, 2011. The increase was primarily attributable to additional borrowings under the debt facilities and proceeds from investor drawdown notices received near December 31, 2012. During the year ended December 31, 2012, we used $430.1 million in operating activities, primarily as a result of funding of portfolio investments of $760.7 million. This was partially offset by proceeds from investments of $119.1 million, repayments on investments of $190.6 million, an increase in net assets resulting from operations of $39.6 million and other operating activity of $18.7 million. Lastly, cash provided by financing activities was $448.2 million during the period, primarily due to proceeds from issuance of common stock of $287.7 million and net borrowings on debt of $176.8 million, partially offset by debt issuance costs of $5.3 million and dividends paid of $11.0 million.</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of September 30, 2013, we had $5.8 million of restricted cash in our wholly owned subsidiary TPG SL SPV, an increase of $1.5 million from December 31, 2012.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Revolving Credit Facility (Natixis), following which excess cash generated in TPG SL SPV may be distributed to us. Restricted cash is a component of prepaid expenses and other assets in our consolidated financial statements. For additional information concerning restricted cash and our revolving credit facility, see “—Financial Condition, Liquidity and Capital Resources— Revolving Credit Facility (Natixis).”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nine months ended September 30, 2013 and the years ended December 31, 2012 and 2011,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September 30, 2013, we have drawn down a total of $0.5 billion of capital and issued 34.7 million shares. As of September 30, 2013, $1.0 billion of capital commitments remained unfunded.</w:t>
      </w:r>
    </w:p>
    <w:p>
      <w:pPr>
        <w:spacing w:after="0" w:line="11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During the nine months ended September 30, 2013 and the years ended December 31, 2012 and December 31, 2011, we delivered drawdown notices to our investors relating to the issuance of 3,713,053 shares, 19,199,421 shares and 11,770,448 shares, respectively, of our common stock for aggregate proceeds of $57 million, $288 million and $173 million, respectively. Proceeds from the issuances were used in investing activities and for other general corporate purposes.</w:t>
      </w:r>
    </w:p>
    <w:p>
      <w:pPr>
        <w:spacing w:after="0" w:line="8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to the drawdowns noted above, during the nine months ended September 30, 2013 and the year ended December 31, 2012, we issued 1,250,508 and 613,019 shares of our common stock, respectively, to investors who have not opted out of our dividend reinvestment plan for proceeds of $19.1 million and $9.2 million, respectively. We did not issue any shares to investors through our dividend reinvestment plan for the year ended December 31,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September 30, 2013, December 31, 2012 and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September 30,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Total Facility</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r>
              <w:rPr>
                <w:rFonts w:ascii="Arial" w:cs="Arial" w:eastAsia="Arial" w:hAnsi="Arial"/>
                <w:sz w:val="11"/>
                <w:szCs w:val="11"/>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7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338.3</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11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December 31, 2012</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Total Facility</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r>
              <w:rPr>
                <w:rFonts w:ascii="Arial" w:cs="Arial" w:eastAsia="Arial" w:hAnsi="Arial"/>
                <w:sz w:val="11"/>
                <w:szCs w:val="11"/>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7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331.8</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11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December 31, 2011</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40" w:type="dxa"/>
            <w:vAlign w:val="bottom"/>
            <w:gridSpan w:val="5"/>
          </w:tcPr>
          <w:p>
            <w:pPr>
              <w:ind w:left="4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5"/>
                <w:szCs w:val="15"/>
                <w:color w:val="auto"/>
              </w:rPr>
            </w:pPr>
          </w:p>
        </w:tc>
        <w:tc>
          <w:tcPr>
            <w:tcW w:w="10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4"/>
              </w:rPr>
              <w:t>Total Facility</w:t>
            </w:r>
          </w:p>
        </w:tc>
        <w:tc>
          <w:tcPr>
            <w:tcW w:w="500" w:type="dxa"/>
            <w:vAlign w:val="bottom"/>
          </w:tcPr>
          <w:p>
            <w:pPr>
              <w:spacing w:after="0"/>
              <w:rPr>
                <w:sz w:val="15"/>
                <w:szCs w:val="15"/>
                <w:color w:val="auto"/>
              </w:rPr>
            </w:pPr>
          </w:p>
        </w:tc>
        <w:tc>
          <w:tcPr>
            <w:tcW w:w="15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w w:val="84"/>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250.</w:t>
            </w:r>
            <w:r>
              <w:rPr>
                <w:rFonts w:ascii="Arial" w:cs="Arial" w:eastAsia="Arial" w:hAnsi="Arial"/>
                <w:sz w:val="18"/>
                <w:szCs w:val="18"/>
                <w:u w:val="single" w:color="auto"/>
                <w:color w:val="auto"/>
                <w:w w:val="93"/>
              </w:rPr>
              <w:t>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720" w:type="dxa"/>
            <w:vAlign w:val="bottom"/>
            <w:gridSpan w:val="4"/>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28"/>
        </w:trPr>
        <w:tc>
          <w:tcPr>
            <w:tcW w:w="7880" w:type="dxa"/>
            <w:vAlign w:val="bottom"/>
            <w:gridSpan w:val="5"/>
          </w:tcPr>
          <w:p>
            <w:pPr>
              <w:spacing w:after="0"/>
              <w:rPr>
                <w:sz w:val="20"/>
                <w:szCs w:val="20"/>
                <w:color w:val="auto"/>
              </w:rPr>
            </w:pPr>
            <w:r>
              <w:rPr>
                <w:rFonts w:ascii="Arial" w:cs="Arial" w:eastAsia="Arial" w:hAnsi="Arial"/>
                <w:sz w:val="18"/>
                <w:szCs w:val="18"/>
                <w:color w:val="auto"/>
                <w:w w:val="93"/>
              </w:rPr>
              <w:t>(1)   The amount available reflects any limitations related to the respective debt facilities’ borrowing bases.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(2)   The Revolving Credit Facility (DBTCA) will terminate 25 days in advance of this offering.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gridSpan w:val="8"/>
          </w:tcPr>
          <w:p>
            <w:pPr>
              <w:spacing w:after="0"/>
              <w:rPr>
                <w:sz w:val="20"/>
                <w:szCs w:val="20"/>
                <w:color w:val="auto"/>
              </w:rPr>
            </w:pPr>
            <w:r>
              <w:rPr>
                <w:rFonts w:ascii="Arial" w:cs="Arial" w:eastAsia="Arial" w:hAnsi="Arial"/>
                <w:sz w:val="18"/>
                <w:szCs w:val="18"/>
                <w:color w:val="auto"/>
                <w:w w:val="94"/>
              </w:rPr>
              <w:t>(3)   We intend to use the net proceeds of this offering, together with our cash and cash equivalents, to pay down $</w:t>
            </w:r>
          </w:p>
        </w:tc>
        <w:tc>
          <w:tcPr>
            <w:tcW w:w="2800" w:type="dxa"/>
            <w:vAlign w:val="bottom"/>
            <w:gridSpan w:val="9"/>
          </w:tcPr>
          <w:p>
            <w:pPr>
              <w:jc w:val="right"/>
              <w:ind w:right="200"/>
              <w:spacing w:after="0"/>
              <w:rPr>
                <w:sz w:val="20"/>
                <w:szCs w:val="20"/>
                <w:color w:val="auto"/>
              </w:rPr>
            </w:pPr>
            <w:r>
              <w:rPr>
                <w:rFonts w:ascii="Arial" w:cs="Arial" w:eastAsia="Arial" w:hAnsi="Arial"/>
                <w:sz w:val="18"/>
                <w:szCs w:val="18"/>
                <w:color w:val="auto"/>
                <w:w w:val="91"/>
              </w:rPr>
              <w:t>million of outstanding indebtedness</w:t>
            </w:r>
          </w:p>
        </w:tc>
      </w:tr>
      <w:tr>
        <w:trPr>
          <w:trHeight w:val="222"/>
        </w:trPr>
        <w:tc>
          <w:tcPr>
            <w:tcW w:w="7560" w:type="dxa"/>
            <w:vAlign w:val="bottom"/>
            <w:gridSpan w:val="2"/>
          </w:tcPr>
          <w:p>
            <w:pPr>
              <w:ind w:left="460"/>
              <w:spacing w:after="0"/>
              <w:rPr>
                <w:sz w:val="20"/>
                <w:szCs w:val="20"/>
                <w:color w:val="auto"/>
              </w:rPr>
            </w:pPr>
            <w:r>
              <w:rPr>
                <w:rFonts w:ascii="Arial" w:cs="Arial" w:eastAsia="Arial" w:hAnsi="Arial"/>
                <w:sz w:val="18"/>
                <w:szCs w:val="18"/>
                <w:color w:val="auto"/>
              </w:rPr>
              <w:t>under the Revolving Credit Facility (SunTrust). See “Use of Proceeds.”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5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September 30, 2013, December 31, 2012 and December 31, 2011, we were in compliance with the terms of our debt arrangements. We intend to continue to utilize our credit facilities to fund investments and for other general corporate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 (SunTrust)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August 23, 2012, we entered into the Revolving Credit Facility (SunTrust). On July 2, 2013, we entered into an agreement to amend and restate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Facility (SunTrust), effective on July 3, 2013. The amended and restated facility, among other things:</w:t>
      </w:r>
    </w:p>
    <w:p>
      <w:pPr>
        <w:spacing w:after="0" w:line="84"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the size of the facility from $200 million to $350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the limit for swingline loans from $30 million to $50 million;</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August 24, 2015 to June 30, 2017, during which period we, subject to certain conditions, may make borrowings under the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extended the stated maturity date from August 23, 2016 to July 2, 2018;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advance rates for certain types of investments used in determining the borrowing base.</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may borrow amounts in U.S. dollars or certain other permitted currencies. Amounts drawn under the Revolving Credit Facility (SunTrust), including amounts drawn in respect of letters of credit, bear interest 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amended and restated facility also reduced the fee rate on undrawn commitment amounts from 0.500% to 0.375% per annum. The amended and restated facility continues to be guaranteed by TC Lending, LLC and certain of our domestic subsidiaries that are formed or acquired by us in the future. The amended and restated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13"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The amended and restated facility includes an uncommitted accordion feature that allows us, under certain circumstances, to increase the size of the facility to a maximum of $550 million. On September 30, 2013, we exercised our right under the accordion feature and increased the size of the facility to $400 million.</w:t>
      </w:r>
    </w:p>
    <w:p>
      <w:pPr>
        <w:spacing w:after="0" w:line="6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Prior to the amendment, the revolving credit facility contained a covenant restricting us from incurring secured debt (other than the facility and any capital call facility) in excess of 40% of our total assets. The amended and restated facility removes this covenant. The amended and restated facility continues to include customary events of default, as well as customary covenants, including restrictions on certain distributions and financial covenants requiring:</w:t>
      </w:r>
    </w:p>
    <w:p>
      <w:pPr>
        <w:spacing w:after="0" w:line="26"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plan to use the proceeds of this offering to pay down the Revolving Credit Facility (SunTrust), but the credit facility will not be terminated. Affiliates of certain of the underwriters are lenders under the Revolving Credit Facility (SunTrust).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 (Natixis)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May 8, 2012, the “Natixis Closing Date,” our wholly owned subsidiary TPG SL SPV, LLC, a Delaware limited liability company, entered into the Revolving Credit Facility (Natixis).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Revolving Credit Facility (Natixis) may be used to finance the acquisition of eligible assets by TPG SL SPV, including the purchase of such assets from us. We retain a residual interest in assets contributed to or acquired by TPG SL SPV through our ownership of TPG SL SPV. The maximum principal amount of the facility is $100 million,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4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agreement provided for a contribution and reinvestment period for up to 18 months after the Natixis Closing Date, or the Natixis Commitment Termination Date. The Natixis Commitment Termination Date was November 8, 2013. Prior to the Natixis Commitment Termination Date, proceeds received by TPG SL SPV from interest, dividends or fees on assets were required to be used to pay expenses and interest on outstanding borrowings, and the excess could be returned to us, subject to certain conditions. Proceeds received from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principal on assets prior to the Natixis Commitment Termination Date were required to be used to make quarterly payments of principal on outstanding borrowings. Following the Natixis Commitment Termination Date, proceeds received by TPG SL SPV from interest and principal on collateral assets must be used to make quarterly payments of principal on outstanding borrowings. Proceeds received from interest and principal at the end of a reporting period that have not gone through the settlement process for these payment obligations are considered to be restricted cash.</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Revolving Credit Facility (Natixis) will mature on May 8, 2020. Amounts drawn bear interest at LIBOR plus a margin, and the undrawn portion of the commitment bears an unutilized commitment fee of 0.75%. The Revolving Credit Facility (Natixis) contains customary covenants, including covenants relating to separateness from the Adviser and its affiliates and long-term credit ratings, and events of default. The Revolving Credit Facility (Natixis) is secured by a perfected first priority security interest in the assets of TPG SL SPV and on any payments received by TPG SL SPV in respect of such assets, which accordingly are not available to pay our other debt obligations.</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of September 30, 2013 and December 31, 2012, TPG SL SPV had $177.0 million and $163.8 million, respectively, in assets, including $167.6 million and $154.4 million, respectively, in investments at fair value, and $68.3 million and $67.3 million, respectively, in liabilities, including the outstanding borrowings, on its balance sheet. As of September 30, 2013 and December 31, 2012, TPG SL SPV had $5.8 million and $4.3 million, respectively, in restricted cash, a component of prepaid expenses and other assets, in the accompanying consolidated financial statements. On November 8, 2013, the reinvestment period of the Revolving Credit Facility (Natixis) expired and accordingly any undrawn availability under the facility terminated.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our borrowings for purposes of complying with the asset coverage requirements under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 (DBTCA)</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September 28, 2011, we entered into a revolving credit facility, which we refer to as the Initial DBTCA Revolving Credit Facility, with Deutsche Bank Trust Company Americas, or DBTCA, as administrative agent, or the Administrative Agent, and DBTCA and certain other lenders. At closing, the maximum principal amount of the Initial DTBCA Revolving Credit Facility was $150 million, subject to availability under the borrowing base. On December 22, 2011, the Initial DBTCA Revolving Credit Facility was amended and restated, and we refer to that amended facility as the Revolving Credit Facility (DBTCA). Under the Revolving Credit Facility (DBTCA), the maximum principal amount was increased from $150 million to $250 million subject to availability under a borrowing base. Proceeds from the Revolving Credit Facility (DBTCA) may be used for investment activities, expenses, working capital requirements and general corporate purposes. During July 2013, we reduced the capacity of the Revolving Credit Facility (DBTCA) from $250 million to $100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Revolving Credit Facility (DBTCA) matures upon the earlier of June 30, 2014 and 25 days prior to this offering.</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Revolving Credit Facility (DBTCA) is secured by a perfected first priority security interest in the unfunded capital commitments of our private investors.</w:t>
      </w:r>
    </w:p>
    <w:p>
      <w:pPr>
        <w:spacing w:after="0" w:line="132"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The Revolving Credit Facility (DBTCA) contains customary covenants on us and our subsidiaries, including requirements to deposit all capital call proceeds into a collateral account, restrictions on certain distributions, and restrictions on certain types and amounts of indebtedness. The Revolving Credit Facility (DBTCA) includes customary events of default.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have the same remaining term as the associated loan agreement. Undrawn senior secured term loan commitments generally have a shorter availability period than the term of the associated loan agreement. As of September 30, 2013, December 31, 2012 and December 31, 2011, we had the following commitments to fund investments: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1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September 30, 2013</w:t>
            </w:r>
          </w:p>
        </w:tc>
        <w:tc>
          <w:tcPr>
            <w:tcW w:w="11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 2012</w:t>
            </w:r>
          </w:p>
        </w:tc>
        <w:tc>
          <w:tcPr>
            <w:tcW w:w="114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2011</w:t>
            </w: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6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5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September 30, 2013, December 31, 2012 and December 31, 2011, we had $1.5 billion, $1.4 billion and $1.2 billion, respectively, in total capital commitments from investors ($1.0 billion, $0.9 billion and $1.0 billion unfunded, respectively). Of these amounts, $117.1 million, $114.1 million and $70.4 million, respectively, is from the Adviser and its affiliates ($76.7 million, $76.6 million and $60.3 million unfunded, respectively). These unfunded commitments will no longer remain in effect following the completion of this IPO.</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September 30, 2013 and December 31, 2012 and December 31, 2011, we had outstanding commitments to fund investments totaling $34.9 million, $32.0 and $6.8 million, respectively.</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September 30, 2013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w w:val="88"/>
              </w:rPr>
              <w:t>Payments Due by Period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660" w:type="dxa"/>
            <w:vAlign w:val="bottom"/>
            <w:gridSpan w:val="2"/>
          </w:tcPr>
          <w:p>
            <w:pPr>
              <w:jc w:val="right"/>
              <w:ind w:right="57"/>
              <w:spacing w:after="0" w:line="129" w:lineRule="exact"/>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rPr>
              <w:t>3-</w:t>
            </w:r>
          </w:p>
        </w:tc>
        <w:tc>
          <w:tcPr>
            <w:tcW w:w="50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After 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6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3 years</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5 years</w:t>
            </w:r>
          </w:p>
        </w:tc>
        <w:tc>
          <w:tcPr>
            <w:tcW w:w="50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years</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53.0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6"/>
              </w:rPr>
              <w:t>$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67.8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217.5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217.5</w:t>
            </w: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60" w:type="dxa"/>
            <w:vAlign w:val="bottom"/>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2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338.3</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53.0</w:t>
            </w:r>
          </w:p>
        </w:tc>
        <w:tc>
          <w:tcPr>
            <w:tcW w:w="1160" w:type="dxa"/>
            <w:vAlign w:val="bottom"/>
            <w:gridSpan w:val="3"/>
          </w:tcPr>
          <w:p>
            <w:pPr>
              <w:jc w:val="right"/>
              <w:ind w:right="5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780" w:type="dxa"/>
            <w:vAlign w:val="bottom"/>
            <w:vMerge w:val="restart"/>
          </w:tcPr>
          <w:p>
            <w:pPr>
              <w:jc w:val="right"/>
              <w:ind w:right="1052"/>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December 31, 2012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87"/>
              </w:rPr>
              <w:t>Payments Due by Period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Less than</w:t>
            </w:r>
          </w:p>
        </w:tc>
        <w:tc>
          <w:tcPr>
            <w:tcW w:w="940" w:type="dxa"/>
            <w:vAlign w:val="bottom"/>
            <w:gridSpan w:val="2"/>
          </w:tcPr>
          <w:p>
            <w:pPr>
              <w:jc w:val="right"/>
              <w:ind w:right="77"/>
              <w:spacing w:after="0" w:line="129" w:lineRule="exact"/>
              <w:rPr>
                <w:sz w:val="20"/>
                <w:szCs w:val="20"/>
                <w:color w:val="auto"/>
              </w:rPr>
            </w:pPr>
            <w:r>
              <w:rPr>
                <w:rFonts w:ascii="Arial" w:cs="Arial" w:eastAsia="Arial" w:hAnsi="Arial"/>
                <w:sz w:val="14"/>
                <w:szCs w:val="14"/>
                <w:b w:val="1"/>
                <w:bCs w:val="1"/>
                <w:color w:val="auto"/>
              </w:rPr>
              <w:t>1-</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3-</w:t>
            </w:r>
          </w:p>
        </w:tc>
        <w:tc>
          <w:tcPr>
            <w:tcW w:w="50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After 5</w:t>
            </w:r>
          </w:p>
        </w:tc>
        <w:tc>
          <w:tcPr>
            <w:tcW w:w="100" w:type="dxa"/>
            <w:vAlign w:val="bottom"/>
          </w:tcPr>
          <w:p>
            <w:pPr>
              <w:spacing w:after="0"/>
              <w:rPr>
                <w:sz w:val="11"/>
                <w:szCs w:val="11"/>
                <w:color w:val="auto"/>
              </w:rPr>
            </w:pPr>
          </w:p>
        </w:tc>
      </w:tr>
      <w:tr>
        <w:trPr>
          <w:trHeight w:val="161"/>
        </w:trPr>
        <w:tc>
          <w:tcPr>
            <w:tcW w:w="688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1 year</w:t>
            </w:r>
          </w:p>
        </w:tc>
        <w:tc>
          <w:tcPr>
            <w:tcW w:w="5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40" w:type="dxa"/>
            <w:vAlign w:val="bottom"/>
          </w:tcPr>
          <w:p>
            <w:pPr>
              <w:spacing w:after="0"/>
              <w:rPr>
                <w:sz w:val="14"/>
                <w:szCs w:val="14"/>
                <w:color w:val="auto"/>
              </w:rPr>
            </w:pPr>
          </w:p>
        </w:tc>
        <w:tc>
          <w:tcPr>
            <w:tcW w:w="10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2"/>
              </w:rPr>
              <w:t>5 years</w:t>
            </w: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years</w:t>
            </w: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$165.0</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$ 165.0</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5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880" w:type="dxa"/>
            <w:vAlign w:val="bottom"/>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331.8</w:t>
            </w:r>
          </w:p>
        </w:tc>
        <w:tc>
          <w:tcPr>
            <w:tcW w:w="106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$ 165.0</w:t>
            </w:r>
          </w:p>
        </w:tc>
        <w:tc>
          <w:tcPr>
            <w:tcW w:w="1420" w:type="dxa"/>
            <w:vAlign w:val="bottom"/>
            <w:gridSpan w:val="3"/>
          </w:tcPr>
          <w:p>
            <w:pPr>
              <w:jc w:val="right"/>
              <w:ind w:right="560"/>
              <w:spacing w:after="0"/>
              <w:rPr>
                <w:sz w:val="20"/>
                <w:szCs w:val="20"/>
                <w:color w:val="auto"/>
              </w:rPr>
            </w:pPr>
            <w:r>
              <w:rPr>
                <w:rFonts w:ascii="Arial" w:cs="Arial" w:eastAsia="Arial" w:hAnsi="Arial"/>
                <w:sz w:val="18"/>
                <w:szCs w:val="18"/>
                <w:color w:val="auto"/>
              </w:rPr>
              <w:t>$ —</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90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100.0</w:t>
            </w: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$ 66.8</w:t>
            </w:r>
          </w:p>
        </w:tc>
        <w:tc>
          <w:tcPr>
            <w:tcW w:w="10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See “—Off-Balance Sheet Arrangements—Portfolio Company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4" w:lineRule="exact"/>
        <w:rPr>
          <w:sz w:val="20"/>
          <w:szCs w:val="20"/>
          <w:color w:val="auto"/>
        </w:rPr>
      </w:pPr>
    </w:p>
    <w:p>
      <w:pPr>
        <w:ind w:left="900" w:right="2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associated corporate-level U.S. federal income tax, including the U.S. federal excise tax described below.</w:t>
      </w:r>
    </w:p>
    <w:p>
      <w:pPr>
        <w:spacing w:after="0" w:line="10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4"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98.2 % of our capital gain net income, adjusted for certain ordinary gains and losses, recognized for the one-year period ending on October 31 of that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9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are subject to financial market risks, including valuation risk and interest rate risk, which we do not hedge. We are also subject to currency risk, which we have hedged. See “—Results of Operations—Hedging.”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“—Critical Accounting Policies—Investments at Fair Value,” Note 2 to our audited consolidated annual financial statements and Note 2 to our unaudited consolidated interim financial statements included elsewhere in this prospectus for more details on estimates and judgments made by us in connection with the valuation of our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September 30, 2013, 98.7% of our debt investments at fair value in our portfolio bore interest at floating rates. Our credit facilities also bear interest at floating rates.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Based on our balance sheet as of September 30, 2013, the following table shows the impact on net income for the nine months ended September 30, 2013 of changes in interest rates in our investments and borrowings (considering interest rate floors and ceilings for floating rate instruments), assuming no changes in our investment and borrowing structure (including base rate elections):</w:t>
      </w:r>
    </w:p>
    <w:p>
      <w:pPr>
        <w:sectPr>
          <w:pgSz w:w="11900" w:h="16838" w:orient="portrait"/>
          <w:cols w:equalWidth="0" w:num="1">
            <w:col w:w="11400"/>
          </w:cols>
          <w:pgMar w:left="240" w:top="459" w:right="259" w:bottom="1440" w:gutter="0" w:footer="0" w:header="0"/>
        </w:sectPr>
      </w:pPr>
    </w:p>
    <w:p>
      <w:pPr>
        <w:spacing w:after="0" w:line="176"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 in millions)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Basis Point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7543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6"/>
          <w:szCs w:val="16"/>
          <w:color w:val="auto"/>
        </w:rPr>
        <w:t>Up 150 basis points</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Up 100 basis points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Up 50 basis points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Down 25 basis points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6"/>
              </w:rPr>
              <w:t>Interest Income</w:t>
            </w:r>
          </w:p>
        </w:tc>
        <w:tc>
          <w:tcPr>
            <w:tcW w:w="20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3"/>
              </w:rPr>
              <w:t>Interest Expense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4"/>
              </w:rPr>
              <w:t>Net Income</w:t>
            </w:r>
          </w:p>
        </w:tc>
      </w:tr>
      <w:tr>
        <w:trPr>
          <w:trHeight w:val="201"/>
        </w:trPr>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8.4</w:t>
            </w:r>
          </w:p>
        </w:tc>
        <w:tc>
          <w:tcPr>
            <w:tcW w:w="1040" w:type="dxa"/>
            <w:vAlign w:val="bottom"/>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w:t>
            </w:r>
          </w:p>
        </w:tc>
        <w:tc>
          <w:tcPr>
            <w:tcW w:w="1040" w:type="dxa"/>
            <w:vAlign w:val="bottom"/>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w:t>
            </w: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0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10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1960" w:type="dxa"/>
            <w:vAlign w:val="bottom"/>
            <w:gridSpan w:val="2"/>
          </w:tcPr>
          <w:p>
            <w:pPr>
              <w:jc w:val="right"/>
              <w:ind w:right="980"/>
              <w:spacing w:after="0"/>
              <w:rPr>
                <w:sz w:val="20"/>
                <w:szCs w:val="20"/>
                <w:color w:val="auto"/>
              </w:rPr>
            </w:pPr>
            <w:r>
              <w:rPr>
                <w:rFonts w:ascii="Arial" w:cs="Arial" w:eastAsia="Arial" w:hAnsi="Arial"/>
                <w:sz w:val="18"/>
                <w:szCs w:val="18"/>
                <w:color w:val="auto"/>
              </w:rPr>
              <w:t>(0.1)</w:t>
            </w:r>
          </w:p>
        </w:tc>
        <w:tc>
          <w:tcPr>
            <w:tcW w:w="2000" w:type="dxa"/>
            <w:vAlign w:val="bottom"/>
            <w:gridSpan w:val="2"/>
          </w:tcPr>
          <w:p>
            <w:pPr>
              <w:jc w:val="right"/>
              <w:ind w:right="980"/>
              <w:spacing w:after="0"/>
              <w:rPr>
                <w:sz w:val="20"/>
                <w:szCs w:val="20"/>
                <w:color w:val="auto"/>
              </w:rPr>
            </w:pPr>
            <w:r>
              <w:rPr>
                <w:rFonts w:ascii="Arial" w:cs="Arial" w:eastAsia="Arial" w:hAnsi="Arial"/>
                <w:sz w:val="18"/>
                <w:szCs w:val="18"/>
                <w:color w:val="auto"/>
              </w:rPr>
              <w:t>(0.5)</w:t>
            </w: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-555625</wp:posOffset>
            </wp:positionV>
            <wp:extent cx="608012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80125" cy="14605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-272415</wp:posOffset>
            </wp:positionV>
            <wp:extent cx="608012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2">
            <w:col w:w="5060" w:space="720"/>
            <w:col w:w="5620"/>
          </w:cols>
          <w:pgMar w:left="240" w:top="459" w:right="259" w:bottom="1440" w:gutter="0" w:footer="0" w:header="0"/>
          <w:type w:val="continuous"/>
        </w:sectPr>
      </w:pPr>
    </w:p>
    <w:p>
      <w:pPr>
        <w:ind w:right="120" w:firstLine="456"/>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(excluding prepayment fees) or sale and the amortized cost basis of the investment without regard to unrealized gains or losses previously recognized, and include investments charged off during the period, net of recoveries. Unrealized gains or losses primarily reflect the change in investment values, including the reversal of previously recorded unrealized gains or losses on investments realized during the period.</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we take into account relevant factors in determining the fair value of our investments, including:</w:t>
      </w:r>
    </w:p>
    <w:p>
      <w:pPr>
        <w:spacing w:after="0" w:line="9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we consider whether the pricing indicated by the external event corroborates our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8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conduct this valuation process on a quarterly basis.</w:t>
      </w:r>
    </w:p>
    <w:p>
      <w:pPr>
        <w:spacing w:after="0" w:line="171"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In connection with debt and equity securities that were valued at fair value in good faith by the Board, the Board has engaged independent third-party valuation firms to perform certain limited procedures that the Board identified and requested it to perform. Upon completion of these limited procedures, the third-party valuation firms determined that the fair value, as determined by the Board, of those investments subjected to their limited procedures was reasonable.</w:t>
      </w:r>
    </w:p>
    <w:p>
      <w:pPr>
        <w:spacing w:after="0" w:line="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apply Financial Accounting Standards Board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9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See Note 5 to our audited consolidated annual financial statements and Note 4 to our unaudited consolidated interim financial statements included elsewhere in this prospectus for more information on the fair value of our investments.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on-going analyses of tax laws, regulations and interpretations thereof.</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60"/>
          </w:cols>
          <w:pgMar w:left="240" w:top="459" w:right="3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Information about our senior securities is shown in the following table as of the end of each fiscal year ended December 31 since we commenced operations and as of September 30, 2013. The report of our independent registered public accounting firm, KPMG LLP, on the senior securities table as of December 31, 2012 and 2011, is attached as an exhibit to the registration statement of which this prospectus is a part.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Exclusive of</w:t>
            </w: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Asset</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34"/>
        </w:trPr>
        <w:tc>
          <w:tcPr>
            <w:tcW w:w="44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800"/>
              <w:spacing w:after="0" w:line="135" w:lineRule="exact"/>
              <w:rPr>
                <w:sz w:val="20"/>
                <w:szCs w:val="20"/>
                <w:color w:val="auto"/>
              </w:rPr>
            </w:pPr>
            <w:r>
              <w:rPr>
                <w:rFonts w:ascii="Arial" w:cs="Arial" w:eastAsia="Arial" w:hAnsi="Arial"/>
                <w:sz w:val="14"/>
                <w:szCs w:val="14"/>
                <w:b w:val="1"/>
                <w:bCs w:val="1"/>
                <w:color w:val="auto"/>
                <w:w w:val="87"/>
              </w:rPr>
              <w:t>Treasury</w:t>
            </w:r>
          </w:p>
        </w:tc>
        <w:tc>
          <w:tcPr>
            <w:tcW w:w="128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7"/>
              </w:rPr>
              <w:t>Coverage</w:t>
            </w:r>
          </w:p>
        </w:tc>
        <w:tc>
          <w:tcPr>
            <w:tcW w:w="138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Market</w:t>
            </w:r>
          </w:p>
        </w:tc>
      </w:tr>
      <w:tr>
        <w:trPr>
          <w:trHeight w:val="149"/>
        </w:trPr>
        <w:tc>
          <w:tcPr>
            <w:tcW w:w="4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1"/>
                <w:szCs w:val="11"/>
                <w:b w:val="1"/>
                <w:bCs w:val="1"/>
                <w:color w:val="auto"/>
              </w:rPr>
              <w:t>Securities</w:t>
            </w:r>
            <w:r>
              <w:rPr>
                <w:rFonts w:ascii="Arial" w:cs="Arial" w:eastAsia="Arial" w:hAnsi="Arial"/>
                <w:sz w:val="17"/>
                <w:szCs w:val="17"/>
                <w:b w:val="1"/>
                <w:bCs w:val="1"/>
                <w:color w:val="auto"/>
                <w:vertAlign w:val="superscript"/>
              </w:rPr>
              <w:t>(1)</w:t>
            </w: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Per</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Preference</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76"/>
        </w:trPr>
        <w:tc>
          <w:tcPr>
            <w:tcW w:w="4420" w:type="dxa"/>
            <w:vAlign w:val="bottom"/>
          </w:tcPr>
          <w:p>
            <w:pPr>
              <w:spacing w:after="0"/>
              <w:rPr>
                <w:sz w:val="20"/>
                <w:szCs w:val="20"/>
                <w:color w:val="auto"/>
              </w:rPr>
            </w:pPr>
            <w:r>
              <w:rPr>
                <w:rFonts w:ascii="Arial" w:cs="Arial" w:eastAsia="Arial" w:hAnsi="Arial"/>
                <w:sz w:val="14"/>
                <w:szCs w:val="14"/>
                <w:b w:val="1"/>
                <w:bCs w:val="1"/>
                <w:color w:val="auto"/>
              </w:rPr>
              <w:t>Class and Year/Period</w:t>
            </w:r>
          </w:p>
        </w:tc>
        <w:tc>
          <w:tcPr>
            <w:tcW w:w="2140" w:type="dxa"/>
            <w:vAlign w:val="bottom"/>
          </w:tcPr>
          <w:p>
            <w:pPr>
              <w:spacing w:after="0"/>
              <w:rPr>
                <w:sz w:val="15"/>
                <w:szCs w:val="15"/>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128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96"/>
              </w:rPr>
              <w:t>Unit</w:t>
            </w:r>
            <w:r>
              <w:rPr>
                <w:rFonts w:ascii="Arial" w:cs="Arial" w:eastAsia="Arial" w:hAnsi="Arial"/>
                <w:sz w:val="20"/>
                <w:szCs w:val="20"/>
                <w:b w:val="1"/>
                <w:bCs w:val="1"/>
                <w:color w:val="auto"/>
                <w:w w:val="96"/>
                <w:vertAlign w:val="superscript"/>
              </w:rPr>
              <w:t>(2)</w:t>
            </w:r>
          </w:p>
        </w:tc>
        <w:tc>
          <w:tcPr>
            <w:tcW w:w="138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93"/>
              </w:rPr>
              <w:t>Per Unit</w:t>
            </w:r>
            <w:r>
              <w:rPr>
                <w:rFonts w:ascii="Arial" w:cs="Arial" w:eastAsia="Arial" w:hAnsi="Arial"/>
                <w:sz w:val="20"/>
                <w:szCs w:val="20"/>
                <w:b w:val="1"/>
                <w:bCs w:val="1"/>
                <w:color w:val="auto"/>
                <w:w w:val="93"/>
                <w:vertAlign w:val="superscript"/>
              </w:rPr>
              <w:t>(3)</w:t>
            </w:r>
          </w:p>
        </w:tc>
        <w:tc>
          <w:tcPr>
            <w:tcW w:w="720" w:type="dxa"/>
            <w:vAlign w:val="bottom"/>
            <w:gridSpan w:val="2"/>
          </w:tcPr>
          <w:p>
            <w:pPr>
              <w:jc w:val="right"/>
              <w:ind w:right="100"/>
              <w:spacing w:after="0" w:line="176" w:lineRule="exact"/>
              <w:rPr>
                <w:sz w:val="20"/>
                <w:szCs w:val="20"/>
                <w:color w:val="auto"/>
              </w:rPr>
            </w:pPr>
            <w:r>
              <w:rPr>
                <w:rFonts w:ascii="Arial" w:cs="Arial" w:eastAsia="Arial" w:hAnsi="Arial"/>
                <w:sz w:val="13"/>
                <w:szCs w:val="13"/>
                <w:b w:val="1"/>
                <w:bCs w:val="1"/>
                <w:color w:val="auto"/>
                <w:w w:val="90"/>
              </w:rPr>
              <w:t>Per Unit</w:t>
            </w:r>
            <w:r>
              <w:rPr>
                <w:rFonts w:ascii="Arial" w:cs="Arial" w:eastAsia="Arial" w:hAnsi="Arial"/>
                <w:sz w:val="20"/>
                <w:szCs w:val="20"/>
                <w:b w:val="1"/>
                <w:bCs w:val="1"/>
                <w:color w:val="auto"/>
                <w:w w:val="90"/>
                <w:vertAlign w:val="superscript"/>
              </w:rPr>
              <w:t>(4)</w:t>
            </w: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Revolving Credit Facilities</w:t>
            </w:r>
          </w:p>
        </w:tc>
        <w:tc>
          <w:tcPr>
            <w:tcW w:w="2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September 30, 2013 (unaudited)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338.3</w:t>
            </w:r>
          </w:p>
        </w:tc>
        <w:tc>
          <w:tcPr>
            <w:tcW w:w="680" w:type="dxa"/>
            <w:vAlign w:val="bottom"/>
          </w:tcPr>
          <w:p>
            <w:pPr>
              <w:spacing w:after="0"/>
              <w:rPr>
                <w:sz w:val="18"/>
                <w:szCs w:val="18"/>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$2,658.6</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8"/>
              </w:rPr>
              <w:t>$2,446.1</w:t>
            </w: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December 31, 2011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155.0</w:t>
            </w:r>
          </w:p>
        </w:tc>
        <w:tc>
          <w:tcPr>
            <w:tcW w:w="680" w:type="dxa"/>
            <w:vAlign w:val="bottom"/>
          </w:tcPr>
          <w:p>
            <w:pPr>
              <w:spacing w:after="0"/>
              <w:rPr>
                <w:sz w:val="19"/>
                <w:szCs w:val="19"/>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$2,116.7</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15"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we have originated more than $2.0 billion aggregate principal amount of investments and retained more than $1.3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EBITDA, which we believe is a useful proxy for cash flow, of $10 million to $250 million, although we may invest in larger or smaller companies on occasion.</w:t>
      </w:r>
    </w:p>
    <w:p>
      <w:pPr>
        <w:spacing w:after="0" w:line="12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administration fees.</w:t>
      </w:r>
    </w:p>
    <w:p>
      <w:pPr>
        <w:spacing w:after="0" w:line="8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believe we will be one of the largest BDCs by total assets at the time of an IPO.</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 fair value as of September 30, 2013, our portfolio consisted of 90.4% first-lien debt, 9.4% second-lien debt and 0.2% equity securities. Approximately 98.5% of our investments based on fair value as of September 30, 2013 are floating rate in nature, which we believe helps act as a portfolio-wide hedge against inflation.</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diversified our portfolio across 15 industries. The largest industries in our portfolio based on fair value as of September 30, 2013 were healthcare and pharmaceuticals, which represented 15.5% of our portfolio, and business services, which represented 14.2% of our portfolio. We expect that no single investment will represent more than 15% of our total investment portfolio, based on fair value. See “Portfolio Companies” for more information on our portfolio as of September 30, 2013.</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TSL—Our Investment Adviser” below. Pursuant to our certificate of incorporation, the Board consists of five members divided into three classes with staggered three-year terms. As a BDC, a majority of our Board consists of Independent Directors.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 money, we analyze the maturity, covenant package and rate structure of the proposed borrowings, as well as the risks of those borrowings compared to our investment outlook. Currently, we employ a variety of credit facilities. We may, in the future, obtain other credit facilities.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an “emerging growth company” under the JOBS Act and will be subject to reduced public company reporting requirements. Further, Section 107 of the JOBS Act also provides that an “emerging growth company” can take advantage of the extended transition period provided in Section 7(a)(2)(B) of the Securities Act and Section 13(a) of the Exchange Act for complying with new or revised accounting standards. In other words, an “emerging growth company” can delay the adoption of certain accounting standards until those standards would otherwise apply to private companies.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TPG Specialty Lending, Inc. is a Delaware corporation formed on July 21, 2010. TSL Advisers, LLC is our external manager. On June 1, 2011, we formed a wholly owned subsidiary, TC Lending, LLC, a Delaware limited liability company, which holds a California finance lender and broker license. On March 22, 2012, we formed another wholly owned subsidiary, TPG SL SPV, LLC, a Delaware limited liability company, in which we hold assets to support our asset-backed credit facility. We make our investments either directly or through our wholly owned subsidiaries.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To date, we have conducted private offerings of our common stock to investors in reliance on exemptions from certain registration requirements of the Securities Act and other applicable securities laws. At the closing of each private offering, investors made capital commitments to purchase our common stock from time to time at net asset value. The majority of our existing investors, as measured by total capital commitments, are participants in our dividend reinvestment plan.</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On January 31, 2013, we reached a $1.5 billion cap on private offering commitments agreed to with our investors, which includes a $100 million capital commitment by the Adviser. We have drawn $517 million of these capital commitments as of September 30, 2013, which has been further augmented by reinvestments under our dividend reinvestment plan. Our existing investors’ obligations to purchase additional shares from the undrawn portion of their capital commitments will terminate upon the completion of this IPO.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32" w:lineRule="exact"/>
        <w:rPr>
          <w:sz w:val="20"/>
          <w:szCs w:val="20"/>
          <w:color w:val="auto"/>
        </w:rPr>
      </w:pPr>
    </w:p>
    <w:p>
      <w:pPr>
        <w:jc w:val="both"/>
        <w:ind w:right="140" w:firstLine="456"/>
        <w:spacing w:after="0" w:line="323" w:lineRule="auto"/>
        <w:rPr>
          <w:sz w:val="20"/>
          <w:szCs w:val="20"/>
          <w:color w:val="auto"/>
        </w:rPr>
      </w:pPr>
      <w:r>
        <w:rPr>
          <w:rFonts w:ascii="Arial" w:cs="Arial" w:eastAsia="Arial" w:hAnsi="Arial"/>
          <w:sz w:val="15"/>
          <w:szCs w:val="15"/>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98"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TSSP, which encompasses TPG Specialty Lending, TPG Opportunities Partners and TPG Institutional Credit Partners, is TPG’s opportunistic special situations and credit platform. TSSP had over $6 billion of assets under management as of September 30, 2013. TSSP has extensive experience with highly complex, global public and private investments executed through primary originations, secondary market purchases and restructurings,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and has a team of 74 investment and operating professionals. Nineteen of these personnel are dedicated to our business, including 16 investment professionals.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TSSP members of the Investment Review Committee are Joshua Easterly, Michael Fishman, Alan Waxman and David Stiepleman.</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TPG is a leading global private investment firm founded in 1992 with over $55 billion of assets under management as of September 30, 2013 and offices in San Francisco, Fort Worth, Austin, New York and throughout the world. TPG has extensive experience with global public and private investments executed through leveraged buyouts, recapitalizations, spinouts, growth investments, joint ventures and restructurings, and has a team of 256 investment and operations professionals. The TPG members of the Investment Review Committee are TPG co-founders, David Bonderman and James Coulter, and TPG Senior Partners, Jonathan Coslet and James Gates.</w:t>
      </w:r>
    </w:p>
    <w:p>
      <w:pPr>
        <w:spacing w:after="0" w:line="14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September 30, 2013, our Adviser owned 6.4% of our common stock and had committed $100 million in equity capital under the subscription agreements with our existing investors. See “Management,” “Related-Party Transactions and Certain Relationships” and “Control Persons and Principal Stockholders.”</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8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“Management and Other Agreements— Investment Advisory Agreement; Administration Agreement; License Agreement.” Our Board monitors the mix and performance of our investments over time and seeks to satisfy itself that the Adviser is acting in our interests and that our fee structure appropriately incentivizes the Adviser to do so. On November 5, 2013, our Board renewed the Investment Advisory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acts as our administrator, providing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“Management and Other Agreements—Payment of Our Expenses.” In addition, the Adviser is permitted to delegate its duties under the Administration Agreement to affiliates or third parties and we will pay or reimburse the Adviser expenses incurred by any such affiliates or third parties for work done on our behalf.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Limited availability of capital for middle-market companies</w:t>
      </w:r>
      <w:r>
        <w:rPr>
          <w:rFonts w:ascii="Arial" w:cs="Arial" w:eastAsia="Arial" w:hAnsi="Arial"/>
          <w:sz w:val="16"/>
          <w:szCs w:val="16"/>
          <w:color w:val="auto"/>
        </w:rPr>
        <w:t>. We believe that certain structural changes in the market have reduced the amount of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Strong demand for debt capital</w:t>
      </w:r>
      <w:r>
        <w:rPr>
          <w:rFonts w:ascii="Arial" w:cs="Arial" w:eastAsia="Arial" w:hAnsi="Arial"/>
          <w:sz w:val="16"/>
          <w:szCs w:val="16"/>
          <w:color w:val="auto"/>
        </w:rPr>
        <w:t>. We believe middle-market companies will continue to require access to debt capital to refinance existing debt,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growth and finance acquisitions. In addition, we believe the large amount of uninvested capital held by funds of private equity firms, estimated by Preqin Ltd., an alternative assets industry data and research company, at $389 billion as of October 2013, will continue to drive deal activity. We expect that private equity firms will continue to pursue acquisitions and to seek to leverage their equity investments with secured loans provided by companies such as ours.</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 dynamics.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 offer</w:t>
      </w:r>
      <w:r>
        <w:rPr>
          <w:rFonts w:ascii="Arial" w:cs="Arial" w:eastAsia="Arial" w:hAnsi="Arial"/>
          <w:sz w:val="16"/>
          <w:szCs w:val="16"/>
          <w:i w:val="1"/>
          <w:iCs w:val="1"/>
          <w:color w:val="auto"/>
        </w:rPr>
        <w:t xml:space="preserve"> </w:t>
      </w:r>
      <w:r>
        <w:rPr>
          <w:rFonts w:ascii="Arial" w:cs="Arial" w:eastAsia="Arial" w:hAnsi="Arial"/>
          <w:sz w:val="16"/>
          <w:szCs w:val="16"/>
          <w:color w:val="auto"/>
        </w:rPr>
        <w:t>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Leading platform and access to proprietary deal flow</w:t>
      </w:r>
      <w:r>
        <w:rPr>
          <w:rFonts w:ascii="Arial" w:cs="Arial" w:eastAsia="Arial" w:hAnsi="Arial"/>
          <w:sz w:val="16"/>
          <w:szCs w:val="16"/>
          <w:color w:val="auto"/>
        </w:rPr>
        <w:t>. The substantial majority of our investments are not intermediated and are originated without the</w:t>
      </w:r>
      <w:r>
        <w:rPr>
          <w:rFonts w:ascii="Arial" w:cs="Arial" w:eastAsia="Arial" w:hAnsi="Arial"/>
          <w:sz w:val="16"/>
          <w:szCs w:val="16"/>
          <w:i w:val="1"/>
          <w:iCs w:val="1"/>
          <w:color w:val="auto"/>
        </w:rPr>
        <w:t xml:space="preserve"> </w:t>
      </w:r>
      <w:r>
        <w:rPr>
          <w:rFonts w:ascii="Arial" w:cs="Arial" w:eastAsia="Arial" w:hAnsi="Arial"/>
          <w:sz w:val="16"/>
          <w:szCs w:val="16"/>
          <w:color w:val="auto"/>
        </w:rPr>
        <w:t>assistance of investment banks or other traditional Wall Street sources. Our Adviser has a dedicated team of 16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substantial experience as commercial dealmakers and executing direct calling campaigns on companies based on the Adviser’s sector and macroeconomic views.</w:t>
      </w:r>
    </w:p>
    <w:p>
      <w:pPr>
        <w:spacing w:after="0" w:line="1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43"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three factors distinguish our investment approach:</w:t>
      </w:r>
    </w:p>
    <w:p>
      <w:pPr>
        <w:spacing w:after="0" w:line="26" w:lineRule="exact"/>
        <w:rPr>
          <w:sz w:val="20"/>
          <w:szCs w:val="20"/>
          <w:color w:val="auto"/>
        </w:rPr>
      </w:pPr>
    </w:p>
    <w:p>
      <w:pPr>
        <w:ind w:left="900" w:right="60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50" w:lineRule="exact"/>
        <w:rPr>
          <w:rFonts w:ascii="Arial" w:cs="Arial" w:eastAsia="Arial" w:hAnsi="Arial"/>
          <w:sz w:val="18"/>
          <w:szCs w:val="18"/>
          <w:color w:val="auto"/>
        </w:rPr>
      </w:pPr>
    </w:p>
    <w:p>
      <w:pPr>
        <w:ind w:left="900" w:right="20" w:hanging="325"/>
        <w:spacing w:after="0" w:line="25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 tight</w:t>
      </w:r>
      <w:r>
        <w:rPr>
          <w:rFonts w:ascii="Arial" w:cs="Arial" w:eastAsia="Arial" w:hAnsi="Arial"/>
          <w:sz w:val="18"/>
          <w:szCs w:val="18"/>
          <w:i w:val="1"/>
          <w:iCs w:val="1"/>
          <w:color w:val="auto"/>
        </w:rPr>
        <w:t xml:space="preserve"> </w:t>
      </w:r>
      <w:r>
        <w:rPr>
          <w:rFonts w:ascii="Arial" w:cs="Arial" w:eastAsia="Arial" w:hAnsi="Arial"/>
          <w:sz w:val="18"/>
          <w:szCs w:val="18"/>
          <w:color w:val="auto"/>
        </w:rPr>
        <w:t>and pricing alone may not reflect the possibility for volatility, we typically focus on investing at a senior position, in deals that permit us to control duration. Conversely, during periods when risk premiums are wide, we seek to capture an incremental risk premium by offering more junior instruments that have higher rates and longer durations.</w:t>
      </w:r>
    </w:p>
    <w:p>
      <w:pPr>
        <w:spacing w:after="0" w:line="62"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50" w:lineRule="exact"/>
        <w:rPr>
          <w:rFonts w:ascii="Arial" w:cs="Arial" w:eastAsia="Arial" w:hAnsi="Arial"/>
          <w:sz w:val="18"/>
          <w:szCs w:val="18"/>
          <w:color w:val="auto"/>
        </w:rPr>
      </w:pPr>
    </w:p>
    <w:p>
      <w:pPr>
        <w:ind w:left="1480" w:right="140" w:hanging="446"/>
        <w:spacing w:after="0" w:line="258" w:lineRule="auto"/>
        <w:tabs>
          <w:tab w:leader="none" w:pos="1480" w:val="left"/>
        </w:tabs>
        <w:numPr>
          <w:ilvl w:val="1"/>
          <w:numId w:val="55"/>
        </w:numPr>
        <w:rPr>
          <w:rFonts w:ascii="Arial" w:cs="Arial" w:eastAsia="Arial" w:hAnsi="Arial"/>
          <w:sz w:val="21"/>
          <w:szCs w:val="21"/>
          <w:color w:val="auto"/>
          <w:vertAlign w:val="superscript"/>
        </w:rPr>
      </w:pPr>
      <w:r>
        <w:rPr>
          <w:rFonts w:ascii="Arial" w:cs="Arial" w:eastAsia="Arial" w:hAnsi="Arial"/>
          <w:sz w:val="17"/>
          <w:szCs w:val="17"/>
          <w:i w:val="1"/>
          <w:iCs w:val="1"/>
          <w:color w:val="auto"/>
        </w:rPr>
        <w:t xml:space="preserve">Business and sector selection. </w:t>
      </w:r>
      <w:r>
        <w:rPr>
          <w:rFonts w:ascii="Arial" w:cs="Arial" w:eastAsia="Arial" w:hAnsi="Arial"/>
          <w:sz w:val="17"/>
          <w:szCs w:val="17"/>
          <w:color w:val="auto"/>
        </w:rPr>
        <w:t>We focus on companies with enterprise value between $50 million and $1 billion. When reviewing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61" w:lineRule="exact"/>
        <w:rPr>
          <w:rFonts w:ascii="Arial" w:cs="Arial" w:eastAsia="Arial" w:hAnsi="Arial"/>
          <w:sz w:val="21"/>
          <w:szCs w:val="21"/>
          <w:color w:val="auto"/>
          <w:vertAlign w:val="superscript"/>
        </w:rPr>
      </w:pPr>
    </w:p>
    <w:p>
      <w:pPr>
        <w:ind w:left="1480" w:right="320" w:hanging="446"/>
        <w:spacing w:after="0" w:line="235" w:lineRule="auto"/>
        <w:tabs>
          <w:tab w:leader="none" w:pos="1480" w:val="left"/>
        </w:tabs>
        <w:numPr>
          <w:ilvl w:val="1"/>
          <w:numId w:val="55"/>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Investment structuring. </w:t>
      </w:r>
      <w:r>
        <w:rPr>
          <w:rFonts w:ascii="Arial" w:cs="Arial" w:eastAsia="Arial" w:hAnsi="Arial"/>
          <w:sz w:val="18"/>
          <w:szCs w:val="18"/>
          <w:color w:val="auto"/>
        </w:rPr>
        <w:t>We focus on investing at the top of the capital structure and protecting that position. We carefully diligence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investments to include strong investor covenants. As a result, we structure investments with a view to creating opportunities for early intervention in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26"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2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59" w:lineRule="exact"/>
        <w:rPr>
          <w:sz w:val="20"/>
          <w:szCs w:val="20"/>
          <w:color w:val="auto"/>
        </w:rPr>
      </w:pPr>
    </w:p>
    <w:p>
      <w:pPr>
        <w:sectPr>
          <w:pgSz w:w="11900" w:h="16838" w:orient="portrait"/>
          <w:cols w:equalWidth="0" w:num="2">
            <w:col w:w="1080" w:space="400"/>
            <w:col w:w="9900"/>
          </w:cols>
          <w:pgMar w:left="240" w:top="459" w:right="279" w:bottom="1440" w:gutter="0" w:footer="0" w:header="0"/>
          <w:type w:val="continuous"/>
        </w:sectPr>
      </w:pPr>
    </w:p>
    <w:p>
      <w:pPr>
        <w:ind w:left="900" w:right="10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 proactively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identifying sector and operational issues and carefully managing risks. The information gathered on market trends through this process also informs our underwriting for new loans.</w:t>
      </w:r>
    </w:p>
    <w:p>
      <w:pPr>
        <w:spacing w:after="0" w:line="14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We tailor investments rather than focusing only on driving investment volume. Of the more than 2,400 investment transactions our Investment Team reviewed from our inception through December 6, 2013, we closed approximately 1.7% of the number of investments reviewed.</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Carefully constructed, existing, diversified portfolio consisting of predominantly senior, floating rate loans</w:t>
      </w:r>
      <w:r>
        <w:rPr>
          <w:rFonts w:ascii="Arial" w:cs="Arial" w:eastAsia="Arial" w:hAnsi="Arial"/>
          <w:sz w:val="16"/>
          <w:szCs w:val="16"/>
          <w:color w:val="auto"/>
        </w:rPr>
        <w:t>. Since we began investing in 2011,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invested more than $1.3 billion. As of September 30, 2013, we had a portfolio of investments in 25 portfolio companies totaling $889.3 million that we believe exhibits strong credit quality and industry diversification. As of September 30, 2013, approximately 98.5% of the fair value of our portfolio was invested in secured loans with floating rates of interest, and 90.4% of the fair value of our portfolio was invested in first-lien loans. We believe this portfolio will allow us to generate meaningful investment income, and consequently dividend income, for our stockholders.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seven managing directors of TSSP on the Adviser’s team, with a collective 140 years of experience investing in</w:t>
      </w:r>
      <w:r>
        <w:rPr>
          <w:rFonts w:ascii="Arial" w:cs="Arial" w:eastAsia="Arial" w:hAnsi="Arial"/>
          <w:sz w:val="16"/>
          <w:szCs w:val="16"/>
          <w:i w:val="1"/>
          <w:iCs w:val="1"/>
          <w:color w:val="auto"/>
        </w:rPr>
        <w:t xml:space="preserve"> </w:t>
      </w:r>
      <w:r>
        <w:rPr>
          <w:rFonts w:ascii="Arial" w:cs="Arial" w:eastAsia="Arial" w:hAnsi="Arial"/>
          <w:sz w:val="16"/>
          <w:szCs w:val="16"/>
          <w:color w:val="auto"/>
        </w:rPr>
        <w:t>middle-market companies, have deep experience identifying and executing transactions across a broad range of industries and types of financings. Over their careers, our team has developed unique relationships and access to proprietary sourcing and servicing channels. The team includes senior members that built and managed the Goldman Sachs Specialty Lending Group from its inception in 2003 through 2009, as well as members who worked at Wells Fargo Capital Finance, where Michael Fishman built the team that grew assets under management from approximately $2 billion to more than $10 billion.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professionals is based on our returns, as opposed to transaction volume, which we believe fosters a focus on credit quality when originating investments.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90"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4"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substantial majority of our deals are informed by our current sector views and are sourced directly by our Adviser through our network contacts. We also identify opportunities through our relationships with TSSP and TPG.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62"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conducting a competitive analysis, and comparing the company to its main competitors on an operating, financial, market share and valuation basis;</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these senior and other investment professionals are in favor of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Approval of an origination requires the approval of the Investment Review Committee or, depending on the size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Adviser has a number of methods of evaluating and monitoring the performance and fair value of our investments, which may include the following:</w:t>
      </w:r>
    </w:p>
    <w:p>
      <w:pPr>
        <w:spacing w:after="0" w:line="113"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240" w:top="459" w:right="3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It is based on the following categories:</w:t>
      </w:r>
    </w:p>
    <w:p>
      <w:pPr>
        <w:spacing w:after="0" w:line="59" w:lineRule="exact"/>
        <w:rPr>
          <w:sz w:val="20"/>
          <w:szCs w:val="20"/>
          <w:color w:val="auto"/>
        </w:rPr>
      </w:pPr>
    </w:p>
    <w:p>
      <w:pPr>
        <w:ind w:left="900" w:right="20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42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3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distribution of our investments on the 1 to 5 investment performance rating scale at fair value as of September 30, 2013:</w:t>
      </w:r>
    </w:p>
    <w:p>
      <w:pPr>
        <w:spacing w:after="0" w:line="2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Investment</w:t>
            </w:r>
          </w:p>
        </w:tc>
        <w:tc>
          <w:tcPr>
            <w:tcW w:w="248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Investments at</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Fair Value</w:t>
            </w:r>
          </w:p>
        </w:tc>
        <w:tc>
          <w:tcPr>
            <w:tcW w:w="10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Rating</w:t>
            </w: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 in millions)</w:t>
            </w:r>
          </w:p>
        </w:tc>
        <w:tc>
          <w:tcPr>
            <w:tcW w:w="2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0"/>
        </w:trPr>
        <w:tc>
          <w:tcPr>
            <w:tcW w:w="2280" w:type="dxa"/>
            <w:vAlign w:val="bottom"/>
            <w:gridSpan w:val="2"/>
            <w:vMerge w:val="restart"/>
            <w:shd w:val="clear" w:color="auto" w:fill="CCEEFF"/>
          </w:tcPr>
          <w:p>
            <w:pPr>
              <w:jc w:val="center"/>
              <w:ind w:left="1412"/>
              <w:spacing w:after="0"/>
              <w:rPr>
                <w:sz w:val="20"/>
                <w:szCs w:val="20"/>
                <w:color w:val="auto"/>
              </w:rPr>
            </w:pPr>
            <w:r>
              <w:rPr>
                <w:rFonts w:ascii="Arial" w:cs="Arial" w:eastAsia="Arial" w:hAnsi="Arial"/>
                <w:sz w:val="18"/>
                <w:szCs w:val="18"/>
                <w:color w:val="auto"/>
                <w:w w:val="99"/>
              </w:rPr>
              <w:t>1</w:t>
            </w:r>
          </w:p>
        </w:tc>
        <w:tc>
          <w:tcPr>
            <w:tcW w:w="2500" w:type="dxa"/>
            <w:vAlign w:val="bottom"/>
            <w:gridSpan w:val="2"/>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gridSpan w:val="2"/>
            <w:vMerge w:val="continue"/>
            <w:shd w:val="clear" w:color="auto" w:fill="CCEEFF"/>
          </w:tcPr>
          <w:p>
            <w:pPr>
              <w:spacing w:after="0"/>
              <w:rPr>
                <w:sz w:val="17"/>
                <w:szCs w:val="17"/>
                <w:color w:val="auto"/>
              </w:rPr>
            </w:pPr>
          </w:p>
        </w:tc>
        <w:tc>
          <w:tcPr>
            <w:tcW w:w="25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736.6</w:t>
            </w:r>
          </w:p>
        </w:tc>
        <w:tc>
          <w:tcPr>
            <w:tcW w:w="108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280" w:type="dxa"/>
            <w:vAlign w:val="bottom"/>
            <w:gridSpan w:val="2"/>
          </w:tcPr>
          <w:p>
            <w:pPr>
              <w:jc w:val="center"/>
              <w:ind w:left="1412"/>
              <w:spacing w:after="0"/>
              <w:rPr>
                <w:sz w:val="20"/>
                <w:szCs w:val="20"/>
                <w:color w:val="auto"/>
              </w:rPr>
            </w:pPr>
            <w:r>
              <w:rPr>
                <w:rFonts w:ascii="Arial" w:cs="Arial" w:eastAsia="Arial" w:hAnsi="Arial"/>
                <w:sz w:val="18"/>
                <w:szCs w:val="18"/>
                <w:color w:val="auto"/>
                <w:w w:val="99"/>
              </w:rPr>
              <w:t>2</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75.2</w:t>
            </w:r>
          </w:p>
        </w:tc>
        <w:tc>
          <w:tcPr>
            <w:tcW w:w="214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jc w:val="center"/>
              <w:ind w:left="1412"/>
              <w:spacing w:after="0"/>
              <w:rPr>
                <w:sz w:val="20"/>
                <w:szCs w:val="20"/>
                <w:color w:val="auto"/>
              </w:rPr>
            </w:pPr>
            <w:r>
              <w:rPr>
                <w:rFonts w:ascii="Arial" w:cs="Arial" w:eastAsia="Arial" w:hAnsi="Arial"/>
                <w:sz w:val="18"/>
                <w:szCs w:val="18"/>
                <w:color w:val="auto"/>
                <w:w w:val="99"/>
              </w:rPr>
              <w:t>3</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280" w:type="dxa"/>
            <w:vAlign w:val="bottom"/>
            <w:gridSpan w:val="2"/>
          </w:tcPr>
          <w:p>
            <w:pPr>
              <w:jc w:val="center"/>
              <w:ind w:left="1412"/>
              <w:spacing w:after="0"/>
              <w:rPr>
                <w:sz w:val="20"/>
                <w:szCs w:val="20"/>
                <w:color w:val="auto"/>
              </w:rPr>
            </w:pPr>
            <w:r>
              <w:rPr>
                <w:rFonts w:ascii="Arial" w:cs="Arial" w:eastAsia="Arial" w:hAnsi="Arial"/>
                <w:sz w:val="18"/>
                <w:szCs w:val="18"/>
                <w:color w:val="auto"/>
                <w:w w:val="99"/>
              </w:rPr>
              <w:t>4</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w:t>
            </w:r>
          </w:p>
        </w:tc>
        <w:tc>
          <w:tcPr>
            <w:tcW w:w="214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jc w:val="center"/>
              <w:ind w:left="1412"/>
              <w:spacing w:after="0"/>
              <w:rPr>
                <w:sz w:val="20"/>
                <w:szCs w:val="20"/>
                <w:color w:val="auto"/>
              </w:rPr>
            </w:pPr>
            <w:r>
              <w:rPr>
                <w:rFonts w:ascii="Arial" w:cs="Arial" w:eastAsia="Arial" w:hAnsi="Arial"/>
                <w:sz w:val="18"/>
                <w:szCs w:val="18"/>
                <w:color w:val="auto"/>
                <w:w w:val="99"/>
              </w:rPr>
              <w:t>5</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889.3</w:t>
            </w:r>
          </w:p>
        </w:tc>
        <w:tc>
          <w:tcPr>
            <w:tcW w:w="214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Committee</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Adviser manages our portfolio under the general oversight of the Investment Review Committee. The Investment Review Committee includes certain individuals who are senior personnel of the Adviser, TSSP and TPG, as well as certain other persons appointed by the Adviser from time to time. Our Investment Team and the Investment Review Committee are supported by and have access to the investment professionals, analytical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capabilities and support personnel of TPG. Some of the officers and employees of the Adviser, including some of its senior officers, are also employees of TPG. See “Management” and “Related-Party Transactions and Certain Relationships.”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loans and investments in corporate bonds and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for the portfolio company to achieve its business plan. We invest in the following types of debt:</w:t>
      </w:r>
    </w:p>
    <w:p>
      <w:pPr>
        <w:spacing w:after="0" w:line="53" w:lineRule="exact"/>
        <w:rPr>
          <w:sz w:val="20"/>
          <w:szCs w:val="20"/>
          <w:color w:val="auto"/>
        </w:rPr>
      </w:pPr>
    </w:p>
    <w:p>
      <w:pPr>
        <w:ind w:left="900" w:right="140" w:hanging="325"/>
        <w:spacing w:after="0" w:line="25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55" w:lineRule="exact"/>
        <w:rPr>
          <w:rFonts w:ascii="Arial" w:cs="Arial" w:eastAsia="Arial" w:hAnsi="Arial"/>
          <w:sz w:val="18"/>
          <w:szCs w:val="18"/>
          <w:color w:val="auto"/>
        </w:rPr>
      </w:pPr>
    </w:p>
    <w:p>
      <w:pPr>
        <w:ind w:left="1480" w:right="280" w:hanging="446"/>
        <w:spacing w:after="0" w:line="275"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subject to the first-priority security interest.</w:t>
      </w:r>
    </w:p>
    <w:p>
      <w:pPr>
        <w:spacing w:after="0" w:line="38" w:lineRule="exact"/>
        <w:rPr>
          <w:rFonts w:ascii="Arial" w:cs="Arial" w:eastAsia="Arial" w:hAnsi="Arial"/>
          <w:sz w:val="18"/>
          <w:szCs w:val="18"/>
          <w:color w:val="auto"/>
        </w:rPr>
      </w:pPr>
    </w:p>
    <w:p>
      <w:pPr>
        <w:ind w:left="1480" w:right="40" w:hanging="446"/>
        <w:spacing w:after="0" w:line="290" w:lineRule="auto"/>
        <w:tabs>
          <w:tab w:leader="none" w:pos="1480" w:val="left"/>
        </w:tabs>
        <w:numPr>
          <w:ilvl w:val="1"/>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“Last out” first-lien loans. </w:t>
      </w:r>
      <w:r>
        <w:rPr>
          <w:rFonts w:ascii="Arial" w:cs="Arial" w:eastAsia="Arial" w:hAnsi="Arial"/>
          <w:sz w:val="16"/>
          <w:szCs w:val="16"/>
          <w:color w:val="auto"/>
        </w:rPr>
        <w:t>“Last out” first-lien loans have a secondary priority behind super-senior “first out” first-lien loans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31" w:lineRule="exact"/>
        <w:rPr>
          <w:rFonts w:ascii="Arial" w:cs="Arial" w:eastAsia="Arial" w:hAnsi="Arial"/>
          <w:sz w:val="16"/>
          <w:szCs w:val="16"/>
          <w:color w:val="auto"/>
        </w:rPr>
      </w:pPr>
    </w:p>
    <w:p>
      <w:pPr>
        <w:ind w:left="1480" w:right="40" w:hanging="446"/>
        <w:spacing w:after="0" w:line="310" w:lineRule="auto"/>
        <w:tabs>
          <w:tab w:leader="none" w:pos="1480" w:val="left"/>
        </w:tabs>
        <w:numPr>
          <w:ilvl w:val="1"/>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“Unitranche” loans. </w:t>
      </w:r>
      <w:r>
        <w:rPr>
          <w:rFonts w:ascii="Arial" w:cs="Arial" w:eastAsia="Arial" w:hAnsi="Arial"/>
          <w:sz w:val="16"/>
          <w:szCs w:val="16"/>
          <w:color w:val="auto"/>
        </w:rPr>
        <w:t>Unitranche loans may combine features of first-lien, second-lien and mezzanine debt, generally in a first-lien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In 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16"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 behind</w:t>
      </w:r>
      <w:r>
        <w:rPr>
          <w:rFonts w:ascii="Arial" w:cs="Arial" w:eastAsia="Arial" w:hAnsi="Arial"/>
          <w:sz w:val="18"/>
          <w:szCs w:val="18"/>
          <w:b w:val="1"/>
          <w:bCs w:val="1"/>
          <w:color w:val="auto"/>
        </w:rPr>
        <w:t xml:space="preserve"> </w:t>
      </w:r>
      <w:r>
        <w:rPr>
          <w:rFonts w:ascii="Arial" w:cs="Arial" w:eastAsia="Arial" w:hAnsi="Arial"/>
          <w:sz w:val="18"/>
          <w:szCs w:val="18"/>
          <w:color w:val="auto"/>
        </w:rPr>
        <w:t>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57" w:lineRule="exact"/>
        <w:rPr>
          <w:rFonts w:ascii="Arial" w:cs="Arial" w:eastAsia="Arial" w:hAnsi="Arial"/>
          <w:sz w:val="18"/>
          <w:szCs w:val="18"/>
          <w:color w:val="auto"/>
        </w:rPr>
      </w:pPr>
    </w:p>
    <w:p>
      <w:pPr>
        <w:ind w:left="900" w:right="120" w:hanging="325"/>
        <w:spacing w:after="0" w:line="262"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“Mezzanine” debt. </w:t>
      </w:r>
      <w:r>
        <w:rPr>
          <w:rFonts w:ascii="Arial" w:cs="Arial" w:eastAsia="Arial" w:hAnsi="Arial"/>
          <w:sz w:val="18"/>
          <w:szCs w:val="18"/>
          <w:color w:val="auto"/>
        </w:rPr>
        <w:t>Structurally, mezzanine debt usually ranks subordinate in priority of payment to first-lien and second-lien debt, is often</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and may not have the benefit of financial covenants common in first-lien and second-lien debt. However, mezzanine debt ranks senior to common and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1" w:lineRule="exact"/>
        <w:rPr>
          <w:sz w:val="20"/>
          <w:szCs w:val="20"/>
          <w:color w:val="auto"/>
        </w:rPr>
      </w:pPr>
    </w:p>
    <w:p>
      <w:pPr>
        <w:ind w:left="440" w:hanging="324"/>
        <w:spacing w:after="0"/>
        <w:tabs>
          <w:tab w:leader="none" w:pos="4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 and</w:t>
      </w:r>
    </w:p>
    <w:p>
      <w:pPr>
        <w:spacing w:after="0" w:line="113" w:lineRule="exact"/>
        <w:rPr>
          <w:rFonts w:ascii="Arial" w:cs="Arial" w:eastAsia="Arial" w:hAnsi="Arial"/>
          <w:sz w:val="16"/>
          <w:szCs w:val="16"/>
          <w:color w:val="auto"/>
        </w:rPr>
      </w:pPr>
    </w:p>
    <w:p>
      <w:pPr>
        <w:ind w:left="440" w:right="140" w:hanging="324"/>
        <w:spacing w:after="0" w:line="256" w:lineRule="auto"/>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that allows us to achieve our target returns while maintaining our targeted amount of credit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September 30, 2013 and December 31, 2012, we had made aggregate funded investments with an aggregate fair value of $889.3 million and $653.9 million, respectively, in 25 and 21 portfolio companies, respectively. See “Portfolio Companies” for more information on these investments, including a list of companies and type and amount of investments.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September 30, 2013 and 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0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September 30, 2013</w:t>
            </w:r>
          </w:p>
        </w:tc>
        <w:tc>
          <w:tcPr>
            <w:tcW w:w="580" w:type="dxa"/>
            <w:vAlign w:val="bottom"/>
          </w:tcPr>
          <w:p>
            <w:pPr>
              <w:spacing w:after="0"/>
              <w:rPr>
                <w:sz w:val="14"/>
                <w:szCs w:val="14"/>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 2012</w:t>
            </w:r>
          </w:p>
        </w:tc>
      </w:tr>
      <w:tr>
        <w:trPr>
          <w:trHeight w:val="115"/>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500" w:type="dxa"/>
            <w:vAlign w:val="bottom"/>
            <w:tcBorders>
              <w:top w:val="single" w:sz="8" w:color="auto"/>
            </w:tcBorders>
          </w:tcPr>
          <w:p>
            <w:pPr>
              <w:jc w:val="right"/>
              <w:ind w:right="43"/>
              <w:spacing w:after="0" w:line="115" w:lineRule="exact"/>
              <w:rPr>
                <w:sz w:val="20"/>
                <w:szCs w:val="20"/>
                <w:color w:val="auto"/>
              </w:rPr>
            </w:pPr>
            <w:r>
              <w:rPr>
                <w:rFonts w:ascii="Arial" w:cs="Arial" w:eastAsia="Arial" w:hAnsi="Arial"/>
                <w:sz w:val="12"/>
                <w:szCs w:val="12"/>
                <w:b w:val="1"/>
                <w:bCs w:val="1"/>
                <w:color w:val="auto"/>
              </w:rPr>
              <w:t>Fair</w:t>
            </w:r>
          </w:p>
        </w:tc>
        <w:tc>
          <w:tcPr>
            <w:tcW w:w="5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2"/>
                <w:szCs w:val="12"/>
                <w:b w:val="1"/>
                <w:bCs w:val="1"/>
                <w:color w:val="auto"/>
              </w:rPr>
              <w:t>Amortized</w:t>
            </w:r>
          </w:p>
        </w:tc>
        <w:tc>
          <w:tcPr>
            <w:tcW w:w="580" w:type="dxa"/>
            <w:vAlign w:val="bottom"/>
          </w:tcPr>
          <w:p>
            <w:pPr>
              <w:spacing w:after="0"/>
              <w:rPr>
                <w:sz w:val="10"/>
                <w:szCs w:val="10"/>
                <w:color w:val="auto"/>
              </w:rPr>
            </w:pPr>
          </w:p>
        </w:tc>
        <w:tc>
          <w:tcPr>
            <w:tcW w:w="500" w:type="dxa"/>
            <w:vAlign w:val="bottom"/>
            <w:tcBorders>
              <w:top w:val="single" w:sz="8" w:color="auto"/>
            </w:tcBorders>
          </w:tcPr>
          <w:p>
            <w:pPr>
              <w:jc w:val="right"/>
              <w:ind w:right="43"/>
              <w:spacing w:after="0" w:line="115" w:lineRule="exact"/>
              <w:rPr>
                <w:sz w:val="20"/>
                <w:szCs w:val="20"/>
                <w:color w:val="auto"/>
              </w:rPr>
            </w:pPr>
            <w:r>
              <w:rPr>
                <w:rFonts w:ascii="Arial" w:cs="Arial" w:eastAsia="Arial" w:hAnsi="Arial"/>
                <w:sz w:val="12"/>
                <w:szCs w:val="12"/>
                <w:b w:val="1"/>
                <w:bCs w:val="1"/>
                <w:color w:val="auto"/>
              </w:rPr>
              <w:t>Fair</w:t>
            </w:r>
          </w:p>
        </w:tc>
        <w:tc>
          <w:tcPr>
            <w:tcW w:w="5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2"/>
                <w:szCs w:val="12"/>
                <w:b w:val="1"/>
                <w:bCs w:val="1"/>
                <w:color w:val="auto"/>
              </w:rPr>
              <w:t>Amortized</w:t>
            </w:r>
          </w:p>
        </w:tc>
        <w:tc>
          <w:tcPr>
            <w:tcW w:w="100" w:type="dxa"/>
            <w:vAlign w:val="bottom"/>
          </w:tcPr>
          <w:p>
            <w:pPr>
              <w:spacing w:after="0"/>
              <w:rPr>
                <w:sz w:val="10"/>
                <w:szCs w:val="10"/>
                <w:color w:val="auto"/>
              </w:rPr>
            </w:pPr>
          </w:p>
        </w:tc>
      </w:tr>
      <w:tr>
        <w:trPr>
          <w:trHeight w:val="176"/>
        </w:trPr>
        <w:tc>
          <w:tcPr>
            <w:tcW w:w="4340" w:type="dxa"/>
            <w:vAlign w:val="bottom"/>
            <w:gridSpan w:val="3"/>
          </w:tcPr>
          <w:p>
            <w:pPr>
              <w:ind w:left="460"/>
              <w:spacing w:after="0"/>
              <w:rPr>
                <w:sz w:val="20"/>
                <w:szCs w:val="20"/>
                <w:color w:val="auto"/>
              </w:rPr>
            </w:pPr>
            <w:r>
              <w:rPr>
                <w:rFonts w:ascii="Arial" w:cs="Arial" w:eastAsia="Arial" w:hAnsi="Arial"/>
                <w:sz w:val="14"/>
                <w:szCs w:val="14"/>
                <w:b w:val="1"/>
                <w:bCs w:val="1"/>
                <w:color w:val="auto"/>
              </w:rPr>
              <w:t>($ amounts in millions)</w:t>
            </w:r>
          </w:p>
        </w:tc>
        <w:tc>
          <w:tcPr>
            <w:tcW w:w="254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Arial" w:cs="Arial" w:eastAsia="Arial" w:hAnsi="Arial"/>
                <w:sz w:val="14"/>
                <w:szCs w:val="14"/>
                <w:b w:val="1"/>
                <w:bCs w:val="1"/>
                <w:color w:val="auto"/>
              </w:rPr>
              <w:t>Value</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6"/>
              <w:spacing w:after="0" w:line="176" w:lineRule="exact"/>
              <w:rPr>
                <w:sz w:val="20"/>
                <w:szCs w:val="20"/>
                <w:color w:val="auto"/>
              </w:rPr>
            </w:pPr>
            <w:r>
              <w:rPr>
                <w:rFonts w:ascii="Arial" w:cs="Arial" w:eastAsia="Arial" w:hAnsi="Arial"/>
                <w:sz w:val="13"/>
                <w:szCs w:val="13"/>
                <w:b w:val="1"/>
                <w:bCs w:val="1"/>
                <w:color w:val="auto"/>
                <w:w w:val="88"/>
              </w:rPr>
              <w:t>Cost</w:t>
            </w:r>
            <w:r>
              <w:rPr>
                <w:rFonts w:ascii="Arial" w:cs="Arial" w:eastAsia="Arial" w:hAnsi="Arial"/>
                <w:sz w:val="20"/>
                <w:szCs w:val="20"/>
                <w:b w:val="1"/>
                <w:bCs w:val="1"/>
                <w:color w:val="auto"/>
                <w:w w:val="88"/>
                <w:vertAlign w:val="superscript"/>
              </w:rPr>
              <w:t>(1)</w:t>
            </w:r>
          </w:p>
        </w:tc>
        <w:tc>
          <w:tcPr>
            <w:tcW w:w="58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Arial" w:cs="Arial" w:eastAsia="Arial" w:hAnsi="Arial"/>
                <w:sz w:val="14"/>
                <w:szCs w:val="14"/>
                <w:b w:val="1"/>
                <w:bCs w:val="1"/>
                <w:color w:val="auto"/>
              </w:rPr>
              <w:t>Value</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rPr>
              <w:t>Cost</w:t>
            </w:r>
            <w:r>
              <w:rPr>
                <w:rFonts w:ascii="Arial" w:cs="Arial" w:eastAsia="Arial" w:hAnsi="Arial"/>
                <w:sz w:val="20"/>
                <w:szCs w:val="20"/>
                <w:b w:val="1"/>
                <w:bCs w:val="1"/>
                <w:color w:val="auto"/>
                <w:vertAlign w:val="superscript"/>
              </w:rPr>
              <w:t>(1)</w:t>
            </w:r>
          </w:p>
        </w:tc>
      </w:tr>
      <w:tr>
        <w:trPr>
          <w:trHeight w:val="210"/>
        </w:trPr>
        <w:tc>
          <w:tcPr>
            <w:tcW w:w="460" w:type="dxa"/>
            <w:vAlign w:val="bottom"/>
          </w:tcPr>
          <w:p>
            <w:pPr>
              <w:spacing w:after="0"/>
              <w:rPr>
                <w:sz w:val="18"/>
                <w:szCs w:val="18"/>
                <w:color w:val="auto"/>
              </w:rPr>
            </w:pPr>
          </w:p>
        </w:tc>
        <w:tc>
          <w:tcPr>
            <w:tcW w:w="3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First-lien</w:t>
            </w:r>
          </w:p>
        </w:tc>
        <w:tc>
          <w:tcPr>
            <w:tcW w:w="2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$803.9</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$582.3</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Second-lien</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46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5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889.3</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2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September 30, 2013 and December 31, 2012 was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16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376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36"/>
              <w:spacing w:after="0" w:line="176" w:lineRule="exact"/>
              <w:rPr>
                <w:sz w:val="20"/>
                <w:szCs w:val="20"/>
                <w:color w:val="auto"/>
              </w:rPr>
            </w:pPr>
            <w:r>
              <w:rPr>
                <w:rFonts w:ascii="Arial" w:cs="Arial" w:eastAsia="Arial" w:hAnsi="Arial"/>
                <w:sz w:val="13"/>
                <w:szCs w:val="13"/>
                <w:b w:val="1"/>
                <w:bCs w:val="1"/>
                <w:color w:val="auto"/>
              </w:rPr>
              <w:t>2013</w:t>
            </w:r>
            <w:r>
              <w:rPr>
                <w:rFonts w:ascii="Arial" w:cs="Arial" w:eastAsia="Arial" w:hAnsi="Arial"/>
                <w:sz w:val="20"/>
                <w:szCs w:val="20"/>
                <w:b w:val="1"/>
                <w:bCs w:val="1"/>
                <w:color w:val="auto"/>
                <w:vertAlign w:val="superscript"/>
              </w:rPr>
              <w:t>(1)</w:t>
            </w:r>
          </w:p>
        </w:tc>
        <w:tc>
          <w:tcPr>
            <w:tcW w:w="8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36"/>
              <w:spacing w:after="0" w:line="176" w:lineRule="exact"/>
              <w:rPr>
                <w:sz w:val="20"/>
                <w:szCs w:val="20"/>
                <w:color w:val="auto"/>
              </w:rPr>
            </w:pPr>
            <w:r>
              <w:rPr>
                <w:rFonts w:ascii="Arial" w:cs="Arial" w:eastAsia="Arial" w:hAnsi="Arial"/>
                <w:sz w:val="13"/>
                <w:szCs w:val="13"/>
                <w:b w:val="1"/>
                <w:bCs w:val="1"/>
                <w:color w:val="auto"/>
              </w:rPr>
              <w:t>2012</w:t>
            </w:r>
            <w:r>
              <w:rPr>
                <w:rFonts w:ascii="Arial" w:cs="Arial" w:eastAsia="Arial" w:hAnsi="Arial"/>
                <w:sz w:val="20"/>
                <w:szCs w:val="20"/>
                <w:b w:val="1"/>
                <w:bCs w:val="1"/>
                <w:color w:val="auto"/>
                <w:vertAlign w:val="superscript"/>
              </w:rPr>
              <w:t>(1)</w:t>
            </w:r>
          </w:p>
        </w:tc>
        <w:tc>
          <w:tcPr>
            <w:tcW w:w="200" w:type="dxa"/>
            <w:vAlign w:val="bottom"/>
            <w:tcBorders>
              <w:bottom w:val="single" w:sz="8" w:color="CCEEFF"/>
            </w:tcBorders>
          </w:tcPr>
          <w:p>
            <w:pPr>
              <w:spacing w:after="0"/>
              <w:rPr>
                <w:sz w:val="15"/>
                <w:szCs w:val="15"/>
                <w:color w:val="auto"/>
              </w:rPr>
            </w:pPr>
          </w:p>
        </w:tc>
      </w:tr>
      <w:tr>
        <w:trPr>
          <w:trHeight w:val="210"/>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Aerospace and defense</w:t>
            </w:r>
          </w:p>
        </w:tc>
        <w:tc>
          <w:tcPr>
            <w:tcW w:w="1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6.1%</w:t>
            </w: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Automotive</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6.9%</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5.1%</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Business services</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14.2%</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5.9%</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5.3%</w:t>
            </w: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Education</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Financial services</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15.5%</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8.0%</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5.8%</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Insurance</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4.0%</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3.0%</w:t>
            </w: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Office products</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2.3%</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4.6%</w:t>
            </w: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Transportation</w:t>
            </w:r>
          </w:p>
        </w:tc>
        <w:tc>
          <w:tcPr>
            <w:tcW w:w="1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7"/>
        </w:trPr>
        <w:tc>
          <w:tcPr>
            <w:tcW w:w="3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100.0%</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64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classify the industries of our portfolio companies by end-market (such as healthcare and pharmaceuticals, and business services) and not by the products or services (such as software) directed to those end-markets.</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geographic composition of investments at fair value at September 30, 2013 and December 31,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7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September 30, 2013</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Midwest</w:t>
            </w:r>
          </w:p>
        </w:tc>
        <w:tc>
          <w:tcPr>
            <w:tcW w:w="3700" w:type="dxa"/>
            <w:vAlign w:val="bottom"/>
            <w:gridSpan w:val="3"/>
          </w:tcPr>
          <w:p>
            <w:pPr>
              <w:jc w:val="right"/>
              <w:ind w:right="620"/>
              <w:spacing w:after="0"/>
              <w:rPr>
                <w:sz w:val="20"/>
                <w:szCs w:val="20"/>
                <w:color w:val="auto"/>
              </w:rPr>
            </w:pPr>
            <w:r>
              <w:rPr>
                <w:rFonts w:ascii="Arial" w:cs="Arial" w:eastAsia="Arial" w:hAnsi="Arial"/>
                <w:sz w:val="18"/>
                <w:szCs w:val="18"/>
                <w:color w:val="auto"/>
              </w:rPr>
              <w:t>16.5%</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South</w:t>
            </w:r>
          </w:p>
        </w:tc>
        <w:tc>
          <w:tcPr>
            <w:tcW w:w="3700" w:type="dxa"/>
            <w:vAlign w:val="bottom"/>
            <w:gridSpan w:val="3"/>
          </w:tcPr>
          <w:p>
            <w:pPr>
              <w:jc w:val="right"/>
              <w:ind w:right="620"/>
              <w:spacing w:after="0"/>
              <w:rPr>
                <w:sz w:val="20"/>
                <w:szCs w:val="20"/>
                <w:color w:val="auto"/>
              </w:rPr>
            </w:pPr>
            <w:r>
              <w:rPr>
                <w:rFonts w:ascii="Arial" w:cs="Arial" w:eastAsia="Arial" w:hAnsi="Arial"/>
                <w:sz w:val="18"/>
                <w:szCs w:val="18"/>
                <w:color w:val="auto"/>
              </w:rPr>
              <w:t>25.4%</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32.8%</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Europe</w:t>
            </w:r>
          </w:p>
        </w:tc>
        <w:tc>
          <w:tcPr>
            <w:tcW w:w="180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3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0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8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and, to our knowledge, no material legal proceeding is threatened against us.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table set forth below contains certain information as of September 30, 2013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As of September 30, 2013, we did not “control” and are not an “affiliate” of any of our portfolio companies, each as defined in the 1940 Act. In general, under the 1940 Act, we would “control” a portfolio company if we owned 25.0% or more of its voting securities and would be an “affiliate” of a portfolio company if we owned five percent or more of its voting securities. We either originated or purchased in the secondary market the loans and securities in our current portfolio.</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2"/>
                <w:szCs w:val="22"/>
                <w:b w:val="1"/>
                <w:bCs w:val="1"/>
                <w:color w:val="auto"/>
                <w:vertAlign w:val="superscript"/>
              </w:rPr>
              <w:t>(1)</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ind w:left="720"/>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61"/>
        </w:trPr>
        <w:tc>
          <w:tcPr>
            <w:tcW w:w="3280" w:type="dxa"/>
            <w:vAlign w:val="bottom"/>
            <w:gridSpan w:val="2"/>
            <w:vMerge w:val="continue"/>
          </w:tcPr>
          <w:p>
            <w:pPr>
              <w:spacing w:after="0"/>
              <w:rPr>
                <w:sz w:val="14"/>
                <w:szCs w:val="14"/>
                <w:color w:val="auto"/>
              </w:rPr>
            </w:pPr>
          </w:p>
        </w:tc>
        <w:tc>
          <w:tcPr>
            <w:tcW w:w="1460" w:type="dxa"/>
            <w:vAlign w:val="bottom"/>
            <w:gridSpan w:val="2"/>
          </w:tcPr>
          <w:p>
            <w:pPr>
              <w:ind w:left="380"/>
              <w:spacing w:after="0"/>
              <w:rPr>
                <w:sz w:val="20"/>
                <w:szCs w:val="20"/>
                <w:color w:val="auto"/>
              </w:rPr>
            </w:pPr>
            <w:r>
              <w:rPr>
                <w:rFonts w:ascii="Arial" w:cs="Arial" w:eastAsia="Arial" w:hAnsi="Arial"/>
                <w:sz w:val="14"/>
                <w:szCs w:val="14"/>
                <w:b w:val="1"/>
                <w:bCs w:val="1"/>
                <w:color w:val="auto"/>
              </w:rPr>
              <w:t>Industry</w:t>
            </w:r>
          </w:p>
        </w:tc>
        <w:tc>
          <w:tcPr>
            <w:tcW w:w="2060" w:type="dxa"/>
            <w:vAlign w:val="bottom"/>
          </w:tcPr>
          <w:p>
            <w:pPr>
              <w:ind w:left="240"/>
              <w:spacing w:after="0"/>
              <w:rPr>
                <w:sz w:val="20"/>
                <w:szCs w:val="20"/>
                <w:color w:val="auto"/>
              </w:rPr>
            </w:pPr>
            <w:r>
              <w:rPr>
                <w:rFonts w:ascii="Arial" w:cs="Arial" w:eastAsia="Arial" w:hAnsi="Arial"/>
                <w:sz w:val="14"/>
                <w:szCs w:val="14"/>
                <w:b w:val="1"/>
                <w:bCs w:val="1"/>
                <w:color w:val="auto"/>
                <w:w w:val="97"/>
              </w:rPr>
              <w:t>(Par amounts in thousands)</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280" w:type="dxa"/>
            <w:vAlign w:val="bottom"/>
            <w:gridSpan w:val="2"/>
          </w:tcPr>
          <w:p>
            <w:pPr>
              <w:spacing w:after="0" w:line="95" w:lineRule="exact"/>
              <w:rPr>
                <w:sz w:val="20"/>
                <w:szCs w:val="20"/>
                <w:color w:val="auto"/>
              </w:rPr>
            </w:pPr>
            <w:r>
              <w:rPr>
                <w:rFonts w:ascii="Arial" w:cs="Arial" w:eastAsia="Arial" w:hAnsi="Arial"/>
                <w:sz w:val="11"/>
                <w:szCs w:val="11"/>
                <w:b w:val="1"/>
                <w:bCs w:val="1"/>
                <w:color w:val="auto"/>
              </w:rPr>
              <w:t>Senior Secured First-Lien Loans</w:t>
            </w: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3280" w:type="dxa"/>
            <w:vAlign w:val="bottom"/>
            <w:gridSpan w:val="2"/>
          </w:tcPr>
          <w:p>
            <w:pPr>
              <w:spacing w:after="0" w:line="165" w:lineRule="exact"/>
              <w:rPr>
                <w:sz w:val="20"/>
                <w:szCs w:val="20"/>
                <w:color w:val="auto"/>
              </w:rPr>
            </w:pPr>
            <w:r>
              <w:rPr>
                <w:rFonts w:ascii="Arial" w:cs="Arial" w:eastAsia="Arial" w:hAnsi="Arial"/>
                <w:sz w:val="12"/>
                <w:szCs w:val="12"/>
                <w:color w:val="auto"/>
              </w:rPr>
              <w:t>AFS Technologies, Inc.</w:t>
            </w:r>
            <w:r>
              <w:rPr>
                <w:rFonts w:ascii="Arial" w:cs="Arial" w:eastAsia="Arial" w:hAnsi="Arial"/>
                <w:sz w:val="19"/>
                <w:szCs w:val="19"/>
                <w:color w:val="auto"/>
                <w:vertAlign w:val="superscript"/>
              </w:rPr>
              <w:t>(3)(4)(5)</w:t>
            </w:r>
          </w:p>
        </w:tc>
        <w:tc>
          <w:tcPr>
            <w:tcW w:w="1460" w:type="dxa"/>
            <w:vAlign w:val="bottom"/>
            <w:gridSpan w:val="2"/>
          </w:tcPr>
          <w:p>
            <w:pPr>
              <w:spacing w:after="0"/>
              <w:rPr>
                <w:sz w:val="20"/>
                <w:szCs w:val="20"/>
                <w:color w:val="auto"/>
              </w:rPr>
            </w:pPr>
            <w:r>
              <w:rPr>
                <w:rFonts w:ascii="Arial" w:cs="Arial" w:eastAsia="Arial" w:hAnsi="Arial"/>
                <w:sz w:val="14"/>
                <w:szCs w:val="14"/>
                <w:color w:val="auto"/>
              </w:rPr>
              <w:t>Beverage, food, and</w:t>
            </w:r>
          </w:p>
        </w:tc>
        <w:tc>
          <w:tcPr>
            <w:tcW w:w="2060" w:type="dxa"/>
            <w:vAlign w:val="bottom"/>
          </w:tcPr>
          <w:p>
            <w:pPr>
              <w:spacing w:after="0"/>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Ecommerce Industries, Inc.</w:t>
            </w:r>
            <w:r>
              <w:rPr>
                <w:rFonts w:ascii="Arial" w:cs="Arial" w:eastAsia="Arial" w:hAnsi="Arial"/>
                <w:sz w:val="22"/>
                <w:szCs w:val="22"/>
                <w:color w:val="auto"/>
                <w:vertAlign w:val="superscript"/>
              </w:rPr>
              <w:t>(3)(4)(5)</w:t>
            </w:r>
          </w:p>
        </w:tc>
        <w:tc>
          <w:tcPr>
            <w:tcW w:w="1460" w:type="dxa"/>
            <w:vAlign w:val="bottom"/>
            <w:gridSpan w:val="2"/>
          </w:tcPr>
          <w:p>
            <w:pPr>
              <w:spacing w:after="0"/>
              <w:rPr>
                <w:sz w:val="20"/>
                <w:szCs w:val="20"/>
                <w:color w:val="auto"/>
              </w:rPr>
            </w:pPr>
            <w:r>
              <w:rPr>
                <w:rFonts w:ascii="Arial" w:cs="Arial" w:eastAsia="Arial" w:hAnsi="Arial"/>
                <w:sz w:val="14"/>
                <w:szCs w:val="14"/>
                <w:color w:val="auto"/>
              </w:rPr>
              <w:t>tobacco</w:t>
            </w:r>
          </w:p>
        </w:tc>
        <w:tc>
          <w:tcPr>
            <w:tcW w:w="2060" w:type="dxa"/>
            <w:vAlign w:val="bottom"/>
          </w:tcPr>
          <w:p>
            <w:pPr>
              <w:spacing w:after="0"/>
              <w:rPr>
                <w:sz w:val="20"/>
                <w:szCs w:val="20"/>
                <w:color w:val="auto"/>
              </w:rPr>
            </w:pPr>
            <w:r>
              <w:rPr>
                <w:rFonts w:ascii="Arial" w:cs="Arial" w:eastAsia="Arial" w:hAnsi="Arial"/>
                <w:sz w:val="14"/>
                <w:szCs w:val="14"/>
                <w:color w:val="auto"/>
              </w:rPr>
              <w:t>($45,017 par, due 8/2015)</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Office products</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MSC.Software Corporation</w:t>
            </w:r>
            <w:r>
              <w:rPr>
                <w:rFonts w:ascii="Arial" w:cs="Arial" w:eastAsia="Arial" w:hAnsi="Arial"/>
                <w:sz w:val="22"/>
                <w:szCs w:val="22"/>
                <w:color w:val="auto"/>
                <w:vertAlign w:val="superscript"/>
              </w:rPr>
              <w:t>(3)(4)(5)</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($20,217 par, due 10/2016)</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Mandalay Baseball Properties, LLC</w:t>
            </w:r>
            <w:r>
              <w:rPr>
                <w:rFonts w:ascii="Arial" w:cs="Arial" w:eastAsia="Arial" w:hAnsi="Arial"/>
                <w:sz w:val="22"/>
                <w:szCs w:val="22"/>
                <w:color w:val="auto"/>
                <w:vertAlign w:val="superscript"/>
              </w:rPr>
              <w:t>(3)(5)</w:t>
            </w:r>
          </w:p>
        </w:tc>
        <w:tc>
          <w:tcPr>
            <w:tcW w:w="1460" w:type="dxa"/>
            <w:vAlign w:val="bottom"/>
            <w:gridSpan w:val="2"/>
          </w:tcPr>
          <w:p>
            <w:pPr>
              <w:spacing w:after="0"/>
              <w:rPr>
                <w:sz w:val="20"/>
                <w:szCs w:val="20"/>
                <w:color w:val="auto"/>
              </w:rPr>
            </w:pPr>
            <w:r>
              <w:rPr>
                <w:rFonts w:ascii="Arial" w:cs="Arial" w:eastAsia="Arial" w:hAnsi="Arial"/>
                <w:sz w:val="14"/>
                <w:szCs w:val="14"/>
                <w:color w:val="auto"/>
                <w:w w:val="97"/>
              </w:rPr>
              <w:t>Aerospace and defense</w:t>
            </w:r>
          </w:p>
        </w:tc>
        <w:tc>
          <w:tcPr>
            <w:tcW w:w="2060" w:type="dxa"/>
            <w:vAlign w:val="bottom"/>
          </w:tcPr>
          <w:p>
            <w:pPr>
              <w:spacing w:after="0"/>
              <w:rPr>
                <w:sz w:val="20"/>
                <w:szCs w:val="20"/>
                <w:color w:val="auto"/>
              </w:rPr>
            </w:pPr>
            <w:r>
              <w:rPr>
                <w:rFonts w:ascii="Arial" w:cs="Arial" w:eastAsia="Arial" w:hAnsi="Arial"/>
                <w:sz w:val="14"/>
                <w:szCs w:val="14"/>
                <w:color w:val="auto"/>
              </w:rPr>
              <w:t>($54,156 par, due 11/2017)</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Hotel, gaming, and</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72"/>
        </w:trPr>
        <w:tc>
          <w:tcPr>
            <w:tcW w:w="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leisure</w:t>
            </w:r>
          </w:p>
        </w:tc>
        <w:tc>
          <w:tcPr>
            <w:tcW w:w="2060" w:type="dxa"/>
            <w:vAlign w:val="bottom"/>
          </w:tcPr>
          <w:p>
            <w:pPr>
              <w:spacing w:after="0"/>
              <w:rPr>
                <w:sz w:val="20"/>
                <w:szCs w:val="20"/>
                <w:color w:val="auto"/>
              </w:rPr>
            </w:pPr>
            <w:r>
              <w:rPr>
                <w:rFonts w:ascii="Arial" w:cs="Arial" w:eastAsia="Arial" w:hAnsi="Arial"/>
                <w:sz w:val="14"/>
                <w:szCs w:val="14"/>
                <w:color w:val="auto"/>
              </w:rPr>
              <w:t>($34,489 par, due 3/2017)</w:t>
            </w:r>
          </w:p>
        </w:tc>
        <w:tc>
          <w:tcPr>
            <w:tcW w:w="0" w:type="dxa"/>
            <w:vAlign w:val="bottom"/>
          </w:tcPr>
          <w:p>
            <w:pPr>
              <w:spacing w:after="0"/>
              <w:rPr>
                <w:sz w:val="1"/>
                <w:szCs w:val="1"/>
                <w:color w:val="auto"/>
              </w:rPr>
            </w:pPr>
          </w:p>
        </w:tc>
      </w:tr>
      <w:tr>
        <w:trPr>
          <w:trHeight w:val="435"/>
        </w:trPr>
        <w:tc>
          <w:tcPr>
            <w:tcW w:w="3280" w:type="dxa"/>
            <w:vAlign w:val="bottom"/>
            <w:gridSpan w:val="2"/>
          </w:tcPr>
          <w:p>
            <w:pPr>
              <w:spacing w:after="0"/>
              <w:rPr>
                <w:sz w:val="20"/>
                <w:szCs w:val="20"/>
                <w:color w:val="auto"/>
              </w:rPr>
            </w:pPr>
            <w:r>
              <w:rPr>
                <w:rFonts w:ascii="Arial" w:cs="Arial" w:eastAsia="Arial" w:hAnsi="Arial"/>
                <w:sz w:val="14"/>
                <w:szCs w:val="14"/>
                <w:color w:val="auto"/>
              </w:rPr>
              <w:t>Infogix, Inc.</w:t>
            </w:r>
            <w:r>
              <w:rPr>
                <w:rFonts w:ascii="Arial" w:cs="Arial" w:eastAsia="Arial" w:hAnsi="Arial"/>
                <w:sz w:val="22"/>
                <w:szCs w:val="22"/>
                <w:color w:val="auto"/>
                <w:vertAlign w:val="superscript"/>
              </w:rPr>
              <w:t>(3)(5)</w:t>
            </w:r>
          </w:p>
        </w:tc>
        <w:tc>
          <w:tcPr>
            <w:tcW w:w="1460" w:type="dxa"/>
            <w:vAlign w:val="bottom"/>
            <w:gridSpan w:val="2"/>
          </w:tcPr>
          <w:p>
            <w:pPr>
              <w:spacing w:after="0"/>
              <w:rPr>
                <w:sz w:val="20"/>
                <w:szCs w:val="20"/>
                <w:color w:val="auto"/>
              </w:rPr>
            </w:pPr>
            <w:r>
              <w:rPr>
                <w:rFonts w:ascii="Arial" w:cs="Arial" w:eastAsia="Arial" w:hAnsi="Arial"/>
                <w:sz w:val="14"/>
                <w:szCs w:val="14"/>
                <w:color w:val="auto"/>
              </w:rPr>
              <w:t>Insurance</w:t>
            </w:r>
          </w:p>
        </w:tc>
        <w:tc>
          <w:tcPr>
            <w:tcW w:w="2060" w:type="dxa"/>
            <w:vAlign w:val="bottom"/>
          </w:tcPr>
          <w:p>
            <w:pPr>
              <w:spacing w:after="0"/>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Consona Holdings, Inc.</w:t>
            </w:r>
            <w:r>
              <w:rPr>
                <w:rFonts w:ascii="Arial" w:cs="Arial" w:eastAsia="Arial" w:hAnsi="Arial"/>
                <w:sz w:val="22"/>
                <w:szCs w:val="22"/>
                <w:color w:val="auto"/>
                <w:vertAlign w:val="superscript"/>
              </w:rPr>
              <w:t>(3)(5)</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($32,306 par, due 6/2017)</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Heartland Automotive Holdings, LLC</w:t>
            </w:r>
            <w:r>
              <w:rPr>
                <w:rFonts w:ascii="Arial" w:cs="Arial" w:eastAsia="Arial" w:hAnsi="Arial"/>
                <w:sz w:val="22"/>
                <w:szCs w:val="22"/>
                <w:color w:val="auto"/>
                <w:vertAlign w:val="superscript"/>
              </w:rPr>
              <w:t>(3)(5)</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($29,700 par, due 8/2018)</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Automotive</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Mediware Information Systems, Inc.</w:t>
            </w:r>
            <w:r>
              <w:rPr>
                <w:rFonts w:ascii="Arial" w:cs="Arial" w:eastAsia="Arial" w:hAnsi="Arial"/>
                <w:sz w:val="22"/>
                <w:szCs w:val="22"/>
                <w:color w:val="auto"/>
                <w:vertAlign w:val="superscript"/>
              </w:rPr>
              <w:t>(3)(4)(5)</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($37,472 par, due 6/2017)</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Healthcare and</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SumTotal Systems, LLC</w:t>
            </w:r>
            <w:r>
              <w:rPr>
                <w:rFonts w:ascii="Arial" w:cs="Arial" w:eastAsia="Arial" w:hAnsi="Arial"/>
                <w:sz w:val="22"/>
                <w:szCs w:val="22"/>
                <w:color w:val="auto"/>
                <w:vertAlign w:val="superscript"/>
              </w:rPr>
              <w:t>(3)</w:t>
            </w:r>
          </w:p>
        </w:tc>
        <w:tc>
          <w:tcPr>
            <w:tcW w:w="1460" w:type="dxa"/>
            <w:vAlign w:val="bottom"/>
            <w:gridSpan w:val="2"/>
          </w:tcPr>
          <w:p>
            <w:pPr>
              <w:spacing w:after="0"/>
              <w:rPr>
                <w:sz w:val="20"/>
                <w:szCs w:val="20"/>
                <w:color w:val="auto"/>
              </w:rPr>
            </w:pPr>
            <w:r>
              <w:rPr>
                <w:rFonts w:ascii="Arial" w:cs="Arial" w:eastAsia="Arial" w:hAnsi="Arial"/>
                <w:sz w:val="14"/>
                <w:szCs w:val="14"/>
                <w:color w:val="auto"/>
              </w:rPr>
              <w:t>pharmaceuticals</w:t>
            </w:r>
          </w:p>
        </w:tc>
        <w:tc>
          <w:tcPr>
            <w:tcW w:w="2060" w:type="dxa"/>
            <w:vAlign w:val="bottom"/>
          </w:tcPr>
          <w:p>
            <w:pPr>
              <w:spacing w:after="0"/>
              <w:rPr>
                <w:sz w:val="20"/>
                <w:szCs w:val="20"/>
                <w:color w:val="auto"/>
              </w:rPr>
            </w:pPr>
            <w:r>
              <w:rPr>
                <w:rFonts w:ascii="Arial" w:cs="Arial" w:eastAsia="Arial" w:hAnsi="Arial"/>
                <w:sz w:val="14"/>
                <w:szCs w:val="14"/>
                <w:color w:val="auto"/>
              </w:rPr>
              <w:t>($72,092 par, due 5/2018)</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Human resource</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Rogue Wave Holdings, Inc.</w:t>
            </w:r>
            <w:r>
              <w:rPr>
                <w:rFonts w:ascii="Arial" w:cs="Arial" w:eastAsia="Arial" w:hAnsi="Arial"/>
                <w:sz w:val="22"/>
                <w:szCs w:val="22"/>
                <w:color w:val="auto"/>
                <w:vertAlign w:val="superscript"/>
              </w:rPr>
              <w:t>(3)(4)(5)</w:t>
            </w:r>
          </w:p>
        </w:tc>
        <w:tc>
          <w:tcPr>
            <w:tcW w:w="1460" w:type="dxa"/>
            <w:vAlign w:val="bottom"/>
            <w:gridSpan w:val="2"/>
          </w:tcPr>
          <w:p>
            <w:pPr>
              <w:spacing w:after="0"/>
              <w:rPr>
                <w:sz w:val="20"/>
                <w:szCs w:val="20"/>
                <w:color w:val="auto"/>
              </w:rPr>
            </w:pPr>
            <w:r>
              <w:rPr>
                <w:rFonts w:ascii="Arial" w:cs="Arial" w:eastAsia="Arial" w:hAnsi="Arial"/>
                <w:sz w:val="14"/>
                <w:szCs w:val="14"/>
                <w:color w:val="auto"/>
              </w:rPr>
              <w:t>support services</w:t>
            </w:r>
          </w:p>
        </w:tc>
        <w:tc>
          <w:tcPr>
            <w:tcW w:w="2060" w:type="dxa"/>
            <w:vAlign w:val="bottom"/>
          </w:tcPr>
          <w:p>
            <w:pPr>
              <w:spacing w:after="0"/>
              <w:rPr>
                <w:sz w:val="20"/>
                <w:szCs w:val="20"/>
                <w:color w:val="auto"/>
              </w:rPr>
            </w:pPr>
            <w:r>
              <w:rPr>
                <w:rFonts w:ascii="Arial" w:cs="Arial" w:eastAsia="Arial" w:hAnsi="Arial"/>
                <w:sz w:val="14"/>
                <w:szCs w:val="14"/>
                <w:color w:val="auto"/>
              </w:rPr>
              <w:t>($7,503 par, due 11/2018)</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Financial services</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Embarcadero Technologies, Inc.</w:t>
            </w:r>
            <w:r>
              <w:rPr>
                <w:rFonts w:ascii="Arial" w:cs="Arial" w:eastAsia="Arial" w:hAnsi="Arial"/>
                <w:sz w:val="22"/>
                <w:szCs w:val="22"/>
                <w:color w:val="auto"/>
                <w:vertAlign w:val="superscript"/>
              </w:rPr>
              <w:t>(3)(4)(5)</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($45,975 par, due 11/2017)</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Financial services</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SRS Software, LLC</w:t>
            </w:r>
            <w:r>
              <w:rPr>
                <w:rFonts w:ascii="Arial" w:cs="Arial" w:eastAsia="Arial" w:hAnsi="Arial"/>
                <w:sz w:val="22"/>
                <w:szCs w:val="22"/>
                <w:color w:val="auto"/>
                <w:vertAlign w:val="superscript"/>
              </w:rPr>
              <w:t>(3)(5)</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($43,596 par, due 12/2017)</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Healthcare and</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Sage Automotive Interiors, Inc.</w:t>
            </w:r>
            <w:r>
              <w:rPr>
                <w:rFonts w:ascii="Arial" w:cs="Arial" w:eastAsia="Arial" w:hAnsi="Arial"/>
                <w:sz w:val="22"/>
                <w:szCs w:val="22"/>
                <w:color w:val="auto"/>
                <w:vertAlign w:val="superscript"/>
              </w:rPr>
              <w:t>(3)(4)(5)</w:t>
            </w:r>
          </w:p>
        </w:tc>
        <w:tc>
          <w:tcPr>
            <w:tcW w:w="1460" w:type="dxa"/>
            <w:vAlign w:val="bottom"/>
            <w:gridSpan w:val="2"/>
          </w:tcPr>
          <w:p>
            <w:pPr>
              <w:spacing w:after="0"/>
              <w:rPr>
                <w:sz w:val="20"/>
                <w:szCs w:val="20"/>
                <w:color w:val="auto"/>
              </w:rPr>
            </w:pPr>
            <w:r>
              <w:rPr>
                <w:rFonts w:ascii="Arial" w:cs="Arial" w:eastAsia="Arial" w:hAnsi="Arial"/>
                <w:sz w:val="14"/>
                <w:szCs w:val="14"/>
                <w:color w:val="auto"/>
              </w:rPr>
              <w:t>pharmaceuticals</w:t>
            </w:r>
          </w:p>
        </w:tc>
        <w:tc>
          <w:tcPr>
            <w:tcW w:w="2060" w:type="dxa"/>
            <w:vAlign w:val="bottom"/>
          </w:tcPr>
          <w:p>
            <w:pPr>
              <w:spacing w:after="0"/>
              <w:rPr>
                <w:sz w:val="20"/>
                <w:szCs w:val="20"/>
                <w:color w:val="auto"/>
              </w:rPr>
            </w:pPr>
            <w:r>
              <w:rPr>
                <w:rFonts w:ascii="Arial" w:cs="Arial" w:eastAsia="Arial" w:hAnsi="Arial"/>
                <w:sz w:val="14"/>
                <w:szCs w:val="14"/>
                <w:color w:val="auto"/>
              </w:rPr>
              <w:t>($36,094 par, due 12/2017)</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Automotive</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The Newark Group, Inc.</w:t>
            </w:r>
            <w:r>
              <w:rPr>
                <w:rFonts w:ascii="Arial" w:cs="Arial" w:eastAsia="Arial" w:hAnsi="Arial"/>
                <w:sz w:val="22"/>
                <w:szCs w:val="22"/>
                <w:color w:val="auto"/>
                <w:vertAlign w:val="superscript"/>
              </w:rPr>
              <w:t>(3)(5)</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($21,775 par, due 12/2016)</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Containers and</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Actian Corporation</w:t>
            </w:r>
            <w:r>
              <w:rPr>
                <w:rFonts w:ascii="Arial" w:cs="Arial" w:eastAsia="Arial" w:hAnsi="Arial"/>
                <w:sz w:val="22"/>
                <w:szCs w:val="22"/>
                <w:color w:val="auto"/>
                <w:vertAlign w:val="superscript"/>
              </w:rPr>
              <w:t>(3)(4)(5)</w:t>
            </w:r>
          </w:p>
        </w:tc>
        <w:tc>
          <w:tcPr>
            <w:tcW w:w="1460" w:type="dxa"/>
            <w:vAlign w:val="bottom"/>
            <w:gridSpan w:val="2"/>
          </w:tcPr>
          <w:p>
            <w:pPr>
              <w:spacing w:after="0"/>
              <w:rPr>
                <w:sz w:val="20"/>
                <w:szCs w:val="20"/>
                <w:color w:val="auto"/>
              </w:rPr>
            </w:pPr>
            <w:r>
              <w:rPr>
                <w:rFonts w:ascii="Arial" w:cs="Arial" w:eastAsia="Arial" w:hAnsi="Arial"/>
                <w:sz w:val="14"/>
                <w:szCs w:val="14"/>
                <w:color w:val="auto"/>
              </w:rPr>
              <w:t>packaging</w:t>
            </w:r>
          </w:p>
        </w:tc>
        <w:tc>
          <w:tcPr>
            <w:tcW w:w="2060" w:type="dxa"/>
            <w:vAlign w:val="bottom"/>
          </w:tcPr>
          <w:p>
            <w:pPr>
              <w:spacing w:after="0"/>
              <w:rPr>
                <w:sz w:val="20"/>
                <w:szCs w:val="20"/>
                <w:color w:val="auto"/>
              </w:rPr>
            </w:pPr>
            <w:r>
              <w:rPr>
                <w:rFonts w:ascii="Arial" w:cs="Arial" w:eastAsia="Arial" w:hAnsi="Arial"/>
                <w:sz w:val="14"/>
                <w:szCs w:val="14"/>
                <w:color w:val="auto"/>
              </w:rPr>
              <w:t>($47,040 par, due 2/2018)</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PAI Group, Inc.</w:t>
            </w:r>
            <w:r>
              <w:rPr>
                <w:rFonts w:ascii="Arial" w:cs="Arial" w:eastAsia="Arial" w:hAnsi="Arial"/>
                <w:sz w:val="22"/>
                <w:szCs w:val="22"/>
                <w:color w:val="auto"/>
                <w:vertAlign w:val="superscript"/>
              </w:rPr>
              <w:t>(3)(5)</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($68,933 par, due 4/2018)</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Human resource</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Intelident Solutions, Inc.</w:t>
            </w:r>
            <w:r>
              <w:rPr>
                <w:rFonts w:ascii="Arial" w:cs="Arial" w:eastAsia="Arial" w:hAnsi="Arial"/>
                <w:sz w:val="22"/>
                <w:szCs w:val="22"/>
                <w:color w:val="auto"/>
                <w:vertAlign w:val="superscript"/>
              </w:rPr>
              <w:t>(3)</w:t>
            </w:r>
          </w:p>
        </w:tc>
        <w:tc>
          <w:tcPr>
            <w:tcW w:w="1460" w:type="dxa"/>
            <w:vAlign w:val="bottom"/>
            <w:gridSpan w:val="2"/>
          </w:tcPr>
          <w:p>
            <w:pPr>
              <w:spacing w:after="0"/>
              <w:rPr>
                <w:sz w:val="20"/>
                <w:szCs w:val="20"/>
                <w:color w:val="auto"/>
              </w:rPr>
            </w:pPr>
            <w:r>
              <w:rPr>
                <w:rFonts w:ascii="Arial" w:cs="Arial" w:eastAsia="Arial" w:hAnsi="Arial"/>
                <w:sz w:val="14"/>
                <w:szCs w:val="14"/>
                <w:color w:val="auto"/>
              </w:rPr>
              <w:t>support services</w:t>
            </w:r>
          </w:p>
        </w:tc>
        <w:tc>
          <w:tcPr>
            <w:tcW w:w="2060" w:type="dxa"/>
            <w:vAlign w:val="bottom"/>
          </w:tcPr>
          <w:p>
            <w:pPr>
              <w:spacing w:after="0"/>
              <w:rPr>
                <w:sz w:val="20"/>
                <w:szCs w:val="20"/>
                <w:color w:val="auto"/>
              </w:rPr>
            </w:pPr>
            <w:r>
              <w:rPr>
                <w:rFonts w:ascii="Arial" w:cs="Arial" w:eastAsia="Arial" w:hAnsi="Arial"/>
                <w:sz w:val="14"/>
                <w:szCs w:val="14"/>
                <w:color w:val="auto"/>
              </w:rPr>
              <w:t>($34,825 par, due 5/2018)</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Healthcare and</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72"/>
        </w:trPr>
        <w:tc>
          <w:tcPr>
            <w:tcW w:w="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pharmaceuticals</w:t>
            </w:r>
          </w:p>
        </w:tc>
        <w:tc>
          <w:tcPr>
            <w:tcW w:w="2060" w:type="dxa"/>
            <w:vAlign w:val="bottom"/>
          </w:tcPr>
          <w:p>
            <w:pPr>
              <w:spacing w:after="0"/>
              <w:rPr>
                <w:sz w:val="20"/>
                <w:szCs w:val="20"/>
                <w:color w:val="auto"/>
              </w:rPr>
            </w:pPr>
            <w:r>
              <w:rPr>
                <w:rFonts w:ascii="Arial" w:cs="Arial" w:eastAsia="Arial" w:hAnsi="Arial"/>
                <w:sz w:val="14"/>
                <w:szCs w:val="14"/>
                <w:color w:val="auto"/>
              </w:rPr>
              <w:t>($27,555 par, due 8/2016)</w:t>
            </w:r>
          </w:p>
        </w:tc>
        <w:tc>
          <w:tcPr>
            <w:tcW w:w="0" w:type="dxa"/>
            <w:vAlign w:val="bottom"/>
          </w:tcPr>
          <w:p>
            <w:pPr>
              <w:spacing w:after="0"/>
              <w:rPr>
                <w:sz w:val="1"/>
                <w:szCs w:val="1"/>
                <w:color w:val="auto"/>
              </w:rPr>
            </w:pPr>
          </w:p>
        </w:tc>
      </w:tr>
      <w:tr>
        <w:trPr>
          <w:trHeight w:val="435"/>
        </w:trPr>
        <w:tc>
          <w:tcPr>
            <w:tcW w:w="3280" w:type="dxa"/>
            <w:vAlign w:val="bottom"/>
            <w:gridSpan w:val="2"/>
          </w:tcPr>
          <w:p>
            <w:pPr>
              <w:spacing w:after="0"/>
              <w:rPr>
                <w:sz w:val="20"/>
                <w:szCs w:val="20"/>
                <w:color w:val="auto"/>
              </w:rPr>
            </w:pPr>
            <w:r>
              <w:rPr>
                <w:rFonts w:ascii="Arial" w:cs="Arial" w:eastAsia="Arial" w:hAnsi="Arial"/>
                <w:sz w:val="14"/>
                <w:szCs w:val="14"/>
                <w:color w:val="auto"/>
              </w:rPr>
              <w:t>Jeeves Information Systems AB</w:t>
            </w:r>
            <w:r>
              <w:rPr>
                <w:rFonts w:ascii="Arial" w:cs="Arial" w:eastAsia="Arial" w:hAnsi="Arial"/>
                <w:sz w:val="22"/>
                <w:szCs w:val="22"/>
                <w:color w:val="auto"/>
                <w:vertAlign w:val="superscript"/>
              </w:rPr>
              <w:t>(3)(6)</w:t>
            </w:r>
          </w:p>
        </w:tc>
        <w:tc>
          <w:tcPr>
            <w:tcW w:w="1460" w:type="dxa"/>
            <w:vAlign w:val="bottom"/>
            <w:gridSpan w:val="2"/>
          </w:tcPr>
          <w:p>
            <w:pPr>
              <w:spacing w:after="0"/>
              <w:rPr>
                <w:sz w:val="20"/>
                <w:szCs w:val="20"/>
                <w:color w:val="auto"/>
              </w:rPr>
            </w:pPr>
            <w:r>
              <w:rPr>
                <w:rFonts w:ascii="Arial" w:cs="Arial" w:eastAsia="Arial" w:hAnsi="Arial"/>
                <w:sz w:val="14"/>
                <w:szCs w:val="14"/>
                <w:color w:val="auto"/>
              </w:rPr>
              <w:t>Manufacturing</w:t>
            </w:r>
          </w:p>
        </w:tc>
        <w:tc>
          <w:tcPr>
            <w:tcW w:w="2060" w:type="dxa"/>
            <w:vAlign w:val="bottom"/>
          </w:tcPr>
          <w:p>
            <w:pPr>
              <w:spacing w:after="0"/>
              <w:rPr>
                <w:sz w:val="20"/>
                <w:szCs w:val="20"/>
                <w:color w:val="auto"/>
              </w:rPr>
            </w:pPr>
            <w:r>
              <w:rPr>
                <w:rFonts w:ascii="Arial" w:cs="Arial" w:eastAsia="Arial" w:hAnsi="Arial"/>
                <w:sz w:val="14"/>
                <w:szCs w:val="14"/>
                <w:color w:val="auto"/>
                <w:w w:val="95"/>
              </w:rPr>
              <w:t>Senior secured first-lien loan (SEK</w:t>
            </w:r>
          </w:p>
        </w:tc>
        <w:tc>
          <w:tcPr>
            <w:tcW w:w="0" w:type="dxa"/>
            <w:vAlign w:val="bottom"/>
          </w:tcPr>
          <w:p>
            <w:pPr>
              <w:spacing w:after="0"/>
              <w:rPr>
                <w:sz w:val="1"/>
                <w:szCs w:val="1"/>
                <w:color w:val="auto"/>
              </w:rPr>
            </w:pPr>
          </w:p>
        </w:tc>
      </w:tr>
      <w:tr>
        <w:trPr>
          <w:trHeight w:val="149"/>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Network Merchants, Inc.</w:t>
            </w:r>
            <w:r>
              <w:rPr>
                <w:rFonts w:ascii="Arial" w:cs="Arial" w:eastAsia="Arial" w:hAnsi="Arial"/>
                <w:sz w:val="22"/>
                <w:szCs w:val="22"/>
                <w:color w:val="auto"/>
                <w:vertAlign w:val="superscript"/>
              </w:rPr>
              <w:t>(3)</w:t>
            </w: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177,608 par, due 6/2018)</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AMF Bowling Worldwide, Inc.</w:t>
            </w:r>
            <w:r>
              <w:rPr>
                <w:rFonts w:ascii="Arial" w:cs="Arial" w:eastAsia="Arial" w:hAnsi="Arial"/>
                <w:sz w:val="22"/>
                <w:szCs w:val="22"/>
                <w:color w:val="auto"/>
                <w:vertAlign w:val="superscript"/>
              </w:rPr>
              <w:t>(3)(5)</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($29,659 par, due 9/2018)</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Hotel, gaming, and</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Campus Management, Inc.</w:t>
            </w:r>
            <w:r>
              <w:rPr>
                <w:rFonts w:ascii="Arial" w:cs="Arial" w:eastAsia="Arial" w:hAnsi="Arial"/>
                <w:sz w:val="22"/>
                <w:szCs w:val="22"/>
                <w:color w:val="auto"/>
                <w:vertAlign w:val="superscript"/>
              </w:rPr>
              <w:t>(3)(4)</w:t>
            </w:r>
          </w:p>
        </w:tc>
        <w:tc>
          <w:tcPr>
            <w:tcW w:w="1460" w:type="dxa"/>
            <w:vAlign w:val="bottom"/>
            <w:gridSpan w:val="2"/>
          </w:tcPr>
          <w:p>
            <w:pPr>
              <w:spacing w:after="0"/>
              <w:rPr>
                <w:sz w:val="20"/>
                <w:szCs w:val="20"/>
                <w:color w:val="auto"/>
              </w:rPr>
            </w:pPr>
            <w:r>
              <w:rPr>
                <w:rFonts w:ascii="Arial" w:cs="Arial" w:eastAsia="Arial" w:hAnsi="Arial"/>
                <w:sz w:val="14"/>
                <w:szCs w:val="14"/>
                <w:color w:val="auto"/>
              </w:rPr>
              <w:t>leisure</w:t>
            </w:r>
          </w:p>
        </w:tc>
        <w:tc>
          <w:tcPr>
            <w:tcW w:w="2060" w:type="dxa"/>
            <w:vAlign w:val="bottom"/>
          </w:tcPr>
          <w:p>
            <w:pPr>
              <w:spacing w:after="0"/>
              <w:rPr>
                <w:sz w:val="20"/>
                <w:szCs w:val="20"/>
                <w:color w:val="auto"/>
              </w:rPr>
            </w:pPr>
            <w:r>
              <w:rPr>
                <w:rFonts w:ascii="Arial" w:cs="Arial" w:eastAsia="Arial" w:hAnsi="Arial"/>
                <w:sz w:val="14"/>
                <w:szCs w:val="14"/>
                <w:color w:val="auto"/>
              </w:rPr>
              <w:t>($14,906 par, due 6/2018)</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Education</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Global Geophysical</w:t>
            </w:r>
            <w:r>
              <w:rPr>
                <w:rFonts w:ascii="Arial" w:cs="Arial" w:eastAsia="Arial" w:hAnsi="Arial"/>
                <w:sz w:val="22"/>
                <w:szCs w:val="22"/>
                <w:color w:val="auto"/>
                <w:vertAlign w:val="superscript"/>
              </w:rPr>
              <w:t>(3)(5)</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($30,000 par, due 9/2018)</w:t>
            </w:r>
          </w:p>
        </w:tc>
        <w:tc>
          <w:tcPr>
            <w:tcW w:w="0" w:type="dxa"/>
            <w:vAlign w:val="bottom"/>
          </w:tcPr>
          <w:p>
            <w:pPr>
              <w:spacing w:after="0"/>
              <w:rPr>
                <w:sz w:val="1"/>
                <w:szCs w:val="1"/>
                <w:color w:val="auto"/>
              </w:rPr>
            </w:pPr>
          </w:p>
        </w:tc>
      </w:tr>
      <w:tr>
        <w:trPr>
          <w:trHeight w:val="149"/>
        </w:trPr>
        <w:tc>
          <w:tcPr>
            <w:tcW w:w="3280" w:type="dxa"/>
            <w:vAlign w:val="bottom"/>
            <w:gridSpan w:val="2"/>
            <w:vMerge w:val="continue"/>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Oil, gas, and</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Senior secured first-lien loan</w:t>
            </w:r>
          </w:p>
        </w:tc>
        <w:tc>
          <w:tcPr>
            <w:tcW w:w="0" w:type="dxa"/>
            <w:vAlign w:val="bottom"/>
          </w:tcPr>
          <w:p>
            <w:pPr>
              <w:spacing w:after="0"/>
              <w:rPr>
                <w:sz w:val="1"/>
                <w:szCs w:val="1"/>
                <w:color w:val="auto"/>
              </w:rPr>
            </w:pPr>
          </w:p>
        </w:tc>
      </w:tr>
      <w:tr>
        <w:trPr>
          <w:trHeight w:val="172"/>
        </w:trPr>
        <w:tc>
          <w:tcPr>
            <w:tcW w:w="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consumable fuels</w:t>
            </w:r>
          </w:p>
        </w:tc>
        <w:tc>
          <w:tcPr>
            <w:tcW w:w="2060" w:type="dxa"/>
            <w:vAlign w:val="bottom"/>
          </w:tcPr>
          <w:p>
            <w:pPr>
              <w:spacing w:after="0"/>
              <w:rPr>
                <w:sz w:val="20"/>
                <w:szCs w:val="20"/>
                <w:color w:val="auto"/>
              </w:rPr>
            </w:pPr>
            <w:r>
              <w:rPr>
                <w:rFonts w:ascii="Arial" w:cs="Arial" w:eastAsia="Arial" w:hAnsi="Arial"/>
                <w:sz w:val="14"/>
                <w:szCs w:val="14"/>
                <w:color w:val="auto"/>
              </w:rPr>
              <w:t>($41,000 par, due 9/2016)</w:t>
            </w: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2680" w:type="dxa"/>
            <w:vAlign w:val="bottom"/>
          </w:tcPr>
          <w:p>
            <w:pPr>
              <w:ind w:left="60"/>
              <w:spacing w:after="0"/>
              <w:rPr>
                <w:sz w:val="20"/>
                <w:szCs w:val="20"/>
                <w:color w:val="auto"/>
              </w:rPr>
            </w:pPr>
            <w:r>
              <w:rPr>
                <w:rFonts w:ascii="Arial" w:cs="Arial" w:eastAsia="Arial" w:hAnsi="Arial"/>
                <w:sz w:val="14"/>
                <w:szCs w:val="14"/>
                <w:b w:val="1"/>
                <w:bCs w:val="1"/>
                <w:color w:val="auto"/>
              </w:rPr>
              <w:t>Total Senior Secured First-Lien Loans</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-4921250</wp:posOffset>
            </wp:positionV>
            <wp:extent cx="7246620" cy="94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-4629785</wp:posOffset>
            </wp:positionV>
            <wp:extent cx="7246620" cy="1974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-4235450</wp:posOffset>
            </wp:positionV>
            <wp:extent cx="7246620" cy="3860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-3652520</wp:posOffset>
            </wp:positionV>
            <wp:extent cx="7246620" cy="1974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-3257550</wp:posOffset>
            </wp:positionV>
            <wp:extent cx="7246620" cy="1974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-2863215</wp:posOffset>
            </wp:positionV>
            <wp:extent cx="7246620" cy="1974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-2468880</wp:posOffset>
            </wp:positionV>
            <wp:extent cx="7246620" cy="19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-2074545</wp:posOffset>
            </wp:positionV>
            <wp:extent cx="7246620" cy="1974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-1680210</wp:posOffset>
            </wp:positionV>
            <wp:extent cx="7246620" cy="1974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24662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246620" cy="1974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246620" cy="1974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Amortized</w:t>
            </w:r>
          </w:p>
        </w:tc>
        <w:tc>
          <w:tcPr>
            <w:tcW w:w="2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Fair</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w w:val="96"/>
              </w:rPr>
              <w:t>Cost</w:t>
            </w:r>
            <w:r>
              <w:rPr>
                <w:rFonts w:ascii="Arial" w:cs="Arial" w:eastAsia="Arial" w:hAnsi="Arial"/>
                <w:sz w:val="18"/>
                <w:szCs w:val="18"/>
                <w:b w:val="1"/>
                <w:bCs w:val="1"/>
                <w:color w:val="auto"/>
                <w:w w:val="96"/>
                <w:vertAlign w:val="superscript"/>
              </w:rPr>
              <w:t>(2)</w:t>
            </w:r>
          </w:p>
        </w:tc>
        <w:tc>
          <w:tcPr>
            <w:tcW w:w="2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 amount</w:t>
            </w:r>
          </w:p>
        </w:tc>
        <w:tc>
          <w:tcPr>
            <w:tcW w:w="2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2"/>
              </w:rPr>
              <w:t>Interest</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w:t>
            </w:r>
          </w:p>
        </w:tc>
        <w:tc>
          <w:tcPr>
            <w:tcW w:w="2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w:t>
            </w:r>
          </w:p>
        </w:tc>
        <w:tc>
          <w:tcPr>
            <w:tcW w:w="2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Percentage of</w:t>
            </w:r>
          </w:p>
        </w:tc>
      </w:tr>
      <w:tr>
        <w:trPr>
          <w:trHeight w:val="161"/>
        </w:trPr>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Rate</w:t>
            </w:r>
          </w:p>
        </w:tc>
        <w:tc>
          <w:tcPr>
            <w:tcW w:w="3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2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Net Assets</w:t>
            </w:r>
          </w:p>
        </w:tc>
        <w:tc>
          <w:tcPr>
            <w:tcW w:w="100" w:type="dxa"/>
            <w:vAlign w:val="bottom"/>
          </w:tcPr>
          <w:p>
            <w:pPr>
              <w:spacing w:after="0"/>
              <w:rPr>
                <w:sz w:val="14"/>
                <w:szCs w:val="14"/>
                <w:color w:val="auto"/>
              </w:rPr>
            </w:pPr>
          </w:p>
        </w:tc>
      </w:tr>
      <w:tr>
        <w:trPr>
          <w:trHeight w:val="452"/>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7.75%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8/31/2011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   44,375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45,692</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8.1%</w:t>
            </w:r>
          </w:p>
        </w:tc>
      </w:tr>
      <w:tr>
        <w:trPr>
          <w:trHeight w:val="311"/>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8.00%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10/17/2011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20,001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20,419</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3.6%</w:t>
            </w:r>
          </w:p>
        </w:tc>
      </w:tr>
      <w:tr>
        <w:trPr>
          <w:trHeight w:val="287"/>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7.75%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12/23/2011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53,477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54,156</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9.7%</w:t>
            </w:r>
          </w:p>
        </w:tc>
      </w:tr>
      <w:tr>
        <w:trPr>
          <w:trHeight w:val="149"/>
        </w:trPr>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12.00%</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(incl.</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4.50%</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6"/>
        </w:trPr>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PIK)</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4/12/2012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33,869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35,362</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6.3%</w:t>
            </w:r>
          </w:p>
        </w:tc>
      </w:tr>
      <w:tr>
        <w:trPr>
          <w:trHeight w:val="311"/>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6/1/2012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31,815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32,225</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5.7%</w:t>
            </w:r>
          </w:p>
        </w:tc>
      </w:tr>
      <w:tr>
        <w:trPr>
          <w:trHeight w:val="311"/>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7.25%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8/13/2012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29,337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29,403</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5.2%</w:t>
            </w:r>
          </w:p>
        </w:tc>
      </w:tr>
      <w:tr>
        <w:trPr>
          <w:trHeight w:val="311"/>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9.00%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8/28/2012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36,682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36,723</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6.5%</w:t>
            </w:r>
          </w:p>
        </w:tc>
      </w:tr>
      <w:tr>
        <w:trPr>
          <w:trHeight w:val="311"/>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8.00%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11/9/2012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70,496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71,371</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12.7%</w:t>
            </w:r>
          </w:p>
        </w:tc>
      </w:tr>
      <w:tr>
        <w:trPr>
          <w:trHeight w:val="311"/>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6.25%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11/16/2012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7,422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7,463</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1.3%</w:t>
            </w:r>
          </w:p>
        </w:tc>
      </w:tr>
      <w:tr>
        <w:trPr>
          <w:trHeight w:val="311"/>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8.25%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11/21/2012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44,948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45,745</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8.2%</w:t>
            </w:r>
          </w:p>
        </w:tc>
      </w:tr>
      <w:tr>
        <w:trPr>
          <w:trHeight w:val="311"/>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8.00%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12/28/2012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42,644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43,487</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7.8%</w:t>
            </w:r>
          </w:p>
        </w:tc>
      </w:tr>
      <w:tr>
        <w:trPr>
          <w:trHeight w:val="311"/>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8.75%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12/28/2012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35,196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35,191</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6.3%</w:t>
            </w:r>
          </w:p>
        </w:tc>
      </w:tr>
      <w:tr>
        <w:trPr>
          <w:trHeight w:val="311"/>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8.50%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12/31/2012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21,541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21,666</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3.9%</w:t>
            </w:r>
          </w:p>
        </w:tc>
      </w:tr>
      <w:tr>
        <w:trPr>
          <w:trHeight w:val="311"/>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8.50%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2/8/2013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46,619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47,510</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8.5%</w:t>
            </w:r>
          </w:p>
        </w:tc>
      </w:tr>
      <w:tr>
        <w:trPr>
          <w:trHeight w:val="311"/>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8.50%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4/11/2013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66,633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66,865</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11.9%</w:t>
            </w:r>
          </w:p>
        </w:tc>
      </w:tr>
      <w:tr>
        <w:trPr>
          <w:trHeight w:val="287"/>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10.50%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5/8/2013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34,031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34,029</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6.1%</w:t>
            </w:r>
          </w:p>
        </w:tc>
      </w:tr>
      <w:tr>
        <w:trPr>
          <w:trHeight w:val="149"/>
        </w:trPr>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8.00%</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(incl.</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6"/>
        </w:trPr>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PIK)</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6/4/2013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26,848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26,807</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4.8%</w:t>
            </w:r>
          </w:p>
        </w:tc>
      </w:tr>
      <w:tr>
        <w:trPr>
          <w:trHeight w:val="297"/>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9.25%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6/5/2013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26,446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27,061</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4.8%</w:t>
            </w:r>
          </w:p>
        </w:tc>
      </w:tr>
      <w:tr>
        <w:trPr>
          <w:trHeight w:val="311"/>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8.75%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9/12/2013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29,055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29,050</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5.2%</w:t>
            </w:r>
          </w:p>
        </w:tc>
      </w:tr>
      <w:tr>
        <w:trPr>
          <w:trHeight w:val="311"/>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8.75%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7/2/2013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13,716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14,666</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2.6%</w:t>
            </w:r>
          </w:p>
        </w:tc>
      </w:tr>
      <w:tr>
        <w:trPr>
          <w:trHeight w:val="311"/>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8.75%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9/30/2013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29,250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29,250</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5.2%</w:t>
            </w:r>
          </w:p>
        </w:tc>
      </w:tr>
      <w:tr>
        <w:trPr>
          <w:trHeight w:val="298"/>
        </w:trPr>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10.75%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9/30/2013</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40,262</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40,262</w:t>
            </w: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5.2%</w:t>
            </w:r>
          </w:p>
        </w:tc>
      </w:tr>
      <w:tr>
        <w:trPr>
          <w:trHeight w:val="20"/>
        </w:trPr>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784,663</w:t>
            </w:r>
          </w:p>
        </w:tc>
        <w:tc>
          <w:tcPr>
            <w:tcW w:w="2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794,403</w:t>
            </w:r>
          </w:p>
        </w:tc>
        <w:tc>
          <w:tcPr>
            <w:tcW w:w="24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141.6%</w:t>
            </w:r>
          </w:p>
        </w:tc>
      </w:tr>
      <w:tr>
        <w:trPr>
          <w:trHeight w:val="20"/>
        </w:trPr>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2">
            <w:col w:w="6800" w:space="200"/>
            <w:col w:w="438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380"/>
          </w:cols>
          <w:pgMar w:left="240" w:top="459" w:right="27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Amortized</w:t>
            </w:r>
          </w:p>
        </w:tc>
        <w:tc>
          <w:tcPr>
            <w:tcW w:w="2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Fair</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w w:val="96"/>
              </w:rPr>
              <w:t>Cost</w:t>
            </w:r>
            <w:r>
              <w:rPr>
                <w:rFonts w:ascii="Arial" w:cs="Arial" w:eastAsia="Arial" w:hAnsi="Arial"/>
                <w:sz w:val="18"/>
                <w:szCs w:val="18"/>
                <w:b w:val="1"/>
                <w:bCs w:val="1"/>
                <w:color w:val="auto"/>
                <w:w w:val="96"/>
                <w:vertAlign w:val="superscript"/>
              </w:rPr>
              <w:t>(2)</w:t>
            </w:r>
          </w:p>
        </w:tc>
        <w:tc>
          <w:tcPr>
            <w:tcW w:w="2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Investment (Par amounts in</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 amount</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2"/>
                <w:szCs w:val="22"/>
                <w:b w:val="1"/>
                <w:bCs w:val="1"/>
                <w:color w:val="auto"/>
                <w:vertAlign w:val="superscript"/>
              </w:rPr>
              <w:t>(1)</w:t>
            </w: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80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82"/>
              </w:rPr>
              <w:t>Interest</w:t>
            </w: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26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in</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3200" w:type="dxa"/>
            <w:vAlign w:val="bottom"/>
            <w:gridSpan w:val="3"/>
            <w:vMerge w:val="continue"/>
          </w:tcPr>
          <w:p>
            <w:pPr>
              <w:spacing w:after="0"/>
              <w:rPr>
                <w:sz w:val="14"/>
                <w:szCs w:val="14"/>
                <w:color w:val="auto"/>
              </w:rPr>
            </w:pPr>
          </w:p>
        </w:tc>
        <w:tc>
          <w:tcPr>
            <w:tcW w:w="1500" w:type="dxa"/>
            <w:vAlign w:val="bottom"/>
            <w:gridSpan w:val="2"/>
          </w:tcPr>
          <w:p>
            <w:pPr>
              <w:ind w:left="400"/>
              <w:spacing w:after="0"/>
              <w:rPr>
                <w:sz w:val="20"/>
                <w:szCs w:val="20"/>
                <w:color w:val="auto"/>
              </w:rPr>
            </w:pPr>
            <w:r>
              <w:rPr>
                <w:rFonts w:ascii="Arial" w:cs="Arial" w:eastAsia="Arial" w:hAnsi="Arial"/>
                <w:sz w:val="14"/>
                <w:szCs w:val="14"/>
                <w:b w:val="1"/>
                <w:bCs w:val="1"/>
                <w:color w:val="auto"/>
              </w:rPr>
              <w:t>Industry</w:t>
            </w:r>
          </w:p>
        </w:tc>
        <w:tc>
          <w:tcPr>
            <w:tcW w:w="2120" w:type="dxa"/>
            <w:vAlign w:val="bottom"/>
            <w:gridSpan w:val="2"/>
          </w:tcPr>
          <w:p>
            <w:pPr>
              <w:ind w:left="640"/>
              <w:spacing w:after="0"/>
              <w:rPr>
                <w:sz w:val="20"/>
                <w:szCs w:val="20"/>
                <w:color w:val="auto"/>
              </w:rPr>
            </w:pPr>
            <w:r>
              <w:rPr>
                <w:rFonts w:ascii="Arial" w:cs="Arial" w:eastAsia="Arial" w:hAnsi="Arial"/>
                <w:sz w:val="14"/>
                <w:szCs w:val="14"/>
                <w:b w:val="1"/>
                <w:bCs w:val="1"/>
                <w:color w:val="auto"/>
              </w:rPr>
              <w:t>thousands)</w:t>
            </w: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Rate</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2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thousands)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1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Senior Secured Second-Lien Loans</w:t>
            </w:r>
          </w:p>
        </w:tc>
        <w:tc>
          <w:tcPr>
            <w:tcW w:w="1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gridSpan w:val="2"/>
          </w:tcPr>
          <w:p>
            <w:pPr>
              <w:spacing w:after="0" w:line="138" w:lineRule="exact"/>
              <w:rPr>
                <w:sz w:val="20"/>
                <w:szCs w:val="20"/>
                <w:color w:val="auto"/>
              </w:rPr>
            </w:pPr>
            <w:r>
              <w:rPr>
                <w:rFonts w:ascii="Arial" w:cs="Arial" w:eastAsia="Arial" w:hAnsi="Arial"/>
                <w:sz w:val="10"/>
                <w:szCs w:val="10"/>
                <w:color w:val="auto"/>
              </w:rPr>
              <w:t>Centaur, LLC</w:t>
            </w:r>
            <w:r>
              <w:rPr>
                <w:rFonts w:ascii="Arial" w:cs="Arial" w:eastAsia="Arial" w:hAnsi="Arial"/>
                <w:sz w:val="15"/>
                <w:szCs w:val="15"/>
                <w:color w:val="auto"/>
                <w:vertAlign w:val="superscript"/>
              </w:rPr>
              <w:t>(3)</w:t>
            </w:r>
          </w:p>
        </w:tc>
        <w:tc>
          <w:tcPr>
            <w:tcW w:w="1500" w:type="dxa"/>
            <w:vAlign w:val="bottom"/>
            <w:gridSpan w:val="2"/>
          </w:tcPr>
          <w:p>
            <w:pPr>
              <w:spacing w:after="0" w:line="138" w:lineRule="exact"/>
              <w:rPr>
                <w:sz w:val="20"/>
                <w:szCs w:val="20"/>
                <w:color w:val="auto"/>
              </w:rPr>
            </w:pPr>
            <w:r>
              <w:rPr>
                <w:rFonts w:ascii="Arial" w:cs="Arial" w:eastAsia="Arial" w:hAnsi="Arial"/>
                <w:sz w:val="14"/>
                <w:szCs w:val="14"/>
                <w:color w:val="auto"/>
              </w:rPr>
              <w:t>Hotel, gaming, and</w:t>
            </w:r>
          </w:p>
        </w:tc>
        <w:tc>
          <w:tcPr>
            <w:tcW w:w="2120" w:type="dxa"/>
            <w:vAlign w:val="bottom"/>
            <w:gridSpan w:val="2"/>
          </w:tcPr>
          <w:p>
            <w:pPr>
              <w:spacing w:after="0" w:line="138" w:lineRule="exact"/>
              <w:rPr>
                <w:sz w:val="20"/>
                <w:szCs w:val="20"/>
                <w:color w:val="auto"/>
              </w:rPr>
            </w:pPr>
            <w:r>
              <w:rPr>
                <w:rFonts w:ascii="Arial" w:cs="Arial" w:eastAsia="Arial" w:hAnsi="Arial"/>
                <w:sz w:val="14"/>
                <w:szCs w:val="14"/>
                <w:color w:val="auto"/>
              </w:rPr>
              <w:t>Senior secured second-lien loan</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500" w:type="dxa"/>
            <w:vAlign w:val="bottom"/>
            <w:gridSpan w:val="2"/>
          </w:tcPr>
          <w:p>
            <w:pPr>
              <w:spacing w:after="0" w:line="159" w:lineRule="exact"/>
              <w:rPr>
                <w:sz w:val="20"/>
                <w:szCs w:val="20"/>
                <w:color w:val="auto"/>
              </w:rPr>
            </w:pPr>
            <w:r>
              <w:rPr>
                <w:rFonts w:ascii="Arial" w:cs="Arial" w:eastAsia="Arial" w:hAnsi="Arial"/>
                <w:sz w:val="14"/>
                <w:szCs w:val="14"/>
                <w:color w:val="auto"/>
              </w:rPr>
              <w:t>leisure</w:t>
            </w:r>
          </w:p>
        </w:tc>
        <w:tc>
          <w:tcPr>
            <w:tcW w:w="2120" w:type="dxa"/>
            <w:vAlign w:val="bottom"/>
            <w:gridSpan w:val="2"/>
          </w:tcPr>
          <w:p>
            <w:pPr>
              <w:spacing w:after="0" w:line="159" w:lineRule="exact"/>
              <w:rPr>
                <w:sz w:val="20"/>
                <w:szCs w:val="20"/>
                <w:color w:val="auto"/>
              </w:rPr>
            </w:pPr>
            <w:r>
              <w:rPr>
                <w:rFonts w:ascii="Arial" w:cs="Arial" w:eastAsia="Arial" w:hAnsi="Arial"/>
                <w:sz w:val="14"/>
                <w:szCs w:val="14"/>
                <w:color w:val="auto"/>
              </w:rPr>
              <w:t>($10,000 par, due 2/2020)</w:t>
            </w:r>
          </w:p>
        </w:tc>
        <w:tc>
          <w:tcPr>
            <w:tcW w:w="8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2/15/2013</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9,920</w:t>
            </w:r>
          </w:p>
        </w:tc>
        <w:tc>
          <w:tcPr>
            <w:tcW w:w="116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10,050</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Mannington Mills, Inc.</w:t>
            </w:r>
            <w:r>
              <w:rPr>
                <w:rFonts w:ascii="Arial" w:cs="Arial" w:eastAsia="Arial" w:hAnsi="Arial"/>
                <w:sz w:val="15"/>
                <w:szCs w:val="15"/>
                <w:color w:val="auto"/>
                <w:vertAlign w:val="superscript"/>
              </w:rPr>
              <w:t>(3)(5)</w:t>
            </w:r>
          </w:p>
        </w:tc>
        <w:tc>
          <w:tcPr>
            <w:tcW w:w="1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Construction and</w:t>
            </w:r>
          </w:p>
        </w:tc>
        <w:tc>
          <w:tcPr>
            <w:tcW w:w="1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14.00%</w:t>
            </w: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building</w:t>
            </w:r>
          </w:p>
        </w:tc>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(incl.</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secured second-lien loan</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($47,488 par, due 3/2017)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3/2/2012</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46,543</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52,238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gridSpan w:val="2"/>
          </w:tcPr>
          <w:p>
            <w:pPr>
              <w:spacing w:after="0" w:line="138" w:lineRule="exact"/>
              <w:rPr>
                <w:sz w:val="20"/>
                <w:szCs w:val="20"/>
                <w:color w:val="auto"/>
              </w:rPr>
            </w:pPr>
            <w:r>
              <w:rPr>
                <w:rFonts w:ascii="Arial" w:cs="Arial" w:eastAsia="Arial" w:hAnsi="Arial"/>
                <w:sz w:val="10"/>
                <w:szCs w:val="10"/>
                <w:color w:val="auto"/>
              </w:rPr>
              <w:t>SumTotal Systems, LLC</w:t>
            </w:r>
            <w:r>
              <w:rPr>
                <w:rFonts w:ascii="Arial" w:cs="Arial" w:eastAsia="Arial" w:hAnsi="Arial"/>
                <w:sz w:val="15"/>
                <w:szCs w:val="15"/>
                <w:color w:val="auto"/>
                <w:vertAlign w:val="superscript"/>
              </w:rPr>
              <w:t>(3)</w:t>
            </w:r>
          </w:p>
        </w:tc>
        <w:tc>
          <w:tcPr>
            <w:tcW w:w="1500" w:type="dxa"/>
            <w:vAlign w:val="bottom"/>
            <w:gridSpan w:val="2"/>
          </w:tcPr>
          <w:p>
            <w:pPr>
              <w:spacing w:after="0" w:line="138" w:lineRule="exact"/>
              <w:rPr>
                <w:sz w:val="20"/>
                <w:szCs w:val="20"/>
                <w:color w:val="auto"/>
              </w:rPr>
            </w:pPr>
            <w:r>
              <w:rPr>
                <w:rFonts w:ascii="Arial" w:cs="Arial" w:eastAsia="Arial" w:hAnsi="Arial"/>
                <w:sz w:val="14"/>
                <w:szCs w:val="14"/>
                <w:color w:val="auto"/>
              </w:rPr>
              <w:t>Human resource</w:t>
            </w:r>
          </w:p>
        </w:tc>
        <w:tc>
          <w:tcPr>
            <w:tcW w:w="2120" w:type="dxa"/>
            <w:vAlign w:val="bottom"/>
            <w:gridSpan w:val="2"/>
          </w:tcPr>
          <w:p>
            <w:pPr>
              <w:spacing w:after="0" w:line="138" w:lineRule="exact"/>
              <w:rPr>
                <w:sz w:val="20"/>
                <w:szCs w:val="20"/>
                <w:color w:val="auto"/>
              </w:rPr>
            </w:pPr>
            <w:r>
              <w:rPr>
                <w:rFonts w:ascii="Arial" w:cs="Arial" w:eastAsia="Arial" w:hAnsi="Arial"/>
                <w:sz w:val="14"/>
                <w:szCs w:val="14"/>
                <w:color w:val="auto"/>
              </w:rPr>
              <w:t>Senior secured second-lien loan</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500" w:type="dxa"/>
            <w:vAlign w:val="bottom"/>
            <w:gridSpan w:val="2"/>
          </w:tcPr>
          <w:p>
            <w:pPr>
              <w:spacing w:after="0" w:line="159" w:lineRule="exact"/>
              <w:rPr>
                <w:sz w:val="20"/>
                <w:szCs w:val="20"/>
                <w:color w:val="auto"/>
              </w:rPr>
            </w:pPr>
            <w:r>
              <w:rPr>
                <w:rFonts w:ascii="Arial" w:cs="Arial" w:eastAsia="Arial" w:hAnsi="Arial"/>
                <w:sz w:val="14"/>
                <w:szCs w:val="14"/>
                <w:color w:val="auto"/>
              </w:rPr>
              <w:t>support services</w:t>
            </w:r>
          </w:p>
        </w:tc>
        <w:tc>
          <w:tcPr>
            <w:tcW w:w="2120" w:type="dxa"/>
            <w:vAlign w:val="bottom"/>
            <w:gridSpan w:val="2"/>
          </w:tcPr>
          <w:p>
            <w:pPr>
              <w:spacing w:after="0" w:line="159" w:lineRule="exact"/>
              <w:rPr>
                <w:sz w:val="20"/>
                <w:szCs w:val="20"/>
                <w:color w:val="auto"/>
              </w:rPr>
            </w:pPr>
            <w:r>
              <w:rPr>
                <w:rFonts w:ascii="Arial" w:cs="Arial" w:eastAsia="Arial" w:hAnsi="Arial"/>
                <w:sz w:val="14"/>
                <w:szCs w:val="14"/>
                <w:color w:val="auto"/>
              </w:rPr>
              <w:t>($10,000 par, due 5/2019)</w:t>
            </w:r>
          </w:p>
        </w:tc>
        <w:tc>
          <w:tcPr>
            <w:tcW w:w="8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10.25%</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91"/>
              </w:rPr>
              <w:t>11/16/2012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9,945</w:t>
            </w:r>
          </w:p>
        </w:tc>
        <w:tc>
          <w:tcPr>
            <w:tcW w:w="2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9,925</w:t>
            </w:r>
          </w:p>
        </w:tc>
        <w:tc>
          <w:tcPr>
            <w:tcW w:w="26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Senior Secured Second-Lien Loans</w:t>
            </w:r>
          </w:p>
        </w:tc>
        <w:tc>
          <w:tcPr>
            <w:tcW w:w="1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66,408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72,213</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56"/>
        </w:trPr>
        <w:tc>
          <w:tcPr>
            <w:tcW w:w="3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Senior Secured Revolving Loans</w:t>
            </w: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Infogix, Inc</w:t>
            </w:r>
            <w:r>
              <w:rPr>
                <w:rFonts w:ascii="Arial" w:cs="Arial" w:eastAsia="Arial" w:hAnsi="Arial"/>
                <w:sz w:val="15"/>
                <w:szCs w:val="15"/>
                <w:color w:val="auto"/>
                <w:vertAlign w:val="superscript"/>
              </w:rPr>
              <w:t>(3)(5)</w:t>
            </w:r>
          </w:p>
        </w:tc>
        <w:tc>
          <w:tcPr>
            <w:tcW w:w="1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Insurance</w:t>
            </w:r>
          </w:p>
        </w:tc>
        <w:tc>
          <w:tcPr>
            <w:tcW w:w="2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Senior secured revolving loan</w:t>
            </w: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($3,300 par, due 6/2017)</w:t>
            </w:r>
          </w:p>
        </w:tc>
        <w:tc>
          <w:tcPr>
            <w:tcW w:w="8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10.00%</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6/1/2012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3,227</w:t>
            </w:r>
          </w:p>
        </w:tc>
        <w:tc>
          <w:tcPr>
            <w:tcW w:w="116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3,288</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gridSpan w:val="2"/>
          </w:tcPr>
          <w:p>
            <w:pPr>
              <w:spacing w:after="0" w:line="138" w:lineRule="exact"/>
              <w:rPr>
                <w:sz w:val="20"/>
                <w:szCs w:val="20"/>
                <w:color w:val="auto"/>
              </w:rPr>
            </w:pPr>
            <w:r>
              <w:rPr>
                <w:rFonts w:ascii="Arial" w:cs="Arial" w:eastAsia="Arial" w:hAnsi="Arial"/>
                <w:sz w:val="10"/>
                <w:szCs w:val="10"/>
                <w:color w:val="auto"/>
              </w:rPr>
              <w:t>Hearthland Automotive Holdings, LLC</w:t>
            </w:r>
            <w:r>
              <w:rPr>
                <w:rFonts w:ascii="Arial" w:cs="Arial" w:eastAsia="Arial" w:hAnsi="Arial"/>
                <w:sz w:val="15"/>
                <w:szCs w:val="15"/>
                <w:color w:val="auto"/>
                <w:vertAlign w:val="superscript"/>
              </w:rPr>
              <w:t>(3)(5)</w:t>
            </w:r>
          </w:p>
        </w:tc>
        <w:tc>
          <w:tcPr>
            <w:tcW w:w="1500" w:type="dxa"/>
            <w:vAlign w:val="bottom"/>
            <w:gridSpan w:val="2"/>
          </w:tcPr>
          <w:p>
            <w:pPr>
              <w:spacing w:after="0" w:line="138" w:lineRule="exact"/>
              <w:rPr>
                <w:sz w:val="20"/>
                <w:szCs w:val="20"/>
                <w:color w:val="auto"/>
              </w:rPr>
            </w:pPr>
            <w:r>
              <w:rPr>
                <w:rFonts w:ascii="Arial" w:cs="Arial" w:eastAsia="Arial" w:hAnsi="Arial"/>
                <w:sz w:val="14"/>
                <w:szCs w:val="14"/>
                <w:color w:val="auto"/>
              </w:rPr>
              <w:t>Automotive</w:t>
            </w:r>
          </w:p>
        </w:tc>
        <w:tc>
          <w:tcPr>
            <w:tcW w:w="2120" w:type="dxa"/>
            <w:vAlign w:val="bottom"/>
            <w:gridSpan w:val="2"/>
          </w:tcPr>
          <w:p>
            <w:pPr>
              <w:spacing w:after="0" w:line="138" w:lineRule="exact"/>
              <w:rPr>
                <w:sz w:val="20"/>
                <w:szCs w:val="20"/>
                <w:color w:val="auto"/>
              </w:rPr>
            </w:pPr>
            <w:r>
              <w:rPr>
                <w:rFonts w:ascii="Arial" w:cs="Arial" w:eastAsia="Arial" w:hAnsi="Arial"/>
                <w:sz w:val="14"/>
                <w:szCs w:val="14"/>
                <w:color w:val="auto"/>
              </w:rPr>
              <w:t>Senior secured revolving loan</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2"/>
          </w:tcPr>
          <w:p>
            <w:pPr>
              <w:spacing w:after="0" w:line="159" w:lineRule="exact"/>
              <w:rPr>
                <w:sz w:val="20"/>
                <w:szCs w:val="20"/>
                <w:color w:val="auto"/>
              </w:rPr>
            </w:pPr>
            <w:r>
              <w:rPr>
                <w:rFonts w:ascii="Arial" w:cs="Arial" w:eastAsia="Arial" w:hAnsi="Arial"/>
                <w:sz w:val="14"/>
                <w:szCs w:val="14"/>
                <w:color w:val="auto"/>
              </w:rPr>
              <w:t>($2,778 par, due 6/2017)</w:t>
            </w:r>
          </w:p>
        </w:tc>
        <w:tc>
          <w:tcPr>
            <w:tcW w:w="8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10.00%</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8/28/2012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2,659</w:t>
            </w:r>
          </w:p>
        </w:tc>
        <w:tc>
          <w:tcPr>
            <w:tcW w:w="116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2,667</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SRS Software, LLC</w:t>
            </w:r>
            <w:r>
              <w:rPr>
                <w:rFonts w:ascii="Arial" w:cs="Arial" w:eastAsia="Arial" w:hAnsi="Arial"/>
                <w:sz w:val="15"/>
                <w:szCs w:val="15"/>
                <w:color w:val="auto"/>
                <w:vertAlign w:val="superscript"/>
              </w:rPr>
              <w:t>(3)</w:t>
            </w:r>
          </w:p>
        </w:tc>
        <w:tc>
          <w:tcPr>
            <w:tcW w:w="1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Healthcare and</w:t>
            </w:r>
          </w:p>
        </w:tc>
        <w:tc>
          <w:tcPr>
            <w:tcW w:w="2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Senior secured revolving loan</w:t>
            </w: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pharmaceuticals</w:t>
            </w:r>
          </w:p>
        </w:tc>
        <w:tc>
          <w:tcPr>
            <w:tcW w:w="21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($2,000 par, value 12/2017)</w:t>
            </w:r>
          </w:p>
        </w:tc>
        <w:tc>
          <w:tcPr>
            <w:tcW w:w="8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8.75%</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w w:val="91"/>
              </w:rPr>
              <w:t>12/28/2012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116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1,950</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gridSpan w:val="2"/>
          </w:tcPr>
          <w:p>
            <w:pPr>
              <w:spacing w:after="0" w:line="138" w:lineRule="exact"/>
              <w:rPr>
                <w:sz w:val="20"/>
                <w:szCs w:val="20"/>
                <w:color w:val="auto"/>
              </w:rPr>
            </w:pPr>
            <w:r>
              <w:rPr>
                <w:rFonts w:ascii="Arial" w:cs="Arial" w:eastAsia="Arial" w:hAnsi="Arial"/>
                <w:sz w:val="10"/>
                <w:szCs w:val="10"/>
                <w:color w:val="auto"/>
              </w:rPr>
              <w:t>Intelident Solutions, Inc.</w:t>
            </w:r>
            <w:r>
              <w:rPr>
                <w:rFonts w:ascii="Arial" w:cs="Arial" w:eastAsia="Arial" w:hAnsi="Arial"/>
                <w:sz w:val="15"/>
                <w:szCs w:val="15"/>
                <w:color w:val="auto"/>
                <w:vertAlign w:val="superscript"/>
              </w:rPr>
              <w:t>(3)</w:t>
            </w:r>
          </w:p>
        </w:tc>
        <w:tc>
          <w:tcPr>
            <w:tcW w:w="1500" w:type="dxa"/>
            <w:vAlign w:val="bottom"/>
            <w:gridSpan w:val="2"/>
          </w:tcPr>
          <w:p>
            <w:pPr>
              <w:spacing w:after="0" w:line="138" w:lineRule="exact"/>
              <w:rPr>
                <w:sz w:val="20"/>
                <w:szCs w:val="20"/>
                <w:color w:val="auto"/>
              </w:rPr>
            </w:pPr>
            <w:r>
              <w:rPr>
                <w:rFonts w:ascii="Arial" w:cs="Arial" w:eastAsia="Arial" w:hAnsi="Arial"/>
                <w:sz w:val="14"/>
                <w:szCs w:val="14"/>
                <w:color w:val="auto"/>
              </w:rPr>
              <w:t>Healthcare and</w:t>
            </w:r>
          </w:p>
        </w:tc>
        <w:tc>
          <w:tcPr>
            <w:tcW w:w="2120" w:type="dxa"/>
            <w:vAlign w:val="bottom"/>
            <w:gridSpan w:val="2"/>
          </w:tcPr>
          <w:p>
            <w:pPr>
              <w:spacing w:after="0" w:line="138" w:lineRule="exact"/>
              <w:rPr>
                <w:sz w:val="20"/>
                <w:szCs w:val="20"/>
                <w:color w:val="auto"/>
              </w:rPr>
            </w:pPr>
            <w:r>
              <w:rPr>
                <w:rFonts w:ascii="Arial" w:cs="Arial" w:eastAsia="Arial" w:hAnsi="Arial"/>
                <w:sz w:val="14"/>
                <w:szCs w:val="14"/>
                <w:color w:val="auto"/>
              </w:rPr>
              <w:t>Senior secured revolving loan</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500" w:type="dxa"/>
            <w:vAlign w:val="bottom"/>
            <w:gridSpan w:val="2"/>
          </w:tcPr>
          <w:p>
            <w:pPr>
              <w:spacing w:after="0" w:line="159" w:lineRule="exact"/>
              <w:rPr>
                <w:sz w:val="20"/>
                <w:szCs w:val="20"/>
                <w:color w:val="auto"/>
              </w:rPr>
            </w:pPr>
            <w:r>
              <w:rPr>
                <w:rFonts w:ascii="Arial" w:cs="Arial" w:eastAsia="Arial" w:hAnsi="Arial"/>
                <w:sz w:val="14"/>
                <w:szCs w:val="14"/>
                <w:color w:val="auto"/>
              </w:rPr>
              <w:t>pharmaceuticals</w:t>
            </w:r>
          </w:p>
        </w:tc>
        <w:tc>
          <w:tcPr>
            <w:tcW w:w="2120" w:type="dxa"/>
            <w:vAlign w:val="bottom"/>
            <w:gridSpan w:val="2"/>
          </w:tcPr>
          <w:p>
            <w:pPr>
              <w:spacing w:after="0" w:line="159" w:lineRule="exact"/>
              <w:rPr>
                <w:sz w:val="20"/>
                <w:szCs w:val="20"/>
                <w:color w:val="auto"/>
              </w:rPr>
            </w:pPr>
            <w:r>
              <w:rPr>
                <w:rFonts w:ascii="Arial" w:cs="Arial" w:eastAsia="Arial" w:hAnsi="Arial"/>
                <w:sz w:val="14"/>
                <w:szCs w:val="14"/>
                <w:color w:val="auto"/>
              </w:rPr>
              <w:t>($1,642 par, due 8/2016)</w:t>
            </w:r>
          </w:p>
        </w:tc>
        <w:tc>
          <w:tcPr>
            <w:tcW w:w="8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6/4/2013</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1,643</w:t>
            </w:r>
          </w:p>
        </w:tc>
        <w:tc>
          <w:tcPr>
            <w:tcW w:w="2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1,634</w:t>
            </w:r>
          </w:p>
        </w:tc>
        <w:tc>
          <w:tcPr>
            <w:tcW w:w="26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Senior Secured Revolving Loans</w:t>
            </w:r>
          </w:p>
        </w:tc>
        <w:tc>
          <w:tcPr>
            <w:tcW w:w="1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9,539</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6"/>
        </w:trPr>
        <w:tc>
          <w:tcPr>
            <w:tcW w:w="3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Senior Secured Corporate Bonds</w:t>
            </w: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Soho House Bond Ltd.</w:t>
            </w:r>
            <w:r>
              <w:rPr>
                <w:rFonts w:ascii="Arial" w:cs="Arial" w:eastAsia="Arial" w:hAnsi="Arial"/>
                <w:sz w:val="15"/>
                <w:szCs w:val="15"/>
                <w:color w:val="auto"/>
                <w:vertAlign w:val="superscript"/>
              </w:rPr>
              <w:t>(6)</w:t>
            </w:r>
          </w:p>
        </w:tc>
        <w:tc>
          <w:tcPr>
            <w:tcW w:w="1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Hotel, gaming, and</w:t>
            </w:r>
          </w:p>
        </w:tc>
        <w:tc>
          <w:tcPr>
            <w:tcW w:w="2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Senior secured bond (GBP 7,000</w:t>
            </w: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leisure</w:t>
            </w:r>
          </w:p>
        </w:tc>
        <w:tc>
          <w:tcPr>
            <w:tcW w:w="21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par, due 10/2018)</w:t>
            </w:r>
          </w:p>
        </w:tc>
        <w:tc>
          <w:tcPr>
            <w:tcW w:w="8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9.00%</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9/20/2013</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11,200</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11,455</w:t>
            </w:r>
          </w:p>
        </w:tc>
        <w:tc>
          <w:tcPr>
            <w:tcW w:w="2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Senior Secured Corporate Bonds</w:t>
            </w: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11,200</w:t>
            </w:r>
          </w:p>
        </w:tc>
        <w:tc>
          <w:tcPr>
            <w:tcW w:w="2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11,455</w:t>
            </w:r>
          </w:p>
        </w:tc>
        <w:tc>
          <w:tcPr>
            <w:tcW w:w="260" w:type="dxa"/>
            <w:vAlign w:val="bottom"/>
          </w:tcPr>
          <w:p>
            <w:pPr>
              <w:spacing w:after="0"/>
              <w:rPr>
                <w:sz w:val="14"/>
                <w:szCs w:val="14"/>
                <w:color w:val="auto"/>
              </w:rPr>
            </w:pPr>
          </w:p>
        </w:tc>
        <w:tc>
          <w:tcPr>
            <w:tcW w:w="9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1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gridSpan w:val="2"/>
          </w:tcPr>
          <w:p>
            <w:pPr>
              <w:spacing w:after="0" w:line="138" w:lineRule="exact"/>
              <w:rPr>
                <w:sz w:val="20"/>
                <w:szCs w:val="20"/>
                <w:color w:val="auto"/>
              </w:rPr>
            </w:pPr>
            <w:r>
              <w:rPr>
                <w:rFonts w:ascii="Arial" w:cs="Arial" w:eastAsia="Arial" w:hAnsi="Arial"/>
                <w:sz w:val="14"/>
                <w:szCs w:val="14"/>
                <w:color w:val="auto"/>
              </w:rPr>
              <w:t>SRS Parent Corp.</w:t>
            </w:r>
          </w:p>
        </w:tc>
        <w:tc>
          <w:tcPr>
            <w:tcW w:w="1500" w:type="dxa"/>
            <w:vAlign w:val="bottom"/>
            <w:gridSpan w:val="2"/>
          </w:tcPr>
          <w:p>
            <w:pPr>
              <w:spacing w:after="0" w:line="138" w:lineRule="exact"/>
              <w:rPr>
                <w:sz w:val="20"/>
                <w:szCs w:val="20"/>
                <w:color w:val="auto"/>
              </w:rPr>
            </w:pPr>
            <w:r>
              <w:rPr>
                <w:rFonts w:ascii="Arial" w:cs="Arial" w:eastAsia="Arial" w:hAnsi="Arial"/>
                <w:sz w:val="14"/>
                <w:szCs w:val="14"/>
                <w:color w:val="auto"/>
              </w:rPr>
              <w:t>Healthcare and</w:t>
            </w:r>
          </w:p>
        </w:tc>
        <w:tc>
          <w:tcPr>
            <w:tcW w:w="2120" w:type="dxa"/>
            <w:vAlign w:val="bottom"/>
            <w:gridSpan w:val="2"/>
          </w:tcPr>
          <w:p>
            <w:pPr>
              <w:spacing w:after="0" w:line="138" w:lineRule="exact"/>
              <w:rPr>
                <w:sz w:val="20"/>
                <w:szCs w:val="20"/>
                <w:color w:val="auto"/>
              </w:rPr>
            </w:pPr>
            <w:r>
              <w:rPr>
                <w:rFonts w:ascii="Arial" w:cs="Arial" w:eastAsia="Arial" w:hAnsi="Arial"/>
                <w:sz w:val="14"/>
                <w:szCs w:val="14"/>
                <w:color w:val="auto"/>
              </w:rPr>
              <w:t>Common Shares Class A (1,980</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500" w:type="dxa"/>
            <w:vAlign w:val="bottom"/>
            <w:gridSpan w:val="2"/>
          </w:tcPr>
          <w:p>
            <w:pPr>
              <w:spacing w:after="0" w:line="159" w:lineRule="exact"/>
              <w:rPr>
                <w:sz w:val="20"/>
                <w:szCs w:val="20"/>
                <w:color w:val="auto"/>
              </w:rPr>
            </w:pPr>
            <w:r>
              <w:rPr>
                <w:rFonts w:ascii="Arial" w:cs="Arial" w:eastAsia="Arial" w:hAnsi="Arial"/>
                <w:sz w:val="14"/>
                <w:szCs w:val="14"/>
                <w:color w:val="auto"/>
              </w:rPr>
              <w:t>pharmaceuticals</w:t>
            </w:r>
          </w:p>
        </w:tc>
        <w:tc>
          <w:tcPr>
            <w:tcW w:w="2120" w:type="dxa"/>
            <w:vAlign w:val="bottom"/>
            <w:gridSpan w:val="2"/>
          </w:tcPr>
          <w:p>
            <w:pPr>
              <w:spacing w:after="0" w:line="159" w:lineRule="exact"/>
              <w:rPr>
                <w:sz w:val="20"/>
                <w:szCs w:val="20"/>
                <w:color w:val="auto"/>
              </w:rPr>
            </w:pPr>
            <w:r>
              <w:rPr>
                <w:rFonts w:ascii="Arial" w:cs="Arial" w:eastAsia="Arial" w:hAnsi="Arial"/>
                <w:sz w:val="14"/>
                <w:szCs w:val="14"/>
                <w:color w:val="auto"/>
              </w:rPr>
              <w:t>shares)</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91"/>
              </w:rPr>
              <w:t>12/28/2012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1,980</w:t>
            </w:r>
          </w:p>
        </w:tc>
        <w:tc>
          <w:tcPr>
            <w:tcW w:w="116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931</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Common Shares Class B</w:t>
            </w: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(2,953,020 shares)</w:t>
            </w: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w w:val="91"/>
              </w:rPr>
              <w:t>12/28/2012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116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9</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gridSpan w:val="2"/>
          </w:tcPr>
          <w:p>
            <w:pPr>
              <w:spacing w:after="0" w:line="138" w:lineRule="exact"/>
              <w:rPr>
                <w:sz w:val="20"/>
                <w:szCs w:val="20"/>
                <w:color w:val="auto"/>
              </w:rPr>
            </w:pPr>
            <w:r>
              <w:rPr>
                <w:rFonts w:ascii="Arial" w:cs="Arial" w:eastAsia="Arial" w:hAnsi="Arial"/>
                <w:sz w:val="14"/>
                <w:szCs w:val="14"/>
                <w:color w:val="auto"/>
              </w:rPr>
              <w:t>Network Merchants, Inc.</w:t>
            </w:r>
          </w:p>
        </w:tc>
        <w:tc>
          <w:tcPr>
            <w:tcW w:w="1500" w:type="dxa"/>
            <w:vAlign w:val="bottom"/>
            <w:gridSpan w:val="2"/>
          </w:tcPr>
          <w:p>
            <w:pPr>
              <w:spacing w:after="0" w:line="138" w:lineRule="exact"/>
              <w:rPr>
                <w:sz w:val="20"/>
                <w:szCs w:val="20"/>
                <w:color w:val="auto"/>
              </w:rPr>
            </w:pPr>
            <w:r>
              <w:rPr>
                <w:rFonts w:ascii="Arial" w:cs="Arial" w:eastAsia="Arial" w:hAnsi="Arial"/>
                <w:sz w:val="14"/>
                <w:szCs w:val="14"/>
                <w:color w:val="auto"/>
              </w:rPr>
              <w:t>Business services</w:t>
            </w:r>
          </w:p>
        </w:tc>
        <w:tc>
          <w:tcPr>
            <w:tcW w:w="2120" w:type="dxa"/>
            <w:vAlign w:val="bottom"/>
            <w:gridSpan w:val="2"/>
          </w:tcPr>
          <w:p>
            <w:pPr>
              <w:spacing w:after="0" w:line="138" w:lineRule="exact"/>
              <w:rPr>
                <w:sz w:val="20"/>
                <w:szCs w:val="20"/>
                <w:color w:val="auto"/>
              </w:rPr>
            </w:pPr>
            <w:r>
              <w:rPr>
                <w:rFonts w:ascii="Arial" w:cs="Arial" w:eastAsia="Arial" w:hAnsi="Arial"/>
                <w:sz w:val="14"/>
                <w:szCs w:val="14"/>
                <w:color w:val="auto"/>
              </w:rPr>
              <w:t>Non-Voting Preferred Units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2"/>
          </w:tcPr>
          <w:p>
            <w:pPr>
              <w:spacing w:after="0" w:line="159" w:lineRule="exact"/>
              <w:rPr>
                <w:sz w:val="20"/>
                <w:szCs w:val="20"/>
                <w:color w:val="auto"/>
              </w:rPr>
            </w:pPr>
            <w:r>
              <w:rPr>
                <w:rFonts w:ascii="Arial" w:cs="Arial" w:eastAsia="Arial" w:hAnsi="Arial"/>
                <w:sz w:val="14"/>
                <w:szCs w:val="14"/>
                <w:color w:val="auto"/>
              </w:rPr>
              <w:t>(774,099 units)</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9/12/2013</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780</w:t>
            </w:r>
          </w:p>
        </w:tc>
        <w:tc>
          <w:tcPr>
            <w:tcW w:w="2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780</w:t>
            </w:r>
          </w:p>
        </w:tc>
        <w:tc>
          <w:tcPr>
            <w:tcW w:w="26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Equity</w:t>
            </w:r>
          </w:p>
        </w:tc>
        <w:tc>
          <w:tcPr>
            <w:tcW w:w="1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2,780</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1,720</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gridSpan w:val="3"/>
            <w:vMerge w:val="continue"/>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3"/>
              </w:rPr>
              <w:t>$  874,580</w:t>
            </w:r>
          </w:p>
        </w:tc>
        <w:tc>
          <w:tcPr>
            <w:tcW w:w="2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3"/>
              </w:rPr>
              <w:t>$  889,330</w:t>
            </w:r>
          </w:p>
        </w:tc>
        <w:tc>
          <w:tcPr>
            <w:tcW w:w="260" w:type="dxa"/>
            <w:vAlign w:val="bottom"/>
          </w:tcPr>
          <w:p>
            <w:pPr>
              <w:spacing w:after="0"/>
              <w:rPr>
                <w:sz w:val="13"/>
                <w:szCs w:val="13"/>
                <w:color w:val="auto"/>
              </w:rPr>
            </w:pPr>
          </w:p>
        </w:tc>
        <w:tc>
          <w:tcPr>
            <w:tcW w:w="9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40" w:hanging="332"/>
        <w:spacing w:after="0" w:line="227"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Unless otherwise indicated, our portfolio companies are domiciled in the United States. As of September 30, 2013, we did not “control” any of the portfolio companies nor are any of our portfolio companies considered to be “affiliates.” See Note 4 to our unaudited consolidated interim financial statements included elsewhere in this prospectus. Certain portfolio company investments are subject to contractual restrictions on sales.</w:t>
      </w:r>
    </w:p>
    <w:p>
      <w:pPr>
        <w:ind w:left="340" w:hanging="332"/>
        <w:spacing w:after="0" w:line="221"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ind w:left="340" w:right="500" w:hanging="332"/>
        <w:spacing w:after="0" w:line="258" w:lineRule="auto"/>
        <w:tabs>
          <w:tab w:leader="none" w:pos="3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Loan contains a floating rate structure. Floating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ind w:left="340" w:hanging="332"/>
        <w:spacing w:after="0"/>
        <w:tabs>
          <w:tab w:leader="none" w:pos="3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In addition to the interest earned based on the stated interest rate of this loan, we may be entitled to receive additional amounts as a result of our arrangements with other lenders in a syndication.</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investment, or a portion thereof, is held within TPG SL SPV, LLC, our wholly owned subsidiary, and is pledged as collateral supporting the amounts outstanding under the revolving credit facility with Natixis Bank. See Note 7 to our unaudited consolidated interim financial statements included elsewhere in this prospectus.</w:t>
      </w:r>
    </w:p>
    <w:p>
      <w:pPr>
        <w:ind w:left="340" w:right="80" w:hanging="332"/>
        <w:spacing w:after="0" w:line="230"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This portfolio company is a non-U.S. corporation and, as a result, is not a qualifying asset under Section 55(a) of the 1940 Act. Under the 1940 Act, we may not acquire any non-qualifying asset unless, at the time such acquisition is made, qualifying assets represent at least 70% of our total assets.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business and affairs are managed under the direction of our Board. Our Board consists of five members, three of whom are not “interested persons” of us, our Adviser or our or its respective affiliates as defined in Section 2(a)(19) of the 1940 Act.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and an IPO Committee and may establish additional committees from time to time as necessary. In anticipation of this IPO, we will form a nominating and corporate governance committee and a compensation committee.</w:t>
      </w:r>
    </w:p>
    <w:p>
      <w:pPr>
        <w:spacing w:after="0" w:line="120"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Pursuant to our certificate of incorporation,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will expire at the 2014 annual meeting of stockholders.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Messrs. Higginbotham and Tanemura serve as Class I directors (with a term expiring in 2015). Mr. Ross serves as a Class II director (with a term expiring in 2016). Messrs. Easterly and Fishman serve as Class III directors (with a term expiring in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Brief biographies of the members of the Board are set forth below.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gridSpan w:val="2"/>
            <w:vMerge w:val="restart"/>
          </w:tcPr>
          <w:p>
            <w:pPr>
              <w:ind w:left="1920"/>
              <w:spacing w:after="0"/>
              <w:rPr>
                <w:sz w:val="20"/>
                <w:szCs w:val="20"/>
                <w:color w:val="auto"/>
              </w:rPr>
            </w:pPr>
            <w:r>
              <w:rPr>
                <w:rFonts w:ascii="Arial" w:cs="Arial" w:eastAsia="Arial" w:hAnsi="Arial"/>
                <w:sz w:val="14"/>
                <w:szCs w:val="14"/>
                <w:b w:val="1"/>
                <w:bCs w:val="1"/>
                <w:color w:val="auto"/>
              </w:rPr>
              <w:t>Position</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Expiration</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Director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8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75"/>
              </w:rPr>
              <w:t>Age</w:t>
            </w:r>
          </w:p>
        </w:tc>
        <w:tc>
          <w:tcPr>
            <w:tcW w:w="4800" w:type="dxa"/>
            <w:vAlign w:val="bottom"/>
            <w:gridSpan w:val="2"/>
            <w:vMerge w:val="continue"/>
          </w:tcPr>
          <w:p>
            <w:pPr>
              <w:spacing w:after="0"/>
              <w:rPr>
                <w:sz w:val="14"/>
                <w:szCs w:val="14"/>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of Term</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Independent Directors</w:t>
            </w: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3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66</w:t>
            </w: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2015</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50</w:t>
            </w: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69</w:t>
            </w: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2016</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37</w:t>
            </w:r>
          </w:p>
        </w:tc>
        <w:tc>
          <w:tcPr>
            <w:tcW w:w="4800" w:type="dxa"/>
            <w:vAlign w:val="bottom"/>
            <w:gridSpan w:val="2"/>
          </w:tcPr>
          <w:p>
            <w:pPr>
              <w:spacing w:after="0"/>
              <w:rPr>
                <w:sz w:val="20"/>
                <w:szCs w:val="20"/>
                <w:color w:val="auto"/>
              </w:rPr>
            </w:pPr>
            <w:r>
              <w:rPr>
                <w:rFonts w:ascii="Arial" w:cs="Arial" w:eastAsia="Arial" w:hAnsi="Arial"/>
                <w:sz w:val="18"/>
                <w:szCs w:val="18"/>
                <w:color w:val="auto"/>
              </w:rPr>
              <w:t>Chairman, Director and Co-Chief Executive Officer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2014</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50</w:t>
            </w: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and Co-Chief Executive Officer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84"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 in March 2011. From 2010 to 2013, he was a director of Healthcare Finance Group LLC.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3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Ronald Tanemura </w:t>
      </w:r>
      <w:r>
        <w:rPr>
          <w:rFonts w:ascii="Arial" w:cs="Arial" w:eastAsia="Arial" w:hAnsi="Arial"/>
          <w:sz w:val="18"/>
          <w:szCs w:val="18"/>
          <w:color w:val="auto"/>
        </w:rPr>
        <w:t>was elected a director of TSL in March 2011. Since 2012, Mr. Tanemura has served as a director of Lehman Brothers Holdings Inc., or</w:t>
      </w:r>
      <w:r>
        <w:rPr>
          <w:rFonts w:ascii="Arial" w:cs="Arial" w:eastAsia="Arial" w:hAnsi="Arial"/>
          <w:sz w:val="18"/>
          <w:szCs w:val="18"/>
          <w:b w:val="1"/>
          <w:bCs w:val="1"/>
          <w:color w:val="auto"/>
        </w:rPr>
        <w:t xml:space="preserve"> </w:t>
      </w:r>
      <w:r>
        <w:rPr>
          <w:rFonts w:ascii="Arial" w:cs="Arial" w:eastAsia="Arial" w:hAnsi="Arial"/>
          <w:sz w:val="18"/>
          <w:szCs w:val="18"/>
          <w:color w:val="auto"/>
        </w:rPr>
        <w:t>LBHI, in New York and is a member of the Derivatives, Non-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Controlled Affiliates and Finance committees of LBHI, and has also served on the Banks and Loans committee. In addition, he serves as a board member of several companies currently managed by LBHI under its plan of reorganization. Also, since November 2012, he has served as a non-executive director of ICE Clear Credit in Chicago and, since 2009, he has served as a non-executive director of ICE Clear Europe in London, both wholly owned subsidiaries of IntercontinentalExchange, Inc.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1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John Ross </w:t>
      </w:r>
      <w:r>
        <w:rPr>
          <w:rFonts w:ascii="Arial" w:cs="Arial" w:eastAsia="Arial" w:hAnsi="Arial"/>
          <w:sz w:val="16"/>
          <w:szCs w:val="16"/>
          <w:color w:val="auto"/>
        </w:rPr>
        <w:t>was elected a director of TSL in March 2011. From 2003 to 2011, Mr. Ross was a director and member of the board risk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w:t>
      </w:r>
    </w:p>
    <w:p>
      <w:pPr>
        <w:jc w:val="both"/>
        <w:ind w:right="20"/>
        <w:spacing w:after="0" w:line="361" w:lineRule="auto"/>
        <w:rPr>
          <w:sz w:val="20"/>
          <w:szCs w:val="20"/>
          <w:color w:val="auto"/>
        </w:rPr>
      </w:pPr>
      <w:r>
        <w:rPr>
          <w:rFonts w:ascii="Arial" w:cs="Arial" w:eastAsia="Arial" w:hAnsi="Arial"/>
          <w:sz w:val="15"/>
          <w:szCs w:val="15"/>
          <w:color w:val="auto"/>
        </w:rPr>
        <w:t>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8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5"/>
          <w:szCs w:val="15"/>
          <w:b w:val="1"/>
          <w:bCs w:val="1"/>
          <w:color w:val="auto"/>
        </w:rPr>
        <w:t xml:space="preserve">Joshua Easterly </w:t>
      </w:r>
      <w:r>
        <w:rPr>
          <w:rFonts w:ascii="Arial" w:cs="Arial" w:eastAsia="Arial" w:hAnsi="Arial"/>
          <w:sz w:val="15"/>
          <w:szCs w:val="15"/>
          <w:color w:val="auto"/>
        </w:rPr>
        <w:t>was appointed Co-Chief Executive Officer in December 2013 and elected a director and Chairman of TSL in March 2011. Mr. Easterly is</w:t>
      </w:r>
      <w:r>
        <w:rPr>
          <w:rFonts w:ascii="Arial" w:cs="Arial" w:eastAsia="Arial" w:hAnsi="Arial"/>
          <w:sz w:val="15"/>
          <w:szCs w:val="15"/>
          <w:b w:val="1"/>
          <w:bCs w:val="1"/>
          <w:color w:val="auto"/>
        </w:rPr>
        <w:t xml:space="preserve"> </w:t>
      </w:r>
      <w:r>
        <w:rPr>
          <w:rFonts w:ascii="Arial" w:cs="Arial" w:eastAsia="Arial" w:hAnsi="Arial"/>
          <w:sz w:val="15"/>
          <w:szCs w:val="15"/>
          <w:color w:val="auto"/>
        </w:rPr>
        <w:t>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3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 in April 2011 and became Co-Chief Executive Officer in December 2013.</w:t>
      </w:r>
      <w:r>
        <w:rPr>
          <w:rFonts w:ascii="Arial" w:cs="Arial" w:eastAsia="Arial" w:hAnsi="Arial"/>
          <w:sz w:val="16"/>
          <w:szCs w:val="16"/>
          <w:b w:val="1"/>
          <w:bCs w:val="1"/>
          <w:color w:val="auto"/>
        </w:rPr>
        <w:t xml:space="preserve"> </w:t>
      </w:r>
      <w:r>
        <w:rPr>
          <w:rFonts w:ascii="Arial" w:cs="Arial" w:eastAsia="Arial" w:hAnsi="Arial"/>
          <w:sz w:val="16"/>
          <w:szCs w:val="16"/>
          <w:color w:val="auto"/>
        </w:rPr>
        <w:t>Mr. Fishman has been an executive in corporate lending for more than 20 years with senior management experience in credit, portfolio management and primary loan originations. Prior to joining TSL,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degree in Finance from Rochester Institute of Technology. Mr. Fishman’s extensive experience in the credit markets provides the Board with valuable industry-specific knowledge.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3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3"/>
              </w:rPr>
              <w:t>Position</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74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83"/>
              </w:rPr>
              <w:t>Age</w:t>
            </w:r>
          </w:p>
        </w:tc>
        <w:tc>
          <w:tcPr>
            <w:tcW w:w="4360" w:type="dxa"/>
            <w:vAlign w:val="bottom"/>
            <w:gridSpan w:val="2"/>
            <w:vMerge w:val="continue"/>
          </w:tcPr>
          <w:p>
            <w:pPr>
              <w:spacing w:after="0"/>
              <w:rPr>
                <w:sz w:val="14"/>
                <w:szCs w:val="14"/>
                <w:color w:val="auto"/>
              </w:rPr>
            </w:pPr>
          </w:p>
        </w:tc>
        <w:tc>
          <w:tcPr>
            <w:tcW w:w="52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96"/>
              </w:rPr>
              <w:t>Since</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Ronald Cami</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w:t>
            </w:r>
          </w:p>
        </w:tc>
        <w:tc>
          <w:tcPr>
            <w:tcW w:w="500" w:type="dxa"/>
            <w:vAlign w:val="bottom"/>
            <w:tcBorders>
              <w:top w:val="single" w:sz="8" w:color="CCEEFF"/>
            </w:tcBorders>
            <w:shd w:val="clear" w:color="auto" w:fill="CCEEFF"/>
          </w:tcPr>
          <w:p>
            <w:pPr>
              <w:spacing w:after="0"/>
              <w:rPr>
                <w:sz w:val="17"/>
                <w:szCs w:val="17"/>
                <w:color w:val="auto"/>
              </w:rPr>
            </w:pPr>
          </w:p>
        </w:tc>
        <w:tc>
          <w:tcPr>
            <w:tcW w:w="39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Vice President</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2011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43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Chief Financial Officer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Mello</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w:t>
            </w:r>
          </w:p>
        </w:tc>
        <w:tc>
          <w:tcPr>
            <w:tcW w:w="43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7"/>
              </w:rPr>
              <w:t>Vice President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David Reintjes</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41</w:t>
            </w:r>
          </w:p>
        </w:tc>
        <w:tc>
          <w:tcPr>
            <w:tcW w:w="43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Chief Compliance Officer and Secretary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Stiepleman</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w:t>
            </w:r>
          </w:p>
        </w:tc>
        <w:tc>
          <w:tcPr>
            <w:tcW w:w="43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7"/>
              </w:rPr>
              <w:t>Vice President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gridSpan w:val="2"/>
          </w:tcPr>
          <w:p>
            <w:pPr>
              <w:spacing w:after="0"/>
              <w:rPr>
                <w:sz w:val="20"/>
                <w:szCs w:val="20"/>
                <w:color w:val="auto"/>
              </w:rPr>
            </w:pPr>
            <w:r>
              <w:rPr>
                <w:rFonts w:ascii="Arial" w:cs="Arial" w:eastAsia="Arial" w:hAnsi="Arial"/>
                <w:sz w:val="18"/>
                <w:szCs w:val="18"/>
                <w:color w:val="auto"/>
              </w:rPr>
              <w:t>Alan Waxman</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39</w:t>
            </w:r>
          </w:p>
        </w:tc>
        <w:tc>
          <w:tcPr>
            <w:tcW w:w="436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Vice President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165"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 xml:space="preserve">Ronald Cami </w:t>
      </w:r>
      <w:r>
        <w:rPr>
          <w:rFonts w:ascii="Arial" w:cs="Arial" w:eastAsia="Arial" w:hAnsi="Arial"/>
          <w:sz w:val="16"/>
          <w:szCs w:val="16"/>
          <w:color w:val="auto"/>
        </w:rPr>
        <w:t>is a Vice President of TSL. Mr. Cami joined TPG as Partner and General Counsel in June 2010. From 2000 until he joined TPG in 2010,</w:t>
      </w:r>
      <w:r>
        <w:rPr>
          <w:rFonts w:ascii="Arial" w:cs="Arial" w:eastAsia="Arial" w:hAnsi="Arial"/>
          <w:sz w:val="16"/>
          <w:szCs w:val="16"/>
          <w:b w:val="1"/>
          <w:bCs w:val="1"/>
          <w:color w:val="auto"/>
        </w:rPr>
        <w:t xml:space="preserve"> </w:t>
      </w:r>
      <w:r>
        <w:rPr>
          <w:rFonts w:ascii="Arial" w:cs="Arial" w:eastAsia="Arial" w:hAnsi="Arial"/>
          <w:sz w:val="16"/>
          <w:szCs w:val="16"/>
          <w:color w:val="auto"/>
        </w:rPr>
        <w:t>Mr. Cami was a partner at the law firm Cravath, Swaine &amp; Moore LLP, in New York, where his practice focused on mergers and acquisitions, leveraged transactions and general corporate and board advice. From 1994 through 2000, Mr. Cami was an associate in the New York and London offices of Cravath, Swaine &amp; Moore LLP. Prior to that, Mr. Cami served as a law clerk to the Honorable Kevin Thomas Duffy of the Southern District of New York, during which time Judge Duffy presided over the World Trade Center bombing case. Mr. Cami has also served as a director of Blount International Inc. since December 2010. Mr. Cami received his B.A. from Harvard University and his J.D. from Rutgers Law School.</w:t>
      </w:r>
    </w:p>
    <w:p>
      <w:pPr>
        <w:spacing w:after="0" w:line="11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Alan Kirshenbaum </w:t>
      </w:r>
      <w:r>
        <w:rPr>
          <w:rFonts w:ascii="Arial" w:cs="Arial" w:eastAsia="Arial" w:hAnsi="Arial"/>
          <w:sz w:val="18"/>
          <w:szCs w:val="18"/>
          <w:color w:val="auto"/>
        </w:rPr>
        <w:t>is Chief Financial Officer of TSL. Prior to being named Chief Financial Officer, Mr. Kirshenbaum was a Vice President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since 2011. From 2011 to 2013, Mr. Kirshenbaum was Chief Financial Officer and Executive Director of TSSP. From 2007 to 2011, 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is a Certified Public Accountant and received a B.S. from Rutgers University in 1994 and an M.B.A. from New York University’s Stern School of Business in 2003.</w:t>
      </w:r>
    </w:p>
    <w:p>
      <w:pPr>
        <w:spacing w:after="0" w:line="141"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Jennifer Mello </w:t>
      </w:r>
      <w:r>
        <w:rPr>
          <w:rFonts w:ascii="Arial" w:cs="Arial" w:eastAsia="Arial" w:hAnsi="Arial"/>
          <w:sz w:val="16"/>
          <w:szCs w:val="16"/>
          <w:color w:val="auto"/>
        </w:rPr>
        <w:t>is a Vice President of TSL. Since 2012, Ms. Mello has been the General Counsel and Principal of TSSP and, prior to joining TSSP, she was</w:t>
      </w:r>
      <w:r>
        <w:rPr>
          <w:rFonts w:ascii="Arial" w:cs="Arial" w:eastAsia="Arial" w:hAnsi="Arial"/>
          <w:sz w:val="16"/>
          <w:szCs w:val="16"/>
          <w:b w:val="1"/>
          <w:bCs w:val="1"/>
          <w:color w:val="auto"/>
        </w:rPr>
        <w:t xml:space="preserve"> </w:t>
      </w:r>
      <w:r>
        <w:rPr>
          <w:rFonts w:ascii="Arial" w:cs="Arial" w:eastAsia="Arial" w:hAnsi="Arial"/>
          <w:sz w:val="16"/>
          <w:szCs w:val="16"/>
          <w:color w:val="auto"/>
        </w:rPr>
        <w:t>Deputy General Counsel of TPG. Prior to joining TPG, she was a senior attorney at the law firm of Cleary Gottlieb Steen &amp; Hamilton LLP. Ms. Mello received her J.D. from Northwestern University School of Law and her B.S. from the Edmund A. Walsh School of Foreign Service at Georgetown University.</w:t>
      </w:r>
    </w:p>
    <w:p>
      <w:pPr>
        <w:spacing w:after="0" w:line="97"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David Reintjes </w:t>
      </w:r>
      <w:r>
        <w:rPr>
          <w:rFonts w:ascii="Arial" w:cs="Arial" w:eastAsia="Arial" w:hAnsi="Arial"/>
          <w:sz w:val="18"/>
          <w:szCs w:val="18"/>
          <w:color w:val="auto"/>
        </w:rPr>
        <w:t>is the Chief Compliance Officer and Secretary of TSL. Since 2007, he has been TPG’s Chief Compliance Officer and Deputy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Prior to joining TPG, Mr. Reintjes was a member of the corporate practice group at Sonnenschein Nath &amp; Rosenthal LLP (now Dentons), and, from 1997 to 2005, he was a member of the corporate and securities practice group at Kelly, Hart &amp; Hallman LLP. Mr. Reintjes received a J.D. from the University of Kansas and a B.A. from the University of Notre Dame.</w:t>
      </w:r>
    </w:p>
    <w:p>
      <w:pPr>
        <w:spacing w:after="0" w:line="13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 He is also a TPG and TSSP Partner and has served as TSSP’s Chief Operating Officer since 2010. From</w:t>
      </w:r>
      <w:r>
        <w:rPr>
          <w:rFonts w:ascii="Arial" w:cs="Arial" w:eastAsia="Arial" w:hAnsi="Arial"/>
          <w:sz w:val="18"/>
          <w:szCs w:val="18"/>
          <w:b w:val="1"/>
          <w:bCs w:val="1"/>
          <w:color w:val="auto"/>
        </w:rPr>
        <w:t xml:space="preserve"> </w:t>
      </w:r>
      <w:r>
        <w:rPr>
          <w:rFonts w:ascii="Arial" w:cs="Arial" w:eastAsia="Arial" w:hAnsi="Arial"/>
          <w:sz w:val="18"/>
          <w:szCs w:val="18"/>
          <w:color w:val="auto"/>
        </w:rPr>
        <w:t>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39"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 Mr. Waxman is a TPG Partner and is a member of the TPG’s Executive Committee. He has been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Officer and TSSP Partner and Co-Chief Investment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and where he currently serves on their board of the School of Arts and Sciences.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Pursuant to our certificate of incorporation, a majority of the Board will at all times consist of directors who are not “interested persons” of us, of the Adviser, or of any of our or its respective affiliates, as defined in the 1940 Act.</w:t>
      </w:r>
    </w:p>
    <w:p>
      <w:pPr>
        <w:spacing w:after="0" w:line="13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for purposes of Rule 10A-3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Messrs. Easterly and Fishman are considered “interested persons” (as defined in the 1940 Act) of ours since both of them are employed by the Adviser. See “—Biographical Information—Interested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Rights and Observers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Prior to this IPO, under the terms of an agreement between TSL and Universities Superannuation Scheme Ltd., or USS, USS had the right to nominate one director to our Board. This right to nominate was not exercised by USS and terminates in connection with this IPO.</w:t>
      </w:r>
    </w:p>
    <w:p>
      <w:pPr>
        <w:spacing w:after="0" w:line="132" w:lineRule="exact"/>
        <w:rPr>
          <w:sz w:val="20"/>
          <w:szCs w:val="20"/>
          <w:color w:val="auto"/>
        </w:rPr>
      </w:pPr>
    </w:p>
    <w:p>
      <w:pPr>
        <w:jc w:val="both"/>
        <w:ind w:right="320" w:firstLine="456"/>
        <w:spacing w:after="0" w:line="335" w:lineRule="auto"/>
        <w:rPr>
          <w:sz w:val="20"/>
          <w:szCs w:val="20"/>
          <w:color w:val="auto"/>
        </w:rPr>
      </w:pPr>
      <w:r>
        <w:rPr>
          <w:rFonts w:ascii="Arial" w:cs="Arial" w:eastAsia="Arial" w:hAnsi="Arial"/>
          <w:sz w:val="15"/>
          <w:szCs w:val="15"/>
          <w:color w:val="auto"/>
        </w:rPr>
        <w:t>In addition, prior to this IPO, under the terms of agreements between TSL and Oregon Public Employees Retirement Fund, State Teachers Retirement System of Ohio, State of New Jersey Common Pension Fund B, and USS, TSL was required to invite a representative from each to attend the meetings of the Board (including any meeting of the IPO Committee) in a nonvoting observer capacity. The observer rights terminate in connection with this IPO.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met four times in 2013, four times during 2012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at this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 and approves the engagement, and reviews the performance of, our independent registered public accounting firm.</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an Audit Committee, consisting solely of Independent Directors for the purposes of Rule 10A-3 under the Exchange Act. In addition, our corporate governance practices include the appointment of our Chief Compliance Officer, with whom the Independent Directors meet in executive session without the presence of interested directors and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Board performs its risk oversight function primarily through its committees and monitoring by our Chief Compliance Officer in accordance with its compliance policies and procedures.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described below in more detail under “Audit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1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59"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that the Board’s role in risk oversight is effective and appropriate given the extensive regulation to which it is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Further, we believe that the Board’s structure and practices enhance its risk oversight in that our Independent Directors separately meet in executive sessions with the Chief Compliance Officer and independent registered public accounting firm without any conflict that could be perceived to discourage critical review.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David Reintjes,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51"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Rule 10A-3 under the Exchange Act.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held eight meetings in 2013 and eight meetings in 2012.</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 is responsible for:</w:t>
      </w:r>
    </w:p>
    <w:p>
      <w:pPr>
        <w:spacing w:after="0" w:line="90"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Nominating and Corporate Governance Committee will consider nominees to the Board recommended by a stockholder, if that stockholder complies with the advance notice provisions of our bylaws, as described below.</w:t>
      </w:r>
    </w:p>
    <w:p>
      <w:pPr>
        <w:sectPr>
          <w:pgSz w:w="11900" w:h="16838" w:orient="portrait"/>
          <w:cols w:equalWidth="0" w:num="1">
            <w:col w:w="11400"/>
          </w:cols>
          <w:pgMar w:left="240" w:top="459" w:right="259" w:bottom="1440" w:gutter="0" w:footer="0" w:header="0"/>
        </w:sectPr>
      </w:pP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Messrs. Ross, Higginbotham and Tanemura are members of the Nominating and Corporate Governance Committee and Nominating and Corporate Governance Committee will meet times each year.</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serves as Chairman. The</w:t>
      </w:r>
    </w:p>
    <w:p>
      <w:pPr>
        <w:spacing w:after="0" w:line="489" w:lineRule="exact"/>
        <w:rPr>
          <w:sz w:val="20"/>
          <w:szCs w:val="20"/>
          <w:color w:val="auto"/>
        </w:rPr>
      </w:pPr>
    </w:p>
    <w:p>
      <w:pPr>
        <w:sectPr>
          <w:pgSz w:w="11900" w:h="16838" w:orient="portrait"/>
          <w:cols w:equalWidth="0" w:num="2">
            <w:col w:w="8940" w:space="720"/>
            <w:col w:w="1740"/>
          </w:cols>
          <w:pgMar w:left="240" w:top="459" w:right="25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responsible for:</w:t>
      </w:r>
    </w:p>
    <w:p>
      <w:pPr>
        <w:spacing w:after="0" w:line="90" w:lineRule="exact"/>
        <w:rPr>
          <w:sz w:val="20"/>
          <w:szCs w:val="20"/>
          <w:color w:val="auto"/>
        </w:rPr>
      </w:pPr>
    </w:p>
    <w:p>
      <w:pPr>
        <w:ind w:left="900" w:right="68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Investment Advisory Agreement and the Administration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“—Compensation of Executive Officers.”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 of the Compensation Committee are Messrs. Ross, Higginbotham and Tanemura, each of whom is independent for purposes of</w:t>
      </w:r>
    </w:p>
    <w:p>
      <w:pPr>
        <w:spacing w:after="0" w:line="38" w:lineRule="exact"/>
        <w:rPr>
          <w:sz w:val="20"/>
          <w:szCs w:val="20"/>
          <w:color w:val="auto"/>
        </w:rPr>
      </w:pPr>
    </w:p>
    <w:p>
      <w:pPr>
        <w:spacing w:after="0"/>
        <w:tabs>
          <w:tab w:leader="none" w:pos="3160" w:val="left"/>
        </w:tabs>
        <w:rPr>
          <w:sz w:val="20"/>
          <w:szCs w:val="20"/>
          <w:color w:val="auto"/>
        </w:rPr>
      </w:pPr>
      <w:r>
        <w:rPr>
          <w:rFonts w:ascii="Arial" w:cs="Arial" w:eastAsia="Arial" w:hAnsi="Arial"/>
          <w:sz w:val="18"/>
          <w:szCs w:val="18"/>
          <w:color w:val="auto"/>
        </w:rPr>
        <w:t>corporate governance regulations.</w:t>
      </w:r>
      <w:r>
        <w:rPr>
          <w:sz w:val="20"/>
          <w:szCs w:val="20"/>
          <w:color w:val="auto"/>
        </w:rPr>
        <w:tab/>
      </w:r>
      <w:r>
        <w:rPr>
          <w:rFonts w:ascii="Arial" w:cs="Arial" w:eastAsia="Arial" w:hAnsi="Arial"/>
          <w:sz w:val="15"/>
          <w:szCs w:val="15"/>
          <w:color w:val="auto"/>
        </w:rPr>
        <w:t>serves as Chairman. The Compensation Committee will meet one time each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Committee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bylaws also establish an IPO Committee. The IPO Committee’s primary function is to advise the Board regarding matters relating to an initial public offering of our common stock, including:</w:t>
      </w:r>
    </w:p>
    <w:p>
      <w:pPr>
        <w:spacing w:after="0" w:line="51"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preparation of this registration statement and prospectus in connection with an initial public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issuance and sale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negotiation of the terms and conditions of any underwriting agreements relating to an initial public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determination that all common stock is validly issued;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authorization of certain of our officers to execute and deliver the documents relevant to an initial 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IPO Committee acts solely in an advisory capacity to the Board and is not authorized to take any actions on behalf of the Board or us.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Messrs. Easterly and Tanemura are members of the IPO Committee, and it currently does not have a designated chairman. The IPO Committee held one meeting in 2013 and did not hold any meetings in 2012. Following this IPO, we will no longer have an IPO committee.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David Reintjes, 301 Commerce Street, Suite 3300, Fort Worth, TX 76102. Please refer to the text of our bylaws (including Article II, paragraph (K)) which are on file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90"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 as defined in Section 2(a)(19) of the 1940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needs of TSL with respect to the particular talents and experience of its directors;</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Nominating and Corporate Governance Committee’s goal is to assemble a board that brings to TSL a variety of perspectives and skills derived from high-quality business and professional experience.</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 and its stockholders. The Board also believes it appropriate for certain key members of our management to participate as members of the Board.</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identify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Board has not adopted a formal policy with regard to the consideration of diversity in identifying director nominees. In determining whether to recommend a director nominee, the Nominating and Corporate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 and the interests of its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90"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$75,000 annual retainer, which will be $100,000 following this IPO;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additional fee of $5,000 per year for the chairman of the Audit Committee.</w:t>
      </w:r>
    </w:p>
    <w:p>
      <w:pPr>
        <w:spacing w:after="0" w:line="171"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During the year ended December 31, 2012, we also reimbursed directors for certain out-of-pocket expenses each Independent Director incurred in connection with the fulfillment of his duties as an Independent Director. In each case these amounts were under $500 in the aggregate per Independent Director.</w:t>
      </w:r>
    </w:p>
    <w:p>
      <w:pPr>
        <w:spacing w:after="0" w:line="6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Arial" w:cs="Arial" w:eastAsia="Arial" w:hAnsi="Arial"/>
                <w:sz w:val="14"/>
                <w:szCs w:val="14"/>
                <w:b w:val="1"/>
                <w:bCs w:val="1"/>
                <w:color w:val="auto"/>
              </w:rPr>
              <w:t>Fees Earned</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or Paid</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4"/>
                <w:szCs w:val="14"/>
                <w:b w:val="1"/>
                <w:bCs w:val="1"/>
                <w:color w:val="auto"/>
                <w:w w:val="90"/>
              </w:rPr>
              <w:t>in Cash</w:t>
            </w:r>
          </w:p>
        </w:tc>
        <w:tc>
          <w:tcPr>
            <w:tcW w:w="7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Richard Higginbotham</w:t>
            </w: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John Ross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99,000</w:t>
            </w:r>
          </w:p>
        </w:tc>
        <w:tc>
          <w:tcPr>
            <w:tcW w:w="134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$99,000</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134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$94,000</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entered into by and between us and the Adviser and the Administration Agreement entered into between us and the Adviser.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None of our executive officers receives direct compensation from us. We reimburse the Adviser the allocable portion of the compensation paid by the Adviser or its affiliates to our Chief Compliance Officer and Chief Financial Officer and their respective staffs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32"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9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TSSP, which encompasses TPG Specialty Lending, TPG Opportunities Partners and TPG Institutional Credit Partners, is TPG’s opportunistic special situations and credit platform. TSSP had over $6 billion of assets under management as of September 30, 2013. TSSP has extensive experience with highly complex, global public and private investments executed through primary originations, secondary market purchases and restructurings, and has a team of 74 investment and operating professionals. Nineteen of these personnel are dedicated to our business, including 16 investment professionals. The TSSP members of the Investment Review Committee are Joshua Easterly, Michael Fishman, Alan Waxman and David Stiepleman.</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TPG is a leading global private investment firm founded in 1992 with over $55 billion of assets under management as of September 30, 2013 and offices in San Francisco, Fort Worth, Austin, New York and throughout the world. TPG has extensive experience with global public and private investments executed through leveraged buyouts, recapitalizations, spinouts, growth investments, joint ventures and restructurings, and has a team of 256 investment and operations professionals. The TPG members of the Investment Review Committee are TPG co-founders, David Bonderman and James Coulter, and TPG Senior Partners, Jonathan Coslet and James Gates.</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Management of the Adviser consists primarily of senior executives of TSSP and TPG. TSSP and TPG executives, including members of our Investment Review Committee and certain of our other senior personnel, own a significant stake in the Adviser. As of September 30, 2013, our Adviser owned 6.4% of our common stock and had committed $100 million in equity capital under our subscription agreements with existing investors. See “Related-Party Transactions and Certain Relationships” and “Control Persons and Principal Stockholders.”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MANAGEMENT AND OTHER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 Administration Agreement; License Agreement</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amended on December 12,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9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equityholder; and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the Investment Advisory Agreement, we pay the Adviser the Management Fee and may also pay certain Incentive Fees.</w:t>
      </w:r>
    </w:p>
    <w:p>
      <w:pPr>
        <w:spacing w:after="0" w:line="19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quarterly periods ended September 30, 2011 and June 30, 2011, the Management Fee was calculated at an annual rate of 1.5% based on the value of our gross assets at the end of that calendar quarter, adjusted for share issuances and repurchases during that period. Beginning October 1, 2011, the Management Fee has been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43"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Prior to the completion of this IPO, the Adviser has waived its right to receive the Management Fee in excess of the sum of (i) 0.25% of aggregate committed but undrawn capital; and (ii) 0.75% of aggregate drawn capital (including capital drawn to pay our expenses) as determined as of the end of any calendar quarter. Following the completion of this IPO, the Adviser does not intend to waive its right to receive the full Management Fee.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40" w:hanging="446"/>
        <w:spacing w:after="0" w:line="298"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17.5% of the total pre-Incentive Fee net investment income for that quarter (an increase from 15% prior to this IPO and for the quarter in which this IPO is completed), and 17.5% of all remaining pre-Incentive Fee net investment income for that quarter (an increase from 15% prior to the completion of this IPO and for the quarter in which this IPO is completed).</w:t>
      </w:r>
    </w:p>
    <w:p>
      <w:pPr>
        <w:spacing w:after="0" w:line="31"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second component, payable at the end of each fiscal year in arrears, prior to the end of the quarter in which this IPO is completed equals 15%, and thereafter will equal 17.5%, of cumulative realized capital gains from our inception to the end of that fiscal year, less cumulative realized capital losses, unrealized capital depreciation and net of the aggregate amount of any previously paid capital gain Incentive Fee for prior periods, which we refer to as the Capital Gains Fee. Following the completion of this IPO, the Capital Gains Fee will equal a weighted percentage of our realized capital gains, if 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on a cumulative basis as between our inception to the end of the quarter in which this IPO is completed and from the end of the quarter in which this IPO is completed to the end of that fiscal year. The weighted percentage is intended to ensure that for each fiscal year following the completion of this IPO, the portion of our realized capital gains that accrued prior to the end of the quarter in which this IPO is completed will be subject to an Incentive Fee rate of 15% and the portion of our realized capital gains that accrued following the end of the quarter in which this IPO is completed will be subject to an Incentive Fee rate of 17.5%.</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4"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32"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Following this IPO, for purposes of determining whether pre-Incentive Fee net investment income exceeds the hurdle rate, pre-Incentive Fee net investment income will be expressed as a rate of return on the value of our net assets at the end of the immediately preceding calendar quarter.</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Prior to the completion of this IPO, if cumulative net realized losses from our inception exceeded the aggregate dollar amount of dividends paid by us through that date, the Adviser would forgo the right to receive its quarterly Incentive Fee payments with respect to pre-Incentive Fee net investment income until the time that cumulative net realized losses were less than or equal to the aggregate amount of dividend payments. The Adviser does not intend to continue forgoing its right to this fee following the completion of this IPO.</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where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accrue the Incentive Fee taking into account unrealized gains and losses; however, Section 205(b)(3) of the Advisers Act, as amended, prohibits the Adviser from receiving the payment of fees until those gains are realized, if ever.</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November 5, 2013, the Board renewed the Investment Advisory Agreement. Unless earlier terminated,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 See “Risk Factors—Risks Related to Our Business and Structure—We are dependent upon management personnel of the Adviser for our future success.”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but will no longer apply following this IPO.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On November 5, 2013, the Board renewed the Administration Agreement. Unless earlier terminated, the Administration Agreement will remain in effect until November 5, 2014, and may be extended subject to required approvals. The Administration Agreement may be terminated by either party without penalty upon at least 60 days’ written notice to the other party. See “Risk Factors—Risks Related to Our Business and Structure—We are dependent upon management personnel of the Adviser for our future success.”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24"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graphical representation of the calculation of the income-related portion of the Incentive Fee:</w:t>
      </w:r>
    </w:p>
    <w:p>
      <w:pPr>
        <w:spacing w:after="0" w:line="350" w:lineRule="exact"/>
        <w:rPr>
          <w:sz w:val="20"/>
          <w:szCs w:val="20"/>
          <w:color w:val="auto"/>
        </w:rPr>
      </w:pPr>
    </w:p>
    <w:p>
      <w:pPr>
        <w:ind w:left="460" w:right="2359" w:firstLine="3097"/>
        <w:spacing w:after="0" w:line="604" w:lineRule="auto"/>
        <w:rPr>
          <w:sz w:val="20"/>
          <w:szCs w:val="20"/>
          <w:color w:val="auto"/>
        </w:rPr>
      </w:pPr>
      <w:r>
        <w:rPr>
          <w:rFonts w:ascii="Arial" w:cs="Arial" w:eastAsia="Arial" w:hAnsi="Arial"/>
          <w:sz w:val="15"/>
          <w:szCs w:val="15"/>
          <w:b w:val="1"/>
          <w:bCs w:val="1"/>
          <w:color w:val="auto"/>
        </w:rPr>
        <w:t xml:space="preserve">Quarterly Incentive Fee Based on Net Investment Income </w:t>
      </w:r>
      <w:r>
        <w:rPr>
          <w:rFonts w:ascii="Arial" w:cs="Arial" w:eastAsia="Arial" w:hAnsi="Arial"/>
          <w:sz w:val="15"/>
          <w:szCs w:val="15"/>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-35560</wp:posOffset>
            </wp:positionV>
            <wp:extent cx="4587875" cy="814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878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Percentage of pre-Incentive Fee net investment income allocated to income-related portion of Incentive Fee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right="4279"/>
        <w:spacing w:after="0" w:line="250" w:lineRule="auto"/>
        <w:rPr>
          <w:sz w:val="20"/>
          <w:szCs w:val="20"/>
          <w:color w:val="auto"/>
        </w:rPr>
      </w:pPr>
      <w:r>
        <w:rPr>
          <w:rFonts w:ascii="Arial" w:cs="Arial" w:eastAsia="Arial" w:hAnsi="Arial"/>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Pre-Incentive Fee net investment income does not exceed hurdle rate, therefore there is no Incentive Fee.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right="4279"/>
        <w:spacing w:after="0" w:line="250" w:lineRule="auto"/>
        <w:rPr>
          <w:sz w:val="20"/>
          <w:szCs w:val="20"/>
          <w:color w:val="auto"/>
        </w:rPr>
      </w:pPr>
      <w:r>
        <w:rPr>
          <w:rFonts w:ascii="Arial" w:cs="Arial" w:eastAsia="Arial" w:hAnsi="Arial"/>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0.3%</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219"/>
          </w:cols>
          <w:pgMar w:left="240" w:top="459" w:right="1440"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88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0.513%</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3"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example assumes that this IPO of our common stock has occurred.</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hypothetical amount of pre-Incentive Fee net investment income shown is based on a percentage of total net assets.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right="10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Year 1: $10 million investment made in Company A (“</w:t>
      </w:r>
      <w:r>
        <w:rPr>
          <w:rFonts w:ascii="Arial" w:cs="Arial" w:eastAsia="Arial" w:hAnsi="Arial"/>
          <w:sz w:val="18"/>
          <w:szCs w:val="18"/>
          <w:u w:val="single" w:color="auto"/>
          <w:color w:val="auto"/>
        </w:rPr>
        <w:t>Investment A</w:t>
      </w:r>
      <w:r>
        <w:rPr>
          <w:rFonts w:ascii="Arial" w:cs="Arial" w:eastAsia="Arial" w:hAnsi="Arial"/>
          <w:sz w:val="18"/>
          <w:szCs w:val="18"/>
          <w:color w:val="auto"/>
        </w:rPr>
        <w:t>”), $10 million investment made in Company B (“</w:t>
      </w:r>
      <w:r>
        <w:rPr>
          <w:rFonts w:ascii="Arial" w:cs="Arial" w:eastAsia="Arial" w:hAnsi="Arial"/>
          <w:sz w:val="18"/>
          <w:szCs w:val="18"/>
          <w:u w:val="single" w:color="auto"/>
          <w:color w:val="auto"/>
        </w:rPr>
        <w:t>Investment B</w:t>
      </w:r>
      <w:r>
        <w:rPr>
          <w:rFonts w:ascii="Arial" w:cs="Arial" w:eastAsia="Arial" w:hAnsi="Arial"/>
          <w:sz w:val="18"/>
          <w:szCs w:val="18"/>
          <w:color w:val="auto"/>
        </w:rPr>
        <w:t>”), $10 million investment made in Company C (“</w:t>
      </w:r>
      <w:r>
        <w:rPr>
          <w:rFonts w:ascii="Arial" w:cs="Arial" w:eastAsia="Arial" w:hAnsi="Arial"/>
          <w:sz w:val="18"/>
          <w:szCs w:val="18"/>
          <w:u w:val="single" w:color="auto"/>
          <w:color w:val="auto"/>
        </w:rPr>
        <w:t>Investment C</w:t>
      </w:r>
      <w:r>
        <w:rPr>
          <w:rFonts w:ascii="Arial" w:cs="Arial" w:eastAsia="Arial" w:hAnsi="Arial"/>
          <w:sz w:val="18"/>
          <w:szCs w:val="18"/>
          <w:color w:val="auto"/>
        </w:rPr>
        <w:t>”), $10 million investment made in Company D (“</w:t>
      </w:r>
      <w:r>
        <w:rPr>
          <w:rFonts w:ascii="Arial" w:cs="Arial" w:eastAsia="Arial" w:hAnsi="Arial"/>
          <w:sz w:val="18"/>
          <w:szCs w:val="18"/>
          <w:u w:val="single" w:color="auto"/>
          <w:color w:val="auto"/>
        </w:rPr>
        <w:t>Investment D</w:t>
      </w:r>
      <w:r>
        <w:rPr>
          <w:rFonts w:ascii="Arial" w:cs="Arial" w:eastAsia="Arial" w:hAnsi="Arial"/>
          <w:sz w:val="18"/>
          <w:szCs w:val="18"/>
          <w:color w:val="auto"/>
        </w:rPr>
        <w:t>”) and $10 million investment made in Company E (“</w:t>
      </w:r>
      <w:r>
        <w:rPr>
          <w:rFonts w:ascii="Arial" w:cs="Arial" w:eastAsia="Arial" w:hAnsi="Arial"/>
          <w:sz w:val="18"/>
          <w:szCs w:val="18"/>
          <w:u w:val="single" w:color="auto"/>
          <w:color w:val="auto"/>
        </w:rPr>
        <w:t>Investment E</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900" w:right="76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50" w:lineRule="exact"/>
        <w:rPr>
          <w:rFonts w:ascii="Arial" w:cs="Arial" w:eastAsia="Arial" w:hAnsi="Arial"/>
          <w:sz w:val="18"/>
          <w:szCs w:val="18"/>
          <w:color w:val="auto"/>
        </w:rPr>
      </w:pPr>
    </w:p>
    <w:p>
      <w:pPr>
        <w:ind w:left="900" w:right="400" w:hanging="325"/>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4" w:lineRule="exact"/>
        <w:rPr>
          <w:rFonts w:ascii="Arial" w:cs="Arial" w:eastAsia="Arial" w:hAnsi="Arial"/>
          <w:sz w:val="16"/>
          <w:szCs w:val="16"/>
          <w:color w:val="auto"/>
        </w:rPr>
      </w:pPr>
    </w:p>
    <w:p>
      <w:pPr>
        <w:ind w:left="900" w:right="260" w:hanging="325"/>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Year 4: $10 million investment made in Company F (“</w:t>
      </w:r>
      <w:r>
        <w:rPr>
          <w:rFonts w:ascii="Arial" w:cs="Arial" w:eastAsia="Arial" w:hAnsi="Arial"/>
          <w:sz w:val="16"/>
          <w:szCs w:val="16"/>
          <w:u w:val="single" w:color="auto"/>
          <w:color w:val="auto"/>
        </w:rPr>
        <w:t>Investment F</w:t>
      </w:r>
      <w:r>
        <w:rPr>
          <w:rFonts w:ascii="Arial" w:cs="Arial" w:eastAsia="Arial" w:hAnsi="Arial"/>
          <w:sz w:val="16"/>
          <w:szCs w:val="16"/>
          <w:color w:val="auto"/>
        </w:rPr>
        <w:t>”), Investment D sold for $12 million, FMV of Investment B determined to be $10 million, FMV of Investment C determined to be $16 million and FMV of Investment E determined to be $14 million.</w:t>
      </w:r>
    </w:p>
    <w:p>
      <w:pPr>
        <w:spacing w:after="0" w:line="4"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6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are summarized in the following chart: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1200" w:type="dxa"/>
            <w:vAlign w:val="bottom"/>
            <w:gridSpan w:val="3"/>
          </w:tcPr>
          <w:p>
            <w:pPr>
              <w:ind w:left="360"/>
              <w:spacing w:after="0"/>
              <w:rPr>
                <w:sz w:val="20"/>
                <w:szCs w:val="20"/>
                <w:color w:val="auto"/>
              </w:rPr>
            </w:pPr>
            <w:r>
              <w:rPr>
                <w:rFonts w:ascii="Arial" w:cs="Arial" w:eastAsia="Arial" w:hAnsi="Arial"/>
                <w:sz w:val="14"/>
                <w:szCs w:val="14"/>
                <w:b w:val="1"/>
                <w:bCs w:val="1"/>
                <w:color w:val="auto"/>
              </w:rPr>
              <w:t>Cumulative</w:t>
            </w:r>
          </w:p>
        </w:tc>
        <w:tc>
          <w:tcPr>
            <w:tcW w:w="880" w:type="dxa"/>
            <w:vAlign w:val="bottom"/>
            <w:gridSpan w:val="3"/>
          </w:tcPr>
          <w:p>
            <w:pPr>
              <w:jc w:val="center"/>
              <w:ind w:left="73"/>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3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Realized</w:t>
            </w:r>
          </w:p>
        </w:tc>
        <w:tc>
          <w:tcPr>
            <w:tcW w:w="1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3"/>
              </w:rPr>
              <w:t>Investment</w:t>
            </w:r>
          </w:p>
        </w:tc>
        <w:tc>
          <w:tcPr>
            <w:tcW w:w="3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40" w:type="dxa"/>
            <w:vAlign w:val="bottom"/>
          </w:tcPr>
          <w:p>
            <w:pPr>
              <w:spacing w:after="0"/>
              <w:rPr>
                <w:sz w:val="12"/>
                <w:szCs w:val="12"/>
                <w:color w:val="auto"/>
              </w:rPr>
            </w:pPr>
          </w:p>
        </w:tc>
        <w:tc>
          <w:tcPr>
            <w:tcW w:w="660" w:type="dxa"/>
            <w:vAlign w:val="bottom"/>
          </w:tcPr>
          <w:p>
            <w:pPr>
              <w:spacing w:after="0" w:line="149" w:lineRule="exact"/>
              <w:rPr>
                <w:sz w:val="20"/>
                <w:szCs w:val="20"/>
                <w:color w:val="auto"/>
              </w:rPr>
            </w:pPr>
            <w:r>
              <w:rPr>
                <w:rFonts w:ascii="Arial" w:cs="Arial" w:eastAsia="Arial" w:hAnsi="Arial"/>
                <w:sz w:val="14"/>
                <w:szCs w:val="14"/>
                <w:b w:val="1"/>
                <w:bCs w:val="1"/>
                <w:color w:val="auto"/>
                <w:w w:val="86"/>
              </w:rPr>
              <w:t>Investment</w:t>
            </w:r>
          </w:p>
        </w:tc>
        <w:tc>
          <w:tcPr>
            <w:tcW w:w="34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3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Capital</w:t>
            </w:r>
          </w:p>
        </w:tc>
        <w:tc>
          <w:tcPr>
            <w:tcW w:w="18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60" w:type="dxa"/>
            <w:vAlign w:val="bottom"/>
          </w:tcPr>
          <w:p>
            <w:pPr>
              <w:ind w:left="280"/>
              <w:spacing w:after="0"/>
              <w:rPr>
                <w:sz w:val="20"/>
                <w:szCs w:val="20"/>
                <w:color w:val="auto"/>
              </w:rPr>
            </w:pPr>
            <w:r>
              <w:rPr>
                <w:rFonts w:ascii="Arial" w:cs="Arial" w:eastAsia="Arial" w:hAnsi="Arial"/>
                <w:sz w:val="14"/>
                <w:szCs w:val="14"/>
                <w:b w:val="1"/>
                <w:bCs w:val="1"/>
                <w:color w:val="auto"/>
              </w:rPr>
              <w:t>A</w:t>
            </w:r>
          </w:p>
        </w:tc>
        <w:tc>
          <w:tcPr>
            <w:tcW w:w="34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B</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C</w:t>
            </w:r>
          </w:p>
        </w:tc>
        <w:tc>
          <w:tcPr>
            <w:tcW w:w="340" w:type="dxa"/>
            <w:vAlign w:val="bottom"/>
          </w:tcPr>
          <w:p>
            <w:pPr>
              <w:spacing w:after="0"/>
              <w:rPr>
                <w:sz w:val="14"/>
                <w:szCs w:val="14"/>
                <w:color w:val="auto"/>
              </w:rPr>
            </w:pPr>
          </w:p>
        </w:tc>
        <w:tc>
          <w:tcPr>
            <w:tcW w:w="660" w:type="dxa"/>
            <w:vAlign w:val="bottom"/>
          </w:tcPr>
          <w:p>
            <w:pPr>
              <w:ind w:left="280"/>
              <w:spacing w:after="0"/>
              <w:rPr>
                <w:sz w:val="20"/>
                <w:szCs w:val="20"/>
                <w:color w:val="auto"/>
              </w:rPr>
            </w:pPr>
            <w:r>
              <w:rPr>
                <w:rFonts w:ascii="Arial" w:cs="Arial" w:eastAsia="Arial" w:hAnsi="Arial"/>
                <w:sz w:val="14"/>
                <w:szCs w:val="14"/>
                <w:b w:val="1"/>
                <w:bCs w:val="1"/>
                <w:color w:val="auto"/>
              </w:rPr>
              <w:t>D</w:t>
            </w:r>
          </w:p>
        </w:tc>
        <w:tc>
          <w:tcPr>
            <w:tcW w:w="340" w:type="dxa"/>
            <w:vAlign w:val="bottom"/>
          </w:tcPr>
          <w:p>
            <w:pPr>
              <w:spacing w:after="0"/>
              <w:rPr>
                <w:sz w:val="14"/>
                <w:szCs w:val="14"/>
                <w:color w:val="auto"/>
              </w:rPr>
            </w:pP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E</w:t>
            </w: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F</w:t>
            </w:r>
          </w:p>
        </w:tc>
        <w:tc>
          <w:tcPr>
            <w:tcW w:w="740" w:type="dxa"/>
            <w:vAlign w:val="bottom"/>
          </w:tcPr>
          <w:p>
            <w:pPr>
              <w:spacing w:after="0"/>
              <w:rPr>
                <w:sz w:val="20"/>
                <w:szCs w:val="20"/>
                <w:color w:val="auto"/>
              </w:rPr>
            </w:pPr>
            <w:r>
              <w:rPr>
                <w:rFonts w:ascii="Arial" w:cs="Arial" w:eastAsia="Arial" w:hAnsi="Arial"/>
                <w:sz w:val="14"/>
                <w:szCs w:val="14"/>
                <w:b w:val="1"/>
                <w:bCs w:val="1"/>
                <w:color w:val="auto"/>
                <w:w w:val="84"/>
              </w:rPr>
              <w:t>Depreciation</w:t>
            </w:r>
          </w:p>
        </w:tc>
        <w:tc>
          <w:tcPr>
            <w:tcW w:w="3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Losses</w:t>
            </w:r>
          </w:p>
        </w:tc>
        <w:tc>
          <w:tcPr>
            <w:tcW w:w="1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64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(cost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w:t>
            </w: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(cost</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basis)</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basis)</w:t>
            </w: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basis)</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60" w:type="dxa"/>
            <w:vAlign w:val="bottom"/>
            <w:gridSpan w:val="2"/>
          </w:tcPr>
          <w:p>
            <w:pPr>
              <w:spacing w:after="0"/>
              <w:rPr>
                <w:sz w:val="20"/>
                <w:szCs w:val="20"/>
                <w:color w:val="auto"/>
              </w:rPr>
            </w:pPr>
            <w:r>
              <w:rPr>
                <w:rFonts w:ascii="Arial" w:cs="Arial" w:eastAsia="Arial" w:hAnsi="Arial"/>
                <w:sz w:val="18"/>
                <w:szCs w:val="18"/>
                <w:color w:val="auto"/>
              </w:rPr>
              <w:t>Year 2</w:t>
            </w:r>
          </w:p>
        </w:tc>
        <w:tc>
          <w:tcPr>
            <w:tcW w:w="660" w:type="dxa"/>
            <w:vAlign w:val="bottom"/>
          </w:tcPr>
          <w:p>
            <w:pPr>
              <w:spacing w:after="0"/>
              <w:rPr>
                <w:sz w:val="20"/>
                <w:szCs w:val="20"/>
                <w:color w:val="auto"/>
              </w:rPr>
            </w:pPr>
            <w:r>
              <w:rPr>
                <w:rFonts w:ascii="Arial" w:cs="Arial" w:eastAsia="Arial" w:hAnsi="Arial"/>
                <w:sz w:val="18"/>
                <w:szCs w:val="18"/>
                <w:color w:val="auto"/>
              </w:rPr>
              <w:t>$20</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r>
              <w:rPr>
                <w:rFonts w:ascii="Arial" w:cs="Arial" w:eastAsia="Arial" w:hAnsi="Arial"/>
                <w:sz w:val="18"/>
                <w:szCs w:val="18"/>
                <w:color w:val="auto"/>
              </w:rPr>
              <w:t>$2</w:t>
            </w:r>
          </w:p>
        </w:tc>
        <w:tc>
          <w:tcPr>
            <w:tcW w:w="12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million</w:t>
            </w: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million</w:t>
            </w:r>
          </w:p>
        </w:tc>
        <w:tc>
          <w:tcPr>
            <w:tcW w:w="1340" w:type="dxa"/>
            <w:vAlign w:val="bottom"/>
            <w:gridSpan w:val="3"/>
          </w:tcPr>
          <w:p>
            <w:pPr>
              <w:ind w:left="340"/>
              <w:spacing w:after="0"/>
              <w:rPr>
                <w:sz w:val="20"/>
                <w:szCs w:val="20"/>
                <w:color w:val="auto"/>
              </w:rPr>
            </w:pPr>
            <w:r>
              <w:rPr>
                <w:rFonts w:ascii="Arial" w:cs="Arial" w:eastAsia="Arial" w:hAnsi="Arial"/>
                <w:sz w:val="18"/>
                <w:szCs w:val="18"/>
                <w:color w:val="auto"/>
              </w:rPr>
              <w:t>million</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million</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(sale</w:t>
            </w: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FMV</w:t>
            </w:r>
          </w:p>
        </w:tc>
        <w:tc>
          <w:tcPr>
            <w:tcW w:w="1340" w:type="dxa"/>
            <w:vAlign w:val="bottom"/>
            <w:gridSpan w:val="3"/>
          </w:tcPr>
          <w:p>
            <w:pPr>
              <w:ind w:left="340"/>
              <w:spacing w:after="0"/>
              <w:rPr>
                <w:sz w:val="20"/>
                <w:szCs w:val="20"/>
                <w:color w:val="auto"/>
              </w:rPr>
            </w:pPr>
            <w:r>
              <w:rPr>
                <w:rFonts w:ascii="Arial" w:cs="Arial" w:eastAsia="Arial" w:hAnsi="Arial"/>
                <w:sz w:val="18"/>
                <w:szCs w:val="18"/>
                <w:color w:val="auto"/>
              </w:rPr>
              <w:t>FMV</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price)</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Year 3 (IPO)</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1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FMV</w:t>
            </w: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FMV</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at IPO</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at IPO</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at IPO</w:t>
            </w: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at IPO</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60" w:type="dxa"/>
            <w:vAlign w:val="bottom"/>
            <w:gridSpan w:val="2"/>
          </w:tcPr>
          <w:p>
            <w:pPr>
              <w:spacing w:after="0"/>
              <w:rPr>
                <w:sz w:val="20"/>
                <w:szCs w:val="20"/>
                <w:color w:val="auto"/>
              </w:rPr>
            </w:pPr>
            <w:r>
              <w:rPr>
                <w:rFonts w:ascii="Arial" w:cs="Arial" w:eastAsia="Arial" w:hAnsi="Arial"/>
                <w:sz w:val="18"/>
                <w:szCs w:val="18"/>
                <w:color w:val="auto"/>
              </w:rPr>
              <w:t>Year 4</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$16</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$12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million</w:t>
            </w:r>
          </w:p>
        </w:tc>
        <w:tc>
          <w:tcPr>
            <w:tcW w:w="1340" w:type="dxa"/>
            <w:vAlign w:val="bottom"/>
            <w:gridSpan w:val="3"/>
          </w:tcPr>
          <w:p>
            <w:pPr>
              <w:ind w:left="340"/>
              <w:spacing w:after="0"/>
              <w:rPr>
                <w:sz w:val="20"/>
                <w:szCs w:val="20"/>
                <w:color w:val="auto"/>
              </w:rPr>
            </w:pPr>
            <w:r>
              <w:rPr>
                <w:rFonts w:ascii="Arial" w:cs="Arial" w:eastAsia="Arial" w:hAnsi="Arial"/>
                <w:sz w:val="18"/>
                <w:szCs w:val="18"/>
                <w:color w:val="auto"/>
              </w:rPr>
              <w:t>million</w:t>
            </w:r>
          </w:p>
        </w:tc>
        <w:tc>
          <w:tcPr>
            <w:tcW w:w="100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(sale</w:t>
            </w:r>
          </w:p>
        </w:tc>
        <w:tc>
          <w:tcPr>
            <w:tcW w:w="1340" w:type="dxa"/>
            <w:vAlign w:val="bottom"/>
            <w:gridSpan w:val="3"/>
          </w:tcPr>
          <w:p>
            <w:pPr>
              <w:ind w:left="340"/>
              <w:spacing w:after="0"/>
              <w:rPr>
                <w:sz w:val="20"/>
                <w:szCs w:val="20"/>
                <w:color w:val="auto"/>
              </w:rPr>
            </w:pPr>
            <w:r>
              <w:rPr>
                <w:rFonts w:ascii="Arial" w:cs="Arial" w:eastAsia="Arial" w:hAnsi="Arial"/>
                <w:sz w:val="18"/>
                <w:szCs w:val="18"/>
                <w:color w:val="auto"/>
              </w:rPr>
              <w:t>FMV</w:t>
            </w:r>
          </w:p>
        </w:tc>
        <w:tc>
          <w:tcPr>
            <w:tcW w:w="1000" w:type="dxa"/>
            <w:vAlign w:val="bottom"/>
            <w:gridSpan w:val="2"/>
          </w:tcPr>
          <w:p>
            <w:pPr>
              <w:spacing w:after="0"/>
              <w:rPr>
                <w:sz w:val="20"/>
                <w:szCs w:val="20"/>
                <w:color w:val="auto"/>
              </w:rPr>
            </w:pPr>
            <w:r>
              <w:rPr>
                <w:rFonts w:ascii="Arial" w:cs="Arial" w:eastAsia="Arial" w:hAnsi="Arial"/>
                <w:sz w:val="18"/>
                <w:szCs w:val="18"/>
                <w:color w:val="auto"/>
              </w:rPr>
              <w:t>(cost</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price)</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basis)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FMV</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price)</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60" w:type="dxa"/>
            <w:vAlign w:val="bottom"/>
            <w:gridSpan w:val="2"/>
          </w:tcPr>
          <w:p>
            <w:pPr>
              <w:spacing w:after="0"/>
              <w:rPr>
                <w:sz w:val="20"/>
                <w:szCs w:val="20"/>
                <w:color w:val="auto"/>
              </w:rPr>
            </w:pPr>
            <w:r>
              <w:rPr>
                <w:rFonts w:ascii="Arial" w:cs="Arial" w:eastAsia="Arial" w:hAnsi="Arial"/>
                <w:sz w:val="18"/>
                <w:szCs w:val="18"/>
                <w:color w:val="auto"/>
              </w:rPr>
              <w:t>Year 6</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w:t>
            </w:r>
          </w:p>
        </w:tc>
        <w:tc>
          <w:tcPr>
            <w:tcW w:w="12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3"/>
          </w:tcPr>
          <w:p>
            <w:pPr>
              <w:ind w:left="340"/>
              <w:spacing w:after="0"/>
              <w:rPr>
                <w:sz w:val="20"/>
                <w:szCs w:val="20"/>
                <w:color w:val="auto"/>
              </w:rPr>
            </w:pPr>
            <w:r>
              <w:rPr>
                <w:rFonts w:ascii="Arial" w:cs="Arial" w:eastAsia="Arial" w:hAnsi="Arial"/>
                <w:sz w:val="18"/>
                <w:szCs w:val="18"/>
                <w:color w:val="auto"/>
              </w:rPr>
              <w:t>million</w:t>
            </w:r>
          </w:p>
        </w:tc>
        <w:tc>
          <w:tcPr>
            <w:tcW w:w="100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740" w:type="dxa"/>
            <w:vAlign w:val="bottom"/>
          </w:tcPr>
          <w:p>
            <w:pPr>
              <w:spacing w:after="0"/>
              <w:rPr>
                <w:sz w:val="20"/>
                <w:szCs w:val="20"/>
                <w:color w:val="auto"/>
              </w:rPr>
            </w:pPr>
            <w:r>
              <w:rPr>
                <w:rFonts w:ascii="Arial" w:cs="Arial" w:eastAsia="Arial" w:hAnsi="Arial"/>
                <w:sz w:val="18"/>
                <w:szCs w:val="18"/>
                <w:color w:val="auto"/>
              </w:rPr>
              <w:t>million</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(sale</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3"/>
          </w:tcPr>
          <w:p>
            <w:pPr>
              <w:ind w:left="340"/>
              <w:spacing w:after="0"/>
              <w:rPr>
                <w:sz w:val="20"/>
                <w:szCs w:val="20"/>
                <w:color w:val="auto"/>
              </w:rPr>
            </w:pPr>
            <w:r>
              <w:rPr>
                <w:rFonts w:ascii="Arial" w:cs="Arial" w:eastAsia="Arial" w:hAnsi="Arial"/>
                <w:sz w:val="18"/>
                <w:szCs w:val="18"/>
                <w:color w:val="auto"/>
              </w:rPr>
              <w:t>FMV</w:t>
            </w:r>
          </w:p>
        </w:tc>
        <w:tc>
          <w:tcPr>
            <w:tcW w:w="1000" w:type="dxa"/>
            <w:vAlign w:val="bottom"/>
            <w:gridSpan w:val="2"/>
          </w:tcPr>
          <w:p>
            <w:pPr>
              <w:spacing w:after="0"/>
              <w:rPr>
                <w:sz w:val="20"/>
                <w:szCs w:val="20"/>
                <w:color w:val="auto"/>
              </w:rPr>
            </w:pPr>
            <w:r>
              <w:rPr>
                <w:rFonts w:ascii="Arial" w:cs="Arial" w:eastAsia="Arial" w:hAnsi="Arial"/>
                <w:sz w:val="18"/>
                <w:szCs w:val="18"/>
                <w:color w:val="auto"/>
              </w:rPr>
              <w:t>FMV</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Year 7</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7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million</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(sale</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price)</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60" w:type="dxa"/>
            <w:vAlign w:val="bottom"/>
            <w:gridSpan w:val="2"/>
          </w:tcPr>
          <w:p>
            <w:pPr>
              <w:spacing w:after="0"/>
              <w:rPr>
                <w:sz w:val="20"/>
                <w:szCs w:val="20"/>
                <w:color w:val="auto"/>
              </w:rPr>
            </w:pPr>
            <w:r>
              <w:rPr>
                <w:rFonts w:ascii="Arial" w:cs="Arial" w:eastAsia="Arial" w:hAnsi="Arial"/>
                <w:sz w:val="18"/>
                <w:szCs w:val="18"/>
                <w:color w:val="auto"/>
              </w:rPr>
              <w:t>Year 8</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740" w:type="dxa"/>
            <w:vAlign w:val="bottom"/>
          </w:tcPr>
          <w:p>
            <w:pPr>
              <w:spacing w:after="0"/>
              <w:rPr>
                <w:sz w:val="18"/>
                <w:szCs w:val="18"/>
                <w:color w:val="auto"/>
              </w:rPr>
            </w:pPr>
          </w:p>
        </w:tc>
        <w:tc>
          <w:tcPr>
            <w:tcW w:w="1200" w:type="dxa"/>
            <w:vAlign w:val="bottom"/>
            <w:gridSpan w:val="3"/>
          </w:tcPr>
          <w:p>
            <w:pPr>
              <w:ind w:left="360"/>
              <w:spacing w:after="0"/>
              <w:rPr>
                <w:sz w:val="20"/>
                <w:szCs w:val="20"/>
                <w:color w:val="auto"/>
              </w:rPr>
            </w:pPr>
            <w:r>
              <w:rPr>
                <w:rFonts w:ascii="Arial" w:cs="Arial" w:eastAsia="Arial" w:hAnsi="Arial"/>
                <w:sz w:val="18"/>
                <w:szCs w:val="18"/>
                <w:color w:val="auto"/>
              </w:rPr>
              <w:t>million</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(sale</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price)</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capital gains portion of the Incentive Fee would be:</w:t>
      </w:r>
    </w:p>
    <w:p>
      <w:pPr>
        <w:spacing w:after="0" w:line="90"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Year 2:</w:t>
      </w:r>
    </w:p>
    <w:p>
      <w:pPr>
        <w:spacing w:after="0" w:line="171" w:lineRule="exact"/>
        <w:rPr>
          <w:sz w:val="20"/>
          <w:szCs w:val="20"/>
          <w:color w:val="auto"/>
        </w:rPr>
      </w:pPr>
    </w:p>
    <w:p>
      <w:pPr>
        <w:ind w:left="1500" w:right="420"/>
        <w:spacing w:after="0" w:line="268"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172"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Year 3:</w:t>
      </w:r>
    </w:p>
    <w:p>
      <w:pPr>
        <w:spacing w:after="0" w:line="90" w:lineRule="exact"/>
        <w:rPr>
          <w:sz w:val="20"/>
          <w:szCs w:val="20"/>
          <w:color w:val="auto"/>
        </w:rPr>
      </w:pPr>
    </w:p>
    <w:p>
      <w:pPr>
        <w:ind w:left="1500" w:right="100"/>
        <w:spacing w:after="0" w:line="332" w:lineRule="auto"/>
        <w:rPr>
          <w:sz w:val="20"/>
          <w:szCs w:val="20"/>
          <w:color w:val="auto"/>
        </w:rPr>
      </w:pPr>
      <w:r>
        <w:rPr>
          <w:rFonts w:ascii="Arial" w:cs="Arial" w:eastAsia="Arial" w:hAnsi="Arial"/>
          <w:sz w:val="16"/>
          <w:szCs w:val="16"/>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6"/>
          <w:szCs w:val="16"/>
          <w:b w:val="1"/>
          <w:bCs w:val="1"/>
          <w:color w:val="auto"/>
        </w:rPr>
        <w:t>$0.00</w:t>
      </w:r>
    </w:p>
    <w:p>
      <w:pPr>
        <w:spacing w:after="0" w:line="85" w:lineRule="exact"/>
        <w:rPr>
          <w:sz w:val="20"/>
          <w:szCs w:val="20"/>
          <w:color w:val="auto"/>
        </w:rPr>
      </w:pPr>
    </w:p>
    <w:p>
      <w:pPr>
        <w:ind w:left="1500" w:right="60"/>
        <w:spacing w:after="0" w:line="268"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172"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4:</w:t>
      </w:r>
    </w:p>
    <w:p>
      <w:pPr>
        <w:spacing w:after="0" w:line="171" w:lineRule="exact"/>
        <w:rPr>
          <w:sz w:val="20"/>
          <w:szCs w:val="20"/>
          <w:color w:val="auto"/>
        </w:rPr>
      </w:pPr>
    </w:p>
    <w:p>
      <w:pPr>
        <w:ind w:left="1500" w:right="360"/>
        <w:spacing w:after="0" w:line="268"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132"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172"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5:</w:t>
      </w:r>
    </w:p>
    <w:p>
      <w:pPr>
        <w:spacing w:after="0" w:line="171" w:lineRule="exact"/>
        <w:rPr>
          <w:sz w:val="20"/>
          <w:szCs w:val="20"/>
          <w:color w:val="auto"/>
        </w:rPr>
      </w:pPr>
    </w:p>
    <w:p>
      <w:pPr>
        <w:ind w:left="1500" w:right="360"/>
        <w:spacing w:after="0" w:line="268"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132"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51"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6:</w:t>
      </w:r>
    </w:p>
    <w:p>
      <w:pPr>
        <w:spacing w:after="0" w:line="171" w:lineRule="exact"/>
        <w:rPr>
          <w:sz w:val="20"/>
          <w:szCs w:val="20"/>
          <w:color w:val="auto"/>
        </w:rPr>
      </w:pPr>
    </w:p>
    <w:p>
      <w:pPr>
        <w:ind w:left="1500" w:right="10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85"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Year 7:</w:t>
      </w:r>
    </w:p>
    <w:p>
      <w:pPr>
        <w:spacing w:after="0" w:line="171" w:lineRule="exact"/>
        <w:rPr>
          <w:sz w:val="20"/>
          <w:szCs w:val="20"/>
          <w:color w:val="auto"/>
        </w:rPr>
      </w:pPr>
    </w:p>
    <w:p>
      <w:pPr>
        <w:ind w:left="150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6"/>
          <w:szCs w:val="16"/>
          <w:b w:val="1"/>
          <w:bCs w:val="1"/>
          <w:color w:val="auto"/>
        </w:rPr>
        <w:t>$0.00</w:t>
      </w:r>
    </w:p>
    <w:p>
      <w:pPr>
        <w:spacing w:after="0" w:line="85"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240" w:top="459" w:right="4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Year 8:</w:t>
      </w:r>
    </w:p>
    <w:p>
      <w:pPr>
        <w:spacing w:after="0" w:line="171" w:lineRule="exact"/>
        <w:rPr>
          <w:sz w:val="20"/>
          <w:szCs w:val="20"/>
          <w:color w:val="auto"/>
        </w:rPr>
      </w:pPr>
    </w:p>
    <w:p>
      <w:pPr>
        <w:ind w:left="1500" w:right="20"/>
        <w:spacing w:after="0" w:line="33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85"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those relating to:</w:t>
      </w:r>
    </w:p>
    <w:p>
      <w:pPr>
        <w:spacing w:after="0" w:line="90"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25"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60"/>
          </w:cols>
          <w:pgMar w:left="240" w:top="459" w:right="3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5, 2014,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upon at least 60 days’ written notice to the other party. The holders of a majority of our outstanding voting securities may also terminate each agreement without penalty upon not less than 60 days’ written notice. See “Risk Factors— Risks Related to Our Business and Structure—We are dependent upon management personnel of the Adviser for our future success.”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this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of whom we refer to as an Indemnitee, on the same general terms set forth in our certificate of incorporation. See “Description of our Capital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Approval of the Investment Advisory Agreement</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Board, including our Independent Directors, and holders of a majority of our outstanding securities, approved our Investment Advisory Agreement in December 2011. Our Board, including a majority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Independent Directors, renewed it in November 2013. In its consideration of the Investment Advisory Agreement at the time of approval and renewal, the Board focused on information it had received relating to, among other things:</w:t>
      </w:r>
    </w:p>
    <w:p>
      <w:pPr>
        <w:spacing w:after="0" w:line="51"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information about the services to be performed and the personnel performing those services under the Investment Advisory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8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2,321,458 shares of our common stock as of September 30, 2013.</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that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Investment Opportunities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Members of the Adviser’s senior management and Investment Review Committee are and will continue to be active in other investment funds affiliated with TSSP and TPG that pursue investment opportunities that could overlap with those pursued by us. However, we expect that TSSP and TPG will refer all middle-market loan origination activities for companies domiciled in the United States to us and conduct those activities through us, unless it would not be permissible, advisable or otherwise appropriate for us to pursue a particular investment opportunity.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further described below in “—Allocation of Non-Loan Origination Investment Opportunities,” our ability to pursue investment opportunities other than middle-market loan originations for companies domiciled in the United States is subject to the priorities of these other funds and allocation decisions by TSSP and TPG senior professionals. As a result, the Adviser and its affiliates may face conflicts in allocating investment opportunities between us and those other entities.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 We refer to these requirements as “priorities.” Our priority is middle-market loan originations for companies domiciled in the United States.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TPG’s legal department makes its preliminary assessment as to whether a particular investment opportunity is a priority for us or any TPG-managed fund or investment vehicle, including us, prior to, or promptly following,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initial discussion of the potential investment at a meeting of our or the relevant fund’s investment review committee when it appears that pursuit of the investment is reasonably probable.</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legal department delivers its preliminary assessment to TPG’s allocation team (or a member thereof). The allocation team is comprised of five of TPG’s senior professionals (including TPG’s general counsel, who is also an executive officer of the Adviser and us) with a scope of responsibilities across all business units of TPG. The team is charged with ensuring that investment opportunities are allocated to us or the appropriate TPG fund. The legal department’s determination that an investment opportunity is within our or a particular fund’s priority is the presumptive final allocation decision.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ability to pursue investment opportunities other than middle-market loan originations for companies domiciled in the United States is subject to the priorities of these other funds and allocation decisions by TSSP and TPG senior professionals. As a result, our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TPG and the Adviser were to determine that an investment is appropriate both for us and for one or more other TSSP or TPG vehicles, we would only be able to make the investment in conjunction with another vehicle if we receive an order from the SEC permitting us to do so or the investment is otherwise permitted under relevant SEC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Relief Application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On September 17, 2013, we filed a revised application with the SEC. If granted, the exemptive relief would allow us to co-invest in certain transactions with affiliates of TSSP and TPG if certain conditions are met. These conditions include prior approval by a majority of the Independent Directors. The terms and conditions of the investment applicable to any affiliates of TSSP and TPG also must be the same as those applicable to us.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that our ability to complete co-investment transactions will increase favorable investment opportunities for us. A BDC that makes investments of the type contemplated by us typically limits its transaction sizes, which may be determined by legal or internally imposed prudential limits on exposure in a single investment. In addition, because we intend to continue to qualify as a RIC, our portfolio is subject to certain diversification requirements that similarly may limit the amount of capital that we may invest in any single investment. Currently, in cases where the Adviser identifies larger capital commitments that otherwise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would be attractive investment opportunities, the Adviser must seek the participation of non-affiliated entities with similar investment mandates. The availability of co-investments with other funds affiliated with TSSP and TPG would alleviate some of that necessity.</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we obtain the requested exemptive relief, once an origination opportunity has been allocated to us, the Adviser will make an independent determination of the appropriateness of the investment for us. If the Adviser deems our participation in the investment to be appropriate, it will then determine an appropriate size of our investment. The Adviser will consider various factors, including the nature of the investment and our existing portfolio. If the amount of the investment opportunity were to exceed the amount the Adviser determined was appropriate for us to invest, then the excess amount would be offered to one or more funds affiliated with TSSP or TPG as a potential co-investment transaction.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however, when or whether the SEC will grant the requested exemptive relief.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paid by us, or indemnification obligations undertaken by us, in respect of the administrator and those other service providers that are TPG affiliates will be set at arm’s length and approved by the Independent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of our current directors and officers are directors or officers of the Adviser or its affiliates. See “Management—Biographical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Immediately prior to the completion of this offering there will be shares of common stock issued and outstanding and 56 stockholders of record. The following table sets forth certain ownership information as indicated in our books and records of each current director, our executive officers, the executive officers and directors as a group, and each person known to us to beneficially own 5% or more of the outstanding shares of our common stock. To our knowledge, except as indicated in the footnotes to the table, each of the stockholders listed below has sole voting or investment power with respect to shares beneficially owned by such stockholder. 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Unless otherwise indicated by footnote, the address for each listed individual is 301 Commerce Street, Suite 3300, Fort Worth, TX 76102.</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 Individual or Identity of Group</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6465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Interested Directors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Joshua Easterly</w:t>
      </w:r>
      <w:r>
        <w:rPr>
          <w:rFonts w:ascii="Arial" w:cs="Arial" w:eastAsia="Arial" w:hAnsi="Arial"/>
          <w:sz w:val="11"/>
          <w:szCs w:val="11"/>
          <w:color w:val="auto"/>
        </w:rPr>
        <w:t>(2)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Fishman</w:t>
      </w:r>
      <w:r>
        <w:rPr>
          <w:rFonts w:ascii="Arial" w:cs="Arial" w:eastAsia="Arial" w:hAnsi="Arial"/>
          <w:sz w:val="11"/>
          <w:szCs w:val="11"/>
          <w:color w:val="auto"/>
        </w:rPr>
        <w:t>(3)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Richard Higginbotham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Ross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Ronald Tanemura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Ronald Cami</w:t>
      </w:r>
      <w:r>
        <w:rPr>
          <w:rFonts w:ascii="Arial" w:cs="Arial" w:eastAsia="Arial" w:hAnsi="Arial"/>
          <w:sz w:val="11"/>
          <w:szCs w:val="11"/>
          <w:color w:val="auto"/>
        </w:rPr>
        <w:t>(4)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Alan Kirshenbaum</w:t>
      </w:r>
      <w:r>
        <w:rPr>
          <w:rFonts w:ascii="Arial" w:cs="Arial" w:eastAsia="Arial" w:hAnsi="Arial"/>
          <w:sz w:val="11"/>
          <w:szCs w:val="11"/>
          <w:color w:val="auto"/>
        </w:rPr>
        <w:t>(5)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Jennifer Mello</w:t>
      </w:r>
      <w:r>
        <w:rPr>
          <w:rFonts w:ascii="Arial" w:cs="Arial" w:eastAsia="Arial" w:hAnsi="Arial"/>
          <w:sz w:val="11"/>
          <w:szCs w:val="11"/>
          <w:color w:val="auto"/>
        </w:rPr>
        <w:t>(6)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David Reintjes</w:t>
      </w:r>
      <w:r>
        <w:rPr>
          <w:rFonts w:ascii="Arial" w:cs="Arial" w:eastAsia="Arial" w:hAnsi="Arial"/>
          <w:sz w:val="11"/>
          <w:szCs w:val="11"/>
          <w:color w:val="auto"/>
        </w:rPr>
        <w:t>(7)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David Stiepleman</w:t>
      </w:r>
      <w:r>
        <w:rPr>
          <w:rFonts w:ascii="Arial" w:cs="Arial" w:eastAsia="Arial" w:hAnsi="Arial"/>
          <w:sz w:val="11"/>
          <w:szCs w:val="11"/>
          <w:color w:val="auto"/>
        </w:rPr>
        <w:t>(8)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Alan Waxman</w:t>
      </w:r>
      <w:r>
        <w:rPr>
          <w:rFonts w:ascii="Arial" w:cs="Arial" w:eastAsia="Arial" w:hAnsi="Arial"/>
          <w:sz w:val="11"/>
          <w:szCs w:val="11"/>
          <w:color w:val="auto"/>
        </w:rPr>
        <w:t>(9)</w:t>
      </w:r>
    </w:p>
    <w:p>
      <w:pPr>
        <w:spacing w:after="0" w:line="9" w:lineRule="exact"/>
        <w:rPr>
          <w:sz w:val="20"/>
          <w:szCs w:val="20"/>
          <w:color w:val="auto"/>
        </w:rPr>
      </w:pPr>
    </w:p>
    <w:p>
      <w:pPr>
        <w:ind w:left="1080" w:right="260" w:hanging="215"/>
        <w:spacing w:after="0" w:line="250" w:lineRule="auto"/>
        <w:rPr>
          <w:sz w:val="20"/>
          <w:szCs w:val="20"/>
          <w:color w:val="auto"/>
        </w:rPr>
      </w:pPr>
      <w:r>
        <w:rPr>
          <w:rFonts w:ascii="Arial" w:cs="Arial" w:eastAsia="Arial" w:hAnsi="Arial"/>
          <w:sz w:val="18"/>
          <w:szCs w:val="18"/>
          <w:b w:val="1"/>
          <w:bCs w:val="1"/>
          <w:color w:val="auto"/>
        </w:rPr>
        <w:t>All Directors and Named Executive Officers as a Group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Five-Percent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MSSB TPG Specialty Lending Onshore Feeder Fund</w:t>
      </w:r>
      <w:r>
        <w:rPr>
          <w:rFonts w:ascii="Arial" w:cs="Arial" w:eastAsia="Arial" w:hAnsi="Arial"/>
          <w:sz w:val="11"/>
          <w:szCs w:val="11"/>
          <w:color w:val="auto"/>
        </w:rPr>
        <w:t>(10)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of New Jersey Common Pension Fund B</w:t>
      </w:r>
      <w:r>
        <w:rPr>
          <w:rFonts w:ascii="Arial" w:cs="Arial" w:eastAsia="Arial" w:hAnsi="Arial"/>
          <w:sz w:val="11"/>
          <w:szCs w:val="11"/>
          <w:color w:val="auto"/>
        </w:rPr>
        <w:t>(11)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Universities Superannuation Scheme Ltd.</w:t>
      </w:r>
      <w:r>
        <w:rPr>
          <w:rFonts w:ascii="Arial" w:cs="Arial" w:eastAsia="Arial" w:hAnsi="Arial"/>
          <w:sz w:val="11"/>
          <w:szCs w:val="11"/>
          <w:color w:val="auto"/>
        </w:rPr>
        <w:t>(12)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Group</w:t>
      </w:r>
      <w:r>
        <w:rPr>
          <w:rFonts w:ascii="Arial" w:cs="Arial" w:eastAsia="Arial" w:hAnsi="Arial"/>
          <w:sz w:val="11"/>
          <w:szCs w:val="11"/>
          <w:color w:val="auto"/>
        </w:rPr>
        <w:t>(9)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 Public Employees Retirement Fund</w:t>
      </w:r>
      <w:r>
        <w:rPr>
          <w:rFonts w:ascii="Arial" w:cs="Arial" w:eastAsia="Arial" w:hAnsi="Arial"/>
          <w:sz w:val="11"/>
          <w:szCs w:val="11"/>
          <w:color w:val="auto"/>
        </w:rPr>
        <w:t>(13)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Teachers Retirement System of Ohio</w:t>
      </w:r>
      <w:r>
        <w:rPr>
          <w:rFonts w:ascii="Arial" w:cs="Arial" w:eastAsia="Arial" w:hAnsi="Arial"/>
          <w:sz w:val="11"/>
          <w:szCs w:val="11"/>
          <w:color w:val="auto"/>
        </w:rPr>
        <w:t>(14)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Arizona State Retirement System</w:t>
      </w:r>
      <w:r>
        <w:rPr>
          <w:rFonts w:ascii="Arial" w:cs="Arial" w:eastAsia="Arial" w:hAnsi="Arial"/>
          <w:sz w:val="11"/>
          <w:szCs w:val="11"/>
          <w:color w:val="auto"/>
        </w:rPr>
        <w:t>(15)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Silver Creek Group</w:t>
      </w:r>
      <w:r>
        <w:rPr>
          <w:rFonts w:ascii="Arial" w:cs="Arial" w:eastAsia="Arial" w:hAnsi="Arial"/>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Percentage of Common Stock Outstanding</w:t>
            </w:r>
          </w:p>
        </w:tc>
        <w:tc>
          <w:tcPr>
            <w:tcW w:w="640" w:type="dxa"/>
            <w:vAlign w:val="bottom"/>
            <w:tcBorders>
              <w:bottom w:val="single" w:sz="8" w:color="auto"/>
            </w:tcBorders>
          </w:tcPr>
          <w:p>
            <w:pPr>
              <w:spacing w:after="0"/>
              <w:rPr>
                <w:sz w:val="14"/>
                <w:szCs w:val="14"/>
                <w:color w:val="auto"/>
              </w:rPr>
            </w:pPr>
          </w:p>
        </w:tc>
      </w:tr>
      <w:tr>
        <w:trPr>
          <w:trHeight w:val="115"/>
        </w:trPr>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0" w:type="dxa"/>
            <w:vAlign w:val="bottom"/>
            <w:gridSpan w:val="4"/>
          </w:tcPr>
          <w:p>
            <w:pPr>
              <w:jc w:val="center"/>
              <w:spacing w:after="0" w:line="115" w:lineRule="exact"/>
              <w:rPr>
                <w:sz w:val="20"/>
                <w:szCs w:val="20"/>
                <w:color w:val="auto"/>
              </w:rPr>
            </w:pPr>
            <w:r>
              <w:rPr>
                <w:rFonts w:ascii="Arial" w:cs="Arial" w:eastAsia="Arial" w:hAnsi="Arial"/>
                <w:sz w:val="12"/>
                <w:szCs w:val="12"/>
                <w:b w:val="1"/>
                <w:bCs w:val="1"/>
                <w:color w:val="auto"/>
              </w:rPr>
              <w:t>Immediately Prior to This</w:t>
            </w:r>
          </w:p>
        </w:tc>
        <w:tc>
          <w:tcPr>
            <w:tcW w:w="660" w:type="dxa"/>
            <w:vAlign w:val="bottom"/>
          </w:tcPr>
          <w:p>
            <w:pPr>
              <w:spacing w:after="0"/>
              <w:rPr>
                <w:sz w:val="10"/>
                <w:szCs w:val="10"/>
                <w:color w:val="auto"/>
              </w:rPr>
            </w:pPr>
          </w:p>
        </w:tc>
        <w:tc>
          <w:tcPr>
            <w:tcW w:w="1980" w:type="dxa"/>
            <w:vAlign w:val="bottom"/>
            <w:gridSpan w:val="3"/>
          </w:tcPr>
          <w:p>
            <w:pPr>
              <w:jc w:val="center"/>
              <w:spacing w:after="0" w:line="115" w:lineRule="exact"/>
              <w:rPr>
                <w:sz w:val="20"/>
                <w:szCs w:val="20"/>
                <w:color w:val="auto"/>
              </w:rPr>
            </w:pPr>
            <w:r>
              <w:rPr>
                <w:rFonts w:ascii="Arial" w:cs="Arial" w:eastAsia="Arial" w:hAnsi="Arial"/>
                <w:sz w:val="12"/>
                <w:szCs w:val="12"/>
                <w:b w:val="1"/>
                <w:bCs w:val="1"/>
                <w:color w:val="auto"/>
              </w:rPr>
              <w:t>Immediately After This</w:t>
            </w:r>
          </w:p>
        </w:tc>
      </w:tr>
      <w:tr>
        <w:trPr>
          <w:trHeight w:val="176"/>
        </w:trPr>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652"/>
              <w:spacing w:after="0"/>
              <w:rPr>
                <w:sz w:val="20"/>
                <w:szCs w:val="20"/>
                <w:color w:val="auto"/>
              </w:rPr>
            </w:pPr>
            <w:r>
              <w:rPr>
                <w:rFonts w:ascii="Arial" w:cs="Arial" w:eastAsia="Arial" w:hAnsi="Arial"/>
                <w:sz w:val="14"/>
                <w:szCs w:val="14"/>
                <w:b w:val="1"/>
                <w:bCs w:val="1"/>
                <w:color w:val="auto"/>
                <w:w w:val="88"/>
              </w:rPr>
              <w:t>Offering</w:t>
            </w:r>
          </w:p>
        </w:tc>
        <w:tc>
          <w:tcPr>
            <w:tcW w:w="6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Offering</w:t>
            </w:r>
            <w:r>
              <w:rPr>
                <w:rFonts w:ascii="Arial" w:cs="Arial" w:eastAsia="Arial" w:hAnsi="Arial"/>
                <w:sz w:val="20"/>
                <w:szCs w:val="20"/>
                <w:b w:val="1"/>
                <w:bCs w:val="1"/>
                <w:color w:val="auto"/>
                <w:w w:val="92"/>
                <w:vertAlign w:val="superscript"/>
              </w:rPr>
              <w:t>(1)</w:t>
            </w:r>
          </w:p>
        </w:tc>
        <w:tc>
          <w:tcPr>
            <w:tcW w:w="640" w:type="dxa"/>
            <w:vAlign w:val="bottom"/>
            <w:tcBorders>
              <w:bottom w:val="single" w:sz="8" w:color="auto"/>
            </w:tcBorders>
          </w:tcPr>
          <w:p>
            <w:pPr>
              <w:spacing w:after="0"/>
              <w:rPr>
                <w:sz w:val="15"/>
                <w:szCs w:val="15"/>
                <w:color w:val="auto"/>
              </w:rPr>
            </w:pPr>
          </w:p>
        </w:tc>
      </w:tr>
      <w:tr>
        <w:trPr>
          <w:trHeight w:val="129"/>
        </w:trPr>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1"/>
              </w:rPr>
              <w:t>Shares</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jc w:val="center"/>
              <w:ind w:right="617"/>
              <w:spacing w:after="0" w:line="129" w:lineRule="exact"/>
              <w:rPr>
                <w:sz w:val="20"/>
                <w:szCs w:val="20"/>
                <w:color w:val="auto"/>
              </w:rPr>
            </w:pPr>
            <w:r>
              <w:rPr>
                <w:rFonts w:ascii="Arial" w:cs="Arial" w:eastAsia="Arial" w:hAnsi="Arial"/>
                <w:sz w:val="14"/>
                <w:szCs w:val="14"/>
                <w:b w:val="1"/>
                <w:bCs w:val="1"/>
                <w:color w:val="auto"/>
                <w:w w:val="81"/>
              </w:rPr>
              <w:t>Shares</w:t>
            </w:r>
          </w:p>
        </w:tc>
        <w:tc>
          <w:tcPr>
            <w:tcW w:w="640" w:type="dxa"/>
            <w:vAlign w:val="bottom"/>
          </w:tcPr>
          <w:p>
            <w:pPr>
              <w:spacing w:after="0"/>
              <w:rPr>
                <w:sz w:val="11"/>
                <w:szCs w:val="11"/>
                <w:color w:val="auto"/>
              </w:rPr>
            </w:pPr>
          </w:p>
        </w:tc>
      </w:tr>
      <w:tr>
        <w:trPr>
          <w:trHeight w:val="134"/>
        </w:trPr>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Type of</w:t>
            </w:r>
          </w:p>
        </w:tc>
        <w:tc>
          <w:tcPr>
            <w:tcW w:w="1380" w:type="dxa"/>
            <w:vAlign w:val="bottom"/>
            <w:gridSpan w:val="3"/>
          </w:tcPr>
          <w:p>
            <w:pPr>
              <w:jc w:val="center"/>
              <w:ind w:left="552"/>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640" w:type="dxa"/>
            <w:vAlign w:val="bottom"/>
          </w:tcPr>
          <w:p>
            <w:pPr>
              <w:spacing w:after="0"/>
              <w:rPr>
                <w:sz w:val="11"/>
                <w:szCs w:val="11"/>
                <w:color w:val="auto"/>
              </w:rPr>
            </w:pPr>
          </w:p>
        </w:tc>
      </w:tr>
      <w:tr>
        <w:trPr>
          <w:trHeight w:val="176"/>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660" w:type="dxa"/>
            <w:vAlign w:val="bottom"/>
          </w:tcPr>
          <w:p>
            <w:pPr>
              <w:spacing w:after="0"/>
              <w:rPr>
                <w:sz w:val="15"/>
                <w:szCs w:val="15"/>
                <w:color w:val="auto"/>
              </w:rPr>
            </w:pPr>
          </w:p>
        </w:tc>
        <w:tc>
          <w:tcPr>
            <w:tcW w:w="6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Owned</w:t>
            </w:r>
            <w:r>
              <w:rPr>
                <w:rFonts w:ascii="Arial" w:cs="Arial" w:eastAsia="Arial" w:hAnsi="Arial"/>
                <w:sz w:val="20"/>
                <w:szCs w:val="20"/>
                <w:b w:val="1"/>
                <w:bCs w:val="1"/>
                <w:color w:val="auto"/>
                <w:w w:val="90"/>
                <w:vertAlign w:val="superscript"/>
              </w:rPr>
              <w:t>(3)</w:t>
            </w: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Percentage</w:t>
            </w:r>
          </w:p>
        </w:tc>
        <w:tc>
          <w:tcPr>
            <w:tcW w:w="66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Owned</w:t>
            </w:r>
            <w:r>
              <w:rPr>
                <w:rFonts w:ascii="Arial" w:cs="Arial" w:eastAsia="Arial" w:hAnsi="Arial"/>
                <w:sz w:val="20"/>
                <w:szCs w:val="20"/>
                <w:b w:val="1"/>
                <w:bCs w:val="1"/>
                <w:color w:val="auto"/>
                <w:w w:val="90"/>
                <w:vertAlign w:val="superscript"/>
              </w:rPr>
              <w:t>(3)</w:t>
            </w:r>
          </w:p>
        </w:tc>
        <w:tc>
          <w:tcPr>
            <w:tcW w:w="680" w:type="dxa"/>
            <w:vAlign w:val="bottom"/>
          </w:tcPr>
          <w:p>
            <w:pPr>
              <w:spacing w:after="0"/>
              <w:rPr>
                <w:sz w:val="15"/>
                <w:szCs w:val="15"/>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-8255</wp:posOffset>
            </wp:positionV>
            <wp:extent cx="72466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266065</wp:posOffset>
            </wp:positionV>
            <wp:extent cx="72466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540385</wp:posOffset>
            </wp:positionV>
            <wp:extent cx="72466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814705</wp:posOffset>
            </wp:positionV>
            <wp:extent cx="72466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1089025</wp:posOffset>
            </wp:positionV>
            <wp:extent cx="72466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1363345</wp:posOffset>
            </wp:positionV>
            <wp:extent cx="72466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1637665</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1912620</wp:posOffset>
            </wp:positionV>
            <wp:extent cx="72466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2324100</wp:posOffset>
            </wp:positionV>
            <wp:extent cx="72466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2598420</wp:posOffset>
            </wp:positionV>
            <wp:extent cx="72466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2872740</wp:posOffset>
            </wp:positionV>
            <wp:extent cx="72466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3147060</wp:posOffset>
            </wp:positionV>
            <wp:extent cx="72466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3422015</wp:posOffset>
            </wp:positionV>
            <wp:extent cx="72466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744" w:lineRule="exact"/>
        <w:rPr>
          <w:sz w:val="20"/>
          <w:szCs w:val="20"/>
          <w:color w:val="auto"/>
        </w:rPr>
      </w:pPr>
    </w:p>
    <w:p>
      <w:pPr>
        <w:sectPr>
          <w:pgSz w:w="11900" w:h="16838" w:orient="portrait"/>
          <w:cols w:equalWidth="0" w:num="2">
            <w:col w:w="4760" w:space="720"/>
            <w:col w:w="5940"/>
          </w:cols>
          <w:pgMar w:left="240" w:top="459" w:right="239" w:bottom="1440" w:gutter="0" w:footer="0" w:header="0"/>
          <w:type w:val="continuous"/>
        </w:sect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15" w:lineRule="exact"/>
        <w:rPr>
          <w:sz w:val="20"/>
          <w:szCs w:val="20"/>
          <w:color w:val="auto"/>
        </w:rPr>
      </w:pPr>
    </w:p>
    <w:p>
      <w:pPr>
        <w:spacing w:after="0"/>
        <w:tabs>
          <w:tab w:leader="none" w:pos="440" w:val="left"/>
          <w:tab w:leader="none" w:pos="2740" w:val="left"/>
        </w:tabs>
        <w:rPr>
          <w:sz w:val="20"/>
          <w:szCs w:val="20"/>
          <w:color w:val="auto"/>
        </w:rPr>
      </w:pPr>
      <w:r>
        <w:rPr>
          <w:rFonts w:ascii="Arial" w:cs="Arial" w:eastAsia="Arial" w:hAnsi="Arial"/>
          <w:sz w:val="18"/>
          <w:szCs w:val="18"/>
          <w:color w:val="auto"/>
        </w:rPr>
        <w:t>(1)</w:t>
        <w:tab/>
        <w:t>Based on the issuance of</w:t>
      </w:r>
      <w:r>
        <w:rPr>
          <w:sz w:val="20"/>
          <w:szCs w:val="20"/>
          <w:color w:val="auto"/>
        </w:rPr>
        <w:tab/>
      </w:r>
      <w:r>
        <w:rPr>
          <w:rFonts w:ascii="Arial" w:cs="Arial" w:eastAsia="Arial" w:hAnsi="Arial"/>
          <w:sz w:val="15"/>
          <w:szCs w:val="15"/>
          <w:color w:val="auto"/>
        </w:rPr>
        <w:t>shares offered by this prospectus.</w:t>
      </w:r>
    </w:p>
    <w:p>
      <w:pPr>
        <w:spacing w:after="0" w:line="9" w:lineRule="exact"/>
        <w:rPr>
          <w:sz w:val="20"/>
          <w:szCs w:val="20"/>
          <w:color w:val="auto"/>
        </w:rPr>
      </w:pPr>
    </w:p>
    <w:p>
      <w:pPr>
        <w:ind w:left="460" w:right="440" w:hanging="452"/>
        <w:spacing w:after="0" w:line="323"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Mr. Easterly is a TPG and TSSP Partner. TPG and TSSP are affiliated with Tarrant and Group Advisors (both as defined later). Mr. Easterly disclaims beneficial ownership of the shares that are or may be beneficially owned by Tarrant, Group Advisors or any of its affiliates.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254"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Mr. Fishman is employed by the Adviser, which is affiliated with Tarrant and Group Advisors. Mr. Fishman disclaims beneficial ownership of the shares that are or may be beneficially owned by Tarrant, Group Advisors or any of its affiliates.</w:t>
      </w:r>
    </w:p>
    <w:p>
      <w:pPr>
        <w:ind w:left="46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Mr. Cami is a TPG Partner. Mr. Cami disclaims beneficial ownership of the shares that are or may be beneficially owned by Tarrant, Group Advisors or any of its affiliates.</w:t>
      </w:r>
    </w:p>
    <w:p>
      <w:pPr>
        <w:ind w:left="460" w:right="40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Mr. Kirshenbaum is the Chief Financial Officer of TSL. Mr. Kirshenbaum disclaims beneficial ownership of the shares that are or may be beneficially owned by Tarrant, Group Advisors or any of its affiliates.</w:t>
      </w:r>
    </w:p>
    <w:p>
      <w:pPr>
        <w:ind w:left="46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Ms. Mello is the General Counsel of TSSP. Ms. Mello disclaims beneficial ownership of the shares that are or may be beneficially owned by Tarrant, Group Advisors or any of its affiliates.</w:t>
      </w:r>
    </w:p>
    <w:p>
      <w:pPr>
        <w:ind w:left="460" w:right="26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Mr. Reintjes is both TSL and TPG’s Chief Compliance Officer. Mr. Reintjes disclaims beneficial ownership of the shares that are or may be beneficially owned by Tarrant, Group Advisors or any of its affiliates.</w:t>
      </w:r>
    </w:p>
    <w:p>
      <w:pPr>
        <w:ind w:left="460" w:right="10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Mr. Stiepleman is a TPG and TSSP Partner. Mr. Stiepleman disclaims beneficial ownership of the shares that are or may be beneficially owned by Tarrant, Group Advisors or any of its affiliates.</w:t>
      </w:r>
    </w:p>
    <w:p>
      <w:pPr>
        <w:ind w:left="460" w:hanging="452"/>
        <w:spacing w:after="0"/>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common stock beneficially owned by the TPG Funds (as defined below) reflects an aggregate beneficial ownership as of September 30, 2013 of</w:t>
      </w:r>
    </w:p>
    <w:p>
      <w:pPr>
        <w:spacing w:after="0" w:line="32" w:lineRule="exact"/>
        <w:rPr>
          <w:rFonts w:ascii="Arial" w:cs="Arial" w:eastAsia="Arial" w:hAnsi="Arial"/>
          <w:sz w:val="16"/>
          <w:szCs w:val="16"/>
          <w:color w:val="auto"/>
        </w:rPr>
      </w:pPr>
    </w:p>
    <w:p>
      <w:pPr>
        <w:ind w:left="460" w:right="20"/>
        <w:spacing w:after="0" w:line="255" w:lineRule="auto"/>
        <w:rPr>
          <w:rFonts w:ascii="Arial" w:cs="Arial" w:eastAsia="Arial" w:hAnsi="Arial"/>
          <w:sz w:val="16"/>
          <w:szCs w:val="16"/>
          <w:color w:val="auto"/>
        </w:rPr>
      </w:pPr>
      <w:r>
        <w:rPr>
          <w:rFonts w:ascii="Arial" w:cs="Arial" w:eastAsia="Arial" w:hAnsi="Arial"/>
          <w:sz w:val="18"/>
          <w:szCs w:val="18"/>
          <w:color w:val="auto"/>
        </w:rPr>
        <w:t>(i) 2,321,458 shares of our common stock held by TSL Advisers; (ii) 387,920 shares of our common stock, or the TSL FOF Shares, held by TSL FOF, L.P., a Delaware limited partnership, or TSL FOF; and (iii) one share of common stock held by Tarrant Advisors, Inc., a Delaware corporation, or Tarrant, and, together with TSL Advisers and TSL FOF, the TPG Funds.</w:t>
      </w:r>
    </w:p>
    <w:p>
      <w:pPr>
        <w:spacing w:after="0" w:line="63"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TPG Holdings II Sub, which is a member of TSL Advisers. Because of the relationship between Holdings II Sub and TSL Advisers, Group Advisors may be deemed to beneficially own the TSL Shares. The address of the TPG Group is 301 Commerce Street, Suite 3300, Fort Worth, TX 76102.</w:t>
      </w:r>
    </w:p>
    <w:p>
      <w:pPr>
        <w:spacing w:after="0" w:line="35" w:lineRule="exact"/>
        <w:rPr>
          <w:sz w:val="20"/>
          <w:szCs w:val="20"/>
          <w:color w:val="auto"/>
        </w:rPr>
      </w:pPr>
    </w:p>
    <w:p>
      <w:pPr>
        <w:ind w:left="460" w:right="140"/>
        <w:spacing w:after="0" w:line="254" w:lineRule="auto"/>
        <w:rPr>
          <w:sz w:val="20"/>
          <w:szCs w:val="20"/>
          <w:color w:val="auto"/>
        </w:rPr>
      </w:pPr>
      <w:r>
        <w:rPr>
          <w:rFonts w:ascii="Arial" w:cs="Arial" w:eastAsia="Arial" w:hAnsi="Arial"/>
          <w:sz w:val="18"/>
          <w:szCs w:val="18"/>
          <w:color w:val="auto"/>
        </w:rPr>
        <w:t>Tarrant Capital Advisors, Inc., a Delaware corporation, or Tarrant Capital, is the sole stockholder of Tarrant, which is the general partner of TSL Equity Partners, L.P., a Delaware limited partnership, or Equity Partners, which is a member of TSL Advisers. Because of the investment by Equity Partners in TSL Advisers, Tarrant Capital may be deemed to beneficially own 1,969,409 of the TSL Shares, or the Tarrant TSL Shares. Tarrant is also the general partner of TSL FOF. Because of the relationship between Tarrant and TSL FOF, Tarrant Capital may be deemed to beneficially own the TSL FOF Shares. In addition, Tarrant directly holds one share of our common stock, or the Tarrant Share, and, together with the Tarrant TSL Shares and the TSL FOF Shares, the Tarrant Shares.</w:t>
      </w:r>
    </w:p>
    <w:p>
      <w:pPr>
        <w:spacing w:after="0" w:line="63" w:lineRule="exact"/>
        <w:rPr>
          <w:sz w:val="20"/>
          <w:szCs w:val="20"/>
          <w:color w:val="auto"/>
        </w:rPr>
      </w:pPr>
    </w:p>
    <w:p>
      <w:pPr>
        <w:ind w:left="460" w:right="20"/>
        <w:spacing w:after="0" w:line="302" w:lineRule="auto"/>
        <w:rPr>
          <w:sz w:val="20"/>
          <w:szCs w:val="20"/>
          <w:color w:val="auto"/>
        </w:rPr>
      </w:pPr>
      <w:r>
        <w:rPr>
          <w:rFonts w:ascii="Arial" w:cs="Arial" w:eastAsia="Arial" w:hAnsi="Arial"/>
          <w:sz w:val="15"/>
          <w:szCs w:val="15"/>
          <w:color w:val="auto"/>
        </w:rPr>
        <w:t>Messrs. Bonderman and Coulter are the directors,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2" w:lineRule="exact"/>
        <w:rPr>
          <w:sz w:val="20"/>
          <w:szCs w:val="20"/>
          <w:color w:val="auto"/>
        </w:rPr>
      </w:pPr>
    </w:p>
    <w:p>
      <w:pPr>
        <w:ind w:left="460" w:right="40" w:hanging="452"/>
        <w:spacing w:after="0" w:line="290"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upon a Form 4 filed by MSSB TPG Specialty Lending Onshore Feeder Fund, or the MSSB Onshore Feeder Fund, on December 12, 2012, although MSSB Onshore Feeder Fund beneficially owns 76,377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253" w:lineRule="auto"/>
        <w:rPr>
          <w:sz w:val="20"/>
          <w:szCs w:val="20"/>
          <w:color w:val="auto"/>
        </w:rPr>
      </w:pPr>
      <w:r>
        <w:rPr>
          <w:rFonts w:ascii="Arial" w:cs="Arial" w:eastAsia="Arial" w:hAnsi="Arial"/>
          <w:sz w:val="18"/>
          <w:szCs w:val="18"/>
          <w:color w:val="auto"/>
        </w:rPr>
        <w:t>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w:t>
      </w:r>
    </w:p>
    <w:p>
      <w:pPr>
        <w:ind w:left="460" w:hanging="452"/>
        <w:spacing w:after="0"/>
        <w:tabs>
          <w:tab w:leader="none" w:pos="4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address of the State of New Jersey Common Pension Fund B is New Jersey Division of Investment 50 West State Street, 9th Floor Trenton, NJ 08608.</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address of the Universities Superannuation Scheme Ltd. is Royal Liver Building Liverpool L3 1PY, United Kingdom.</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address of the Oregon Public Employees Retirement Fund is c/o Office of the Oregon Treasurer 6650 SW Redwood Lane, Suite 190 Tigard, Oregon 97224-7184.</w:t>
      </w: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address of the State Teachers Retirement System of Ohio is 275 East Broad Street Columbus, OH 43215-3771.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address of the Arizona State Retirement System is 3300 N. Central Avenue Phoenix, AZ 85012.</w:t>
      </w:r>
    </w:p>
    <w:p>
      <w:pPr>
        <w:spacing w:after="0" w:line="9"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14, 2013 by Silver Creek Capital Management LLC, Silver Creek Advisory Partners LLC, Silver Creek Special Opportunities Fund III, L.P., Silver Creek Special Opportunities Fund Cayman III, L.P, Silver Creek Credit Opportunities II Fund A, L.P. and Silver Creek Credit Opportunities III Fund B, L.P. (collectively, the Silver Creek Group).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director following completion of the offering. We are not part of a “family of investment companies,” as that term is defined in the 1940 Act.</w:t>
      </w:r>
    </w:p>
    <w:p>
      <w:pPr>
        <w:spacing w:after="0" w:line="14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900" w:type="dxa"/>
            <w:vAlign w:val="bottom"/>
            <w:gridSpan w:val="2"/>
          </w:tcPr>
          <w:p>
            <w:pPr>
              <w:jc w:val="center"/>
              <w:ind w:left="1722"/>
              <w:spacing w:after="0"/>
              <w:rPr>
                <w:sz w:val="20"/>
                <w:szCs w:val="20"/>
                <w:color w:val="auto"/>
              </w:rPr>
            </w:pPr>
            <w:r>
              <w:rPr>
                <w:rFonts w:ascii="Arial" w:cs="Arial" w:eastAsia="Arial" w:hAnsi="Arial"/>
                <w:sz w:val="14"/>
                <w:szCs w:val="14"/>
                <w:b w:val="1"/>
                <w:bCs w:val="1"/>
                <w:color w:val="auto"/>
                <w:w w:val="87"/>
              </w:rPr>
              <w:t>Dollar Range of our Common Stock</w:t>
            </w:r>
          </w:p>
        </w:tc>
      </w:tr>
      <w:tr>
        <w:trPr>
          <w:trHeight w:val="176"/>
        </w:trPr>
        <w:tc>
          <w:tcPr>
            <w:tcW w:w="386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Beneficially Owned</w:t>
            </w:r>
            <w:r>
              <w:rPr>
                <w:rFonts w:ascii="Arial" w:cs="Arial" w:eastAsia="Arial" w:hAnsi="Arial"/>
                <w:sz w:val="20"/>
                <w:szCs w:val="20"/>
                <w:b w:val="1"/>
                <w:bCs w:val="1"/>
                <w:color w:val="auto"/>
                <w:w w:val="90"/>
                <w:vertAlign w:val="superscript"/>
              </w:rPr>
              <w:t>(1)(2)</w:t>
            </w: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18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16"/>
        </w:trPr>
        <w:tc>
          <w:tcPr>
            <w:tcW w:w="3860" w:type="dxa"/>
            <w:vAlign w:val="bottom"/>
          </w:tcPr>
          <w:p>
            <w:pPr>
              <w:ind w:left="440"/>
              <w:spacing w:after="0"/>
              <w:rPr>
                <w:sz w:val="20"/>
                <w:szCs w:val="20"/>
                <w:color w:val="auto"/>
              </w:rPr>
            </w:pPr>
            <w:r>
              <w:rPr>
                <w:rFonts w:ascii="Arial" w:cs="Arial" w:eastAsia="Arial" w:hAnsi="Arial"/>
                <w:sz w:val="18"/>
                <w:szCs w:val="18"/>
                <w:color w:val="auto"/>
              </w:rPr>
              <w:t>Joshua Easterly</w:t>
            </w:r>
          </w:p>
        </w:tc>
        <w:tc>
          <w:tcPr>
            <w:tcW w:w="3900" w:type="dxa"/>
            <w:vAlign w:val="bottom"/>
            <w:gridSpan w:val="2"/>
          </w:tcPr>
          <w:p>
            <w:pPr>
              <w:jc w:val="center"/>
              <w:ind w:left="1722"/>
              <w:spacing w:after="0"/>
              <w:rPr>
                <w:sz w:val="20"/>
                <w:szCs w:val="20"/>
                <w:color w:val="auto"/>
              </w:rPr>
            </w:pPr>
            <w:r>
              <w:rPr>
                <w:rFonts w:ascii="Arial" w:cs="Arial" w:eastAsia="Arial" w:hAnsi="Arial"/>
                <w:sz w:val="18"/>
                <w:szCs w:val="18"/>
                <w:color w:val="auto"/>
                <w:w w:val="88"/>
              </w:rPr>
              <w:t>$50,001 -$100,000</w:t>
            </w: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Michael Fishman</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38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18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Richard Higginbotham</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tcPr>
          <w:p>
            <w:pPr>
              <w:ind w:left="440"/>
              <w:spacing w:after="0"/>
              <w:rPr>
                <w:sz w:val="20"/>
                <w:szCs w:val="20"/>
                <w:color w:val="auto"/>
              </w:rPr>
            </w:pPr>
            <w:r>
              <w:rPr>
                <w:rFonts w:ascii="Arial" w:cs="Arial" w:eastAsia="Arial" w:hAnsi="Arial"/>
                <w:sz w:val="18"/>
                <w:szCs w:val="18"/>
                <w:color w:val="auto"/>
              </w:rPr>
              <w:t>John Ross</w:t>
            </w:r>
          </w:p>
        </w:tc>
        <w:tc>
          <w:tcPr>
            <w:tcW w:w="18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Ronald Tanemura</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15"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September 30, 2013, multiplied by our net asset value per share as of September 30, 2013.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“Critical Accounting Policies— Investments at Fair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certain future offerings of shares of our common stock, our Board or an authorized committee thereof will be required to make the determination that we are not selling shares of our common stock at a price below the then current net asset value of our common stock at the time at which the sale is made. Our Board or an authorized committee thereof will consider the following factors, among others, in making such a determination:</w:t>
      </w:r>
    </w:p>
    <w:p>
      <w:pPr>
        <w:spacing w:after="0" w:line="26"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900" w:right="280" w:hanging="325"/>
        <w:spacing w:after="0" w:line="306"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140" w:hanging="325"/>
        <w:spacing w:after="0" w:line="255"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declared by the Board on behalf of investors who do not elect to receive their dividends in cash as provided below. As a result, if the Board authorizes, and we declare, a cash dividend or other distribution, then our stockholders who have not elected to “opt out” of our dividend reinvestment plan will have their cash dividends automatically reinvested in additional common stock as described below.</w:t>
      </w:r>
    </w:p>
    <w:p>
      <w:pPr>
        <w:spacing w:after="0" w:line="14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Following this IPO, the number of shares to be issued to a stockholder under the dividend reinvestment plan will be determined by dividing the total dollar amount of the dividend payable to such stockholder by the market price of our common stock. Market price per share on that date will be the closing price for</w:t>
      </w:r>
    </w:p>
    <w:p>
      <w:pPr>
        <w:ind w:right="20"/>
        <w:spacing w:after="0" w:line="287" w:lineRule="auto"/>
        <w:rPr>
          <w:sz w:val="20"/>
          <w:szCs w:val="20"/>
          <w:color w:val="auto"/>
        </w:rPr>
      </w:pPr>
      <w:r>
        <w:rPr>
          <w:rFonts w:ascii="Arial" w:cs="Arial" w:eastAsia="Arial" w:hAnsi="Arial"/>
          <w:sz w:val="16"/>
          <w:szCs w:val="16"/>
          <w:color w:val="auto"/>
        </w:rPr>
        <w:t>such shares on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 The number of shares to be issued to the stockholder pursuant to the foregoing shall be rounded downward to the nearest whole share to avoid the issuance of fractional shares, with any fractional shares being paid in cash. Subject to the foregoing, for non-U.S. stockholders, the number of shares to be issued to the stockholder shall be the amount equal to the total dollar amount of the dividend payable, net of applicable withholding taxes. We intend to use primarily newly issued shares to implement the plan, whether our shares are trading at a premium or at a discount to net asset value. However, we reserve the right to direct the plan administrator to purchase shares in the open market in connection with our implementation of the plan.</w:t>
      </w:r>
    </w:p>
    <w:p>
      <w:pPr>
        <w:spacing w:after="0" w:line="12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will be required on the part of a registered stockholder to have its cash dividend or other distribution reinvested in our common stock. A registered stockholder will be able to elect to receive an entire cash dividend in cash by notifying State Street Bank and Trust Company, the plan administrator and our transfer agent and registrar, in writing, so that such notice is received by the plan administrator no later than 10 days prior to the record date for dividends to the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is terminable by us upon notice in writing mailed to each stockholder of record at least 30 days prior to any record date for the payment of any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stockholder who does not opt out of the dividend reinvestment plan will be treated for U.S. federal income tax purposes as having received a cash distribution in an amount equal to the total dollar amount of the dividend payable to such stockholder, net of applicable withholding taxes, and then reinvesting that net cash for additional shares of our stock. Such a stockholder is subject to the same U.S. federal income tax consequences as stockholders who elect to receive their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additional shares of stock equal to the total dollar amount of the distribution payable to the stockholder divided by the total numbers of shares issued to such stockholder pursuant to such distribution. The stockholder’s holding period for such stock will commence on the day following the day on which the shares are credited to the stockholder’s account.</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Participants may terminate their accounts under the plan by filling out the transaction request form located at the bottom of their statement and sending it to the plan administrator. Such termination will be effective immediately if the participant’s notice is received by the plan administrator not less than 10 days prior to any dividend or distribution record date; otherwise, such termination will be effective only with respect to any subsequent dividend or distribution.</w:t>
      </w:r>
    </w:p>
    <w:p>
      <w:pPr>
        <w:spacing w:after="0" w:line="10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All correspondence concerning the plan should be directed to the plan administrator by mail at TPG Specialty Lending Inc., c/o State Street Bank and Trust Company, 1 Lincoln Street, Boston, Massachusetts 02145.</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The following discussion is a summary of material U.S. federal income tax considerations applicable to us and to an investment in shares of our common stock. This summary does not purport to be a complete description of the income tax considerations applicable to such an investment. For example, we have not described tax consequences that may be relevant to certain types of stockholders subject to special treatment under U.S. federal income tax laws, including:</w:t>
      </w:r>
    </w:p>
    <w:p>
      <w:pPr>
        <w:spacing w:after="0" w:line="7"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entities taxed as partnerships and partners therein;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persons holding our stock as part of a “straddle”, “hedge”, “conversion transaction,” “synthetic security” or other integrated investment;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U.S. stockholders who have a “functional currency” other than the U.S. dollar.</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summary assumes that investors will hold our common stock as a capital asset, which generally means as property held for investment. The discussion is based upon the Code, U.S.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the IRS, regarding this offering or the statements made and the conclusions reached in this summary and we cannot assure you that the IRS will agree with such statements or conclusions. This summary does not discuss any aspects of:</w:t>
      </w:r>
    </w:p>
    <w:p>
      <w:pPr>
        <w:spacing w:after="0" w:line="35" w:lineRule="exact"/>
        <w:rPr>
          <w:sz w:val="20"/>
          <w:szCs w:val="20"/>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U.S. federal estate or gift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foreign, state or local tax; and</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it does not address any aspects of the unearned income Medicare contribution tax pursuant to the Health Care and Education Reconciliation Act of 2010.</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purposes of this discussion under the heading “Material U.S. Federal Income Tax Considerations,” a “U.S. stockholder” is a beneficial owner of shares of our common stock that is for U.S. federal income tax purposes:</w:t>
      </w:r>
    </w:p>
    <w:p>
      <w:pPr>
        <w:spacing w:after="0" w:line="51"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domestic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otherwise subject to U.S. federal income tax on a net income basis in respect of our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taxable earnings that we retain and do not distribute. In addition, certain distributions that we make to our Non-U.S. stockholders may be eligible for look-through tax treatment determined by reference to the earnings from which the distribution is made, for taxable years commencing on or prior to December 31, 2013.</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90"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90" w:lineRule="exact"/>
        <w:rPr>
          <w:rFonts w:ascii="Arial" w:cs="Arial" w:eastAsia="Arial" w:hAnsi="Arial"/>
          <w:sz w:val="18"/>
          <w:szCs w:val="18"/>
          <w:color w:val="auto"/>
        </w:rPr>
      </w:pPr>
    </w:p>
    <w:p>
      <w:pPr>
        <w:ind w:left="1480" w:right="240" w:hanging="446"/>
        <w:spacing w:after="0" w:line="306" w:lineRule="auto"/>
        <w:tabs>
          <w:tab w:leader="none" w:pos="14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25" w:lineRule="exact"/>
        <w:rPr>
          <w:rFonts w:ascii="Arial" w:cs="Arial" w:eastAsia="Arial" w:hAnsi="Arial"/>
          <w:sz w:val="16"/>
          <w:szCs w:val="16"/>
          <w:color w:val="auto"/>
        </w:rPr>
      </w:pPr>
    </w:p>
    <w:p>
      <w:pPr>
        <w:ind w:left="1480" w:right="40" w:hanging="446"/>
        <w:spacing w:after="0" w:line="306" w:lineRule="auto"/>
        <w:tabs>
          <w:tab w:leader="none" w:pos="14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of an amount equal to at least 90% of our investment company taxable income (which includes, among other items, dividends, interest, the excess of any net short-term capital gains over net long-term capital losses, as well as other taxable income, excluding any net capital gain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39"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one-year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8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“Distributions”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“Dividend Reinvestment Plan” for a description of our dividend policy and obligations. One or more of the considerations described below, however, could result in the deferral of dividend distributions until the end of the fiscal year:</w:t>
      </w:r>
    </w:p>
    <w:p>
      <w:pPr>
        <w:spacing w:after="0" w:line="51" w:lineRule="exact"/>
        <w:rPr>
          <w:sz w:val="20"/>
          <w:szCs w:val="20"/>
          <w:color w:val="auto"/>
        </w:rPr>
      </w:pPr>
    </w:p>
    <w:p>
      <w:pPr>
        <w:ind w:left="900" w:right="60" w:hanging="325"/>
        <w:spacing w:after="0" w:line="306"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25"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50" w:lineRule="exact"/>
        <w:rPr>
          <w:rFonts w:ascii="Arial" w:cs="Arial" w:eastAsia="Arial" w:hAnsi="Arial"/>
          <w:sz w:val="18"/>
          <w:szCs w:val="18"/>
          <w:color w:val="auto"/>
        </w:rPr>
      </w:pPr>
    </w:p>
    <w:p>
      <w:pPr>
        <w:ind w:left="900" w:right="100" w:hanging="325"/>
        <w:spacing w:after="0" w:line="306"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withholding tax treatment of certain dividends payable to Non-U.S. stockholders generally will depend on the extension by Congress of the look-through rules applicable to “interest-related dividends” and “short-term capital gain dividends” for taxable years beginning after December 31, 2013, and we may defer dividends to all stockholders pending the resolution of this issue during those periods.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or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 this regard, it is anticipated that our distributions generally will not be attributable to dividends received by 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and, therefore, generally will not qualify for the 20% maximum rate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and, after the adjusted tax basis is reduced to zero, will constitute capital gains to such U.S. stockholder.</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Any dividends declared by us in October, November, or December of any calendar year, payable to holders of our common shares of record on a specified date in such a month, which are actually paid during January of the following calendar year, will be treated as if paid by us and received by such 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62" w:lineRule="exact"/>
        <w:rPr>
          <w:sz w:val="20"/>
          <w:szCs w:val="20"/>
          <w:color w:val="auto"/>
        </w:rPr>
      </w:pPr>
    </w:p>
    <w:p>
      <w:pPr>
        <w:ind w:left="900" w:right="180" w:hanging="325"/>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but not later than our first payment of the same type of dividend following such declaration; and</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32"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Any such election will not alter the general rule that a holder of our common shares will be treated as receiving a dividend in the taxable year in which the dividend is distributed, subject to the October, November, or December dividend declaration rule discussed immediately above.</w:t>
      </w:r>
    </w:p>
    <w:p>
      <w:pPr>
        <w:spacing w:after="0" w:line="8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85"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If a U.S. stockholder sells or otherwise disposes of shares of our common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of such distributions on our common stock includible in such U.S. stockholder’s taxable income for such year as ordinary income and as long-term capital gain. In addition, the federal tax status of each year’s distributions generally will be reported to the IRS. Distributions may also be subject to additional state, local and foreign taxes depending on a U.S. stockholder’s particular situation.</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U.S. stockholder that is an individual or estate, or a trust that does not fall into a special class of trusts that is exempt from such tax, will generally be subject to a 3.8% U.S. federal income tax on the lesser of (i) the U.S. stockholder’s “net investment income” for a taxable year and (ii) the excess of the U.S. stockholder’s modified adjusted gross income for such taxable year over $200,000 ($250,000 in the case of joint filers). For these purposes, “net investment income” will generally include taxable distributions and deemed distributions paid with respect to stock, including our common stock, and net gain attributable to the disposition of stock, including our common stock (in each case, unless such stock is held in connection with certain trades or businesses), but will be reduced by any deductions properly allocable to such distributions or net gain.</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applicable U.S. Treasury regulations, if a U.S. stockholder recognizes a loss with respect to our common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Limitation with respect to Certain U.S. Stockholders on Deductions for Certain Fees and Expenses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640" w:firstLine="456"/>
        <w:spacing w:after="0" w:line="306" w:lineRule="auto"/>
        <w:rPr>
          <w:sz w:val="20"/>
          <w:szCs w:val="20"/>
          <w:color w:val="auto"/>
        </w:rPr>
      </w:pPr>
      <w:r>
        <w:rPr>
          <w:rFonts w:ascii="Arial" w:cs="Arial" w:eastAsia="Arial" w:hAnsi="Arial"/>
          <w:sz w:val="16"/>
          <w:szCs w:val="16"/>
          <w:color w:val="auto"/>
        </w:rPr>
        <w:t>Whether an investment in the shares of our common stock is appropriate for a Non-U.S. stockholder will depend upon that person’s particular circumstances. An investment in the shares of our common stock by a Non-U.S. stockholder may have adverse tax consequences as compared to a direct investment in the assets in which we will invest. Non-U.S. stockholders should consult their tax advisors before investing in our common stock.</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Distributions of our investment company taxable income that we pay to a Non-U.S. stockholder will be subject to U.S. withholding tax at a 30% rate to the extent of our current or accumulated earnings and profits unless (i) the dividend qualifies for pass-through treatment under the rules described below, and such holder could have received the underlying income free of tax; or (ii) such holder qualifies for, and complies with the procedures for claiming, an exemption or reduced rate under an applicable income tax treaty; or (iii) such holder qualifies, and complies with the procedures for claiming, an exemption by reason of its status as a foreign government-related entity.</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recent years, Congress has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were paid in connection with our “qualified short-term capital gains” (generally, the excess of our net short-term capital gain over our net long-term capital loss for such taxable year) qualify for an exemption from U.S. withholding tax. Further legislation would be required to make the exemption available in taxable years that commence after December 31, 2013. </w:t>
      </w:r>
      <w:r>
        <w:rPr>
          <w:rFonts w:ascii="Arial" w:cs="Arial" w:eastAsia="Arial" w:hAnsi="Arial"/>
          <w:sz w:val="16"/>
          <w:szCs w:val="16"/>
          <w:b w:val="1"/>
          <w:bCs w:val="1"/>
          <w:color w:val="auto"/>
        </w:rPr>
        <w:t>We cannot</w:t>
      </w:r>
      <w:r>
        <w:rPr>
          <w:rFonts w:ascii="Arial" w:cs="Arial" w:eastAsia="Arial" w:hAnsi="Arial"/>
          <w:sz w:val="16"/>
          <w:szCs w:val="16"/>
          <w:color w:val="auto"/>
        </w:rPr>
        <w:t xml:space="preserve"> </w:t>
      </w:r>
      <w:r>
        <w:rPr>
          <w:rFonts w:ascii="Arial" w:cs="Arial" w:eastAsia="Arial" w:hAnsi="Arial"/>
          <w:sz w:val="16"/>
          <w:szCs w:val="16"/>
          <w:b w:val="1"/>
          <w:bCs w:val="1"/>
          <w:color w:val="auto"/>
        </w:rPr>
        <w:t>assure you that Congress will extend the pass-through rules for taxable years that commence after December 31, 2013, or that any such extension will apply to dividends that we distribute after that date</w:t>
      </w:r>
      <w:r>
        <w:rPr>
          <w:rFonts w:ascii="Arial" w:cs="Arial" w:eastAsia="Arial" w:hAnsi="Arial"/>
          <w:sz w:val="16"/>
          <w:szCs w:val="16"/>
          <w:color w:val="auto"/>
        </w:rPr>
        <w:t>. If, and for so long as, Congress extends the exemption, dividends that we designate as “interest-related</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or “short-term capital gain dividends” generally will be exempt from U.S. withholding tax if the underlying income is U.S.-source and the Non-U.S. stockholder could have received the underlying income free of tax. If the exemption is not extended,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12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 or other applicable tax certification establishing its entitlement to the exemption or reduced rate, or otherwise establishing an exemption from backup withholding.</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case of distributions made on or after July 1, 2014, and in the case of gross proceeds from the sale or other of shares of our common stock paid on or after January 1, 2017,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has entered into an agreement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w:t>
      </w:r>
    </w:p>
    <w:p>
      <w:pPr>
        <w:spacing w:after="0" w:line="13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our certificate of incorporation, which was adopted on March 8, 2011, our authorized capital stock consists of 100,000,000 shares of</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common stock, par value $0.01 per share, of which shares are outstanding as of the date of this offering, and 100,000,000 shares of preferred stock, par value $0.01 per share, of which no shares are outstanding as of the date of this offering.</w:t>
      </w:r>
    </w:p>
    <w:p>
      <w:pPr>
        <w:spacing w:after="0" w:line="13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5, 2013, our issued and outstanding shares total 37,026,023, as adjusted for the stock split.</w:t>
      </w:r>
    </w:p>
    <w:p>
      <w:pPr>
        <w:spacing w:after="0" w:line="14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intend to apply to list our common stock on under the symbol “ .” There are no outstanding options or warrants to purchase our stock. No stock has been authorized for issuance under any equity compensation plans. Under Delaware law, our stockholders generally are not personally liable</w:t>
      </w:r>
    </w:p>
    <w:tbl>
      <w:tblPr>
        <w:tblLayout w:type="fixed"/>
        <w:tblInd w:w="0" w:type="dxa"/>
        <w:tblCellMar>
          <w:top w:w="0" w:type="dxa"/>
          <w:left w:w="0" w:type="dxa"/>
          <w:bottom w:w="0" w:type="dxa"/>
          <w:right w:w="0" w:type="dxa"/>
        </w:tblCellMar>
      </w:tblPr>
      <w:tr>
        <w:trPr>
          <w:trHeight w:val="210"/>
        </w:trPr>
        <w:tc>
          <w:tcPr>
            <w:tcW w:w="7000" w:type="dxa"/>
            <w:vAlign w:val="bottom"/>
            <w:gridSpan w:val="6"/>
          </w:tcPr>
          <w:p>
            <w:pPr>
              <w:spacing w:after="0"/>
              <w:rPr>
                <w:sz w:val="20"/>
                <w:szCs w:val="20"/>
                <w:color w:val="auto"/>
              </w:rPr>
            </w:pPr>
            <w:r>
              <w:rPr>
                <w:rFonts w:ascii="Arial" w:cs="Arial" w:eastAsia="Arial" w:hAnsi="Arial"/>
                <w:sz w:val="18"/>
                <w:szCs w:val="18"/>
                <w:color w:val="auto"/>
                <w:w w:val="89"/>
              </w:rPr>
              <w:t>for our debts or obligations. Immediately prior to this offering, our only securities outstanding were</w:t>
            </w:r>
          </w:p>
        </w:tc>
        <w:tc>
          <w:tcPr>
            <w:tcW w:w="4260" w:type="dxa"/>
            <w:vAlign w:val="bottom"/>
            <w:gridSpan w:val="5"/>
          </w:tcPr>
          <w:p>
            <w:pPr>
              <w:ind w:left="740"/>
              <w:spacing w:after="0"/>
              <w:rPr>
                <w:sz w:val="20"/>
                <w:szCs w:val="20"/>
                <w:color w:val="auto"/>
              </w:rPr>
            </w:pPr>
            <w:r>
              <w:rPr>
                <w:rFonts w:ascii="Arial" w:cs="Arial" w:eastAsia="Arial" w:hAnsi="Arial"/>
                <w:sz w:val="18"/>
                <w:szCs w:val="18"/>
                <w:color w:val="auto"/>
                <w:w w:val="87"/>
              </w:rPr>
              <w:t>shares of our common stock, as adjusted to reflect</w:t>
            </w:r>
          </w:p>
        </w:tc>
        <w:tc>
          <w:tcPr>
            <w:tcW w:w="0" w:type="dxa"/>
            <w:vAlign w:val="bottom"/>
          </w:tcPr>
          <w:p>
            <w:pPr>
              <w:spacing w:after="0"/>
              <w:rPr>
                <w:sz w:val="1"/>
                <w:szCs w:val="1"/>
                <w:color w:val="auto"/>
              </w:rPr>
            </w:pPr>
          </w:p>
        </w:tc>
      </w:tr>
      <w:tr>
        <w:trPr>
          <w:trHeight w:val="222"/>
        </w:trPr>
        <w:tc>
          <w:tcPr>
            <w:tcW w:w="4920" w:type="dxa"/>
            <w:vAlign w:val="bottom"/>
            <w:gridSpan w:val="3"/>
          </w:tcPr>
          <w:p>
            <w:pPr>
              <w:spacing w:after="0"/>
              <w:rPr>
                <w:sz w:val="20"/>
                <w:szCs w:val="20"/>
                <w:color w:val="auto"/>
              </w:rPr>
            </w:pPr>
            <w:r>
              <w:rPr>
                <w:rFonts w:ascii="Arial" w:cs="Arial" w:eastAsia="Arial" w:hAnsi="Arial"/>
                <w:sz w:val="18"/>
                <w:szCs w:val="18"/>
                <w:color w:val="auto"/>
              </w:rPr>
              <w:t>the stock split.</w:t>
            </w: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000" w:type="dxa"/>
            <w:vAlign w:val="bottom"/>
            <w:gridSpan w:val="6"/>
          </w:tcPr>
          <w:p>
            <w:pPr>
              <w:ind w:left="460"/>
              <w:spacing w:after="0"/>
              <w:rPr>
                <w:sz w:val="20"/>
                <w:szCs w:val="20"/>
                <w:color w:val="auto"/>
              </w:rPr>
            </w:pPr>
            <w:r>
              <w:rPr>
                <w:rFonts w:ascii="Arial" w:cs="Arial" w:eastAsia="Arial" w:hAnsi="Arial"/>
                <w:sz w:val="18"/>
                <w:szCs w:val="18"/>
                <w:color w:val="auto"/>
                <w:w w:val="94"/>
              </w:rPr>
              <w:t>The following presents our outstanding classes of securities as of September 30, 2013:</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7"/>
              </w:rPr>
              <w:t>Amount Outstanding</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gridSpan w:val="3"/>
          </w:tcPr>
          <w:p>
            <w:pPr>
              <w:jc w:val="center"/>
              <w:ind w:right="1080"/>
              <w:spacing w:after="0" w:line="149" w:lineRule="exact"/>
              <w:rPr>
                <w:sz w:val="20"/>
                <w:szCs w:val="20"/>
                <w:color w:val="auto"/>
              </w:rPr>
            </w:pPr>
            <w:r>
              <w:rPr>
                <w:rFonts w:ascii="Arial" w:cs="Arial" w:eastAsia="Arial" w:hAnsi="Arial"/>
                <w:sz w:val="14"/>
                <w:szCs w:val="14"/>
                <w:b w:val="1"/>
                <w:bCs w:val="1"/>
                <w:color w:val="auto"/>
                <w:w w:val="89"/>
              </w:rPr>
              <w:t>Amount Held by Us</w:t>
            </w:r>
          </w:p>
        </w:tc>
        <w:tc>
          <w:tcPr>
            <w:tcW w:w="214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Exclusive of Amount</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3200" w:type="dxa"/>
            <w:vAlign w:val="bottom"/>
            <w:vMerge w:val="restart"/>
          </w:tcPr>
          <w:p>
            <w:pPr>
              <w:spacing w:after="0"/>
              <w:rPr>
                <w:sz w:val="12"/>
                <w:szCs w:val="12"/>
                <w:color w:val="auto"/>
              </w:rPr>
            </w:pPr>
          </w:p>
        </w:tc>
        <w:tc>
          <w:tcPr>
            <w:tcW w:w="2080" w:type="dxa"/>
            <w:vAlign w:val="bottom"/>
            <w:gridSpan w:val="3"/>
          </w:tcPr>
          <w:p>
            <w:pPr>
              <w:jc w:val="center"/>
              <w:ind w:right="1092"/>
              <w:spacing w:after="0" w:line="149" w:lineRule="exact"/>
              <w:rPr>
                <w:sz w:val="20"/>
                <w:szCs w:val="20"/>
                <w:color w:val="auto"/>
              </w:rPr>
            </w:pPr>
            <w:r>
              <w:rPr>
                <w:rFonts w:ascii="Arial" w:cs="Arial" w:eastAsia="Arial" w:hAnsi="Arial"/>
                <w:sz w:val="14"/>
                <w:szCs w:val="14"/>
                <w:b w:val="1"/>
                <w:bCs w:val="1"/>
                <w:color w:val="auto"/>
                <w:w w:val="90"/>
              </w:rPr>
              <w:t>Amount</w:t>
            </w:r>
          </w:p>
        </w:tc>
        <w:tc>
          <w:tcPr>
            <w:tcW w:w="21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5"/>
              </w:rPr>
              <w:t>or</w:t>
            </w:r>
          </w:p>
        </w:tc>
        <w:tc>
          <w:tcPr>
            <w:tcW w:w="214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Held by Us or for Our</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2080" w:type="dxa"/>
            <w:vAlign w:val="bottom"/>
            <w:gridSpan w:val="3"/>
          </w:tcPr>
          <w:p>
            <w:pPr>
              <w:jc w:val="center"/>
              <w:ind w:right="1092"/>
              <w:spacing w:after="0" w:line="148" w:lineRule="exact"/>
              <w:rPr>
                <w:sz w:val="20"/>
                <w:szCs w:val="20"/>
                <w:color w:val="auto"/>
              </w:rPr>
            </w:pPr>
            <w:r>
              <w:rPr>
                <w:rFonts w:ascii="Arial" w:cs="Arial" w:eastAsia="Arial" w:hAnsi="Arial"/>
                <w:sz w:val="14"/>
                <w:szCs w:val="14"/>
                <w:b w:val="1"/>
                <w:bCs w:val="1"/>
                <w:color w:val="auto"/>
                <w:w w:val="87"/>
              </w:rPr>
              <w:t>Authorized</w:t>
            </w:r>
          </w:p>
        </w:tc>
        <w:tc>
          <w:tcPr>
            <w:tcW w:w="2120" w:type="dxa"/>
            <w:vAlign w:val="bottom"/>
            <w:gridSpan w:val="2"/>
          </w:tcPr>
          <w:p>
            <w:pPr>
              <w:jc w:val="center"/>
              <w:ind w:right="1160"/>
              <w:spacing w:after="0" w:line="148" w:lineRule="exact"/>
              <w:rPr>
                <w:sz w:val="20"/>
                <w:szCs w:val="20"/>
                <w:color w:val="auto"/>
              </w:rPr>
            </w:pPr>
            <w:r>
              <w:rPr>
                <w:rFonts w:ascii="Arial" w:cs="Arial" w:eastAsia="Arial" w:hAnsi="Arial"/>
                <w:sz w:val="14"/>
                <w:szCs w:val="14"/>
                <w:b w:val="1"/>
                <w:bCs w:val="1"/>
                <w:color w:val="auto"/>
                <w:w w:val="89"/>
              </w:rPr>
              <w:t>for Our Account</w:t>
            </w:r>
          </w:p>
        </w:tc>
        <w:tc>
          <w:tcPr>
            <w:tcW w:w="2140" w:type="dxa"/>
            <w:vAlign w:val="bottom"/>
            <w:gridSpan w:val="3"/>
          </w:tcPr>
          <w:p>
            <w:pPr>
              <w:jc w:val="center"/>
              <w:ind w:right="860"/>
              <w:spacing w:after="0" w:line="148" w:lineRule="exact"/>
              <w:rPr>
                <w:sz w:val="20"/>
                <w:szCs w:val="20"/>
                <w:color w:val="auto"/>
              </w:rPr>
            </w:pPr>
            <w:r>
              <w:rPr>
                <w:rFonts w:ascii="Arial" w:cs="Arial" w:eastAsia="Arial" w:hAnsi="Arial"/>
                <w:sz w:val="14"/>
                <w:szCs w:val="14"/>
                <w:b w:val="1"/>
                <w:bCs w:val="1"/>
                <w:color w:val="auto"/>
                <w:w w:val="85"/>
              </w:rPr>
              <w:t>Account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100,000,000</w:t>
            </w:r>
          </w:p>
        </w:tc>
        <w:tc>
          <w:tcPr>
            <w:tcW w:w="1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w:t>
            </w:r>
          </w:p>
        </w:tc>
        <w:tc>
          <w:tcPr>
            <w:tcW w:w="10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36,546,516</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date, we have conducted private offerings of our common stock to investors in reliance on certain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investors, which includes a $100 million capital commitment by our Adviser. We have drawn $517 million of these capital commitments as of September 30, 2013, and $36 million has been invested through our dividend reinvestment program as of November 30, 2013. Our existing investors’ obligations to purchase additional shares from the undrawn portion of their capital commitments will terminate upon the completion of this IPO.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after the payment of all debts and other liabilities and will be subject to the prior rights of any outstanding preferred stock. Prior to this IPO, each share of common stock entitled the holder to a preemptive right, for a period of thirty days, to subscribe for any shares of preferred stock (including rights to purchase shares of preferred stock or securities convertible into, or exchangeable for, shares of preferred stock) that we proposed to issue, but this provision no longer applies following this IPO.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The Board has discretion to establish the number of shares to be included in each such series and to fix the voting powers (if any), designations, powers, preferences, and relative, participating, optional or other rights, if any, of the shares of each such series, and any qualifications, limitations, or restrictions thereof. The 1940 Act limits our flexibility as to certain rights and preferences of the preferred stock that our certificate of incorporation may provide and requires, among other things:</w:t>
      </w:r>
    </w:p>
    <w:p>
      <w:pPr>
        <w:spacing w:after="0" w:line="62" w:lineRule="exact"/>
        <w:rPr>
          <w:sz w:val="20"/>
          <w:szCs w:val="20"/>
          <w:color w:val="auto"/>
        </w:rPr>
      </w:pPr>
    </w:p>
    <w:p>
      <w:pPr>
        <w:ind w:left="900" w:right="20" w:hanging="325"/>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50" w:lineRule="exact"/>
        <w:rPr>
          <w:rFonts w:ascii="Arial" w:cs="Arial" w:eastAsia="Arial" w:hAnsi="Arial"/>
          <w:sz w:val="18"/>
          <w:szCs w:val="18"/>
          <w:color w:val="auto"/>
        </w:rPr>
      </w:pPr>
    </w:p>
    <w:p>
      <w:pPr>
        <w:jc w:val="both"/>
        <w:ind w:left="900" w:right="240" w:hanging="325"/>
        <w:spacing w:after="0" w:line="370" w:lineRule="auto"/>
        <w:tabs>
          <w:tab w:leader="none" w:pos="9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holders of shares of preferred stock, if any are issued,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such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such person unless such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18"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decision of a court, by vote of a majority of a quorum of directors who are disinterested, non-party directors or by independent legal counsel that the liability for which indemnification is sought did not arise out of the foregoing conduct.</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Under the Investment Advisory Agreement, we may, to the extent permitted by applicable law, in the discretion of the Board, indemnify the Adviser and certain of its affiliates, as described under “Management and Other Agreements—Investment Advisory Agreement; Administration Agreement; License Agreement. “</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90" w:lineRule="exact"/>
        <w:rPr>
          <w:sz w:val="20"/>
          <w:szCs w:val="20"/>
          <w:color w:val="auto"/>
        </w:rPr>
      </w:pPr>
    </w:p>
    <w:p>
      <w:pPr>
        <w:ind w:left="900" w:right="160" w:hanging="325"/>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59"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 The Board has delegated the power to fill vacancies to the Nominating and Corporate Governance Committee.</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90" w:lineRule="exact"/>
        <w:rPr>
          <w:sz w:val="20"/>
          <w:szCs w:val="20"/>
          <w:color w:val="auto"/>
        </w:rPr>
      </w:pPr>
    </w:p>
    <w:p>
      <w:pPr>
        <w:ind w:left="900" w:right="300" w:hanging="325"/>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following this offering, our certificate of incorporation will require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90" w:lineRule="exact"/>
        <w:rPr>
          <w:sz w:val="20"/>
          <w:szCs w:val="20"/>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90" w:lineRule="exact"/>
        <w:rPr>
          <w:rFonts w:ascii="Arial" w:cs="Arial" w:eastAsia="Arial" w:hAnsi="Arial"/>
          <w:sz w:val="18"/>
          <w:szCs w:val="18"/>
          <w:color w:val="auto"/>
        </w:rPr>
      </w:pPr>
    </w:p>
    <w:p>
      <w:pPr>
        <w:ind w:left="900" w:right="220" w:hanging="325"/>
        <w:spacing w:after="0" w:line="306"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this IPO) or pursuant to any subscription agreement by and among us, the Adviser and such principal stockholder entered into prior to this IPO;</w:t>
      </w:r>
    </w:p>
    <w:p>
      <w:pPr>
        <w:spacing w:after="0" w:line="25"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59"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Following this offering, 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90" w:lineRule="exact"/>
        <w:rPr>
          <w:sz w:val="20"/>
          <w:szCs w:val="20"/>
          <w:color w:val="auto"/>
        </w:rPr>
      </w:pPr>
    </w:p>
    <w:p>
      <w:pPr>
        <w:ind w:left="900" w:right="60" w:hanging="325"/>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In addition,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such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Factors—Risks Related to Our Business and Structure—We borrow money, which magnifies the potential for gain or loss and increases the risk of investing in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2013 and December 31, 2012, our asset coverage was 265.9% and 244.6%, respectively. Following this IPO and the repayment of</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indebtedness as contemplated under “Use of Proceeds,” and based on the value of our total assets as of , we expect our asset coverage ratio to be approximately %.</w:t>
      </w:r>
    </w:p>
    <w:p>
      <w:pPr>
        <w:spacing w:after="0" w:line="13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59" w:lineRule="exact"/>
        <w:rPr>
          <w:sz w:val="20"/>
          <w:szCs w:val="20"/>
          <w:color w:val="auto"/>
        </w:rPr>
      </w:pPr>
    </w:p>
    <w:p>
      <w:pPr>
        <w:ind w:left="900" w:right="280" w:hanging="325"/>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194" w:lineRule="exact"/>
        <w:rPr>
          <w:sz w:val="20"/>
          <w:szCs w:val="20"/>
          <w:color w:val="auto"/>
        </w:rPr>
      </w:pPr>
    </w:p>
    <w:p>
      <w:pPr>
        <w:jc w:val="both"/>
        <w:ind w:right="140" w:firstLine="456"/>
        <w:spacing w:after="0" w:line="291"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may, however, issue and sell our common stock, or warrants, options or rights to acquire our common stock, at a price below the then-current net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asset value of our common stock if our Board determines that the sale is in our best interests and the best interests of our stockholders, and our stockholders have approved our policy and practice of making these sales within the preceding 12 months.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4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applied for an exemptive order from the SEC that would permit us to co-invest with funds or other pools of capital or persons managed by TPG or its affiliates where we believe that it will be advantageous for us to co-invest and where the investment is consistent with our investment objectives, investment positions, investment policies, investment strategies, investment restrictions, regulatory requirements and other pertinent factors. We believe that co-investment by us and funds or other pools of capital or persons managed by TPG or its affiliates may afford us additional investment opportunities and the ability to achieve greater diversification. This order, if granted, will be subject to certain terms and conditions.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granted exemptive relief, we would undertake that, in connection with any commitment to a co-investment, a “required majority” (as defined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57(o) of the 1940 Act) of our independent directors would make certain conclusions, including that:</w:t>
      </w:r>
    </w:p>
    <w:p>
      <w:pPr>
        <w:spacing w:after="0" w:line="84" w:lineRule="exact"/>
        <w:rPr>
          <w:sz w:val="20"/>
          <w:szCs w:val="20"/>
          <w:color w:val="auto"/>
        </w:rPr>
      </w:pPr>
    </w:p>
    <w:p>
      <w:pPr>
        <w:ind w:left="900" w:right="60" w:hanging="325"/>
        <w:spacing w:after="0" w:line="268"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terms of the proposed transaction are reasonable and fair to us and our stockholders and do not involve overreaching of us or our stockholders on the part of any person concerned;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is consistent with our investment strategies and policies.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cannot assure you that this application for exemptive relief will be granted by the SEC or that, if granted, it will be on the terms set forth above. Accordingly, we cannot assure that we will be permitted to co-invest with funds managed by TPG, other than in the limited circumstances currently permitted by regulatory guidance. See “Related-Party Transactions and Certain Relationships.”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also subject to certain risks and uncertainties. See “Risk Factors—Risks Related to Our Business and Structure.”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40" w:hanging="325"/>
        <w:spacing w:after="0" w:line="256"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265" w:lineRule="exact"/>
        <w:rPr>
          <w:sz w:val="20"/>
          <w:szCs w:val="20"/>
          <w:color w:val="auto"/>
        </w:rPr>
      </w:pPr>
    </w:p>
    <w:p>
      <w:pPr>
        <w:ind w:left="5580" w:right="3560" w:hanging="4546"/>
        <w:spacing w:after="0" w:line="440" w:lineRule="auto"/>
        <w:tabs>
          <w:tab w:leader="none" w:pos="147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 135</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620" w:hanging="446"/>
        <w:spacing w:after="0" w:line="268"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90" w:lineRule="exact"/>
        <w:rPr>
          <w:rFonts w:ascii="Arial" w:cs="Arial" w:eastAsia="Arial" w:hAnsi="Arial"/>
          <w:sz w:val="18"/>
          <w:szCs w:val="18"/>
          <w:color w:val="auto"/>
        </w:rPr>
      </w:pPr>
    </w:p>
    <w:p>
      <w:pPr>
        <w:ind w:left="1920" w:right="400" w:hanging="318"/>
        <w:spacing w:after="0" w:line="268" w:lineRule="auto"/>
        <w:tabs>
          <w:tab w:leader="none" w:pos="192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50" w:lineRule="exact"/>
        <w:rPr>
          <w:rFonts w:ascii="Arial" w:cs="Arial" w:eastAsia="Arial" w:hAnsi="Arial"/>
          <w:sz w:val="18"/>
          <w:szCs w:val="18"/>
          <w:color w:val="auto"/>
        </w:rPr>
      </w:pPr>
    </w:p>
    <w:p>
      <w:pPr>
        <w:ind w:left="1920" w:hanging="318"/>
        <w:spacing w:after="0" w:line="259" w:lineRule="auto"/>
        <w:tabs>
          <w:tab w:leader="none" w:pos="192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59" w:lineRule="exact"/>
        <w:rPr>
          <w:rFonts w:ascii="Arial" w:cs="Arial" w:eastAsia="Arial" w:hAnsi="Arial"/>
          <w:sz w:val="18"/>
          <w:szCs w:val="18"/>
          <w:color w:val="auto"/>
        </w:rPr>
      </w:pPr>
    </w:p>
    <w:p>
      <w:pPr>
        <w:ind w:left="1920" w:hanging="318"/>
        <w:spacing w:after="0"/>
        <w:tabs>
          <w:tab w:leader="none" w:pos="192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is a small and solvent company having total assets of not more than $4 million and capital and surplus of not less than $2 million.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90" w:lineRule="exact"/>
        <w:rPr>
          <w:rFonts w:ascii="Arial" w:cs="Arial" w:eastAsia="Arial" w:hAnsi="Arial"/>
          <w:sz w:val="18"/>
          <w:szCs w:val="18"/>
          <w:color w:val="auto"/>
        </w:rPr>
      </w:pPr>
    </w:p>
    <w:p>
      <w:pPr>
        <w:ind w:left="900" w:right="40" w:hanging="325"/>
        <w:spacing w:after="0" w:line="335" w:lineRule="auto"/>
        <w:tabs>
          <w:tab w:leader="none" w:pos="90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 w:lineRule="exact"/>
        <w:rPr>
          <w:rFonts w:ascii="Arial" w:cs="Arial" w:eastAsia="Arial" w:hAnsi="Arial"/>
          <w:sz w:val="15"/>
          <w:szCs w:val="15"/>
          <w:color w:val="auto"/>
        </w:rPr>
      </w:pPr>
    </w:p>
    <w:p>
      <w:pPr>
        <w:ind w:left="900" w:right="160" w:hanging="325"/>
        <w:spacing w:after="0" w:line="26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Pending investment in the asset types described above, our investments may consist of other qualifying assets, such as cash, cash equivalents, U.S. Government securities or high-quality debt securities maturing in one year or less from the time of investment, which we refer to, collectively, as temporary investments, where at least 70% of our assets are qualifying assets. Our Adviser will monitor the creditworthiness of the counterparties with which we enter into repurchase agreement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BDC must be operated for the purpose of making investments in the types of securities described under “Qualifying Assets” above. However, to count portfolio securities as qualifying assets for the purpose of the 70% test, the BDC must either control the issuer of the securities or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may make available such managerial assistance. Making available significant managerial assistance means, among other things,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As required by the Advisers Act and the 1940 Act, we and the Adviser have adopted a Code of Business Conduct and Ethics which applies to, among others, our and our Adviser’s executive officers, including our Chief Executive Officer and Chief Financial Officer, as well as our and our Adviser’s officers, directors and employees. The code of ethics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You may read and copy the code of ethics at the SEC’s Public Reference Room in Washington, D.C. You may obtain information on the operation of the Public Reference Room by calling the SEC at 1-800-SEC-0330. In addition, the code of ethics is attached as an exhibit to the registration statement of which this prospectus is a part, and is available on the SEC’s Internet site at http://www.sec.gov . You may also obtain copies of the code of ethics, after paying a duplicating fee, by electronic request at the following e-mail address: publicinfo@sec.gov, or by writing the SEC’s Public Reference Section at 100 F Street, Room 1580 N.E. Washington, D.C. 20549. We also hereby undertake to provide a copy of the code to any person, without charge, upon request. Requests for a copy of the code may be made in writing addressed to our Secretary, David Reintjes, 345 California Street, Suite 3300 San Francisco, CA 94104, Attention: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to designate a Chief Compliance Officer to be responsible for administering the policies and procedures. The Chief Compliance Officer of TPG serves as our Chief Compliance Officer.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51" w:lineRule="exact"/>
        <w:rPr>
          <w:sz w:val="20"/>
          <w:szCs w:val="20"/>
          <w:color w:val="auto"/>
        </w:rPr>
      </w:pPr>
    </w:p>
    <w:p>
      <w:pPr>
        <w:ind w:left="900" w:right="44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50" w:lineRule="exact"/>
        <w:rPr>
          <w:rFonts w:ascii="Arial" w:cs="Arial" w:eastAsia="Arial" w:hAnsi="Arial"/>
          <w:sz w:val="18"/>
          <w:szCs w:val="18"/>
          <w:color w:val="auto"/>
        </w:rPr>
      </w:pPr>
    </w:p>
    <w:p>
      <w:pPr>
        <w:jc w:val="both"/>
        <w:ind w:left="900" w:right="220" w:hanging="325"/>
        <w:spacing w:after="0" w:line="306"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pursuant to Rule 13a-15 of the Exchange Act, subject to certain assumptions, our management is required to prepare an annual report regarding its assessment of our internal control over financial reporting and, depending on our accelerated filer or loss of emerging growth company status, this report may be required to be audited by our independent registered public accounting firm; and</w:t>
      </w:r>
    </w:p>
    <w:p>
      <w:pPr>
        <w:spacing w:after="0" w:line="25" w:lineRule="exact"/>
        <w:rPr>
          <w:rFonts w:ascii="Arial" w:cs="Arial" w:eastAsia="Arial" w:hAnsi="Arial"/>
          <w:sz w:val="16"/>
          <w:szCs w:val="16"/>
          <w:color w:val="auto"/>
        </w:rPr>
      </w:pPr>
    </w:p>
    <w:p>
      <w:pPr>
        <w:ind w:left="900" w:right="160" w:hanging="325"/>
        <w:spacing w:after="0" w:line="306"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qualify as an emerging growth company, as that term is used in the JOBS Act. An emerging growth company may take advantage of specified reduced reporting and other burdens that are otherwise applicable generally to public companies. These provisions include:</w:t>
      </w:r>
    </w:p>
    <w:p>
      <w:pPr>
        <w:spacing w:after="0" w:line="51" w:lineRule="exact"/>
        <w:rPr>
          <w:sz w:val="20"/>
          <w:szCs w:val="20"/>
          <w:color w:val="auto"/>
        </w:rPr>
      </w:pPr>
    </w:p>
    <w:p>
      <w:pPr>
        <w:ind w:left="900" w:right="120" w:hanging="325"/>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common stock less attractive as a result of our taking advantage of exemptions available to emerging growth companies. The result may be a less active trading market for our common stock and our stock price may be more volatile.</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90"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ectPr>
          <w:pgSz w:w="11900" w:h="16838" w:orient="portrait"/>
          <w:cols w:equalWidth="0" w:num="1">
            <w:col w:w="11400"/>
          </w:cols>
          <w:pgMar w:left="240" w:top="459" w:right="25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Governance Regulations</w:t>
      </w:r>
    </w:p>
    <w:p>
      <w:pPr>
        <w:spacing w:after="0" w:line="130" w:lineRule="exact"/>
        <w:rPr>
          <w:sz w:val="20"/>
          <w:szCs w:val="20"/>
          <w:color w:val="auto"/>
        </w:rPr>
      </w:pPr>
    </w:p>
    <w:p>
      <w:pPr>
        <w:sectPr>
          <w:pgSz w:w="11900" w:h="16838" w:orient="portrait"/>
          <w:cols w:equalWidth="0" w:num="2">
            <w:col w:w="320" w:space="720"/>
            <w:col w:w="1036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adopted corporate governance regulations that listed companies must comply with. We are in compliance with these regulations.</w:t>
      </w:r>
    </w:p>
    <w:p>
      <w:pPr>
        <w:spacing w:after="0" w:line="211" w:lineRule="exact"/>
        <w:rPr>
          <w:sz w:val="20"/>
          <w:szCs w:val="20"/>
          <w:color w:val="auto"/>
        </w:rPr>
      </w:pPr>
    </w:p>
    <w:p>
      <w:pPr>
        <w:sectPr>
          <w:pgSz w:w="11900" w:h="16838" w:orient="portrait"/>
          <w:cols w:equalWidth="0" w:num="2">
            <w:col w:w="760" w:space="720"/>
            <w:col w:w="9920"/>
          </w:cols>
          <w:pgMar w:left="240" w:top="459" w:right="25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employed by the Adviser, the costs associated with voting such proxy outweigh the benefits to our stockholders or if the circumstances make such an abstention or withholding otherwise advisable and in the best interest of the relevant stockholder(s).</w:t>
      </w:r>
    </w:p>
    <w:p>
      <w:pPr>
        <w:spacing w:after="0" w:line="113"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 xml:space="preserve">You may obtain information about how the Adviser voted proxies, free of charge, by making a written request for proxy voting information to: TSL Adviser, 345 California Street, Suite 3300 San Francisco, CA 94104, Attention: Investor Relations, or by emailing us at </w:t>
      </w:r>
      <w:r>
        <w:rPr>
          <w:rFonts w:ascii="Arial" w:cs="Arial" w:eastAsia="Arial" w:hAnsi="Arial"/>
          <w:sz w:val="18"/>
          <w:szCs w:val="18"/>
          <w:i w:val="1"/>
          <w:iCs w:val="1"/>
          <w:color w:val="auto"/>
        </w:rPr>
        <w:t xml:space="preserve">IRTSL </w:t>
      </w:r>
      <w:r>
        <w:rPr>
          <w:sz w:val="1"/>
          <w:szCs w:val="1"/>
          <w:color w:val="auto"/>
        </w:rPr>
        <w:drawing>
          <wp:inline distT="0" distB="0" distL="0" distR="0">
            <wp:extent cx="77470" cy="7747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8"/>
          <w:szCs w:val="18"/>
          <w:i w:val="1"/>
          <w:iCs w:val="1"/>
          <w:color w:val="auto"/>
        </w:rPr>
        <w:t xml:space="preserve"> tpg.com. </w:t>
      </w:r>
      <w:r>
        <w:rPr>
          <w:rFonts w:ascii="Arial" w:cs="Arial" w:eastAsia="Arial" w:hAnsi="Arial"/>
          <w:sz w:val="18"/>
          <w:szCs w:val="18"/>
          <w:color w:val="auto"/>
        </w:rPr>
        <w:t>The SEC also</w:t>
      </w:r>
      <w:r>
        <w:rPr>
          <w:rFonts w:ascii="Arial" w:cs="Arial" w:eastAsia="Arial" w:hAnsi="Arial"/>
          <w:sz w:val="18"/>
          <w:szCs w:val="18"/>
          <w:i w:val="1"/>
          <w:iCs w:val="1"/>
          <w:color w:val="auto"/>
        </w:rPr>
        <w:t xml:space="preserve"> maintains a website at http://www.sec.gov that contains such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generally will not receive any nonpublic personal information relating to stockholders who purchase common stock in this IPO. We may collect nonpublic personal information regarding our existing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for officers, employees and agents of ours and our affiliates, access to such information is restricted to those who need such access to provide services to us and investors. We maintain physical, electronic and procedural safeguards to seek to guard investor nonpublic personal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r>
        <w:rPr>
          <w:rFonts w:ascii="Arial" w:cs="Arial" w:eastAsia="Arial" w:hAnsi="Arial"/>
          <w:sz w:val="16"/>
          <w:szCs w:val="16"/>
          <w:color w:val="auto"/>
        </w:rPr>
        <w:t>.</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Stockholders and the public may also read and copy any materials we file with the SEC at the SEC’s Public Reference Room at 100 F Street, Room 1580 Washington, DC 20549. The public may also obtain information on the operation of the Public Reference Room by calling the SEC at 1-800-SEC-0330. The SEC also maintains a website (www.sec.gov) that contains this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Prior to this offering, there has been no public market for our common stock. We cannot predict the effect, if any, that sales of shares or the availability of shares for sale will have on the market price of our common stock prevailing from time to time. Sales of substantial amounts of our common stock in the public market, or the perception that such sales could occur, could adversely affect the prevailing market price of our common stock.</w:t>
      </w:r>
    </w:p>
    <w:p>
      <w:pPr>
        <w:sectPr>
          <w:pgSz w:w="11900" w:h="16838" w:orient="portrait"/>
          <w:cols w:equalWidth="0" w:num="1">
            <w:col w:w="11380"/>
          </w:cols>
          <w:pgMar w:left="240" w:top="459" w:right="279" w:bottom="1440" w:gutter="0" w:footer="0" w:header="0"/>
        </w:sectPr>
      </w:pP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this offering, we had shares of our common stock outstanding. Upon completion of this offering issued and outstanding. If the underwriters exercise their over-allotment option to purchase additional shares in full, issued and outstanding immediately after the completion of this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firstLine="166"/>
        <w:spacing w:after="0" w:line="370" w:lineRule="auto"/>
        <w:rPr>
          <w:sz w:val="20"/>
          <w:szCs w:val="20"/>
          <w:color w:val="auto"/>
        </w:rPr>
      </w:pPr>
      <w:r>
        <w:rPr>
          <w:rFonts w:ascii="Arial" w:cs="Arial" w:eastAsia="Arial" w:hAnsi="Arial"/>
          <w:sz w:val="15"/>
          <w:szCs w:val="15"/>
          <w:color w:val="auto"/>
        </w:rPr>
        <w:t>shares of our common stock will be shares of our common stock will be</w:t>
      </w:r>
    </w:p>
    <w:p>
      <w:pPr>
        <w:spacing w:after="0" w:line="656" w:lineRule="exact"/>
        <w:rPr>
          <w:sz w:val="20"/>
          <w:szCs w:val="20"/>
          <w:color w:val="auto"/>
        </w:rPr>
      </w:pPr>
    </w:p>
    <w:p>
      <w:pPr>
        <w:sectPr>
          <w:pgSz w:w="11900" w:h="16838" w:orient="portrait"/>
          <w:cols w:equalWidth="0" w:num="2">
            <w:col w:w="8300" w:space="420"/>
            <w:col w:w="2660"/>
          </w:cols>
          <w:pgMar w:left="240" w:top="459" w:right="279" w:bottom="1440" w:gutter="0" w:footer="0" w:header="0"/>
          <w:type w:val="continuous"/>
        </w:sectPr>
      </w:pPr>
    </w:p>
    <w:p>
      <w:pPr>
        <w:ind w:left="460"/>
        <w:spacing w:after="0"/>
        <w:tabs>
          <w:tab w:leader="none" w:pos="4460" w:val="left"/>
        </w:tabs>
        <w:rPr>
          <w:sz w:val="20"/>
          <w:szCs w:val="20"/>
          <w:color w:val="auto"/>
        </w:rPr>
      </w:pPr>
      <w:r>
        <w:rPr>
          <w:rFonts w:ascii="Arial" w:cs="Arial" w:eastAsia="Arial" w:hAnsi="Arial"/>
          <w:sz w:val="18"/>
          <w:szCs w:val="18"/>
          <w:color w:val="auto"/>
        </w:rPr>
        <w:t>Prior to the consummation of this offering, up to</w:t>
      </w:r>
      <w:r>
        <w:rPr>
          <w:sz w:val="20"/>
          <w:szCs w:val="20"/>
          <w:color w:val="auto"/>
        </w:rPr>
        <w:tab/>
      </w:r>
      <w:r>
        <w:rPr>
          <w:rFonts w:ascii="Arial" w:cs="Arial" w:eastAsia="Arial" w:hAnsi="Arial"/>
          <w:sz w:val="15"/>
          <w:szCs w:val="15"/>
          <w:color w:val="auto"/>
        </w:rPr>
        <w:t>shares of our common stock outstanding will not be considered “restricted” securities under the</w:t>
      </w:r>
    </w:p>
    <w:p>
      <w:pPr>
        <w:spacing w:after="0" w:line="15" w:lineRule="exact"/>
        <w:rPr>
          <w:sz w:val="20"/>
          <w:szCs w:val="20"/>
          <w:color w:val="auto"/>
        </w:rPr>
      </w:pPr>
    </w:p>
    <w:p>
      <w:pPr>
        <w:spacing w:after="0"/>
        <w:tabs>
          <w:tab w:leader="none" w:pos="5980" w:val="left"/>
        </w:tabs>
        <w:rPr>
          <w:sz w:val="20"/>
          <w:szCs w:val="20"/>
          <w:color w:val="auto"/>
        </w:rPr>
      </w:pPr>
      <w:r>
        <w:rPr>
          <w:rFonts w:ascii="Arial" w:cs="Arial" w:eastAsia="Arial" w:hAnsi="Arial"/>
          <w:sz w:val="18"/>
          <w:szCs w:val="18"/>
          <w:color w:val="auto"/>
        </w:rPr>
        <w:t>meaning of Rule 144 and will be eligible for resale pursuant to Rule 144 and</w:t>
      </w:r>
      <w:r>
        <w:rPr>
          <w:sz w:val="20"/>
          <w:szCs w:val="20"/>
          <w:color w:val="auto"/>
        </w:rPr>
        <w:tab/>
      </w:r>
      <w:r>
        <w:rPr>
          <w:rFonts w:ascii="Arial" w:cs="Arial" w:eastAsia="Arial" w:hAnsi="Arial"/>
          <w:sz w:val="16"/>
          <w:szCs w:val="16"/>
          <w:color w:val="auto"/>
        </w:rPr>
        <w:t>shares of our common stock outstanding will be “restricted” securities under</w:t>
      </w:r>
    </w:p>
    <w:p>
      <w:pPr>
        <w:spacing w:after="0" w:line="9"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the meaning of Rule 144 under the Securities Act, and may not be sold in the absence of registration under the Securities Act unless an exemption from registration is available, including the exemption provided by Rule 144. Additionally, any shares purchased in this offering by our affiliates, as that term is defined in Rule 144 under the Securities Act, would only be able to be sold in compliance with the Rule 144 limitations described below. See “Risk Factors— Risks Related to this Offering—Prior to this offering, there has been no public market for our common stock, and we cannot assure you that a market for our common stock will develop or that the market price of shares of our common stock will not decline following the offering.”</w:t>
      </w:r>
    </w:p>
    <w:p>
      <w:pPr>
        <w:spacing w:after="0" w:line="11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our directors, executive officers have agreed with the underwriters that, without the prior written consent of J.P. Morgan Securities LLC, Merrill Lynch, Pierce, Fenner &amp; Smith Incorporated and Goldman, Sachs &amp; Co., we and they will not, subject to certain exceptions and extensions, during the period ending days after the date of this prospectus, offer, pledge, announce the intention to sell, sell, contract to sell, sell any option or contract to purchase, purchase any option or contract to sell, grant any option, right or warrant to purchase or otherwise dispose of, directly or indirectly, any shares of our common stock or securities convertible into or exchangeable or exercisable for any shares of our common stock, or publicly disclose the intention to make any offer, sale, pledge or disposition, or (ii) enter into any swap or other arrangement that transfers all or 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59" w:right="27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See “Underwriting.”</w:t>
      </w:r>
    </w:p>
    <w:p>
      <w:pPr>
        <w:sectPr>
          <w:pgSz w:w="11900" w:h="16838" w:orient="portrait"/>
          <w:cols w:equalWidth="0" w:num="1">
            <w:col w:w="11180"/>
          </w:cols>
          <w:pgMar w:left="240" w:top="460" w:right="479" w:bottom="1440" w:gutter="0" w:footer="0" w:header="0"/>
        </w:sectPr>
      </w:pP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Immediately upon the expiration of the lock-up period, an aggregate of the public market in accordance with Rule 144.</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subject to the lock-up will be eligible for sale in</w:t>
      </w:r>
    </w:p>
    <w:p>
      <w:pPr>
        <w:spacing w:after="0" w:line="396" w:lineRule="exact"/>
        <w:rPr>
          <w:sz w:val="20"/>
          <w:szCs w:val="20"/>
          <w:color w:val="auto"/>
        </w:rPr>
      </w:pPr>
    </w:p>
    <w:p>
      <w:pPr>
        <w:sectPr>
          <w:pgSz w:w="11900" w:h="16838" w:orient="portrait"/>
          <w:cols w:equalWidth="0" w:num="2">
            <w:col w:w="5460" w:space="600"/>
            <w:col w:w="5120"/>
          </w:cols>
          <w:pgMar w:left="240" w:top="460" w:right="479" w:bottom="1440" w:gutter="0" w:footer="0" w:header="0"/>
          <w:type w:val="continuous"/>
        </w:sectPr>
      </w:pPr>
    </w:p>
    <w:p>
      <w:pPr>
        <w:jc w:val="center"/>
        <w:ind w:right="-239"/>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1180"/>
          </w:cols>
          <w:pgMar w:left="240" w:top="460" w:right="479" w:bottom="1440" w:gutter="0" w:footer="0" w:header="0"/>
          <w:type w:val="continuous"/>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left="460"/>
        <w:spacing w:after="0"/>
        <w:tabs>
          <w:tab w:leader="none" w:pos="7760" w:val="left"/>
        </w:tabs>
        <w:rPr>
          <w:sz w:val="20"/>
          <w:szCs w:val="20"/>
          <w:color w:val="auto"/>
        </w:rPr>
      </w:pPr>
      <w:r>
        <w:rPr>
          <w:rFonts w:ascii="Arial" w:cs="Arial" w:eastAsia="Arial" w:hAnsi="Arial"/>
          <w:sz w:val="18"/>
          <w:szCs w:val="18"/>
          <w:color w:val="auto"/>
        </w:rPr>
        <w:t>We are offering the shares of common stock described in this prospectus through a number of</w:t>
      </w:r>
      <w:r>
        <w:rPr>
          <w:sz w:val="20"/>
          <w:szCs w:val="20"/>
          <w:color w:val="auto"/>
        </w:rPr>
        <w:tab/>
      </w:r>
      <w:r>
        <w:rPr>
          <w:rFonts w:ascii="Arial" w:cs="Arial" w:eastAsia="Arial" w:hAnsi="Arial"/>
          <w:sz w:val="16"/>
          <w:szCs w:val="16"/>
          <w:color w:val="auto"/>
        </w:rPr>
        <w:t>underwriters. J.P. Morgan Securities LLC, Merrill</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Lynch, Pierce, Fenner &amp; Smith Incorporated, Goldman, Sachs &amp; Co., Citigroup Global Markets Inc. and Wells Fargo Securities, LLC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52"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614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Arial" w:cs="Arial" w:eastAsia="Arial" w:hAnsi="Arial"/>
                <w:sz w:val="14"/>
                <w:szCs w:val="14"/>
                <w:b w:val="1"/>
                <w:bCs w:val="1"/>
                <w:color w:val="auto"/>
                <w:w w:val="94"/>
              </w:rPr>
              <w:t>Number of Shares</w:t>
            </w:r>
          </w:p>
        </w:tc>
      </w:tr>
      <w:tr>
        <w:trPr>
          <w:trHeight w:val="190"/>
        </w:trPr>
        <w:tc>
          <w:tcPr>
            <w:tcW w:w="6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J.P. Morgan Securities LLC</w:t>
            </w:r>
          </w:p>
        </w:tc>
        <w:tc>
          <w:tcPr>
            <w:tcW w:w="1260" w:type="dxa"/>
            <w:vAlign w:val="bottom"/>
            <w:tcBorders>
              <w:top w:val="single" w:sz="8" w:color="auto"/>
            </w:tcBorders>
            <w:shd w:val="clear" w:color="auto" w:fill="CCEEFF"/>
          </w:tcPr>
          <w:p>
            <w:pPr>
              <w:spacing w:after="0"/>
              <w:rPr>
                <w:sz w:val="16"/>
                <w:szCs w:val="16"/>
                <w:color w:val="auto"/>
              </w:rPr>
            </w:pPr>
          </w:p>
        </w:tc>
      </w:tr>
      <w:tr>
        <w:trPr>
          <w:trHeight w:val="208"/>
        </w:trPr>
        <w:tc>
          <w:tcPr>
            <w:tcW w:w="650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1260" w:type="dxa"/>
            <w:vAlign w:val="bottom"/>
          </w:tcPr>
          <w:p>
            <w:pPr>
              <w:spacing w:after="0"/>
              <w:rPr>
                <w:sz w:val="18"/>
                <w:szCs w:val="18"/>
                <w:color w:val="auto"/>
              </w:rPr>
            </w:pPr>
          </w:p>
        </w:tc>
      </w:tr>
      <w:tr>
        <w:trPr>
          <w:trHeight w:val="222"/>
        </w:trPr>
        <w:tc>
          <w:tcPr>
            <w:tcW w:w="360" w:type="dxa"/>
            <w:vAlign w:val="bottom"/>
          </w:tcPr>
          <w:p>
            <w:pPr>
              <w:spacing w:after="0"/>
              <w:rPr>
                <w:sz w:val="19"/>
                <w:szCs w:val="19"/>
                <w:color w:val="auto"/>
              </w:rPr>
            </w:pPr>
          </w:p>
        </w:tc>
        <w:tc>
          <w:tcPr>
            <w:tcW w:w="6140" w:type="dxa"/>
            <w:vAlign w:val="bottom"/>
          </w:tcPr>
          <w:p>
            <w:pPr>
              <w:ind w:left="560"/>
              <w:spacing w:after="0"/>
              <w:rPr>
                <w:sz w:val="20"/>
                <w:szCs w:val="20"/>
                <w:color w:val="auto"/>
              </w:rPr>
            </w:pPr>
            <w:r>
              <w:rPr>
                <w:rFonts w:ascii="Arial" w:cs="Arial" w:eastAsia="Arial" w:hAnsi="Arial"/>
                <w:sz w:val="18"/>
                <w:szCs w:val="18"/>
                <w:color w:val="auto"/>
              </w:rPr>
              <w:t>Incorporated</w:t>
            </w:r>
          </w:p>
        </w:tc>
        <w:tc>
          <w:tcPr>
            <w:tcW w:w="1260" w:type="dxa"/>
            <w:vAlign w:val="bottom"/>
          </w:tcPr>
          <w:p>
            <w:pPr>
              <w:spacing w:after="0"/>
              <w:rPr>
                <w:sz w:val="19"/>
                <w:szCs w:val="19"/>
                <w:color w:val="auto"/>
              </w:rPr>
            </w:pPr>
          </w:p>
        </w:tc>
      </w:tr>
      <w:tr>
        <w:trPr>
          <w:trHeight w:val="232"/>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1260" w:type="dxa"/>
            <w:vAlign w:val="bottom"/>
            <w:shd w:val="clear" w:color="auto" w:fill="CCEEFF"/>
          </w:tcPr>
          <w:p>
            <w:pPr>
              <w:spacing w:after="0"/>
              <w:rPr>
                <w:sz w:val="20"/>
                <w:szCs w:val="20"/>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26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260" w:type="dxa"/>
            <w:vAlign w:val="bottom"/>
            <w:tcBorders>
              <w:bottom w:val="single" w:sz="8" w:color="auto"/>
            </w:tcBorders>
            <w:shd w:val="clear" w:color="auto" w:fill="CCEEFF"/>
          </w:tcPr>
          <w:p>
            <w:pPr>
              <w:spacing w:after="0"/>
              <w:rPr>
                <w:sz w:val="18"/>
                <w:szCs w:val="18"/>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common shares directly to the public at the initial public offering price set forth on the cover page of this prospectus</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and to certain dealers at that price less a concession not in excess of $ per share. Any such dealers may resell shares to certain other brokers or dealers at a discount of up to $ per share from the initial public offering price. After the initial public offering of the shares, the offering price and other selling terms may be changed by the underwriters.</w:t>
      </w:r>
    </w:p>
    <w:p>
      <w:pPr>
        <w:spacing w:after="0" w:line="144"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color w:val="auto"/>
        </w:rPr>
        <w:t>The underwriters have an option to buy up to</w:t>
      </w:r>
      <w:r>
        <w:rPr>
          <w:sz w:val="20"/>
          <w:szCs w:val="20"/>
          <w:color w:val="auto"/>
        </w:rPr>
        <w:tab/>
      </w:r>
      <w:r>
        <w:rPr>
          <w:rFonts w:ascii="Arial" w:cs="Arial" w:eastAsia="Arial" w:hAnsi="Arial"/>
          <w:sz w:val="15"/>
          <w:szCs w:val="15"/>
          <w:color w:val="auto"/>
        </w:rPr>
        <w:t>additional shares of common stock from us to cover sales of shares by the underwriters which</w:t>
      </w:r>
    </w:p>
    <w:p>
      <w:pPr>
        <w:spacing w:after="0" w:line="1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exceed the number of shares specified in the table above. The underwriters have 30 days from the date of this prospectus to exercise this over-allotment option. If any shares are purchased with this over-allotment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 common</w:t>
      </w:r>
    </w:p>
    <w:p>
      <w:pPr>
        <w:spacing w:after="0" w:line="3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Without</w:t>
            </w:r>
          </w:p>
        </w:tc>
        <w:tc>
          <w:tcPr>
            <w:tcW w:w="13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With full</w:t>
            </w:r>
          </w:p>
        </w:tc>
      </w:tr>
      <w:tr>
        <w:trPr>
          <w:trHeight w:val="149"/>
        </w:trPr>
        <w:tc>
          <w:tcPr>
            <w:tcW w:w="3120" w:type="dxa"/>
            <w:vAlign w:val="bottom"/>
          </w:tcPr>
          <w:p>
            <w:pPr>
              <w:spacing w:after="0"/>
              <w:rPr>
                <w:sz w:val="12"/>
                <w:szCs w:val="12"/>
                <w:color w:val="auto"/>
              </w:rPr>
            </w:pPr>
          </w:p>
        </w:tc>
        <w:tc>
          <w:tcPr>
            <w:tcW w:w="3280" w:type="dxa"/>
            <w:vAlign w:val="bottom"/>
            <w:gridSpan w:val="2"/>
          </w:tcPr>
          <w:p>
            <w:pPr>
              <w:jc w:val="center"/>
              <w:ind w:left="2362"/>
              <w:spacing w:after="0" w:line="149" w:lineRule="exact"/>
              <w:rPr>
                <w:sz w:val="20"/>
                <w:szCs w:val="20"/>
                <w:color w:val="auto"/>
              </w:rPr>
            </w:pPr>
            <w:r>
              <w:rPr>
                <w:rFonts w:ascii="Arial" w:cs="Arial" w:eastAsia="Arial" w:hAnsi="Arial"/>
                <w:sz w:val="14"/>
                <w:szCs w:val="14"/>
                <w:b w:val="1"/>
                <w:bCs w:val="1"/>
                <w:color w:val="auto"/>
                <w:w w:val="87"/>
              </w:rPr>
              <w:t>over-allotment</w:t>
            </w:r>
          </w:p>
        </w:tc>
        <w:tc>
          <w:tcPr>
            <w:tcW w:w="2280" w:type="dxa"/>
            <w:vAlign w:val="bottom"/>
            <w:gridSpan w:val="3"/>
          </w:tcPr>
          <w:p>
            <w:pPr>
              <w:jc w:val="center"/>
              <w:ind w:left="1142"/>
              <w:spacing w:after="0" w:line="149" w:lineRule="exact"/>
              <w:rPr>
                <w:sz w:val="20"/>
                <w:szCs w:val="20"/>
                <w:color w:val="auto"/>
              </w:rPr>
            </w:pPr>
            <w:r>
              <w:rPr>
                <w:rFonts w:ascii="Arial" w:cs="Arial" w:eastAsia="Arial" w:hAnsi="Arial"/>
                <w:sz w:val="14"/>
                <w:szCs w:val="14"/>
                <w:b w:val="1"/>
                <w:bCs w:val="1"/>
                <w:color w:val="auto"/>
                <w:w w:val="89"/>
              </w:rPr>
              <w:t>over-allotment</w:t>
            </w:r>
          </w:p>
        </w:tc>
      </w:tr>
      <w:tr>
        <w:trPr>
          <w:trHeight w:val="161"/>
        </w:trPr>
        <w:tc>
          <w:tcPr>
            <w:tcW w:w="3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13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exercise</w:t>
            </w:r>
          </w:p>
        </w:tc>
      </w:tr>
      <w:tr>
        <w:trPr>
          <w:trHeight w:val="210"/>
        </w:trPr>
        <w:tc>
          <w:tcPr>
            <w:tcW w:w="3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2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328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w:t>
      </w:r>
    </w:p>
    <w:p>
      <w:pPr>
        <w:spacing w:after="0" w:line="38" w:lineRule="exact"/>
        <w:rPr>
          <w:sz w:val="20"/>
          <w:szCs w:val="20"/>
          <w:color w:val="auto"/>
        </w:rPr>
      </w:pPr>
    </w:p>
    <w:p>
      <w:pPr>
        <w:spacing w:after="0"/>
        <w:tabs>
          <w:tab w:leader="none" w:pos="6140" w:val="left"/>
        </w:tabs>
        <w:rPr>
          <w:sz w:val="20"/>
          <w:szCs w:val="20"/>
          <w:color w:val="auto"/>
        </w:rPr>
      </w:pPr>
      <w:r>
        <w:rPr>
          <w:rFonts w:ascii="Arial" w:cs="Arial" w:eastAsia="Arial" w:hAnsi="Arial"/>
          <w:sz w:val="16"/>
          <w:szCs w:val="16"/>
          <w:color w:val="auto"/>
        </w:rPr>
        <w:t>excluding the underwriting discounts and commissions, will be approximately $</w:t>
      </w:r>
      <w:r>
        <w:rPr>
          <w:sz w:val="20"/>
          <w:szCs w:val="20"/>
          <w:color w:val="auto"/>
        </w:rPr>
        <w:tab/>
      </w:r>
      <w:r>
        <w:rPr>
          <w:rFonts w:ascii="Arial" w:cs="Arial" w:eastAsia="Arial" w:hAnsi="Arial"/>
          <w:sz w:val="14"/>
          <w:szCs w:val="14"/>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43"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We have agreed that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Merrill Lynch, Pierce, Fenner &amp; Smith Incorporated and Goldman, Sachs &amp; Co. for a period of days after the date of this prospectus, other than the shares of our common stock to be sold hereunder. Notwithstanding the foregoing, to the extent we are not an emerging growth</w:t>
      </w:r>
    </w:p>
    <w:p>
      <w:pPr>
        <w:spacing w:after="0" w:line="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company, if (1) during the last 17 days of the day restricted period, we issue an earnings release or material news or a material event relating to our company occurs; or (2) prior to the expiration of the day restricted period, we announce that we will release earnings results during the 16-day period beginning on the last day of the day period, the restrictions described above shall continue to apply until the expiration of the 18-day period beginning on the issuance of the earnings release or the occurrence of the material news or material event.</w:t>
      </w:r>
    </w:p>
    <w:p>
      <w:pPr>
        <w:spacing w:after="0" w:line="144"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Our directors and executive officers have entered into lock-up agreements with the underwriters prior to the commencement of this offering pursuant to which each of these persons or entities, with limited exceptions, for a period of days after the date of this prospectus, may not, without the prior written</w:t>
      </w:r>
    </w:p>
    <w:p>
      <w:pPr>
        <w:spacing w:after="0" w:line="221" w:lineRule="auto"/>
        <w:rPr>
          <w:sz w:val="20"/>
          <w:szCs w:val="20"/>
          <w:color w:val="auto"/>
        </w:rPr>
      </w:pPr>
      <w:r>
        <w:rPr>
          <w:rFonts w:ascii="Arial" w:cs="Arial" w:eastAsia="Arial" w:hAnsi="Arial"/>
          <w:sz w:val="8"/>
          <w:szCs w:val="8"/>
          <w:color w:val="auto"/>
        </w:rPr>
        <w:t>consent of J.P. Morgan Securities LLC, Merrill Lynch, Pierce, Fenner &amp; Smith Incorporated and Goldman, Sachs &amp; Co.,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Notwithstanding the foregoing, to the extent we are not an emerging growth company, if (1)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last 17 days of the day restricted period, we issue an earnings release or material news or a material event relating to our company occurs; or (2) prior to the expiration of the day restricted period, we announce that we will release earnings results during the 16-day period beginning on the last day of the day</w:t>
      </w:r>
    </w:p>
    <w:p>
      <w:pPr>
        <w:ind w:right="220"/>
        <w:spacing w:after="0" w:line="261" w:lineRule="auto"/>
        <w:rPr>
          <w:sz w:val="20"/>
          <w:szCs w:val="20"/>
          <w:color w:val="auto"/>
        </w:rPr>
      </w:pPr>
      <w:r>
        <w:rPr>
          <w:rFonts w:ascii="Arial" w:cs="Arial" w:eastAsia="Arial" w:hAnsi="Arial"/>
          <w:sz w:val="18"/>
          <w:szCs w:val="18"/>
          <w:color w:val="auto"/>
        </w:rPr>
        <w:t>period, the restrictions described above shall continue to apply until the expiration of the 18-day period beginning on the issuance of the earnings release or the occurrence of the material news or material event.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w:t>
      </w:r>
    </w:p>
    <w:p>
      <w:pPr>
        <w:sectPr>
          <w:pgSz w:w="11900" w:h="16838" w:orient="portrait"/>
          <w:cols w:equalWidth="0" w:num="1">
            <w:col w:w="11400"/>
          </w:cols>
          <w:pgMar w:left="240" w:top="459" w:right="259" w:bottom="1440" w:gutter="0" w:footer="0" w:header="0"/>
        </w:sectPr>
      </w:pP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apply to have our common stock approved for listing/quotation on the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under the symbol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3">
            <w:col w:w="6000" w:space="720"/>
            <w:col w:w="1340" w:space="700"/>
            <w:col w:w="26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1400"/>
          </w:cols>
          <w:pgMar w:left="240" w:top="459" w:right="25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 The underwriters may close out any covered short position either by exercising their over-allotment option,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over-allotment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2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w:t>
      </w:r>
    </w:p>
    <w:p>
      <w:pPr>
        <w:ind w:right="720"/>
        <w:spacing w:after="0" w:line="261" w:lineRule="auto"/>
        <w:rPr>
          <w:sz w:val="20"/>
          <w:szCs w:val="20"/>
          <w:color w:val="auto"/>
        </w:rPr>
      </w:pPr>
      <w:r>
        <w:rPr>
          <w:rFonts w:ascii="Arial" w:cs="Arial" w:eastAsia="Arial" w:hAnsi="Arial"/>
          <w:sz w:val="18"/>
          <w:szCs w:val="18"/>
          <w:color w:val="auto"/>
        </w:rPr>
        <w:t>underwriters commence these activities, they may discontinue them at any time. The underwriters may carry out these transactions on , in the over-the-counter market or otherwise.</w:t>
      </w:r>
    </w:p>
    <w:p>
      <w:pPr>
        <w:spacing w:after="0" w:line="13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59" w:lineRule="exact"/>
        <w:rPr>
          <w:sz w:val="20"/>
          <w:szCs w:val="20"/>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60"/>
          </w:cols>
          <w:pgMar w:left="240" w:top="459" w:right="2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and may in the future provide, a variety of these services to the issuer and to persons and entities with relationships with the issuer, for which they received or will receive customary fees and expenses.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intend to use the net proceeds of this offering, together with our cash and cash equivalents, to pay down outstanding indebtedness under the Revolving Credit Facility (SunTrust), which matures on July 2, 2018. We will not, however, terminate the facility. Affiliates of certain underwriters are lenders under the Revolving Credit Facility (SunTrust). Accordingly, affiliates of certain of the underwriters may receive more than 5% of the proceeds of this offering to the extent the proceeds are used to pay down outstanding indebtedness under the Revolving Credit Facility (SunTrust).</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Addresses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principal business address of J.P. Morgan Securities LLC is 383 Madison Avenue, New York, New York 10179. The principal business address of Merrill Lynch, Pierce, Fenner &amp; Smith Incorporated is One Bryant Park, New York, New York 10036. The principal business address of Goldman, Sachs &amp; Co. is 200 West Street, New York, New York 10282. The principal business address of Citigroup Global Markets Inc. is 388 Greenwich Street, New York, New York 10013. The principal business address of Wells Fargo Securities, LLC is 550 South Tryon Street, Charlotte, North Carolina 28202.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Corporations Act, and does not purport to include the information required for a prospectus, product disclosure statement or other disclosure document under the Corporations 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offer in Australia of the common stock may only be made to persons known as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common stock without disclosure to investors under Chapter 6D of the Corporations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common stock must observe such Australian on-sale restrictions.</w:t>
      </w:r>
    </w:p>
    <w:p>
      <w:pPr>
        <w:spacing w:after="0" w:line="11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common stock to which this prospectus relates may be illiquid or subject to restrictions on their resale. Prospective purchasers of the common stock offered should conduct their own due diligence on the common stock. If you do not understand the contents of this prospectus you should consult an authorized financial advisor.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common stock may be made to the public in that Relevant Member State other than:</w:t>
      </w:r>
    </w:p>
    <w:p>
      <w:pPr>
        <w:spacing w:after="0" w:line="51" w:lineRule="exact"/>
        <w:rPr>
          <w:sz w:val="20"/>
          <w:szCs w:val="20"/>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provided that no such offer of common stock shall require us or the underwriters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Each person in a Relevant Member State who initially acquires any common stock or to whom any offer is made will be deemed to have represented, acknowledged and agreed that it is a “qualified investor” within the meaning of the law in that Relevant Member State implementing Article 2(1)(e) of the Prospectus Directive. In the case of any common stock being offered to a financial intermediary, as that term is used in Article 3(2) of the Prospectus Directive,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common stock to the public other than their offer or resale in a Relevant Member State to qualified investors as so defined or in circumstances in which the prior consent of the underwriters has been obtained to each such proposed offer or resale.</w:t>
      </w:r>
    </w:p>
    <w:p>
      <w:pPr>
        <w:spacing w:after="0" w:line="118"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We, the underwriters and our respective affiliates will rely upon the truth and accuracy of the foregoing representations, acknowledgements and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This prospectus has been prepared on the basis that any offer of common stock in any Relevant Member State will be made pursuant to an exemption under the Prospectus Directive from the requirement to publish a prospectus for offers of common stock. Accordingly any person making or intending to make an offer in that Relevant Member State of common stock which is the subject of the offering contemplated in this prospectus may only do so in circumstances in which no obligation arises for the us or any of the underwriters to publish a prospectus pursuant to Article 3 of the Prospectus Directive in relation to such offer. Neither we nor the underwriters have authorized, nor do they authorize, the making of any offer of common stock in circumstances in which an obligation arises for us or the underwriters to publish a prospectus for such offer.</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purpose of the above provisions, the expression “an offer to the public” in relation to any common stock in any Relevant Member State means the communication in any form and by any means of sufficient information on the terms of the offer and the common stock to be offered so as to enable an investor to decide to purchase or subscribe the common stock,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common stock has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w:t>
      </w:r>
    </w:p>
    <w:p>
      <w:pPr>
        <w:spacing w:after="0" w:line="118"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This prospectus and any other materials relating to the common stock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or distributed to the public in Switzerland or from Switzerland.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prospectus does not constitute an issue prospectus as that term is understood pursuant to Article 652a 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60"/>
          </w:cols>
          <w:pgMar w:left="240" w:top="459" w:right="2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validity of the common stock offered hereby will be passed upon for us by Cleary Gottlieb Steen &amp; Hamilton LLP, New York, New York. In addition, Sutherland Asbill &amp; Brennan LLP will pass on certain legal matters for us in connection with the offering. Cleary Gottlieb Steen &amp; Hamilton LLP also represents the Adviser. Certain legal matters in connection with the offering will be passed upon for the underwriters by Fried, Frank, Harris, Shriver &amp; Jacobson LLP.</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consolidated financial statements of TPG Specialty Lending, Inc. (and subsidiaries) as of December 31, 2012 and 2011, and for the years then ended and the Senior Securities table as of December 31, 2012 and 2011 under the heading “Senior Securities” have been included herein and in the registration statement in reliance upon the reports of KPMG LLP, independent registered public accounting firm, appearing elsewhere herein, and upon the authority of said firm as experts in accounting and auditing.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our shares of common stock offered by this prospectus. The registration statement contains additional information about us and our shares of common stock being offered by this prospectus.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345 California Street Suite 3300, San Francisco, CA 94104, Attention: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r>
        <w:rPr>
          <w:rFonts w:ascii="Arial" w:cs="Arial" w:eastAsia="Arial" w:hAnsi="Arial"/>
          <w:sz w:val="16"/>
          <w:szCs w:val="16"/>
          <w:color w:val="auto"/>
        </w:rPr>
        <w:t>. The SEC maintains a website that contains reports, proxy</w:t>
      </w:r>
      <w:r>
        <w:rPr>
          <w:rFonts w:ascii="Arial" w:cs="Arial" w:eastAsia="Arial" w:hAnsi="Arial"/>
          <w:sz w:val="16"/>
          <w:szCs w:val="16"/>
          <w:i w:val="1"/>
          <w:iCs w:val="1"/>
          <w:color w:val="auto"/>
        </w:rPr>
        <w:t xml:space="preserve">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180" w:type="dxa"/>
            <w:vAlign w:val="bottom"/>
            <w:gridSpan w:val="11"/>
          </w:tcPr>
          <w:p>
            <w:pPr>
              <w:jc w:val="center"/>
              <w:ind w:right="1980"/>
              <w:spacing w:after="0"/>
              <w:rPr>
                <w:sz w:val="20"/>
                <w:szCs w:val="20"/>
                <w:color w:val="auto"/>
              </w:rPr>
            </w:pPr>
            <w:r>
              <w:rPr>
                <w:rFonts w:ascii="Arial" w:cs="Arial" w:eastAsia="Arial" w:hAnsi="Arial"/>
                <w:sz w:val="18"/>
                <w:szCs w:val="18"/>
                <w:b w:val="1"/>
                <w:bCs w:val="1"/>
                <w:color w:val="auto"/>
                <w:w w:val="99"/>
              </w:rPr>
              <w:t>INDEX TO FINANCIAL STATEMENTS</w:t>
            </w:r>
          </w:p>
        </w:tc>
        <w:tc>
          <w:tcPr>
            <w:tcW w:w="2020" w:type="dxa"/>
            <w:vAlign w:val="bottom"/>
          </w:tcPr>
          <w:p>
            <w:pPr>
              <w:spacing w:after="0"/>
              <w:rPr>
                <w:sz w:val="19"/>
                <w:szCs w:val="19"/>
                <w:color w:val="auto"/>
              </w:rPr>
            </w:pPr>
          </w:p>
        </w:tc>
      </w:tr>
      <w:tr>
        <w:trPr>
          <w:trHeight w:val="366"/>
        </w:trPr>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80" w:type="dxa"/>
            <w:vAlign w:val="bottom"/>
            <w:gridSpan w:val="11"/>
          </w:tcPr>
          <w:p>
            <w:pPr>
              <w:jc w:val="center"/>
              <w:ind w:right="2000"/>
              <w:spacing w:after="0"/>
              <w:rPr>
                <w:sz w:val="20"/>
                <w:szCs w:val="20"/>
                <w:color w:val="auto"/>
              </w:rPr>
            </w:pPr>
            <w:r>
              <w:rPr>
                <w:rFonts w:ascii="Arial" w:cs="Arial" w:eastAsia="Arial" w:hAnsi="Arial"/>
                <w:sz w:val="18"/>
                <w:szCs w:val="18"/>
                <w:b w:val="1"/>
                <w:bCs w:val="1"/>
                <w:color w:val="auto"/>
                <w:w w:val="98"/>
              </w:rPr>
              <w:t>TPG SPECIALTY LENDING, INC.</w:t>
            </w:r>
          </w:p>
        </w:tc>
        <w:tc>
          <w:tcPr>
            <w:tcW w:w="2020" w:type="dxa"/>
            <w:vAlign w:val="bottom"/>
          </w:tcPr>
          <w:p>
            <w:pPr>
              <w:spacing w:after="0"/>
              <w:rPr>
                <w:sz w:val="24"/>
                <w:szCs w:val="24"/>
                <w:color w:val="auto"/>
              </w:rPr>
            </w:pPr>
          </w:p>
        </w:tc>
      </w:tr>
      <w:tr>
        <w:trPr>
          <w:trHeight w:val="222"/>
        </w:trPr>
        <w:tc>
          <w:tcPr>
            <w:tcW w:w="9300" w:type="dxa"/>
            <w:vAlign w:val="bottom"/>
            <w:gridSpan w:val="13"/>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2020" w:type="dxa"/>
            <w:vAlign w:val="bottom"/>
          </w:tcPr>
          <w:p>
            <w:pPr>
              <w:spacing w:after="0"/>
              <w:rPr>
                <w:sz w:val="19"/>
                <w:szCs w:val="19"/>
                <w:color w:val="auto"/>
              </w:rPr>
            </w:pPr>
          </w:p>
        </w:tc>
      </w:tr>
      <w:tr>
        <w:trPr>
          <w:trHeight w:val="184"/>
        </w:trPr>
        <w:tc>
          <w:tcPr>
            <w:tcW w:w="9300" w:type="dxa"/>
            <w:vAlign w:val="bottom"/>
            <w:gridSpan w:val="13"/>
          </w:tcPr>
          <w:p>
            <w:pPr>
              <w:spacing w:after="0" w:line="184" w:lineRule="exact"/>
              <w:rPr>
                <w:rFonts w:ascii="Arial" w:cs="Arial" w:eastAsia="Arial" w:hAnsi="Arial"/>
                <w:sz w:val="18"/>
                <w:szCs w:val="18"/>
                <w:color w:val="0000EE"/>
              </w:rPr>
            </w:pPr>
            <w:hyperlink w:anchor="page155">
              <w:r>
                <w:rPr>
                  <w:rFonts w:ascii="Arial" w:cs="Arial" w:eastAsia="Arial" w:hAnsi="Arial"/>
                  <w:sz w:val="18"/>
                  <w:szCs w:val="18"/>
                  <w:color w:val="0000EE"/>
                </w:rPr>
                <w:t>Report of Independent Registered Public Accounting Firm</w:t>
              </w:r>
            </w:hyperlink>
          </w:p>
        </w:tc>
        <w:tc>
          <w:tcPr>
            <w:tcW w:w="202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45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56">
              <w:r>
                <w:rPr>
                  <w:rFonts w:ascii="Arial" w:cs="Arial" w:eastAsia="Arial" w:hAnsi="Arial"/>
                  <w:sz w:val="18"/>
                  <w:szCs w:val="18"/>
                  <w:color w:val="0000EE"/>
                  <w:w w:val="86"/>
                </w:rPr>
                <w:t>Consolidated Balance Sheets as of December 31, 2012 and 2011</w:t>
              </w:r>
            </w:hyperlink>
          </w:p>
        </w:tc>
        <w:tc>
          <w:tcPr>
            <w:tcW w:w="4760" w:type="dxa"/>
            <w:vAlign w:val="bottom"/>
            <w:gridSpan w:val="10"/>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9300" w:type="dxa"/>
            <w:vAlign w:val="bottom"/>
            <w:gridSpan w:val="13"/>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Consolidated Statements of Operations for the years ended December 31, 2012 and 2011</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62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Consolidated Schedules of Investments as of December 31, 2012 and 2011</w:t>
              </w:r>
            </w:hyperlink>
          </w:p>
        </w:tc>
        <w:tc>
          <w:tcPr>
            <w:tcW w:w="3060" w:type="dxa"/>
            <w:vAlign w:val="bottom"/>
            <w:gridSpan w:val="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08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300" w:type="dxa"/>
            <w:vAlign w:val="bottom"/>
            <w:gridSpan w:val="13"/>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Consolidated Statements of Changes in Net Assets for the years ended December 31, 2012 and 2011</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196"/>
        </w:trPr>
        <w:tc>
          <w:tcPr>
            <w:tcW w:w="7060" w:type="dxa"/>
            <w:vAlign w:val="bottom"/>
            <w:tcBorders>
              <w:top w:val="single" w:sz="8" w:color="0000EE"/>
            </w:tcBorders>
            <w:gridSpan w:val="10"/>
          </w:tcPr>
          <w:p>
            <w:pPr>
              <w:spacing w:after="0" w:line="196" w:lineRule="exact"/>
              <w:rPr>
                <w:rFonts w:ascii="Arial" w:cs="Arial" w:eastAsia="Arial" w:hAnsi="Arial"/>
                <w:sz w:val="18"/>
                <w:szCs w:val="18"/>
                <w:color w:val="0000EE"/>
                <w:w w:val="97"/>
              </w:rPr>
            </w:pPr>
            <w:hyperlink w:anchor="page164">
              <w:r>
                <w:rPr>
                  <w:rFonts w:ascii="Arial" w:cs="Arial" w:eastAsia="Arial" w:hAnsi="Arial"/>
                  <w:sz w:val="18"/>
                  <w:szCs w:val="18"/>
                  <w:color w:val="0000EE"/>
                  <w:w w:val="97"/>
                </w:rPr>
                <w:t>Consolidated Statements of Cash Flows for the years ended December 31, 2012 and 2011</w:t>
              </w:r>
            </w:hyperlink>
          </w:p>
        </w:tc>
        <w:tc>
          <w:tcPr>
            <w:tcW w:w="2240" w:type="dxa"/>
            <w:vAlign w:val="bottom"/>
            <w:gridSpan w:val="3"/>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r>
      <w:tr>
        <w:trPr>
          <w:trHeight w:val="196"/>
        </w:trPr>
        <w:tc>
          <w:tcPr>
            <w:tcW w:w="63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Notes to Consolidated Financial Statements</w:t>
              </w:r>
            </w:hyperlink>
          </w:p>
        </w:tc>
        <w:tc>
          <w:tcPr>
            <w:tcW w:w="3000" w:type="dxa"/>
            <w:vAlign w:val="bottom"/>
            <w:gridSpan w:val="6"/>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20"/>
        </w:trPr>
        <w:tc>
          <w:tcPr>
            <w:tcW w:w="3080" w:type="dxa"/>
            <w:vAlign w:val="bottom"/>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36"/>
        </w:trPr>
        <w:tc>
          <w:tcPr>
            <w:tcW w:w="9300" w:type="dxa"/>
            <w:vAlign w:val="bottom"/>
            <w:gridSpan w:val="13"/>
          </w:tcPr>
          <w:p>
            <w:pPr>
              <w:spacing w:after="0"/>
              <w:rPr>
                <w:sz w:val="20"/>
                <w:szCs w:val="20"/>
                <w:color w:val="auto"/>
              </w:rPr>
            </w:pPr>
            <w:r>
              <w:rPr>
                <w:rFonts w:ascii="Arial" w:cs="Arial" w:eastAsia="Arial" w:hAnsi="Arial"/>
                <w:sz w:val="18"/>
                <w:szCs w:val="18"/>
                <w:b w:val="1"/>
                <w:bCs w:val="1"/>
                <w:color w:val="auto"/>
              </w:rPr>
              <w:t>Unaudited Consolidated Financial Statements</w:t>
            </w:r>
          </w:p>
        </w:tc>
        <w:tc>
          <w:tcPr>
            <w:tcW w:w="2020" w:type="dxa"/>
            <w:vAlign w:val="bottom"/>
          </w:tcPr>
          <w:p>
            <w:pPr>
              <w:spacing w:after="0"/>
              <w:rPr>
                <w:sz w:val="24"/>
                <w:szCs w:val="24"/>
                <w:color w:val="auto"/>
              </w:rPr>
            </w:pPr>
          </w:p>
        </w:tc>
      </w:tr>
      <w:tr>
        <w:trPr>
          <w:trHeight w:val="184"/>
        </w:trPr>
        <w:tc>
          <w:tcPr>
            <w:tcW w:w="9300" w:type="dxa"/>
            <w:vAlign w:val="bottom"/>
            <w:gridSpan w:val="13"/>
          </w:tcPr>
          <w:p>
            <w:pPr>
              <w:spacing w:after="0" w:line="184" w:lineRule="exact"/>
              <w:rPr>
                <w:rFonts w:ascii="Arial" w:cs="Arial" w:eastAsia="Arial" w:hAnsi="Arial"/>
                <w:sz w:val="18"/>
                <w:szCs w:val="18"/>
                <w:color w:val="0000EE"/>
              </w:rPr>
            </w:pPr>
            <w:hyperlink w:anchor="page184">
              <w:r>
                <w:rPr>
                  <w:rFonts w:ascii="Arial" w:cs="Arial" w:eastAsia="Arial" w:hAnsi="Arial"/>
                  <w:sz w:val="18"/>
                  <w:szCs w:val="18"/>
                  <w:color w:val="0000EE"/>
                </w:rPr>
                <w:t>Consolidated Balance Sheets as of September 30, 2013 and December 31, 2012</w:t>
              </w:r>
            </w:hyperlink>
          </w:p>
        </w:tc>
        <w:tc>
          <w:tcPr>
            <w:tcW w:w="2020" w:type="dxa"/>
            <w:vAlign w:val="bottom"/>
          </w:tcPr>
          <w:p>
            <w:pPr>
              <w:jc w:val="right"/>
              <w:spacing w:after="0" w:line="184" w:lineRule="exact"/>
              <w:rPr>
                <w:sz w:val="20"/>
                <w:szCs w:val="20"/>
                <w:color w:val="auto"/>
              </w:rPr>
            </w:pPr>
            <w:r>
              <w:rPr>
                <w:rFonts w:ascii="Arial" w:cs="Arial" w:eastAsia="Arial" w:hAnsi="Arial"/>
                <w:sz w:val="18"/>
                <w:szCs w:val="18"/>
                <w:color w:val="auto"/>
              </w:rPr>
              <w:t>F-31</w:t>
            </w:r>
          </w:p>
        </w:tc>
      </w:tr>
      <w:tr>
        <w:trPr>
          <w:trHeight w:val="20"/>
        </w:trPr>
        <w:tc>
          <w:tcPr>
            <w:tcW w:w="308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300" w:type="dxa"/>
            <w:vAlign w:val="bottom"/>
            <w:gridSpan w:val="13"/>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Consolidated Statements of Operations for the three and nine months ended September 30, 2013 and 2012</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r>
      <w:tr>
        <w:trPr>
          <w:trHeight w:val="196"/>
        </w:trPr>
        <w:tc>
          <w:tcPr>
            <w:tcW w:w="74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Consolidated Schedules of Investments as of September 30, 2013 and December 31, 2012</w:t>
              </w:r>
            </w:hyperlink>
          </w:p>
        </w:tc>
        <w:tc>
          <w:tcPr>
            <w:tcW w:w="1840" w:type="dxa"/>
            <w:vAlign w:val="bottom"/>
            <w:gridSpan w:val="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20"/>
        </w:trPr>
        <w:tc>
          <w:tcPr>
            <w:tcW w:w="3080" w:type="dxa"/>
            <w:vAlign w:val="bottom"/>
            <w:shd w:val="clear" w:color="auto" w:fill="0000EE"/>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192">
              <w:r>
                <w:rPr>
                  <w:rFonts w:ascii="Arial" w:cs="Arial" w:eastAsia="Arial" w:hAnsi="Arial"/>
                  <w:sz w:val="18"/>
                  <w:szCs w:val="18"/>
                  <w:color w:val="0000EE"/>
                  <w:w w:val="86"/>
                </w:rPr>
                <w:t>Consolidated Statements of Changes in Net Assets for the nine months ended September 30, 2013 and 2012</w:t>
              </w:r>
            </w:hyperlink>
          </w:p>
        </w:tc>
        <w:tc>
          <w:tcPr>
            <w:tcW w:w="1700" w:type="dxa"/>
            <w:vAlign w:val="bottom"/>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r>
      <w:tr>
        <w:trPr>
          <w:trHeight w:val="196"/>
        </w:trPr>
        <w:tc>
          <w:tcPr>
            <w:tcW w:w="9300" w:type="dxa"/>
            <w:vAlign w:val="bottom"/>
            <w:gridSpan w:val="13"/>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Consolidated Statements of Cash Flows for the nine months ended September 30, 2013 and 2012</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196"/>
        </w:trPr>
        <w:tc>
          <w:tcPr>
            <w:tcW w:w="68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Notes to Consolidated Financial Statements</w:t>
              </w:r>
            </w:hyperlink>
          </w:p>
        </w:tc>
        <w:tc>
          <w:tcPr>
            <w:tcW w:w="248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F-41</w:t>
            </w:r>
          </w:p>
        </w:tc>
      </w:tr>
      <w:tr>
        <w:trPr>
          <w:trHeight w:val="383"/>
        </w:trPr>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40" w:type="dxa"/>
            <w:vAlign w:val="bottom"/>
            <w:gridSpan w:val="9"/>
          </w:tcPr>
          <w:p>
            <w:pPr>
              <w:jc w:val="center"/>
              <w:ind w:right="3120"/>
              <w:spacing w:after="0"/>
              <w:rPr>
                <w:sz w:val="20"/>
                <w:szCs w:val="20"/>
                <w:color w:val="auto"/>
              </w:rPr>
            </w:pPr>
            <w:r>
              <w:rPr>
                <w:rFonts w:ascii="Arial" w:cs="Arial" w:eastAsia="Arial" w:hAnsi="Arial"/>
                <w:sz w:val="18"/>
                <w:szCs w:val="18"/>
                <w:color w:val="auto"/>
                <w:w w:val="88"/>
              </w:rPr>
              <w:t>F-1</w:t>
            </w:r>
          </w:p>
        </w:tc>
        <w:tc>
          <w:tcPr>
            <w:tcW w:w="202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6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have audited the accompanying consolidated balance sheets of TPG Specialty Lending, Inc. (and subsidiaries) (the Company), including the consolidated schedules of investments as of December 31, 2012 and 2011, and the related consolidated statements of operations, changes in net assets, cash flows, and the financial highlights (included in Note 12) for the years then ended. These consolidated financial statements and financial highlights are the responsibility of the Company’s management. Our responsibility is to express an opinion on these consolidated financial statements and financial highlights based on our audits.</w:t>
      </w:r>
    </w:p>
    <w:p>
      <w:pPr>
        <w:spacing w:after="0" w:line="9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and financial highlights are free of material misstatement. An audit includes examining, on a test basis, evidence supporting the amounts and disclosures in the financial statements. Our procedures included confirmation of securities owned as of December 31, 2012 and 2011, by correspondence with custodians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our opinion, the consolidated financial statements and financial highlights referred to above present fairly, in all material respects, the financial position of TPG Specialty Lending, Inc. (and subsidiaries) as of December 31, 2012 and 2011, the results of their operations and their cash flows, the changes in net assets, and the financial highlights for the years then ended, in conformity with U.S. generally accepted accounting principles.</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2013, except for Note 8 and Note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are as of December 10,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$644,421 and $140,255, respectively)</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653,944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141,685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Non-controlled, affiliated investments (amortized cost of $0 and $41,781, respectively)</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investments at fair value (amortized cost of $644,421 and $182,036, respectively)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653,944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161,825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833,149</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332,249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331,836</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353,346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159,157</w:t>
            </w:r>
          </w:p>
        </w:tc>
        <w:tc>
          <w:tcPr>
            <w:tcW w:w="0" w:type="dxa"/>
            <w:vAlign w:val="bottom"/>
          </w:tcPr>
          <w:p>
            <w:pPr>
              <w:spacing w:after="0"/>
              <w:rPr>
                <w:sz w:val="1"/>
                <w:szCs w:val="1"/>
                <w:color w:val="auto"/>
              </w:rPr>
            </w:pPr>
          </w:p>
        </w:tc>
      </w:tr>
      <w:tr>
        <w:trPr>
          <w:trHeight w:val="221"/>
        </w:trPr>
        <w:tc>
          <w:tcPr>
            <w:tcW w:w="896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w w:val="88"/>
              </w:rPr>
              <w:t>Common stock, $0.01 par value; 100,000,000 shares authorized; 31,583,953 and 11,771,513 shares issued, respectively; and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31,582,954 and 11,770,514 shares outstanding, respectively</w:t>
            </w:r>
            <w:r>
              <w:rPr>
                <w:rFonts w:ascii="Arial" w:cs="Arial" w:eastAsia="Arial" w:hAnsi="Arial"/>
                <w:sz w:val="11"/>
                <w:szCs w:val="11"/>
                <w:color w:val="auto"/>
              </w:rPr>
              <w:t>(1)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1"/>
                <w:szCs w:val="11"/>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469,398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999 shares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Undistributed net realized gains on investments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479,803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833,149</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332,249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Asset Value Per Share</w:t>
            </w:r>
            <w:r>
              <w:rPr>
                <w:rFonts w:ascii="Arial" w:cs="Arial" w:eastAsia="Arial" w:hAnsi="Arial"/>
                <w:sz w:val="11"/>
                <w:szCs w:val="11"/>
                <w:b w:val="1"/>
                <w:bCs w:val="1"/>
                <w:color w:val="auto"/>
              </w:rPr>
              <w:t>(1)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right="680" w:hanging="452"/>
        <w:spacing w:after="0" w:line="268"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Year Ended</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6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7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2012</w:t>
            </w:r>
          </w:p>
        </w:tc>
        <w:tc>
          <w:tcPr>
            <w:tcW w:w="7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46,402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80" w:type="dxa"/>
            <w:vAlign w:val="bottom"/>
            <w:gridSpan w:val="2"/>
          </w:tcPr>
          <w:p>
            <w:pPr>
              <w:ind w:left="86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10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47,046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Interest from investments</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2,724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 income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investment income from non-controlled, affiliated investments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740" w:type="dxa"/>
            <w:vAlign w:val="bottom"/>
          </w:tcPr>
          <w:p>
            <w:pPr>
              <w:ind w:left="14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51,011</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6,020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organization</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8,892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6,996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2,881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gridSpan w:val="3"/>
          </w:tcPr>
          <w:p>
            <w:pPr>
              <w:spacing w:after="0"/>
              <w:rPr>
                <w:sz w:val="20"/>
                <w:szCs w:val="20"/>
                <w:color w:val="auto"/>
              </w:rPr>
            </w:pPr>
            <w:r>
              <w:rPr>
                <w:rFonts w:ascii="Arial" w:cs="Arial" w:eastAsia="Arial" w:hAnsi="Arial"/>
                <w:sz w:val="18"/>
                <w:szCs w:val="18"/>
                <w:color w:val="auto"/>
              </w:rPr>
              <w:t>Management fees waived (Note 3)</w:t>
            </w:r>
          </w:p>
        </w:tc>
        <w:tc>
          <w:tcPr>
            <w:tcW w:w="100" w:type="dxa"/>
            <w:vAlign w:val="bottom"/>
          </w:tcPr>
          <w:p>
            <w:pPr>
              <w:spacing w:after="0"/>
              <w:rPr>
                <w:sz w:val="20"/>
                <w:szCs w:val="20"/>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(3,704)</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22,936</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10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28,075</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Net Investment Income (Loss)</w:t>
            </w:r>
          </w:p>
        </w:tc>
        <w:tc>
          <w:tcPr>
            <w:tcW w:w="10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28,029</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Gains on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7,372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4,255</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740" w:type="dxa"/>
            <w:vAlign w:val="bottom"/>
          </w:tcPr>
          <w:p>
            <w:pPr>
              <w:ind w:left="140"/>
              <w:spacing w:after="0"/>
              <w:rPr>
                <w:sz w:val="20"/>
                <w:szCs w:val="20"/>
                <w:color w:val="auto"/>
              </w:rPr>
            </w:pPr>
            <w:r>
              <w:rPr>
                <w:rFonts w:ascii="Arial" w:cs="Arial" w:eastAsia="Arial" w:hAnsi="Arial"/>
                <w:sz w:val="18"/>
                <w:szCs w:val="18"/>
                <w:b w:val="1"/>
                <w:bCs w:val="1"/>
                <w:color w:val="auto"/>
              </w:rPr>
              <w:t>Total Net Gains on Investments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11,566</w:t>
            </w:r>
          </w:p>
        </w:tc>
        <w:tc>
          <w:tcPr>
            <w:tcW w:w="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3"/>
            <w:vMerge w:val="restart"/>
          </w:tcPr>
          <w:p>
            <w:pPr>
              <w:spacing w:after="0"/>
              <w:rPr>
                <w:sz w:val="20"/>
                <w:szCs w:val="20"/>
                <w:color w:val="auto"/>
              </w:rPr>
            </w:pPr>
            <w:r>
              <w:rPr>
                <w:rFonts w:ascii="Arial" w:cs="Arial" w:eastAsia="Arial" w:hAnsi="Arial"/>
                <w:sz w:val="18"/>
                <w:szCs w:val="18"/>
                <w:color w:val="auto"/>
              </w:rPr>
              <w:t>Earnings per common share – basic and diluted</w:t>
            </w:r>
            <w:r>
              <w:rPr>
                <w:rFonts w:ascii="Arial" w:cs="Arial" w:eastAsia="Arial" w:hAnsi="Arial"/>
                <w:sz w:val="11"/>
                <w:szCs w:val="11"/>
                <w:color w:val="auto"/>
              </w:rPr>
              <w:t>(1)</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 – basic and diluted</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20,541,475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3,347,602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68"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2600" w:type="dxa"/>
            <w:vAlign w:val="bottom"/>
            <w:vMerge w:val="restart"/>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Interest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Acquisition</w:t>
            </w:r>
          </w:p>
        </w:tc>
        <w:tc>
          <w:tcPr>
            <w:tcW w:w="2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78"/>
              </w:rPr>
              <w:t>Amortized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1800" w:type="dxa"/>
            <w:vAlign w:val="bottom"/>
            <w:gridSpan w:val="2"/>
          </w:tcPr>
          <w:p>
            <w:pPr>
              <w:ind w:left="540"/>
              <w:spacing w:after="0"/>
              <w:rPr>
                <w:sz w:val="20"/>
                <w:szCs w:val="20"/>
                <w:color w:val="auto"/>
              </w:rPr>
            </w:pPr>
            <w:r>
              <w:rPr>
                <w:rFonts w:ascii="Arial" w:cs="Arial" w:eastAsia="Arial" w:hAnsi="Arial"/>
                <w:sz w:val="14"/>
                <w:szCs w:val="14"/>
                <w:b w:val="1"/>
                <w:bCs w:val="1"/>
                <w:color w:val="auto"/>
              </w:rPr>
              <w:t>Industry</w:t>
            </w: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5"/>
                <w:szCs w:val="15"/>
                <w:color w:val="auto"/>
              </w:rPr>
            </w:pPr>
          </w:p>
        </w:tc>
        <w:tc>
          <w:tcPr>
            <w:tcW w:w="560" w:type="dxa"/>
            <w:vAlign w:val="bottom"/>
          </w:tcPr>
          <w:p>
            <w:pPr>
              <w:jc w:val="right"/>
              <w:ind w:right="13"/>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2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22"/>
        </w:trPr>
        <w:tc>
          <w:tcPr>
            <w:tcW w:w="33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Senior Secured First-Lien Loans</w:t>
            </w:r>
          </w:p>
        </w:tc>
        <w:tc>
          <w:tcPr>
            <w:tcW w:w="15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AFS Technologies, Inc. </w:t>
            </w:r>
            <w:r>
              <w:rPr>
                <w:rFonts w:ascii="Arial" w:cs="Arial" w:eastAsia="Arial" w:hAnsi="Arial"/>
                <w:sz w:val="15"/>
                <w:szCs w:val="15"/>
                <w:color w:val="auto"/>
                <w:vertAlign w:val="superscript"/>
              </w:rPr>
              <w:t>(3)(4)(5)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Beverage, food and tobacco</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($46,884 par, due 8/2015)</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8/31/2011</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45,987</w:t>
            </w:r>
          </w:p>
        </w:tc>
        <w:tc>
          <w:tcPr>
            <w:tcW w:w="4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46,532</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Ecommerce Industries, Inc. </w:t>
            </w:r>
            <w:r>
              <w:rPr>
                <w:rFonts w:ascii="Arial" w:cs="Arial" w:eastAsia="Arial" w:hAnsi="Arial"/>
                <w:sz w:val="15"/>
                <w:szCs w:val="15"/>
                <w:color w:val="auto"/>
                <w:vertAlign w:val="superscript"/>
              </w:rPr>
              <w:t>(3)(4)(5)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Office products</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8"/>
              </w:rPr>
              <w:t>($21,562 par, due 10/2016)</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1"/>
              </w:rPr>
              <w:t>10/17/2011</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21,286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21,808</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MSC.Software Corporation </w:t>
            </w:r>
            <w:r>
              <w:rPr>
                <w:rFonts w:ascii="Arial" w:cs="Arial" w:eastAsia="Arial" w:hAnsi="Arial"/>
                <w:sz w:val="15"/>
                <w:szCs w:val="15"/>
                <w:color w:val="auto"/>
                <w:vertAlign w:val="superscript"/>
              </w:rPr>
              <w:t>(3)(4)(5)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Aerospace and defense</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w w:val="98"/>
              </w:rPr>
              <w:t>($56,266 par, due 11/2017)</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12/23/2011</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55,423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55,984</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Federal Signal Corporation </w:t>
            </w:r>
            <w:r>
              <w:rPr>
                <w:rFonts w:ascii="Arial" w:cs="Arial" w:eastAsia="Arial" w:hAnsi="Arial"/>
                <w:sz w:val="15"/>
                <w:szCs w:val="15"/>
                <w:color w:val="auto"/>
                <w:vertAlign w:val="superscript"/>
              </w:rPr>
              <w:t>(3)(5)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Capital equipment</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($41,608 par, due 2/2017)</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12.00%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2/22/2012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40,897</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43,064</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Mandalay Baseball Properties, LLC </w:t>
            </w:r>
            <w:r>
              <w:rPr>
                <w:rFonts w:ascii="Arial" w:cs="Arial" w:eastAsia="Arial" w:hAnsi="Arial"/>
                <w:sz w:val="15"/>
                <w:szCs w:val="15"/>
                <w:color w:val="auto"/>
                <w:vertAlign w:val="superscript"/>
              </w:rPr>
              <w:t>(3)(5)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Hotel, gaming</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9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12.00%</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and leisure</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($28,414 par, due 3/2017)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5"/>
              </w:rPr>
              <w:t>(incl.4.00%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PIK)</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4/12/2012</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27,684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28,556</w:t>
            </w:r>
          </w:p>
        </w:tc>
        <w:tc>
          <w:tcPr>
            <w:tcW w:w="1180" w:type="dxa"/>
            <w:vAlign w:val="bottom"/>
            <w:gridSpan w:val="3"/>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Infogix, Inc. </w:t>
            </w:r>
            <w:r>
              <w:rPr>
                <w:rFonts w:ascii="Arial" w:cs="Arial" w:eastAsia="Arial" w:hAnsi="Arial"/>
                <w:sz w:val="15"/>
                <w:szCs w:val="15"/>
                <w:color w:val="auto"/>
                <w:vertAlign w:val="superscript"/>
              </w:rPr>
              <w:t>(3)(5)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Insurance</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($30,613 par, due 6/2017)</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10.00%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6/1/2012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29,974</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30,346</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Attachmate Corporation </w:t>
            </w:r>
            <w:r>
              <w:rPr>
                <w:rFonts w:ascii="Arial" w:cs="Arial" w:eastAsia="Arial" w:hAnsi="Arial"/>
                <w:sz w:val="15"/>
                <w:szCs w:val="15"/>
                <w:color w:val="auto"/>
                <w:vertAlign w:val="superscript"/>
              </w:rPr>
              <w:t>(3)(5)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Business services</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($926 par, due 11/2017)</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7.25%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6/25/2012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944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894</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eResearch Technology, Inc. </w:t>
            </w:r>
            <w:r>
              <w:rPr>
                <w:rFonts w:ascii="Arial" w:cs="Arial" w:eastAsia="Arial" w:hAnsi="Arial"/>
                <w:sz w:val="15"/>
                <w:szCs w:val="15"/>
                <w:color w:val="auto"/>
                <w:vertAlign w:val="superscript"/>
              </w:rPr>
              <w:t>(3)(5)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Healthcare and</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pharmaceuticals</w:t>
            </w: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($24,937 par, due 5/2018)</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7/3/2012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24,006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24,626</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Teletrac, Inc. </w:t>
            </w:r>
            <w:r>
              <w:rPr>
                <w:rFonts w:ascii="Arial" w:cs="Arial" w:eastAsia="Arial" w:hAnsi="Arial"/>
                <w:sz w:val="15"/>
                <w:szCs w:val="15"/>
                <w:color w:val="auto"/>
                <w:vertAlign w:val="superscript"/>
              </w:rPr>
              <w:t>(3)(4)(5)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($17,413 par, due 7/2017)</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6.65%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7/23/2012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17,049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17,151</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Consona Holdings, Inc. </w:t>
            </w:r>
            <w:r>
              <w:rPr>
                <w:rFonts w:ascii="Arial" w:cs="Arial" w:eastAsia="Arial" w:hAnsi="Arial"/>
                <w:sz w:val="15"/>
                <w:szCs w:val="15"/>
                <w:color w:val="auto"/>
                <w:vertAlign w:val="superscript"/>
              </w:rPr>
              <w:t>(3)(5)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Business services</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($29,925 par, due 8/2018)</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8/13/2012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29,514</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29,925</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Heartland Automotive Holdings, LLC </w:t>
            </w:r>
            <w:r>
              <w:rPr>
                <w:rFonts w:ascii="Arial" w:cs="Arial" w:eastAsia="Arial" w:hAnsi="Arial"/>
                <w:sz w:val="15"/>
                <w:szCs w:val="15"/>
                <w:color w:val="auto"/>
                <w:vertAlign w:val="superscript"/>
              </w:rPr>
              <w:t>(3)(5)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Automotive</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($38,951 par, due 6/2017)</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9.00%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8/28/2012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37,998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38,075</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Synagro Technologies, Inc. </w:t>
            </w:r>
            <w:r>
              <w:rPr>
                <w:rFonts w:ascii="Arial" w:cs="Arial" w:eastAsia="Arial" w:hAnsi="Arial"/>
                <w:sz w:val="15"/>
                <w:szCs w:val="15"/>
                <w:color w:val="auto"/>
                <w:vertAlign w:val="superscript"/>
              </w:rPr>
              <w:t>(3)</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Environmental industries</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($3,134 par, due 10/2014)</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2.31%</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11/8/2012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2,759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2,813</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International Equipment Solutions, Inc. </w:t>
            </w:r>
            <w:r>
              <w:rPr>
                <w:rFonts w:ascii="Arial" w:cs="Arial" w:eastAsia="Arial" w:hAnsi="Arial"/>
                <w:sz w:val="15"/>
                <w:szCs w:val="15"/>
                <w:color w:val="auto"/>
                <w:vertAlign w:val="superscript"/>
              </w:rPr>
              <w:t>(3)(5)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Capital</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0" w:type="dxa"/>
            <w:vAlign w:val="bottom"/>
            <w:gridSpan w:val="2"/>
          </w:tcPr>
          <w:p>
            <w:pPr>
              <w:spacing w:after="0" w:line="159" w:lineRule="exact"/>
              <w:rPr>
                <w:sz w:val="20"/>
                <w:szCs w:val="20"/>
                <w:color w:val="auto"/>
              </w:rPr>
            </w:pPr>
            <w:r>
              <w:rPr>
                <w:rFonts w:ascii="Arial" w:cs="Arial" w:eastAsia="Arial" w:hAnsi="Arial"/>
                <w:sz w:val="14"/>
                <w:szCs w:val="14"/>
                <w:color w:val="auto"/>
              </w:rPr>
              <w:t>equipment</w:t>
            </w: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($29,391 par, due 9/2016)</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9/18/2012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28,732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28,876</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Mediware Information Systems, Inc. </w:t>
            </w:r>
            <w:r>
              <w:rPr>
                <w:rFonts w:ascii="Arial" w:cs="Arial" w:eastAsia="Arial" w:hAnsi="Arial"/>
                <w:sz w:val="15"/>
                <w:szCs w:val="15"/>
                <w:color w:val="auto"/>
                <w:vertAlign w:val="superscript"/>
              </w:rPr>
              <w:t>(3)(4)(5)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Healthcare and</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pharmaceuticals</w:t>
            </w: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($50,500 par, due 5/2018)</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11/9/2012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49,230</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49,218</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SumTotal Systems, LLC </w:t>
            </w:r>
            <w:r>
              <w:rPr>
                <w:rFonts w:ascii="Arial" w:cs="Arial" w:eastAsia="Arial" w:hAnsi="Arial"/>
                <w:sz w:val="15"/>
                <w:szCs w:val="15"/>
                <w:color w:val="auto"/>
                <w:vertAlign w:val="superscript"/>
              </w:rPr>
              <w:t>(3)</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Human resource support</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0" w:type="dxa"/>
            <w:vAlign w:val="bottom"/>
            <w:gridSpan w:val="2"/>
          </w:tcPr>
          <w:p>
            <w:pPr>
              <w:spacing w:after="0" w:line="159" w:lineRule="exact"/>
              <w:rPr>
                <w:sz w:val="20"/>
                <w:szCs w:val="20"/>
                <w:color w:val="auto"/>
              </w:rPr>
            </w:pPr>
            <w:r>
              <w:rPr>
                <w:rFonts w:ascii="Arial" w:cs="Arial" w:eastAsia="Arial" w:hAnsi="Arial"/>
                <w:sz w:val="14"/>
                <w:szCs w:val="14"/>
                <w:color w:val="auto"/>
              </w:rPr>
              <w:t>services</w:t>
            </w: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w w:val="98"/>
              </w:rPr>
              <w:t>($10,000 par, due 11/2018)</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6.25%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11/16/2012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9,867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9,925</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Rogue Wave Holdings, Inc. </w:t>
            </w:r>
            <w:r>
              <w:rPr>
                <w:rFonts w:ascii="Arial" w:cs="Arial" w:eastAsia="Arial" w:hAnsi="Arial"/>
                <w:sz w:val="15"/>
                <w:szCs w:val="15"/>
                <w:color w:val="auto"/>
                <w:vertAlign w:val="superscript"/>
              </w:rPr>
              <w:t>(3)(4)(5)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Financial services</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8"/>
              </w:rPr>
              <w:t>($40,000 par, due 11/2017)</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8.25%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1"/>
              </w:rPr>
              <w:t>11/21/2012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38,947</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39,600</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Embarcadero Technologies, Inc. </w:t>
            </w:r>
            <w:r>
              <w:rPr>
                <w:rFonts w:ascii="Arial" w:cs="Arial" w:eastAsia="Arial" w:hAnsi="Arial"/>
                <w:sz w:val="15"/>
                <w:szCs w:val="15"/>
                <w:color w:val="auto"/>
                <w:vertAlign w:val="superscript"/>
              </w:rPr>
              <w:t>(3)(4)(5)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Financial services</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w w:val="98"/>
              </w:rPr>
              <w:t>($59,714 par, due 12/2017)</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12/28/2012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58,223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58,221</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SRS Software, LLC </w:t>
            </w:r>
            <w:r>
              <w:rPr>
                <w:rFonts w:ascii="Arial" w:cs="Arial" w:eastAsia="Arial" w:hAnsi="Arial"/>
                <w:sz w:val="15"/>
                <w:szCs w:val="15"/>
                <w:color w:val="auto"/>
                <w:vertAlign w:val="superscript"/>
              </w:rPr>
              <w:t>(3)(5)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Healthcare and</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pharmaceuticals</w:t>
            </w: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8"/>
              </w:rPr>
              <w:t>($37,500 par, due 12/2017)</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8.75%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1"/>
              </w:rPr>
              <w:t>12/28/2012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36,439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36,563</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Sage Automotive Interiors, Inc. </w:t>
            </w:r>
            <w:r>
              <w:rPr>
                <w:rFonts w:ascii="Arial" w:cs="Arial" w:eastAsia="Arial" w:hAnsi="Arial"/>
                <w:sz w:val="15"/>
                <w:szCs w:val="15"/>
                <w:color w:val="auto"/>
                <w:vertAlign w:val="superscript"/>
              </w:rPr>
              <w:t>(3)(4)(5)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Automotive</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w w:val="98"/>
              </w:rPr>
              <w:t>($19,878 par, due 12/2016)</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9.50%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12/31/2012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19,717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19,679</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Total Senior Secured Loans</w:t>
            </w: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574,676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581,856</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Interest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Acquisition</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Amortized</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62"/>
        </w:trPr>
        <w:tc>
          <w:tcPr>
            <w:tcW w:w="3180" w:type="dxa"/>
            <w:vAlign w:val="bottom"/>
            <w:gridSpan w:val="3"/>
            <w:vMerge w:val="continue"/>
          </w:tcPr>
          <w:p>
            <w:pPr>
              <w:spacing w:after="0"/>
              <w:rPr>
                <w:sz w:val="14"/>
                <w:szCs w:val="14"/>
                <w:color w:val="auto"/>
              </w:rPr>
            </w:pPr>
          </w:p>
        </w:tc>
        <w:tc>
          <w:tcPr>
            <w:tcW w:w="1600" w:type="dxa"/>
            <w:vAlign w:val="bottom"/>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Rate</w:t>
            </w: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Date</w:t>
            </w:r>
          </w:p>
        </w:tc>
        <w:tc>
          <w:tcPr>
            <w:tcW w:w="920" w:type="dxa"/>
            <w:vAlign w:val="bottom"/>
            <w:gridSpan w:val="2"/>
          </w:tcPr>
          <w:p>
            <w:pPr>
              <w:jc w:val="center"/>
              <w:ind w:right="30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2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316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Senior Secured</w:t>
            </w:r>
          </w:p>
        </w:tc>
        <w:tc>
          <w:tcPr>
            <w:tcW w:w="1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Second-Lien</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Loans</w:t>
            </w:r>
          </w:p>
        </w:tc>
        <w:tc>
          <w:tcPr>
            <w:tcW w:w="1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Mannington Mills, Inc. </w:t>
            </w:r>
            <w:r>
              <w:rPr>
                <w:rFonts w:ascii="Arial" w:cs="Arial" w:eastAsia="Arial" w:hAnsi="Arial"/>
                <w:sz w:val="15"/>
                <w:szCs w:val="15"/>
                <w:color w:val="auto"/>
                <w:vertAlign w:val="superscript"/>
              </w:rPr>
              <w:t>(3)(5)</w:t>
            </w:r>
          </w:p>
        </w:tc>
        <w:tc>
          <w:tcPr>
            <w:tcW w:w="1600" w:type="dxa"/>
            <w:vAlign w:val="bottom"/>
          </w:tcPr>
          <w:p>
            <w:pPr>
              <w:spacing w:after="0" w:line="138" w:lineRule="exact"/>
              <w:rPr>
                <w:sz w:val="20"/>
                <w:szCs w:val="20"/>
                <w:color w:val="auto"/>
              </w:rPr>
            </w:pPr>
            <w:r>
              <w:rPr>
                <w:rFonts w:ascii="Arial" w:cs="Arial" w:eastAsia="Arial" w:hAnsi="Arial"/>
                <w:sz w:val="14"/>
                <w:szCs w:val="14"/>
                <w:color w:val="auto"/>
                <w:w w:val="99"/>
              </w:rPr>
              <w:t>Construction and building</w:t>
            </w:r>
          </w:p>
        </w:tc>
        <w:tc>
          <w:tcPr>
            <w:tcW w:w="1920" w:type="dxa"/>
            <w:vAlign w:val="bottom"/>
            <w:gridSpan w:val="3"/>
          </w:tcPr>
          <w:p>
            <w:pPr>
              <w:ind w:left="220"/>
              <w:spacing w:after="0" w:line="138" w:lineRule="exact"/>
              <w:rPr>
                <w:sz w:val="20"/>
                <w:szCs w:val="20"/>
                <w:color w:val="auto"/>
              </w:rPr>
            </w:pPr>
            <w:r>
              <w:rPr>
                <w:rFonts w:ascii="Arial" w:cs="Arial" w:eastAsia="Arial" w:hAnsi="Arial"/>
                <w:sz w:val="14"/>
                <w:szCs w:val="14"/>
                <w:color w:val="auto"/>
                <w:w w:val="99"/>
              </w:rPr>
              <w:t>Senior secured second-lien</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14.00%</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9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loan ($50,537 par, due</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(incl.2.00%</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0" w:type="dxa"/>
            <w:vAlign w:val="bottom"/>
            <w:gridSpan w:val="2"/>
          </w:tcPr>
          <w:p>
            <w:pPr>
              <w:ind w:left="220"/>
              <w:spacing w:after="0"/>
              <w:rPr>
                <w:sz w:val="20"/>
                <w:szCs w:val="20"/>
                <w:color w:val="auto"/>
              </w:rPr>
            </w:pPr>
            <w:r>
              <w:rPr>
                <w:rFonts w:ascii="Arial" w:cs="Arial" w:eastAsia="Arial" w:hAnsi="Arial"/>
                <w:sz w:val="14"/>
                <w:szCs w:val="14"/>
                <w:color w:val="auto"/>
              </w:rPr>
              <w:t>3/2017)</w:t>
            </w:r>
          </w:p>
        </w:tc>
        <w:tc>
          <w:tcPr>
            <w:tcW w:w="12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PIK)</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3/2/2012</w:t>
            </w:r>
          </w:p>
        </w:tc>
        <w:tc>
          <w:tcPr>
            <w:tcW w:w="640" w:type="dxa"/>
            <w:vAlign w:val="bottom"/>
          </w:tcPr>
          <w:p>
            <w:pPr>
              <w:jc w:val="right"/>
              <w:spacing w:after="0"/>
              <w:rPr>
                <w:sz w:val="20"/>
                <w:szCs w:val="20"/>
                <w:color w:val="auto"/>
              </w:rPr>
            </w:pPr>
            <w:r>
              <w:rPr>
                <w:rFonts w:ascii="Arial" w:cs="Arial" w:eastAsia="Arial" w:hAnsi="Arial"/>
                <w:sz w:val="14"/>
                <w:szCs w:val="14"/>
                <w:color w:val="auto"/>
              </w:rPr>
              <w:t>49,551</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53,190</w:t>
            </w:r>
          </w:p>
        </w:tc>
        <w:tc>
          <w:tcPr>
            <w:tcW w:w="1240" w:type="dxa"/>
            <w:vAlign w:val="bottom"/>
            <w:gridSpan w:val="3"/>
          </w:tcPr>
          <w:p>
            <w:pPr>
              <w:jc w:val="right"/>
              <w:ind w:right="4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SumTotal Systems, LLC </w:t>
            </w:r>
            <w:r>
              <w:rPr>
                <w:rFonts w:ascii="Arial" w:cs="Arial" w:eastAsia="Arial" w:hAnsi="Arial"/>
                <w:sz w:val="15"/>
                <w:szCs w:val="15"/>
                <w:color w:val="auto"/>
                <w:vertAlign w:val="superscript"/>
              </w:rPr>
              <w:t>(3)</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Human resources support</w:t>
            </w:r>
          </w:p>
        </w:tc>
        <w:tc>
          <w:tcPr>
            <w:tcW w:w="192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w w:val="99"/>
              </w:rPr>
              <w:t>Senior secured second-lien</w:t>
            </w: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services</w:t>
            </w:r>
          </w:p>
        </w:tc>
        <w:tc>
          <w:tcPr>
            <w:tcW w:w="19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loan ($5,000 par, due</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5/2018)</w:t>
            </w: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10.25%</w:t>
            </w:r>
          </w:p>
        </w:tc>
        <w:tc>
          <w:tcPr>
            <w:tcW w:w="9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w w:val="94"/>
              </w:rPr>
              <w:t>11/16/2012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4,950</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4,925</w:t>
            </w:r>
          </w:p>
        </w:tc>
        <w:tc>
          <w:tcPr>
            <w:tcW w:w="12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Synagro Technologies, Inc. </w:t>
            </w:r>
            <w:r>
              <w:rPr>
                <w:rFonts w:ascii="Arial" w:cs="Arial" w:eastAsia="Arial" w:hAnsi="Arial"/>
                <w:sz w:val="15"/>
                <w:szCs w:val="15"/>
                <w:color w:val="auto"/>
                <w:vertAlign w:val="superscript"/>
              </w:rPr>
              <w:t>(3)</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Environmental industries</w:t>
            </w:r>
          </w:p>
        </w:tc>
        <w:tc>
          <w:tcPr>
            <w:tcW w:w="1920" w:type="dxa"/>
            <w:vAlign w:val="bottom"/>
            <w:gridSpan w:val="3"/>
          </w:tcPr>
          <w:p>
            <w:pPr>
              <w:ind w:left="220"/>
              <w:spacing w:after="0" w:line="138" w:lineRule="exact"/>
              <w:rPr>
                <w:sz w:val="20"/>
                <w:szCs w:val="20"/>
                <w:color w:val="auto"/>
              </w:rPr>
            </w:pPr>
            <w:r>
              <w:rPr>
                <w:rFonts w:ascii="Arial" w:cs="Arial" w:eastAsia="Arial" w:hAnsi="Arial"/>
                <w:sz w:val="14"/>
                <w:szCs w:val="14"/>
                <w:color w:val="auto"/>
                <w:w w:val="99"/>
              </w:rPr>
              <w:t>Senior secured second-lien</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9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loan ($5,670 par, due</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10/2014)</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7.00%</w:t>
            </w: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9/14/2012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2,814</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1,517</w:t>
            </w:r>
          </w:p>
        </w:tc>
        <w:tc>
          <w:tcPr>
            <w:tcW w:w="280" w:type="dxa"/>
            <w:vAlign w:val="bottom"/>
          </w:tcPr>
          <w:p>
            <w:pPr>
              <w:spacing w:after="0"/>
              <w:rPr>
                <w:sz w:val="13"/>
                <w:szCs w:val="13"/>
                <w:color w:val="auto"/>
              </w:rPr>
            </w:pP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w w:val="99"/>
              </w:rPr>
              <w:t>Total Senior Secured Second-Lien Loans</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57,315</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59,632</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56"/>
        </w:trPr>
        <w:tc>
          <w:tcPr>
            <w:tcW w:w="31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Senior Secured Revolving Loans</w:t>
            </w: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Heartland Automotive Holdings, LLC </w:t>
            </w:r>
            <w:r>
              <w:rPr>
                <w:rFonts w:ascii="Arial" w:cs="Arial" w:eastAsia="Arial" w:hAnsi="Arial"/>
                <w:sz w:val="15"/>
                <w:szCs w:val="15"/>
                <w:color w:val="auto"/>
                <w:vertAlign w:val="superscript"/>
              </w:rPr>
              <w:t>(3)(5)</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Automotive</w:t>
            </w:r>
          </w:p>
        </w:tc>
        <w:tc>
          <w:tcPr>
            <w:tcW w:w="192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Senior secured revolving</w:t>
            </w: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92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w w:val="97"/>
              </w:rPr>
              <w:t>loan ($555 par, due 6/2017)</w:t>
            </w:r>
          </w:p>
        </w:tc>
        <w:tc>
          <w:tcPr>
            <w:tcW w:w="9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10.00%</w:t>
            </w:r>
          </w:p>
        </w:tc>
        <w:tc>
          <w:tcPr>
            <w:tcW w:w="9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8/28/2012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413</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431</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Senior Secured Revolving Loans</w:t>
            </w: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160" w:type="dxa"/>
            <w:vAlign w:val="bottom"/>
            <w:gridSpan w:val="2"/>
            <w:vMerge w:val="continue"/>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413</w:t>
            </w:r>
          </w:p>
        </w:tc>
        <w:tc>
          <w:tcPr>
            <w:tcW w:w="2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431</w:t>
            </w:r>
          </w:p>
        </w:tc>
        <w:tc>
          <w:tcPr>
            <w:tcW w:w="280" w:type="dxa"/>
            <w:vAlign w:val="bottom"/>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Secured Corporate Bonds</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Checkers Drive-In Restaurants, Inc. </w:t>
            </w:r>
            <w:r>
              <w:rPr>
                <w:rFonts w:ascii="Arial" w:cs="Arial" w:eastAsia="Arial" w:hAnsi="Arial"/>
                <w:sz w:val="15"/>
                <w:szCs w:val="15"/>
                <w:color w:val="auto"/>
                <w:vertAlign w:val="superscript"/>
              </w:rPr>
              <w:t>(5)</w:t>
            </w:r>
          </w:p>
        </w:tc>
        <w:tc>
          <w:tcPr>
            <w:tcW w:w="1600" w:type="dxa"/>
            <w:vAlign w:val="bottom"/>
          </w:tcPr>
          <w:p>
            <w:pPr>
              <w:spacing w:after="0" w:line="138" w:lineRule="exact"/>
              <w:rPr>
                <w:sz w:val="20"/>
                <w:szCs w:val="20"/>
                <w:color w:val="auto"/>
              </w:rPr>
            </w:pPr>
            <w:r>
              <w:rPr>
                <w:rFonts w:ascii="Arial" w:cs="Arial" w:eastAsia="Arial" w:hAnsi="Arial"/>
                <w:sz w:val="14"/>
                <w:szCs w:val="14"/>
                <w:color w:val="auto"/>
                <w:w w:val="90"/>
              </w:rPr>
              <w:t>Beverage, food and tobacco</w:t>
            </w:r>
          </w:p>
        </w:tc>
        <w:tc>
          <w:tcPr>
            <w:tcW w:w="1920" w:type="dxa"/>
            <w:vAlign w:val="bottom"/>
            <w:gridSpan w:val="3"/>
          </w:tcPr>
          <w:p>
            <w:pPr>
              <w:ind w:left="220"/>
              <w:spacing w:after="0" w:line="138" w:lineRule="exact"/>
              <w:rPr>
                <w:sz w:val="20"/>
                <w:szCs w:val="20"/>
                <w:color w:val="auto"/>
              </w:rPr>
            </w:pPr>
            <w:r>
              <w:rPr>
                <w:rFonts w:ascii="Arial" w:cs="Arial" w:eastAsia="Arial" w:hAnsi="Arial"/>
                <w:sz w:val="14"/>
                <w:szCs w:val="14"/>
                <w:color w:val="auto"/>
              </w:rPr>
              <w:t>Senior secured bond</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920" w:type="dxa"/>
            <w:vAlign w:val="bottom"/>
            <w:gridSpan w:val="3"/>
          </w:tcPr>
          <w:p>
            <w:pPr>
              <w:ind w:left="220"/>
              <w:spacing w:after="0" w:line="159" w:lineRule="exact"/>
              <w:rPr>
                <w:sz w:val="20"/>
                <w:szCs w:val="20"/>
                <w:color w:val="auto"/>
              </w:rPr>
            </w:pPr>
            <w:r>
              <w:rPr>
                <w:rFonts w:ascii="Arial" w:cs="Arial" w:eastAsia="Arial" w:hAnsi="Arial"/>
                <w:sz w:val="14"/>
                <w:szCs w:val="14"/>
                <w:color w:val="auto"/>
                <w:w w:val="98"/>
              </w:rPr>
              <w:t>($10,000 par, due 12/2017)</w:t>
            </w: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11.00%</w:t>
            </w: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94"/>
              </w:rPr>
              <w:t>11/16/2012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10,017</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10,025</w:t>
            </w:r>
          </w:p>
        </w:tc>
        <w:tc>
          <w:tcPr>
            <w:tcW w:w="280" w:type="dxa"/>
            <w:vAlign w:val="bottom"/>
          </w:tcPr>
          <w:p>
            <w:pPr>
              <w:spacing w:after="0"/>
              <w:rPr>
                <w:sz w:val="13"/>
                <w:szCs w:val="13"/>
                <w:color w:val="auto"/>
              </w:rPr>
            </w:pP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Senior Secured Corporate Bonds</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10,017</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10,025</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6"/>
        </w:trPr>
        <w:tc>
          <w:tcPr>
            <w:tcW w:w="31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Equity</w:t>
            </w: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SRS Parent Corp.</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Healthcare and</w:t>
            </w:r>
          </w:p>
        </w:tc>
        <w:tc>
          <w:tcPr>
            <w:tcW w:w="192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Common Shares Class A</w:t>
            </w: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pharmaceuticals</w:t>
            </w:r>
          </w:p>
        </w:tc>
        <w:tc>
          <w:tcPr>
            <w:tcW w:w="192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(1,980 shares)</w:t>
            </w: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w w:val="94"/>
              </w:rPr>
              <w:t>12/28/2012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1,980</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1,980</w:t>
            </w:r>
          </w:p>
        </w:tc>
        <w:tc>
          <w:tcPr>
            <w:tcW w:w="12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920" w:type="dxa"/>
            <w:vAlign w:val="bottom"/>
            <w:gridSpan w:val="3"/>
          </w:tcPr>
          <w:p>
            <w:pPr>
              <w:ind w:left="220"/>
              <w:spacing w:after="0" w:line="138" w:lineRule="exact"/>
              <w:rPr>
                <w:sz w:val="20"/>
                <w:szCs w:val="20"/>
                <w:color w:val="auto"/>
              </w:rPr>
            </w:pPr>
            <w:r>
              <w:rPr>
                <w:rFonts w:ascii="Arial" w:cs="Arial" w:eastAsia="Arial" w:hAnsi="Arial"/>
                <w:sz w:val="14"/>
                <w:szCs w:val="14"/>
                <w:color w:val="auto"/>
              </w:rPr>
              <w:t>Common Shares Class B</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92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(2,953,020 shares)</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94"/>
              </w:rPr>
              <w:t>12/28/2012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w:t>
            </w:r>
          </w:p>
        </w:tc>
        <w:tc>
          <w:tcPr>
            <w:tcW w:w="280" w:type="dxa"/>
            <w:vAlign w:val="bottom"/>
          </w:tcPr>
          <w:p>
            <w:pPr>
              <w:spacing w:after="0"/>
              <w:rPr>
                <w:sz w:val="13"/>
                <w:szCs w:val="13"/>
                <w:color w:val="auto"/>
              </w:rPr>
            </w:pP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Equity</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80" w:type="dxa"/>
            <w:vAlign w:val="bottom"/>
            <w:gridSpan w:val="3"/>
            <w:vMerge w:val="continue"/>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3"/>
              </w:rPr>
              <w:t>$  644,421</w:t>
            </w:r>
          </w:p>
        </w:tc>
        <w:tc>
          <w:tcPr>
            <w:tcW w:w="2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3"/>
              </w:rPr>
              <w:t>$  653,944</w:t>
            </w:r>
          </w:p>
        </w:tc>
        <w:tc>
          <w:tcPr>
            <w:tcW w:w="280" w:type="dxa"/>
            <w:vAlign w:val="bottom"/>
          </w:tcPr>
          <w:p>
            <w:pPr>
              <w:spacing w:after="0"/>
              <w:rPr>
                <w:sz w:val="13"/>
                <w:szCs w:val="13"/>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2"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ind w:left="460" w:right="500" w:hanging="452"/>
        <w:spacing w:after="0" w:line="250"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jc w:val="both"/>
        <w:ind w:left="460" w:right="160" w:hanging="452"/>
        <w:spacing w:after="0" w:line="250"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the Company may be entitled to receive additional amounts as a result of an arrangement between the Company and other lenders in any syndication.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68"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6).</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Transactions during the year ended December 31, 2012 in which the issuer was an affiliated company (but not a portfolio company that we “control”) are as follows: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of and for the Year</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Ended December 31, 2012</w:t>
      </w:r>
    </w:p>
    <w:tbl>
      <w:tblPr>
        <w:tblLayout w:type="fixed"/>
        <w:tblInd w:w="0" w:type="dxa"/>
        <w:tblCellMar>
          <w:top w:w="0" w:type="dxa"/>
          <w:left w:w="0" w:type="dxa"/>
          <w:bottom w:w="0" w:type="dxa"/>
          <w:right w:w="0" w:type="dxa"/>
        </w:tblCellMar>
      </w:tblPr>
      <w:tr>
        <w:trPr>
          <w:trHeight w:val="143"/>
        </w:trPr>
        <w:tc>
          <w:tcPr>
            <w:tcW w:w="56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center"/>
              <w:ind w:right="500"/>
              <w:spacing w:after="0" w:line="143" w:lineRule="exact"/>
              <w:rPr>
                <w:sz w:val="20"/>
                <w:szCs w:val="20"/>
                <w:color w:val="auto"/>
              </w:rPr>
            </w:pPr>
            <w:r>
              <w:rPr>
                <w:rFonts w:ascii="Arial" w:cs="Arial" w:eastAsia="Arial" w:hAnsi="Arial"/>
                <w:sz w:val="14"/>
                <w:szCs w:val="14"/>
                <w:b w:val="1"/>
                <w:bCs w:val="1"/>
                <w:color w:val="auto"/>
              </w:rPr>
              <w:t>Fair</w:t>
            </w:r>
          </w:p>
        </w:tc>
        <w:tc>
          <w:tcPr>
            <w:tcW w:w="5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78"/>
              </w:rPr>
              <w:t>Gross</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right="98"/>
              <w:spacing w:after="0" w:line="14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right="378"/>
              <w:spacing w:after="0" w:line="143"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122"/>
              <w:spacing w:after="0" w:line="143" w:lineRule="exact"/>
              <w:rPr>
                <w:sz w:val="20"/>
                <w:szCs w:val="20"/>
                <w:color w:val="auto"/>
              </w:rPr>
            </w:pPr>
            <w:r>
              <w:rPr>
                <w:rFonts w:ascii="Arial" w:cs="Arial" w:eastAsia="Arial" w:hAnsi="Arial"/>
                <w:sz w:val="14"/>
                <w:szCs w:val="14"/>
                <w:b w:val="1"/>
                <w:bCs w:val="1"/>
                <w:color w:val="auto"/>
                <w:w w:val="93"/>
              </w:rPr>
              <w:t>Fair</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Value at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Additions</w:t>
            </w:r>
          </w:p>
        </w:tc>
        <w:tc>
          <w:tcPr>
            <w:tcW w:w="320" w:type="dxa"/>
            <w:vAlign w:val="bottom"/>
          </w:tcPr>
          <w:p>
            <w:pPr>
              <w:spacing w:after="0"/>
              <w:rPr>
                <w:sz w:val="12"/>
                <w:szCs w:val="12"/>
                <w:color w:val="auto"/>
              </w:rPr>
            </w:pPr>
          </w:p>
        </w:tc>
        <w:tc>
          <w:tcPr>
            <w:tcW w:w="840" w:type="dxa"/>
            <w:vAlign w:val="bottom"/>
            <w:gridSpan w:val="2"/>
          </w:tcPr>
          <w:p>
            <w:pPr>
              <w:jc w:val="center"/>
              <w:ind w:right="118"/>
              <w:spacing w:after="0" w:line="149" w:lineRule="exact"/>
              <w:rPr>
                <w:sz w:val="20"/>
                <w:szCs w:val="20"/>
                <w:color w:val="auto"/>
              </w:rPr>
            </w:pPr>
            <w:r>
              <w:rPr>
                <w:rFonts w:ascii="Arial" w:cs="Arial" w:eastAsia="Arial" w:hAnsi="Arial"/>
                <w:sz w:val="14"/>
                <w:szCs w:val="14"/>
                <w:b w:val="1"/>
                <w:bCs w:val="1"/>
                <w:color w:val="auto"/>
                <w:w w:val="83"/>
              </w:rPr>
              <w:t>Reductions</w:t>
            </w:r>
          </w:p>
        </w:tc>
        <w:tc>
          <w:tcPr>
            <w:tcW w:w="140" w:type="dxa"/>
            <w:vAlign w:val="bottom"/>
          </w:tcPr>
          <w:p>
            <w:pPr>
              <w:spacing w:after="0"/>
              <w:rPr>
                <w:sz w:val="12"/>
                <w:szCs w:val="12"/>
                <w:color w:val="auto"/>
              </w:rPr>
            </w:pPr>
          </w:p>
        </w:tc>
        <w:tc>
          <w:tcPr>
            <w:tcW w:w="960" w:type="dxa"/>
            <w:vAlign w:val="bottom"/>
            <w:gridSpan w:val="3"/>
          </w:tcPr>
          <w:p>
            <w:pPr>
              <w:jc w:val="center"/>
              <w:ind w:right="258"/>
              <w:spacing w:after="0" w:line="14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2"/>
                <w:szCs w:val="12"/>
                <w:color w:val="auto"/>
              </w:rPr>
            </w:pPr>
          </w:p>
        </w:tc>
        <w:tc>
          <w:tcPr>
            <w:tcW w:w="88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9"/>
              </w:rPr>
              <w:t>Value at</w:t>
            </w:r>
          </w:p>
        </w:tc>
        <w:tc>
          <w:tcPr>
            <w:tcW w:w="3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w:t>
            </w:r>
          </w:p>
        </w:tc>
        <w:tc>
          <w:tcPr>
            <w:tcW w:w="14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Interest</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32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28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December 31, 2011</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8"/>
              </w:rPr>
              <w:t>(a)</w:t>
            </w:r>
          </w:p>
        </w:tc>
        <w:tc>
          <w:tcPr>
            <w:tcW w:w="320" w:type="dxa"/>
            <w:vAlign w:val="bottom"/>
          </w:tcPr>
          <w:p>
            <w:pPr>
              <w:spacing w:after="0"/>
              <w:rPr>
                <w:sz w:val="11"/>
                <w:szCs w:val="11"/>
                <w:color w:val="auto"/>
              </w:rPr>
            </w:pPr>
          </w:p>
        </w:tc>
        <w:tc>
          <w:tcPr>
            <w:tcW w:w="840" w:type="dxa"/>
            <w:vAlign w:val="bottom"/>
            <w:gridSpan w:val="2"/>
          </w:tcPr>
          <w:p>
            <w:pPr>
              <w:jc w:val="center"/>
              <w:ind w:right="98"/>
              <w:spacing w:after="0"/>
              <w:rPr>
                <w:sz w:val="20"/>
                <w:szCs w:val="20"/>
                <w:color w:val="auto"/>
              </w:rPr>
            </w:pPr>
            <w:r>
              <w:rPr>
                <w:rFonts w:ascii="Arial" w:cs="Arial" w:eastAsia="Arial" w:hAnsi="Arial"/>
                <w:sz w:val="11"/>
                <w:szCs w:val="11"/>
                <w:b w:val="1"/>
                <w:bCs w:val="1"/>
                <w:color w:val="auto"/>
                <w:w w:val="99"/>
              </w:rPr>
              <w:t>(b)</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378"/>
              <w:spacing w:after="0" w:line="135" w:lineRule="exact"/>
              <w:rPr>
                <w:sz w:val="20"/>
                <w:szCs w:val="20"/>
                <w:color w:val="auto"/>
              </w:rPr>
            </w:pPr>
            <w:r>
              <w:rPr>
                <w:rFonts w:ascii="Arial" w:cs="Arial" w:eastAsia="Arial" w:hAnsi="Arial"/>
                <w:sz w:val="14"/>
                <w:szCs w:val="14"/>
                <w:b w:val="1"/>
                <w:bCs w:val="1"/>
                <w:color w:val="auto"/>
                <w:w w:val="79"/>
              </w:rPr>
              <w:t>Loss</w:t>
            </w:r>
          </w:p>
        </w:tc>
        <w:tc>
          <w:tcPr>
            <w:tcW w:w="10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4"/>
              </w:rPr>
              <w:t>December 31, 2012</w:t>
            </w:r>
          </w:p>
        </w:tc>
        <w:tc>
          <w:tcPr>
            <w:tcW w:w="32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1"/>
                <w:szCs w:val="11"/>
                <w:color w:val="auto"/>
              </w:rPr>
            </w:pPr>
          </w:p>
        </w:tc>
        <w:tc>
          <w:tcPr>
            <w:tcW w:w="8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5"/>
              </w:rPr>
              <w:t>Income</w:t>
            </w:r>
          </w:p>
        </w:tc>
        <w:tc>
          <w:tcPr>
            <w:tcW w:w="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Income</w:t>
            </w:r>
          </w:p>
        </w:tc>
        <w:tc>
          <w:tcPr>
            <w:tcW w:w="320" w:type="dxa"/>
            <w:vAlign w:val="bottom"/>
          </w:tcPr>
          <w:p>
            <w:pPr>
              <w:spacing w:after="0"/>
              <w:rPr>
                <w:sz w:val="11"/>
                <w:szCs w:val="11"/>
                <w:color w:val="auto"/>
              </w:rPr>
            </w:pPr>
          </w:p>
        </w:tc>
        <w:tc>
          <w:tcPr>
            <w:tcW w:w="5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1"/>
                <w:szCs w:val="11"/>
                <w:color w:val="auto"/>
              </w:rPr>
              <w:t>(c)</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42,663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3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(58,316</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(337</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2,724</w:t>
            </w:r>
          </w:p>
        </w:tc>
        <w:tc>
          <w:tcPr>
            <w:tcW w:w="3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$ 1,231</w:t>
            </w: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8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42,663</w:t>
            </w:r>
          </w:p>
        </w:tc>
        <w:tc>
          <w:tcPr>
            <w:tcW w:w="2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1160" w:type="dxa"/>
            <w:vAlign w:val="bottom"/>
            <w:gridSpan w:val="3"/>
          </w:tcPr>
          <w:p>
            <w:pPr>
              <w:jc w:val="right"/>
              <w:ind w:right="5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(58,316)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960" w:type="dxa"/>
            <w:vAlign w:val="bottom"/>
            <w:gridSpan w:val="3"/>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2,724</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$ 1,231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54"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50"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ind w:left="460" w:right="540" w:hanging="452"/>
        <w:spacing w:after="0" w:line="261"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connection with the redemption of the Company’s preferred equity investment, AFS Technologies, Inc. was no longer an affiliated company as of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Schedule of Investments as of December 31,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Interest</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Acquisition</w:t>
            </w:r>
          </w:p>
        </w:tc>
        <w:tc>
          <w:tcPr>
            <w:tcW w:w="28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Amortized</w:t>
            </w: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Fair</w:t>
            </w:r>
          </w:p>
        </w:tc>
        <w:tc>
          <w:tcPr>
            <w:tcW w:w="4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2"/>
        </w:trPr>
        <w:tc>
          <w:tcPr>
            <w:tcW w:w="27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260"/>
              <w:spacing w:after="0"/>
              <w:rPr>
                <w:sz w:val="20"/>
                <w:szCs w:val="20"/>
                <w:color w:val="auto"/>
              </w:rPr>
            </w:pPr>
            <w:r>
              <w:rPr>
                <w:rFonts w:ascii="Arial" w:cs="Arial" w:eastAsia="Arial" w:hAnsi="Arial"/>
                <w:sz w:val="14"/>
                <w:szCs w:val="14"/>
                <w:b w:val="1"/>
                <w:bCs w:val="1"/>
                <w:color w:val="auto"/>
              </w:rPr>
              <w:t>Industry</w:t>
            </w:r>
          </w:p>
        </w:tc>
        <w:tc>
          <w:tcPr>
            <w:tcW w:w="1240" w:type="dxa"/>
            <w:vAlign w:val="bottom"/>
          </w:tcPr>
          <w:p>
            <w:pPr>
              <w:ind w:left="300"/>
              <w:spacing w:after="0"/>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Rate</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Date</w:t>
            </w:r>
          </w:p>
        </w:tc>
        <w:tc>
          <w:tcPr>
            <w:tcW w:w="280" w:type="dxa"/>
            <w:vAlign w:val="bottom"/>
          </w:tcPr>
          <w:p>
            <w:pPr>
              <w:spacing w:after="0"/>
              <w:rPr>
                <w:sz w:val="14"/>
                <w:szCs w:val="14"/>
                <w:color w:val="auto"/>
              </w:rPr>
            </w:pPr>
          </w:p>
        </w:tc>
        <w:tc>
          <w:tcPr>
            <w:tcW w:w="1080" w:type="dxa"/>
            <w:vAlign w:val="bottom"/>
            <w:gridSpan w:val="2"/>
          </w:tcPr>
          <w:p>
            <w:pPr>
              <w:jc w:val="right"/>
              <w:ind w:right="52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680" w:type="dxa"/>
            <w:vAlign w:val="bottom"/>
          </w:tcPr>
          <w:p>
            <w:pPr>
              <w:jc w:val="right"/>
              <w:ind w:right="95"/>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Senior Secured First-Lien</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Loans</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Solarsoft, LP (f/k/a CMS-XKO</w:t>
            </w:r>
          </w:p>
        </w:tc>
        <w:tc>
          <w:tcPr>
            <w:tcW w:w="1600" w:type="dxa"/>
            <w:vAlign w:val="bottom"/>
            <w:gridSpan w:val="3"/>
          </w:tcPr>
          <w:p>
            <w:pPr>
              <w:ind w:left="240"/>
              <w:spacing w:after="0"/>
              <w:rPr>
                <w:sz w:val="20"/>
                <w:szCs w:val="20"/>
                <w:color w:val="auto"/>
              </w:rPr>
            </w:pPr>
            <w:r>
              <w:rPr>
                <w:rFonts w:ascii="Arial" w:cs="Arial" w:eastAsia="Arial" w:hAnsi="Arial"/>
                <w:sz w:val="18"/>
                <w:szCs w:val="18"/>
                <w:color w:val="auto"/>
              </w:rPr>
              <w:t>Manufacturing</w:t>
            </w:r>
          </w:p>
        </w:tc>
        <w:tc>
          <w:tcPr>
            <w:tcW w:w="1240" w:type="dxa"/>
            <w:vAlign w:val="bottom"/>
          </w:tcPr>
          <w:p>
            <w:pPr>
              <w:spacing w:after="0"/>
              <w:rPr>
                <w:sz w:val="20"/>
                <w:szCs w:val="20"/>
                <w:color w:val="auto"/>
              </w:rPr>
            </w:pPr>
            <w:r>
              <w:rPr>
                <w:rFonts w:ascii="Arial" w:cs="Arial" w:eastAsia="Arial" w:hAnsi="Arial"/>
                <w:sz w:val="18"/>
                <w:szCs w:val="18"/>
                <w:color w:val="auto"/>
              </w:rPr>
              <w:t>Senior secured</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 xml:space="preserve">Holding Company, LP </w:t>
            </w:r>
            <w:r>
              <w:rPr>
                <w:rFonts w:ascii="Arial" w:cs="Arial" w:eastAsia="Arial" w:hAnsi="Arial"/>
                <w:sz w:val="11"/>
                <w:szCs w:val="11"/>
                <w:color w:val="auto"/>
              </w:rPr>
              <w:t>(3)(4)(5)</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first-lien loan</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($29,625</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2"/>
              </w:rPr>
              <w:t>par, due 7/2016)</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8.50%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7/8/2011</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$ 29,052</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$ 29,181</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Center Cut Hospitality, Inc. </w:t>
            </w:r>
            <w:r>
              <w:rPr>
                <w:rFonts w:ascii="Arial" w:cs="Arial" w:eastAsia="Arial" w:hAnsi="Arial"/>
                <w:sz w:val="11"/>
                <w:szCs w:val="11"/>
                <w:color w:val="auto"/>
              </w:rPr>
              <w:t>(3)</w:t>
            </w:r>
          </w:p>
        </w:tc>
        <w:tc>
          <w:tcPr>
            <w:tcW w:w="1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Beverage,</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Food &amp;</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Tobacco</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($26,250 par,</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due 8/2016)</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6.75%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8/15/2011</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25,717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25,987</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1"/>
                <w:szCs w:val="11"/>
                <w:color w:val="auto"/>
              </w:rPr>
              <w:t>(3)(4)(6)</w:t>
            </w:r>
          </w:p>
        </w:tc>
        <w:tc>
          <w:tcPr>
            <w:tcW w:w="1600" w:type="dxa"/>
            <w:vAlign w:val="bottom"/>
            <w:gridSpan w:val="3"/>
          </w:tcPr>
          <w:p>
            <w:pPr>
              <w:ind w:left="240"/>
              <w:spacing w:after="0"/>
              <w:rPr>
                <w:sz w:val="20"/>
                <w:szCs w:val="20"/>
                <w:color w:val="auto"/>
              </w:rPr>
            </w:pPr>
            <w:r>
              <w:rPr>
                <w:rFonts w:ascii="Arial" w:cs="Arial" w:eastAsia="Arial" w:hAnsi="Arial"/>
                <w:sz w:val="18"/>
                <w:szCs w:val="18"/>
                <w:color w:val="auto"/>
              </w:rPr>
              <w:t>Beverage,</w:t>
            </w:r>
          </w:p>
        </w:tc>
        <w:tc>
          <w:tcPr>
            <w:tcW w:w="1240" w:type="dxa"/>
            <w:vAlign w:val="bottom"/>
          </w:tcPr>
          <w:p>
            <w:pPr>
              <w:spacing w:after="0"/>
              <w:rPr>
                <w:sz w:val="20"/>
                <w:szCs w:val="20"/>
                <w:color w:val="auto"/>
              </w:rPr>
            </w:pPr>
            <w:r>
              <w:rPr>
                <w:rFonts w:ascii="Arial" w:cs="Arial" w:eastAsia="Arial" w:hAnsi="Arial"/>
                <w:sz w:val="18"/>
                <w:szCs w:val="18"/>
                <w:color w:val="auto"/>
              </w:rPr>
              <w:t>Senior secured</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0" w:type="dxa"/>
            <w:vAlign w:val="bottom"/>
            <w:gridSpan w:val="3"/>
          </w:tcPr>
          <w:p>
            <w:pPr>
              <w:ind w:left="240"/>
              <w:spacing w:after="0"/>
              <w:rPr>
                <w:sz w:val="20"/>
                <w:szCs w:val="20"/>
                <w:color w:val="auto"/>
              </w:rPr>
            </w:pPr>
            <w:r>
              <w:rPr>
                <w:rFonts w:ascii="Arial" w:cs="Arial" w:eastAsia="Arial" w:hAnsi="Arial"/>
                <w:sz w:val="18"/>
                <w:szCs w:val="18"/>
                <w:color w:val="auto"/>
              </w:rPr>
              <w:t>Food &amp;</w:t>
            </w:r>
          </w:p>
        </w:tc>
        <w:tc>
          <w:tcPr>
            <w:tcW w:w="1240" w:type="dxa"/>
            <w:vAlign w:val="bottom"/>
          </w:tcPr>
          <w:p>
            <w:pPr>
              <w:spacing w:after="0"/>
              <w:rPr>
                <w:sz w:val="20"/>
                <w:szCs w:val="20"/>
                <w:color w:val="auto"/>
              </w:rPr>
            </w:pPr>
            <w:r>
              <w:rPr>
                <w:rFonts w:ascii="Arial" w:cs="Arial" w:eastAsia="Arial" w:hAnsi="Arial"/>
                <w:sz w:val="18"/>
                <w:szCs w:val="18"/>
                <w:color w:val="auto"/>
              </w:rPr>
              <w:t>first-lien loan</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0" w:type="dxa"/>
            <w:vAlign w:val="bottom"/>
            <w:gridSpan w:val="3"/>
          </w:tcPr>
          <w:p>
            <w:pPr>
              <w:ind w:left="240"/>
              <w:spacing w:after="0"/>
              <w:rPr>
                <w:sz w:val="20"/>
                <w:szCs w:val="20"/>
                <w:color w:val="auto"/>
              </w:rPr>
            </w:pPr>
            <w:r>
              <w:rPr>
                <w:rFonts w:ascii="Arial" w:cs="Arial" w:eastAsia="Arial" w:hAnsi="Arial"/>
                <w:sz w:val="18"/>
                <w:szCs w:val="18"/>
                <w:color w:val="auto"/>
              </w:rPr>
              <w:t>Tobacco</w:t>
            </w:r>
          </w:p>
        </w:tc>
        <w:tc>
          <w:tcPr>
            <w:tcW w:w="1240" w:type="dxa"/>
            <w:vAlign w:val="bottom"/>
          </w:tcPr>
          <w:p>
            <w:pPr>
              <w:spacing w:after="0"/>
              <w:rPr>
                <w:sz w:val="20"/>
                <w:szCs w:val="20"/>
                <w:color w:val="auto"/>
              </w:rPr>
            </w:pPr>
            <w:r>
              <w:rPr>
                <w:rFonts w:ascii="Arial" w:cs="Arial" w:eastAsia="Arial" w:hAnsi="Arial"/>
                <w:sz w:val="18"/>
                <w:szCs w:val="18"/>
                <w:color w:val="auto"/>
              </w:rPr>
              <w:t>($32,662 par,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due 9/2015)</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7.25%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8/31/2011</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31,876</w:t>
            </w:r>
          </w:p>
        </w:tc>
        <w:tc>
          <w:tcPr>
            <w:tcW w:w="680" w:type="dxa"/>
            <w:vAlign w:val="bottom"/>
          </w:tcPr>
          <w:p>
            <w:pPr>
              <w:jc w:val="right"/>
              <w:spacing w:after="0"/>
              <w:rPr>
                <w:sz w:val="20"/>
                <w:szCs w:val="20"/>
                <w:color w:val="auto"/>
              </w:rPr>
            </w:pPr>
            <w:r>
              <w:rPr>
                <w:rFonts w:ascii="Arial" w:cs="Arial" w:eastAsia="Arial" w:hAnsi="Arial"/>
                <w:sz w:val="18"/>
                <w:szCs w:val="18"/>
                <w:color w:val="auto"/>
              </w:rPr>
              <w:t>32,663</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w:t>
            </w:r>
          </w:p>
        </w:tc>
        <w:tc>
          <w:tcPr>
            <w:tcW w:w="1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Office</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Products</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($22,713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85"/>
              </w:rPr>
              <w:t>par, due 10/2016)</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8.00%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10/17/2011</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22,357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w:t>
            </w:r>
          </w:p>
        </w:tc>
        <w:tc>
          <w:tcPr>
            <w:tcW w:w="1600" w:type="dxa"/>
            <w:vAlign w:val="bottom"/>
            <w:gridSpan w:val="3"/>
          </w:tcPr>
          <w:p>
            <w:pPr>
              <w:ind w:left="240"/>
              <w:spacing w:after="0"/>
              <w:rPr>
                <w:sz w:val="20"/>
                <w:szCs w:val="20"/>
                <w:color w:val="auto"/>
              </w:rPr>
            </w:pPr>
            <w:r>
              <w:rPr>
                <w:rFonts w:ascii="Arial" w:cs="Arial" w:eastAsia="Arial" w:hAnsi="Arial"/>
                <w:sz w:val="18"/>
                <w:szCs w:val="18"/>
                <w:color w:val="auto"/>
              </w:rPr>
              <w:t>Financial</w:t>
            </w:r>
          </w:p>
        </w:tc>
        <w:tc>
          <w:tcPr>
            <w:tcW w:w="1240" w:type="dxa"/>
            <w:vAlign w:val="bottom"/>
          </w:tcPr>
          <w:p>
            <w:pPr>
              <w:spacing w:after="0"/>
              <w:rPr>
                <w:sz w:val="20"/>
                <w:szCs w:val="20"/>
                <w:color w:val="auto"/>
              </w:rPr>
            </w:pPr>
            <w:r>
              <w:rPr>
                <w:rFonts w:ascii="Arial" w:cs="Arial" w:eastAsia="Arial" w:hAnsi="Arial"/>
                <w:sz w:val="18"/>
                <w:szCs w:val="18"/>
                <w:color w:val="auto"/>
              </w:rPr>
              <w:t>Senior secured</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0" w:type="dxa"/>
            <w:vAlign w:val="bottom"/>
            <w:gridSpan w:val="3"/>
          </w:tcPr>
          <w:p>
            <w:pPr>
              <w:ind w:left="240"/>
              <w:spacing w:after="0"/>
              <w:rPr>
                <w:sz w:val="20"/>
                <w:szCs w:val="20"/>
                <w:color w:val="auto"/>
              </w:rPr>
            </w:pPr>
            <w:r>
              <w:rPr>
                <w:rFonts w:ascii="Arial" w:cs="Arial" w:eastAsia="Arial" w:hAnsi="Arial"/>
                <w:sz w:val="18"/>
                <w:szCs w:val="18"/>
                <w:color w:val="auto"/>
              </w:rPr>
              <w:t>Services</w:t>
            </w:r>
          </w:p>
        </w:tc>
        <w:tc>
          <w:tcPr>
            <w:tcW w:w="1240" w:type="dxa"/>
            <w:vAlign w:val="bottom"/>
          </w:tcPr>
          <w:p>
            <w:pPr>
              <w:spacing w:after="0"/>
              <w:rPr>
                <w:sz w:val="20"/>
                <w:szCs w:val="20"/>
                <w:color w:val="auto"/>
              </w:rPr>
            </w:pPr>
            <w:r>
              <w:rPr>
                <w:rFonts w:ascii="Arial" w:cs="Arial" w:eastAsia="Arial" w:hAnsi="Arial"/>
                <w:sz w:val="18"/>
                <w:szCs w:val="18"/>
                <w:color w:val="auto"/>
              </w:rPr>
              <w:t>first-lien loan</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($14,672 par,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due 8/2016)</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11.75%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10/31/2011</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14,550</w:t>
            </w:r>
          </w:p>
        </w:tc>
        <w:tc>
          <w:tcPr>
            <w:tcW w:w="680" w:type="dxa"/>
            <w:vAlign w:val="bottom"/>
          </w:tcPr>
          <w:p>
            <w:pPr>
              <w:jc w:val="right"/>
              <w:spacing w:after="0"/>
              <w:rPr>
                <w:sz w:val="20"/>
                <w:szCs w:val="20"/>
                <w:color w:val="auto"/>
              </w:rPr>
            </w:pPr>
            <w:r>
              <w:rPr>
                <w:rFonts w:ascii="Arial" w:cs="Arial" w:eastAsia="Arial" w:hAnsi="Arial"/>
                <w:sz w:val="18"/>
                <w:szCs w:val="18"/>
                <w:color w:val="auto"/>
              </w:rPr>
              <w:t>14,635</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MSC.Software Corporation </w:t>
            </w:r>
            <w:r>
              <w:rPr>
                <w:rFonts w:ascii="Arial" w:cs="Arial" w:eastAsia="Arial" w:hAnsi="Arial"/>
                <w:sz w:val="11"/>
                <w:szCs w:val="11"/>
                <w:color w:val="auto"/>
              </w:rPr>
              <w:t>(3)(4)</w:t>
            </w:r>
          </w:p>
        </w:tc>
        <w:tc>
          <w:tcPr>
            <w:tcW w:w="1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Aerospace &amp;</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Defense</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($35,000 par</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due 12/2016)</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8.00%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12/23/2011</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34,318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2"/>
          </w:tcPr>
          <w:p>
            <w:pPr>
              <w:ind w:left="420"/>
              <w:spacing w:after="0"/>
              <w:rPr>
                <w:sz w:val="20"/>
                <w:szCs w:val="20"/>
                <w:color w:val="auto"/>
              </w:rPr>
            </w:pPr>
            <w:r>
              <w:rPr>
                <w:rFonts w:ascii="Arial" w:cs="Arial" w:eastAsia="Arial" w:hAnsi="Arial"/>
                <w:sz w:val="18"/>
                <w:szCs w:val="18"/>
                <w:b w:val="1"/>
                <w:bCs w:val="1"/>
                <w:color w:val="auto"/>
                <w:w w:val="99"/>
              </w:rPr>
              <w:t>Total Senior Secured First-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640"/>
              <w:spacing w:after="0"/>
              <w:rPr>
                <w:sz w:val="20"/>
                <w:szCs w:val="20"/>
                <w:color w:val="auto"/>
              </w:rPr>
            </w:pPr>
            <w:r>
              <w:rPr>
                <w:rFonts w:ascii="Arial" w:cs="Arial" w:eastAsia="Arial" w:hAnsi="Arial"/>
                <w:sz w:val="18"/>
                <w:szCs w:val="18"/>
                <w:b w:val="1"/>
                <w:bCs w:val="1"/>
                <w:color w:val="auto"/>
              </w:rPr>
              <w:t>Lien Loans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157,870</w:t>
            </w:r>
          </w:p>
        </w:tc>
        <w:tc>
          <w:tcPr>
            <w:tcW w:w="680" w:type="dxa"/>
            <w:vAlign w:val="bottom"/>
          </w:tcPr>
          <w:p>
            <w:pPr>
              <w:jc w:val="right"/>
              <w:spacing w:after="0"/>
              <w:rPr>
                <w:sz w:val="20"/>
                <w:szCs w:val="20"/>
                <w:color w:val="auto"/>
              </w:rPr>
            </w:pPr>
            <w:r>
              <w:rPr>
                <w:rFonts w:ascii="Arial" w:cs="Arial" w:eastAsia="Arial" w:hAnsi="Arial"/>
                <w:sz w:val="18"/>
                <w:szCs w:val="18"/>
                <w:color w:val="auto"/>
              </w:rPr>
              <w:t>160,178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Secured Bonds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Rare Restaurant Group, LLC</w:t>
            </w:r>
          </w:p>
        </w:tc>
        <w:tc>
          <w:tcPr>
            <w:tcW w:w="1600" w:type="dxa"/>
            <w:vAlign w:val="bottom"/>
            <w:gridSpan w:val="3"/>
          </w:tcPr>
          <w:p>
            <w:pPr>
              <w:ind w:left="240"/>
              <w:spacing w:after="0"/>
              <w:rPr>
                <w:sz w:val="20"/>
                <w:szCs w:val="20"/>
                <w:color w:val="auto"/>
              </w:rPr>
            </w:pPr>
            <w:r>
              <w:rPr>
                <w:rFonts w:ascii="Arial" w:cs="Arial" w:eastAsia="Arial" w:hAnsi="Arial"/>
                <w:sz w:val="18"/>
                <w:szCs w:val="18"/>
                <w:color w:val="auto"/>
              </w:rPr>
              <w:t>Beverage,</w:t>
            </w:r>
          </w:p>
        </w:tc>
        <w:tc>
          <w:tcPr>
            <w:tcW w:w="1240" w:type="dxa"/>
            <w:vAlign w:val="bottom"/>
          </w:tcPr>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senior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0" w:type="dxa"/>
            <w:vAlign w:val="bottom"/>
            <w:gridSpan w:val="3"/>
          </w:tcPr>
          <w:p>
            <w:pPr>
              <w:ind w:left="240"/>
              <w:spacing w:after="0"/>
              <w:rPr>
                <w:sz w:val="20"/>
                <w:szCs w:val="20"/>
                <w:color w:val="auto"/>
              </w:rPr>
            </w:pPr>
            <w:r>
              <w:rPr>
                <w:rFonts w:ascii="Arial" w:cs="Arial" w:eastAsia="Arial" w:hAnsi="Arial"/>
                <w:sz w:val="18"/>
                <w:szCs w:val="18"/>
                <w:color w:val="auto"/>
              </w:rPr>
              <w:t>Food &amp;</w:t>
            </w:r>
          </w:p>
        </w:tc>
        <w:tc>
          <w:tcPr>
            <w:tcW w:w="1240" w:type="dxa"/>
            <w:vAlign w:val="bottom"/>
          </w:tcPr>
          <w:p>
            <w:pPr>
              <w:spacing w:after="0"/>
              <w:rPr>
                <w:sz w:val="20"/>
                <w:szCs w:val="20"/>
                <w:color w:val="auto"/>
              </w:rPr>
            </w:pPr>
            <w:r>
              <w:rPr>
                <w:rFonts w:ascii="Arial" w:cs="Arial" w:eastAsia="Arial" w:hAnsi="Arial"/>
                <w:sz w:val="18"/>
                <w:szCs w:val="18"/>
                <w:color w:val="auto"/>
              </w:rPr>
              <w:t>secured bond</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0" w:type="dxa"/>
            <w:vAlign w:val="bottom"/>
            <w:gridSpan w:val="3"/>
          </w:tcPr>
          <w:p>
            <w:pPr>
              <w:ind w:left="240"/>
              <w:spacing w:after="0"/>
              <w:rPr>
                <w:sz w:val="20"/>
                <w:szCs w:val="20"/>
                <w:color w:val="auto"/>
              </w:rPr>
            </w:pPr>
            <w:r>
              <w:rPr>
                <w:rFonts w:ascii="Arial" w:cs="Arial" w:eastAsia="Arial" w:hAnsi="Arial"/>
                <w:sz w:val="18"/>
                <w:szCs w:val="18"/>
                <w:color w:val="auto"/>
              </w:rPr>
              <w:t>Tobacco</w:t>
            </w:r>
          </w:p>
        </w:tc>
        <w:tc>
          <w:tcPr>
            <w:tcW w:w="1240" w:type="dxa"/>
            <w:vAlign w:val="bottom"/>
          </w:tcPr>
          <w:p>
            <w:pPr>
              <w:spacing w:after="0"/>
              <w:rPr>
                <w:sz w:val="20"/>
                <w:szCs w:val="20"/>
                <w:color w:val="auto"/>
              </w:rPr>
            </w:pPr>
            <w:r>
              <w:rPr>
                <w:rFonts w:ascii="Arial" w:cs="Arial" w:eastAsia="Arial" w:hAnsi="Arial"/>
                <w:sz w:val="18"/>
                <w:szCs w:val="18"/>
                <w:color w:val="auto"/>
              </w:rPr>
              <w:t>($16,462 par,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due 5/2014)</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9.25%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11/7/2011</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13,255</w:t>
            </w:r>
          </w:p>
        </w:tc>
        <w:tc>
          <w:tcPr>
            <w:tcW w:w="680" w:type="dxa"/>
            <w:vAlign w:val="bottom"/>
          </w:tcPr>
          <w:p>
            <w:pPr>
              <w:jc w:val="right"/>
              <w:spacing w:after="0"/>
              <w:rPr>
                <w:sz w:val="20"/>
                <w:szCs w:val="20"/>
                <w:color w:val="auto"/>
              </w:rPr>
            </w:pPr>
            <w:r>
              <w:rPr>
                <w:rFonts w:ascii="Arial" w:cs="Arial" w:eastAsia="Arial" w:hAnsi="Arial"/>
                <w:sz w:val="18"/>
                <w:szCs w:val="18"/>
                <w:color w:val="auto"/>
              </w:rPr>
              <w:t>13,170</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senior</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secured bond</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($1,250 par,</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due 5/2014)</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9.25%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11/9/2011</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w w:val="95"/>
              </w:rPr>
              <w:t>Total Senior Secured Bonds</w:t>
            </w: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14,261</w:t>
            </w:r>
          </w:p>
        </w:tc>
        <w:tc>
          <w:tcPr>
            <w:tcW w:w="680" w:type="dxa"/>
            <w:vAlign w:val="bottom"/>
          </w:tcPr>
          <w:p>
            <w:pPr>
              <w:jc w:val="right"/>
              <w:spacing w:after="0"/>
              <w:rPr>
                <w:sz w:val="20"/>
                <w:szCs w:val="20"/>
                <w:color w:val="auto"/>
              </w:rPr>
            </w:pPr>
            <w:r>
              <w:rPr>
                <w:rFonts w:ascii="Arial" w:cs="Arial" w:eastAsia="Arial" w:hAnsi="Arial"/>
                <w:sz w:val="18"/>
                <w:szCs w:val="18"/>
                <w:color w:val="auto"/>
              </w:rPr>
              <w:t>14,170</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Preferred Equity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AFS Technologies,</w:t>
            </w:r>
          </w:p>
        </w:tc>
        <w:tc>
          <w:tcPr>
            <w:tcW w:w="1600" w:type="dxa"/>
            <w:vAlign w:val="bottom"/>
            <w:gridSpan w:val="3"/>
          </w:tcPr>
          <w:p>
            <w:pPr>
              <w:ind w:left="240"/>
              <w:spacing w:after="0"/>
              <w:rPr>
                <w:sz w:val="20"/>
                <w:szCs w:val="20"/>
                <w:color w:val="auto"/>
              </w:rPr>
            </w:pPr>
            <w:r>
              <w:rPr>
                <w:rFonts w:ascii="Arial" w:cs="Arial" w:eastAsia="Arial" w:hAnsi="Arial"/>
                <w:sz w:val="18"/>
                <w:szCs w:val="18"/>
                <w:color w:val="auto"/>
              </w:rPr>
              <w:t>Beverage,</w:t>
            </w:r>
          </w:p>
        </w:tc>
        <w:tc>
          <w:tcPr>
            <w:tcW w:w="1240" w:type="dxa"/>
            <w:vAlign w:val="bottom"/>
          </w:tcPr>
          <w:p>
            <w:pPr>
              <w:spacing w:after="0"/>
              <w:rPr>
                <w:sz w:val="20"/>
                <w:szCs w:val="20"/>
                <w:color w:val="auto"/>
              </w:rPr>
            </w:pPr>
            <w:r>
              <w:rPr>
                <w:rFonts w:ascii="Arial" w:cs="Arial" w:eastAsia="Arial" w:hAnsi="Arial"/>
                <w:sz w:val="18"/>
                <w:szCs w:val="18"/>
                <w:color w:val="auto"/>
              </w:rPr>
              <w:t>Series B-1</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(6)(7)</w:t>
            </w:r>
          </w:p>
        </w:tc>
        <w:tc>
          <w:tcPr>
            <w:tcW w:w="1600" w:type="dxa"/>
            <w:vAlign w:val="bottom"/>
            <w:gridSpan w:val="3"/>
          </w:tcPr>
          <w:p>
            <w:pPr>
              <w:ind w:left="240"/>
              <w:spacing w:after="0"/>
              <w:rPr>
                <w:sz w:val="20"/>
                <w:szCs w:val="20"/>
                <w:color w:val="auto"/>
              </w:rPr>
            </w:pPr>
            <w:r>
              <w:rPr>
                <w:rFonts w:ascii="Arial" w:cs="Arial" w:eastAsia="Arial" w:hAnsi="Arial"/>
                <w:sz w:val="18"/>
                <w:szCs w:val="18"/>
                <w:color w:val="auto"/>
              </w:rPr>
              <w:t>Food &amp;</w:t>
            </w:r>
          </w:p>
        </w:tc>
        <w:tc>
          <w:tcPr>
            <w:tcW w:w="1240" w:type="dxa"/>
            <w:vAlign w:val="bottom"/>
          </w:tcPr>
          <w:p>
            <w:pPr>
              <w:spacing w:after="0"/>
              <w:rPr>
                <w:sz w:val="20"/>
                <w:szCs w:val="20"/>
                <w:color w:val="auto"/>
              </w:rPr>
            </w:pPr>
            <w:r>
              <w:rPr>
                <w:rFonts w:ascii="Arial" w:cs="Arial" w:eastAsia="Arial" w:hAnsi="Arial"/>
                <w:sz w:val="18"/>
                <w:szCs w:val="18"/>
                <w:color w:val="auto"/>
              </w:rPr>
              <w:t>Preferred</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0" w:type="dxa"/>
            <w:vAlign w:val="bottom"/>
            <w:gridSpan w:val="3"/>
          </w:tcPr>
          <w:p>
            <w:pPr>
              <w:ind w:left="240"/>
              <w:spacing w:after="0"/>
              <w:rPr>
                <w:sz w:val="20"/>
                <w:szCs w:val="20"/>
                <w:color w:val="auto"/>
              </w:rPr>
            </w:pPr>
            <w:r>
              <w:rPr>
                <w:rFonts w:ascii="Arial" w:cs="Arial" w:eastAsia="Arial" w:hAnsi="Arial"/>
                <w:sz w:val="18"/>
                <w:szCs w:val="18"/>
                <w:color w:val="auto"/>
              </w:rPr>
              <w:t>Tobacco</w:t>
            </w:r>
          </w:p>
        </w:tc>
        <w:tc>
          <w:tcPr>
            <w:tcW w:w="1240" w:type="dxa"/>
            <w:vAlign w:val="bottom"/>
          </w:tcPr>
          <w:p>
            <w:pPr>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(311,760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8/31/2011</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1,297</w:t>
            </w:r>
          </w:p>
        </w:tc>
        <w:tc>
          <w:tcPr>
            <w:tcW w:w="680" w:type="dxa"/>
            <w:vAlign w:val="bottom"/>
          </w:tcPr>
          <w:p>
            <w:pPr>
              <w:jc w:val="right"/>
              <w:spacing w:after="0"/>
              <w:rPr>
                <w:sz w:val="20"/>
                <w:szCs w:val="20"/>
                <w:color w:val="auto"/>
              </w:rPr>
            </w:pPr>
            <w:r>
              <w:rPr>
                <w:rFonts w:ascii="Arial" w:cs="Arial" w:eastAsia="Arial" w:hAnsi="Arial"/>
                <w:sz w:val="18"/>
                <w:szCs w:val="18"/>
                <w:color w:val="auto"/>
              </w:rPr>
              <w:t>1,309</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gridSpan w:val="3"/>
          </w:tcPr>
          <w:p>
            <w:pPr>
              <w:jc w:val="right"/>
              <w:ind w:right="1040"/>
              <w:spacing w:after="0"/>
              <w:rPr>
                <w:sz w:val="20"/>
                <w:szCs w:val="20"/>
                <w:color w:val="auto"/>
              </w:rPr>
            </w:pPr>
            <w:r>
              <w:rPr>
                <w:rFonts w:ascii="Arial" w:cs="Arial" w:eastAsia="Arial" w:hAnsi="Arial"/>
                <w:sz w:val="18"/>
                <w:szCs w:val="18"/>
                <w:color w:val="auto"/>
                <w:w w:val="81"/>
              </w:rPr>
              <w:t>F-8</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Interest</w:t>
            </w: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Acquisition</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0"/>
              </w:rPr>
              <w:t>Amortized</w:t>
            </w:r>
          </w:p>
        </w:tc>
        <w:tc>
          <w:tcPr>
            <w:tcW w:w="38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Fair</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4360" w:type="dxa"/>
            <w:vAlign w:val="bottom"/>
            <w:gridSpan w:val="3"/>
            <w:vMerge w:val="continue"/>
          </w:tcPr>
          <w:p>
            <w:pPr>
              <w:spacing w:after="0"/>
              <w:rPr>
                <w:sz w:val="14"/>
                <w:szCs w:val="14"/>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Industry</w:t>
            </w:r>
          </w:p>
        </w:tc>
        <w:tc>
          <w:tcPr>
            <w:tcW w:w="2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Investment</w:t>
            </w: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Rate</w:t>
            </w: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680" w:type="dxa"/>
            <w:vAlign w:val="bottom"/>
          </w:tcPr>
          <w:p>
            <w:pPr>
              <w:jc w:val="right"/>
              <w:ind w:right="42"/>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38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AFS Technologies,</w:t>
            </w:r>
          </w:p>
        </w:tc>
        <w:tc>
          <w:tcPr>
            <w:tcW w:w="7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85"/>
              </w:rPr>
              <w:t>Beverage,</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Series</w:t>
            </w: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(6)(7)</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Food &amp;</w:t>
            </w:r>
          </w:p>
        </w:tc>
        <w:tc>
          <w:tcPr>
            <w:tcW w:w="13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B-2</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Tobacco</w:t>
            </w:r>
          </w:p>
        </w:tc>
        <w:tc>
          <w:tcPr>
            <w:tcW w:w="13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Preferred</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Stock</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8"/>
              </w:rPr>
              <w:t>(2,069,193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shares)</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8/31/2011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8,691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Preferred Equity</w:t>
            </w: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9,905</w:t>
            </w:r>
          </w:p>
        </w:tc>
        <w:tc>
          <w:tcPr>
            <w:tcW w:w="38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10,000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182,036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184,348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52"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1940 Act, the Company would “control” a portfolio company if the Company owned more than 25% of its outstanding voting securities and/or had the power to exercise control over the management or policies of such portfolio company. As of December 31, 2011, the Company does not “control” any of the portfolio companies. Certain portfolio company investments are subject to contractual restrictions on sales.</w:t>
      </w:r>
    </w:p>
    <w:p>
      <w:pPr>
        <w:spacing w:after="0" w:line="1"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jc w:val="both"/>
        <w:ind w:left="460" w:right="160" w:hanging="452"/>
        <w:spacing w:after="0" w:line="250"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the Company may be entitled to receive additional amounts as a result of an arrangement between the Company and other lenders in any syndication.</w:t>
      </w:r>
    </w:p>
    <w:p>
      <w:pPr>
        <w:jc w:val="both"/>
        <w:ind w:left="460" w:right="40" w:hanging="452"/>
        <w:spacing w:after="0" w:line="300" w:lineRule="auto"/>
        <w:tabs>
          <w:tab w:leader="none" w:pos="4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This portfolio company is a non-U.S. limited partnership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480" w:hanging="452"/>
        <w:spacing w:after="0" w:line="250"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As defined in the Investment Company Act, we are deemed to be an “affiliated person” of this portfolio company because we own 5% or more of the portfolio company’s outstanding voting securities. We do not have the power to exercise control over the management or policies of such portfolio company.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This preferred equity investment has an optional redemption feature which, if exercised, entitles the Company to a 1.5 times liquidation preference.</w:t>
      </w:r>
    </w:p>
    <w:p>
      <w:pPr>
        <w:spacing w:after="0" w:line="18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Transactions during the year ended December 31, 2011, in which the issuer was an affiliated company (but not a portfolio company that we “control”) are as follows: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of and for the Year</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Ended December 31, 2011</w:t>
      </w:r>
    </w:p>
    <w:tbl>
      <w:tblPr>
        <w:tblLayout w:type="fixed"/>
        <w:tblInd w:w="0" w:type="dxa"/>
        <w:tblCellMar>
          <w:top w:w="0" w:type="dxa"/>
          <w:left w:w="0" w:type="dxa"/>
          <w:bottom w:w="0" w:type="dxa"/>
          <w:right w:w="0" w:type="dxa"/>
        </w:tblCellMar>
      </w:tblPr>
      <w:tr>
        <w:trPr>
          <w:trHeight w:val="130"/>
        </w:trPr>
        <w:tc>
          <w:tcPr>
            <w:tcW w:w="600" w:type="dxa"/>
            <w:vAlign w:val="bottom"/>
            <w:tcBorders>
              <w:top w:val="single" w:sz="8" w:color="auto"/>
            </w:tcBorders>
          </w:tcPr>
          <w:p>
            <w:pPr>
              <w:spacing w:after="0"/>
              <w:rPr>
                <w:sz w:val="11"/>
                <w:szCs w:val="11"/>
                <w:color w:val="auto"/>
              </w:rPr>
            </w:pPr>
          </w:p>
        </w:tc>
        <w:tc>
          <w:tcPr>
            <w:tcW w:w="29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64"/>
              <w:spacing w:after="0" w:line="130" w:lineRule="exact"/>
              <w:rPr>
                <w:sz w:val="20"/>
                <w:szCs w:val="20"/>
                <w:color w:val="auto"/>
              </w:rPr>
            </w:pPr>
            <w:r>
              <w:rPr>
                <w:rFonts w:ascii="Arial" w:cs="Arial" w:eastAsia="Arial" w:hAnsi="Arial"/>
                <w:sz w:val="14"/>
                <w:szCs w:val="14"/>
                <w:b w:val="1"/>
                <w:bCs w:val="1"/>
                <w:color w:val="auto"/>
                <w:w w:val="93"/>
              </w:rPr>
              <w:t>Fair</w:t>
            </w: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640"/>
              <w:spacing w:after="0" w:line="130" w:lineRule="exact"/>
              <w:rPr>
                <w:sz w:val="20"/>
                <w:szCs w:val="20"/>
                <w:color w:val="auto"/>
              </w:rPr>
            </w:pPr>
            <w:r>
              <w:rPr>
                <w:rFonts w:ascii="Arial" w:cs="Arial" w:eastAsia="Arial" w:hAnsi="Arial"/>
                <w:sz w:val="14"/>
                <w:szCs w:val="14"/>
                <w:b w:val="1"/>
                <w:bCs w:val="1"/>
                <w:color w:val="auto"/>
              </w:rPr>
              <w:t>Fair</w:t>
            </w:r>
          </w:p>
        </w:tc>
        <w:tc>
          <w:tcPr>
            <w:tcW w:w="5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9"/>
              </w:rPr>
              <w:t>Value at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2"/>
                <w:szCs w:val="12"/>
                <w:color w:val="auto"/>
              </w:rPr>
            </w:pPr>
          </w:p>
        </w:tc>
        <w:tc>
          <w:tcPr>
            <w:tcW w:w="1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Value at</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6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99"/>
              <w:spacing w:after="0" w:line="135" w:lineRule="exact"/>
              <w:rPr>
                <w:sz w:val="20"/>
                <w:szCs w:val="20"/>
                <w:color w:val="auto"/>
              </w:rPr>
            </w:pPr>
            <w:r>
              <w:rPr>
                <w:rFonts w:ascii="Arial" w:cs="Arial" w:eastAsia="Arial" w:hAnsi="Arial"/>
                <w:sz w:val="14"/>
                <w:szCs w:val="14"/>
                <w:b w:val="1"/>
                <w:bCs w:val="1"/>
                <w:color w:val="auto"/>
                <w:w w:val="88"/>
              </w:rPr>
              <w:t>Gross</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1"/>
                <w:szCs w:val="11"/>
                <w:color w:val="auto"/>
              </w:rPr>
            </w:pPr>
          </w:p>
        </w:tc>
        <w:tc>
          <w:tcPr>
            <w:tcW w:w="11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Unrealized</w:t>
            </w:r>
          </w:p>
        </w:tc>
        <w:tc>
          <w:tcPr>
            <w:tcW w:w="130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Interest</w:t>
            </w: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Other</w:t>
            </w:r>
          </w:p>
        </w:tc>
      </w:tr>
      <w:tr>
        <w:trPr>
          <w:trHeight w:val="182"/>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Company</w:t>
            </w:r>
          </w:p>
        </w:tc>
        <w:tc>
          <w:tcPr>
            <w:tcW w:w="2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44"/>
              <w:spacing w:after="0"/>
              <w:rPr>
                <w:sz w:val="20"/>
                <w:szCs w:val="20"/>
                <w:color w:val="auto"/>
              </w:rPr>
            </w:pPr>
            <w:r>
              <w:rPr>
                <w:rFonts w:ascii="Arial" w:cs="Arial" w:eastAsia="Arial" w:hAnsi="Arial"/>
                <w:sz w:val="14"/>
                <w:szCs w:val="14"/>
                <w:b w:val="1"/>
                <w:bCs w:val="1"/>
                <w:color w:val="auto"/>
                <w:w w:val="83"/>
              </w:rPr>
              <w:t>2010</w:t>
            </w:r>
          </w:p>
        </w:tc>
        <w:tc>
          <w:tcPr>
            <w:tcW w:w="520" w:type="dxa"/>
            <w:vAlign w:val="bottom"/>
          </w:tcPr>
          <w:p>
            <w:pPr>
              <w:spacing w:after="0"/>
              <w:rPr>
                <w:sz w:val="15"/>
                <w:szCs w:val="15"/>
                <w:color w:val="auto"/>
              </w:rPr>
            </w:pPr>
          </w:p>
        </w:tc>
        <w:tc>
          <w:tcPr>
            <w:tcW w:w="700" w:type="dxa"/>
            <w:vAlign w:val="bottom"/>
            <w:gridSpan w:val="2"/>
          </w:tcPr>
          <w:p>
            <w:pPr>
              <w:spacing w:after="0" w:line="162" w:lineRule="exact"/>
              <w:rPr>
                <w:sz w:val="20"/>
                <w:szCs w:val="20"/>
                <w:color w:val="auto"/>
              </w:rPr>
            </w:pPr>
            <w:r>
              <w:rPr>
                <w:rFonts w:ascii="Arial" w:cs="Arial" w:eastAsia="Arial" w:hAnsi="Arial"/>
                <w:sz w:val="12"/>
                <w:szCs w:val="12"/>
                <w:b w:val="1"/>
                <w:bCs w:val="1"/>
                <w:color w:val="auto"/>
                <w:w w:val="97"/>
              </w:rPr>
              <w:t>Additions</w:t>
            </w:r>
            <w:r>
              <w:rPr>
                <w:rFonts w:ascii="Arial" w:cs="Arial" w:eastAsia="Arial" w:hAnsi="Arial"/>
                <w:sz w:val="18"/>
                <w:szCs w:val="18"/>
                <w:b w:val="1"/>
                <w:bCs w:val="1"/>
                <w:color w:val="auto"/>
                <w:w w:val="97"/>
                <w:vertAlign w:val="superscript"/>
              </w:rPr>
              <w:t>(a)</w:t>
            </w:r>
          </w:p>
        </w:tc>
        <w:tc>
          <w:tcPr>
            <w:tcW w:w="520" w:type="dxa"/>
            <w:vAlign w:val="bottom"/>
          </w:tcPr>
          <w:p>
            <w:pPr>
              <w:spacing w:after="0"/>
              <w:rPr>
                <w:sz w:val="15"/>
                <w:szCs w:val="15"/>
                <w:color w:val="auto"/>
              </w:rPr>
            </w:pPr>
          </w:p>
        </w:tc>
        <w:tc>
          <w:tcPr>
            <w:tcW w:w="1060" w:type="dxa"/>
            <w:vAlign w:val="bottom"/>
            <w:gridSpan w:val="3"/>
          </w:tcPr>
          <w:p>
            <w:pPr>
              <w:jc w:val="right"/>
              <w:ind w:right="280"/>
              <w:spacing w:after="0" w:line="162" w:lineRule="exact"/>
              <w:rPr>
                <w:sz w:val="20"/>
                <w:szCs w:val="20"/>
                <w:color w:val="auto"/>
              </w:rPr>
            </w:pPr>
            <w:r>
              <w:rPr>
                <w:rFonts w:ascii="Arial" w:cs="Arial" w:eastAsia="Arial" w:hAnsi="Arial"/>
                <w:sz w:val="12"/>
                <w:szCs w:val="12"/>
                <w:b w:val="1"/>
                <w:bCs w:val="1"/>
                <w:color w:val="auto"/>
                <w:w w:val="94"/>
              </w:rPr>
              <w:t>Reductions</w:t>
            </w:r>
            <w:r>
              <w:rPr>
                <w:rFonts w:ascii="Arial" w:cs="Arial" w:eastAsia="Arial" w:hAnsi="Arial"/>
                <w:sz w:val="18"/>
                <w:szCs w:val="18"/>
                <w:b w:val="1"/>
                <w:bCs w:val="1"/>
                <w:color w:val="auto"/>
                <w:w w:val="94"/>
                <w:vertAlign w:val="superscript"/>
              </w:rPr>
              <w:t>(b)</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2"/>
              </w:rPr>
              <w:t>Gains</w:t>
            </w:r>
          </w:p>
        </w:tc>
        <w:tc>
          <w:tcPr>
            <w:tcW w:w="120" w:type="dxa"/>
            <w:vAlign w:val="bottom"/>
          </w:tcPr>
          <w:p>
            <w:pPr>
              <w:spacing w:after="0"/>
              <w:rPr>
                <w:sz w:val="15"/>
                <w:szCs w:val="15"/>
                <w:color w:val="auto"/>
              </w:rPr>
            </w:pPr>
          </w:p>
        </w:tc>
        <w:tc>
          <w:tcPr>
            <w:tcW w:w="660" w:type="dxa"/>
            <w:vAlign w:val="bottom"/>
          </w:tcPr>
          <w:p>
            <w:pPr>
              <w:jc w:val="center"/>
              <w:ind w:right="44"/>
              <w:spacing w:after="0"/>
              <w:rPr>
                <w:sz w:val="20"/>
                <w:szCs w:val="20"/>
                <w:color w:val="auto"/>
              </w:rPr>
            </w:pPr>
            <w:r>
              <w:rPr>
                <w:rFonts w:ascii="Arial" w:cs="Arial" w:eastAsia="Arial" w:hAnsi="Arial"/>
                <w:sz w:val="14"/>
                <w:szCs w:val="14"/>
                <w:b w:val="1"/>
                <w:bCs w:val="1"/>
                <w:color w:val="auto"/>
                <w:w w:val="83"/>
              </w:rPr>
              <w:t>2011</w:t>
            </w:r>
          </w:p>
        </w:tc>
        <w:tc>
          <w:tcPr>
            <w:tcW w:w="5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Income</w:t>
            </w:r>
          </w:p>
        </w:tc>
        <w:tc>
          <w:tcPr>
            <w:tcW w:w="520" w:type="dxa"/>
            <w:vAlign w:val="bottom"/>
          </w:tcPr>
          <w:p>
            <w:pPr>
              <w:spacing w:after="0"/>
              <w:rPr>
                <w:sz w:val="15"/>
                <w:szCs w:val="15"/>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r>
      <w:tr>
        <w:trPr>
          <w:trHeight w:val="203"/>
        </w:trPr>
        <w:tc>
          <w:tcPr>
            <w:tcW w:w="3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AFS Technologies, Inc.</w:t>
            </w: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42,618</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(837)</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882</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83"/>
              </w:rPr>
              <w:t>42,663</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1,231</w:t>
            </w: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35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42,618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(837)</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882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42,663</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1,231</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54"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61"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0"/>
              </w:rPr>
              <w:t>Year Ended</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28,029</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1"/>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287,692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172,928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Dividends declared</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(29,770)</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267,116</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172,278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b w:val="1"/>
                <w:bCs w:val="1"/>
                <w:color w:val="auto"/>
              </w:rPr>
              <w:t>Total Increase in Net Assets</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306,711</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173,091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assets, beginning of period</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173,092</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b w:val="1"/>
                <w:bCs w:val="1"/>
                <w:color w:val="auto"/>
              </w:rPr>
              <w:t>Net Assets, End of Period</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479,803</w:t>
            </w:r>
          </w:p>
        </w:tc>
        <w:tc>
          <w:tcPr>
            <w:tcW w:w="6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173,092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Undistributed Net Investment Income Included in Net Assets at the End of the Period</w:t>
            </w:r>
          </w:p>
        </w:tc>
        <w:tc>
          <w:tcPr>
            <w:tcW w:w="14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8"/>
              </w:rPr>
              <w:t>Year Ended</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900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9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2012</w:t>
            </w: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39,595</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increase in net assets resulting from operations to net cash used in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Net change in unrealized gains on investments</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(7,211)</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(2,312)</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gains on investments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(4,355)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Purchases of investments, net</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(760,668)</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(184,196)</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investments,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Repayments on investments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190,594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Paid-in-kind interest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(1,808)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(6,292)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Management fees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Incentive fees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affiliate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23"/>
        </w:trPr>
        <w:tc>
          <w:tcPr>
            <w:tcW w:w="900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(430,099)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(182,128)</w:t>
            </w:r>
          </w:p>
        </w:tc>
      </w:tr>
      <w:tr>
        <w:trPr>
          <w:trHeight w:val="221"/>
        </w:trPr>
        <w:tc>
          <w:tcPr>
            <w:tcW w:w="9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credit facilities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1,332,688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Payments on revolving credit facilities</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(1,155,852)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(149,000)</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(5,328)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287,692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172,928</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Dividend paid to stockholders</w:t>
            </w:r>
          </w:p>
        </w:tc>
        <w:tc>
          <w:tcPr>
            <w:tcW w:w="10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(10,968)</w:t>
            </w: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448,232</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325,819</w:t>
            </w:r>
          </w:p>
        </w:tc>
        <w:tc>
          <w:tcPr>
            <w:tcW w:w="100" w:type="dxa"/>
            <w:vAlign w:val="bottom"/>
            <w:shd w:val="clear" w:color="auto" w:fill="CCEEFF"/>
          </w:tcPr>
          <w:p>
            <w:pPr>
              <w:spacing w:after="0"/>
              <w:rPr>
                <w:sz w:val="18"/>
                <w:szCs w:val="18"/>
                <w:color w:val="auto"/>
              </w:rPr>
            </w:pPr>
          </w:p>
        </w:tc>
      </w:tr>
      <w:tr>
        <w:trPr>
          <w:trHeight w:val="221"/>
        </w:trPr>
        <w:tc>
          <w:tcPr>
            <w:tcW w:w="9000" w:type="dxa"/>
            <w:vAlign w:val="bottom"/>
          </w:tcPr>
          <w:p>
            <w:pPr>
              <w:ind w:left="880"/>
              <w:spacing w:after="0"/>
              <w:rPr>
                <w:sz w:val="20"/>
                <w:szCs w:val="20"/>
                <w:color w:val="auto"/>
              </w:rPr>
            </w:pPr>
            <w:r>
              <w:rPr>
                <w:rFonts w:ascii="Arial" w:cs="Arial" w:eastAsia="Arial" w:hAnsi="Arial"/>
                <w:sz w:val="18"/>
                <w:szCs w:val="18"/>
                <w:b w:val="1"/>
                <w:bCs w:val="1"/>
                <w:color w:val="auto"/>
              </w:rPr>
              <w:t>Net Increase in Cash and Cash Equivalents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18,133</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143,691</w:t>
            </w:r>
          </w:p>
        </w:tc>
      </w:tr>
      <w:tr>
        <w:trPr>
          <w:trHeight w:val="218"/>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143,692</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2"/>
        </w:trPr>
        <w:tc>
          <w:tcPr>
            <w:tcW w:w="9000" w:type="dxa"/>
            <w:vAlign w:val="bottom"/>
          </w:tcPr>
          <w:p>
            <w:pPr>
              <w:ind w:left="880"/>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161,825</w:t>
            </w:r>
          </w:p>
        </w:tc>
        <w:tc>
          <w:tcPr>
            <w:tcW w:w="6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143,692</w:t>
            </w:r>
          </w:p>
        </w:tc>
      </w:tr>
      <w:tr>
        <w:trPr>
          <w:trHeight w:val="20"/>
        </w:trPr>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Interest paid during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3,580</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declared during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Reinvestment of dividends during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9,194</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Subscription receivable from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159" w:lineRule="exact"/>
        <w:rPr>
          <w:sz w:val="20"/>
          <w:szCs w:val="20"/>
          <w:color w:val="auto"/>
        </w:rPr>
      </w:pPr>
    </w:p>
    <w:p>
      <w:pPr>
        <w:ind w:right="8220" w:firstLine="8"/>
        <w:spacing w:after="0" w:line="347" w:lineRule="auto"/>
        <w:tabs>
          <w:tab w:leader="none" w:pos="176"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During the six months ended June 30, 2011, the Company was a development stage company as defined in ASC 915-10-05, </w:t>
      </w:r>
      <w:r>
        <w:rPr>
          <w:rFonts w:ascii="Arial" w:cs="Arial" w:eastAsia="Arial" w:hAnsi="Arial"/>
          <w:sz w:val="16"/>
          <w:szCs w:val="16"/>
          <w:i w:val="1"/>
          <w:iCs w:val="1"/>
          <w:color w:val="auto"/>
        </w:rPr>
        <w:t>Development Stage Entity</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this time the Company was devoting substantially all of its efforts to establishing the business and its planned principal operations had not commenced.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losses accumulated during the six months ended June 30, 2011, have been considered a part of the Company’s development stage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significant intercompany balances and transactions have been eliminated in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840" w:firstLine="8"/>
        <w:spacing w:after="0" w:line="347" w:lineRule="auto"/>
        <w:tabs>
          <w:tab w:leader="none" w:pos="176"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40"/>
          </w:cols>
          <w:pgMar w:left="240" w:top="459" w:right="3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 Unrealized gains or losses primarily reflect the change in investment values, including the reversal of previously recorded unrealized gains or losses on investments realized during the period.</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the Company utilizes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the Company’s Board of Directors (the “Board”), based on, among other things, the input of the Adviser, the Company’s Audit Committee and an independent third-party valuation firm engaged at the direction of the Board.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Company takes into account relevant factors in determining the fair value of its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Company considers the pricing indicated by the external event to corroborate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each quarter, which includes, among other procedures,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debt and equity securities that were valued at fair value in good faith by the Board, the Board has engaged an independent third-party valuation firm to perform certain limited procedures that the Board identified and requested it to perform. As of December 31, 2012, the independent third-party valuation firm performed its procedures on the majority (determined by fair value) of investments that were valued in good faith by the Board which have been outstanding for greater than 45 days. Upon completion of such limited procedures, the third-party valuation firm determined that the fair value, as determined by the Board, of those investments subjected to their limited procedures was reasonable.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580" w:hanging="325"/>
        <w:spacing w:after="0" w:line="268"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(i.e.,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Loan fees received at the closing of a loan where no services have been provided are deferred and amortized into interest income over the investment’s contractual life using the effective yield method.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Cash advances received in respect of transaction-related expenses are recorded as Cash and cash equivalents with an offset to Other accrued expenses and payables to affiliates. Other accrued expenses and payables to affiliates is relieved as reimbursable expenses are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Code for the taxable year ended March 31, 2012.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the Adviser. Net realized long-term capital gains, if any, would be generally distributed at least annually, although the Company may decide to retain such capital gains for investment.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plans to use newly issued shares to implement the dividend reinvestment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340" w:firstLine="456"/>
        <w:spacing w:after="0" w:line="283"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 </w:t>
      </w:r>
      <w:r>
        <w:rPr>
          <w:rFonts w:ascii="Arial" w:cs="Arial" w:eastAsia="Arial" w:hAnsi="Arial"/>
          <w:sz w:val="16"/>
          <w:szCs w:val="16"/>
          <w:color w:val="auto"/>
        </w:rPr>
        <w:t>(“ASU 2011-04”) which largely aligns fair value measurement and disclosure requirements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Financial Reporting Standards and U.S. GAAP. ASU 2011-04 mainly represents clarifications to ASC 820 as well as some instances where a particular principle or requirement for measuring fair value or disclosing information about fair value measurements has changed. ASU 2011-04 clarifies that</w:t>
      </w:r>
    </w:p>
    <w:p>
      <w:pPr>
        <w:spacing w:after="0" w:line="3" w:lineRule="exact"/>
        <w:rPr>
          <w:sz w:val="20"/>
          <w:szCs w:val="20"/>
          <w:color w:val="auto"/>
        </w:rPr>
      </w:pPr>
    </w:p>
    <w:p>
      <w:pPr>
        <w:ind w:right="100" w:firstLine="8"/>
        <w:spacing w:after="0" w:line="287" w:lineRule="auto"/>
        <w:tabs>
          <w:tab w:leader="none" w:pos="21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highest and best use concept only applies to nonfinancial assets; (ii) an instrument classified in shareholders’ equity should be measured from the perspective of a market participant holding that instrument as an asset; and, (iii) quantitative disclosure is required for unobservable inputs used in Level 3 measurements. ASU 2011-04 amends ASC 820 so that (i) the fair value of a group of financial assets and financial liabilities with similar risk exposures may be measured on the basis of the entity’s net risk exposure; (ii) premiums or discounts may be applied in a fair value measurement under certain circumstances but blockage factor discounts are not permitted; and, (iii) additional Level 3 disclosures are required, including a narrative description of the sensitivity of the fair value measurement to changes in unobservable inputs. ASU 2011-04 is effective for interim and annual periods beginning after December 15, 2011. The Company has adopted ASU 2011-04 as of January 1, 2012. The adoption of ASU 2011-04 did not have a material impact on the Company’s financial position or results of operations.</w:t>
      </w:r>
    </w:p>
    <w:p>
      <w:pPr>
        <w:spacing w:after="0" w:line="199" w:lineRule="exact"/>
        <w:rPr>
          <w:sz w:val="20"/>
          <w:szCs w:val="20"/>
          <w:color w:val="auto"/>
        </w:rPr>
      </w:pPr>
    </w:p>
    <w:p>
      <w:pPr>
        <w:ind w:right="7900" w:firstLine="8"/>
        <w:spacing w:after="0" w:line="347" w:lineRule="auto"/>
        <w:tabs>
          <w:tab w:leader="none" w:pos="176"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Administration Agreement also provides for reimbursement of certain initial organization costs incurred prior to the commencement of the Company’s operations (up to an aggregate of $1.5 million). During the year ended December 31, 2011, initial organization costs exceeded $1.5 million and accordingly, a corresponding amount was recorded in the consolidated financial statements and paid to the Adviser.</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the years ended December 31, 2012 and 2011, the Company incurred expenses of $1.0 million and $0.3 million, respectively, for administrative services payable to the Adviser under the terms of the Administration Agreement.</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Unless earlier terminated as described below, the Administration Agreement will remain in effect until March 15, 2013, and may be extended subject to required approvals. The Administration Agreement may be terminated by either party without penalty upon at least 60 days’ written notice to the other party.</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and who serves as a director of the Company receives any compensation from the Company for such services.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a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15, 2011, the Company entered into an Advisory Agreement (the “Advisory Agreement”) with the Adviser. The Advisory Agreement was subsequently amended on December 12, 2011. Under the terms of the Advisory Agreement, the Adviser will provide investment advisory services to the Company. The Adviser’s services under the Advisory Agreement are not exclusive, and the Adviser is free to furnish similar or other services to others so long as its services to the Company are not impaired. Under the terms of the Advisory Agreement, the Company will pay the Adviser a base management fee (the “Management Fee”) and may also pay certain incentive fees (the “Incentive Fee”).</w:t>
      </w:r>
    </w:p>
    <w:p>
      <w:pPr>
        <w:spacing w:after="0" w:line="116" w:lineRule="exact"/>
        <w:rPr>
          <w:sz w:val="20"/>
          <w:szCs w:val="20"/>
          <w:color w:val="auto"/>
        </w:rPr>
      </w:pPr>
    </w:p>
    <w:p>
      <w:pPr>
        <w:jc w:val="both"/>
        <w:ind w:right="100" w:firstLine="456"/>
        <w:spacing w:after="0" w:line="318" w:lineRule="auto"/>
        <w:rPr>
          <w:sz w:val="20"/>
          <w:szCs w:val="20"/>
          <w:color w:val="auto"/>
        </w:rPr>
      </w:pPr>
      <w:r>
        <w:rPr>
          <w:rFonts w:ascii="Arial" w:cs="Arial" w:eastAsia="Arial" w:hAnsi="Arial"/>
          <w:sz w:val="15"/>
          <w:szCs w:val="15"/>
          <w:color w:val="auto"/>
        </w:rPr>
        <w:t>For the quarterly periods ended September 30, 2011, and June 30, 2011, the Management Fee was calculated at an annual rate of 1.5% based on the value of the Company’s gross assets at the end of such calendar quarter, adjusted for share issuances and repurchases during such period. Beginning October 1, 2011, and until the Company has an initial public offering of its Common Stock (an “IPO”), 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2012 and 2011, Management Fees were $8.9 million and $1.6 million, respectively.</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Until such time that the Company has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2012 and 2011, Management Fees of $3.7 million and $7 thousand, respectively, were waived.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60"/>
          </w:cols>
          <w:pgMar w:left="240" w:top="459" w:right="2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jc w:val="both"/>
        <w:ind w:left="900" w:hanging="446"/>
        <w:spacing w:after="0" w:line="306"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cumulative realized capital losses, unrealized capital depreciation and net of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The Company accrues Incentive Fees taking into account unrealized gains and losses; however, Section 205(b)(3) of the Investment Advisers Act of 1940, as amended, prohibits the Adviser from receiving the payment of fees until such gains are realized. There can be no assurance that such unrealized gains will be realized in the future. For the year ended December 31, 2012, Incentive Fees were $7.0 million of which $5.7 million were realized and payable to the Adviser.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2011, Incentive Fees were $0.3 million none of which were realized and payable to the Adviser.</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earlier terminated, the Advisory Agreement will remain in effect until December 12, 2013, and may be extended subject to required approvals. The Advisory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years ended December 31, 2012 and 2011, were $3.8 million and $2.3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basis, without regard to whether they are non-controlled non-affiliated, non-controlled affiliated or controlled investments.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2012 and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December 31, 2012</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Amortized Cost</w:t>
            </w:r>
          </w:p>
        </w:tc>
        <w:tc>
          <w:tcPr>
            <w:tcW w:w="860" w:type="dxa"/>
            <w:vAlign w:val="bottom"/>
          </w:tcPr>
          <w:p>
            <w:pPr>
              <w:spacing w:after="0"/>
              <w:rPr>
                <w:sz w:val="12"/>
                <w:szCs w:val="12"/>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20"/>
              <w:spacing w:after="0"/>
              <w:rPr>
                <w:sz w:val="20"/>
                <w:szCs w:val="20"/>
                <w:color w:val="auto"/>
              </w:rPr>
            </w:pPr>
            <w:r>
              <w:rPr>
                <w:rFonts w:ascii="Arial" w:cs="Arial" w:eastAsia="Arial" w:hAnsi="Arial"/>
                <w:sz w:val="11"/>
                <w:szCs w:val="11"/>
                <w:b w:val="1"/>
                <w:bCs w:val="1"/>
                <w:color w:val="auto"/>
              </w:rPr>
              <w:t>(1)</w:t>
            </w:r>
          </w:p>
        </w:tc>
        <w:tc>
          <w:tcPr>
            <w:tcW w:w="8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642,421</w:t>
            </w:r>
          </w:p>
        </w:tc>
        <w:tc>
          <w:tcPr>
            <w:tcW w:w="8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$651,944</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Common equity</w:t>
            </w:r>
          </w:p>
        </w:tc>
        <w:tc>
          <w:tcPr>
            <w:tcW w:w="1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8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644,421</w:t>
            </w:r>
          </w:p>
        </w:tc>
        <w:tc>
          <w:tcPr>
            <w:tcW w:w="23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Amortized Cost</w:t>
            </w:r>
          </w:p>
        </w:tc>
        <w:tc>
          <w:tcPr>
            <w:tcW w:w="860" w:type="dxa"/>
            <w:vAlign w:val="bottom"/>
          </w:tcPr>
          <w:p>
            <w:pPr>
              <w:spacing w:after="0"/>
              <w:rPr>
                <w:sz w:val="12"/>
                <w:szCs w:val="12"/>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20"/>
              <w:spacing w:after="0"/>
              <w:rPr>
                <w:sz w:val="20"/>
                <w:szCs w:val="20"/>
                <w:color w:val="auto"/>
              </w:rPr>
            </w:pPr>
            <w:r>
              <w:rPr>
                <w:rFonts w:ascii="Arial" w:cs="Arial" w:eastAsia="Arial" w:hAnsi="Arial"/>
                <w:sz w:val="11"/>
                <w:szCs w:val="11"/>
                <w:b w:val="1"/>
                <w:bCs w:val="1"/>
                <w:color w:val="auto"/>
              </w:rPr>
              <w:t>(1)</w:t>
            </w:r>
          </w:p>
        </w:tc>
        <w:tc>
          <w:tcPr>
            <w:tcW w:w="8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172,131</w:t>
            </w:r>
          </w:p>
        </w:tc>
        <w:tc>
          <w:tcPr>
            <w:tcW w:w="8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$174,348</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1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8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4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182,036</w:t>
            </w:r>
          </w:p>
        </w:tc>
        <w:tc>
          <w:tcPr>
            <w:tcW w:w="23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line="268" w:lineRule="auto"/>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2012 and 2011,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5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December 31, 2012</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0"/>
        </w:trPr>
        <w:tc>
          <w:tcPr>
            <w:tcW w:w="3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7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8.6%</w:t>
            </w:r>
          </w:p>
        </w:tc>
        <w:tc>
          <w:tcPr>
            <w:tcW w:w="6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Automotive</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8.9%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Business services</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3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11.0%</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8.2%</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17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Education</w:t>
            </w:r>
          </w:p>
        </w:tc>
        <w:tc>
          <w:tcPr>
            <w:tcW w:w="1700" w:type="dxa"/>
            <w:vAlign w:val="bottom"/>
          </w:tcPr>
          <w:p>
            <w:pPr>
              <w:spacing w:after="0"/>
              <w:rPr>
                <w:sz w:val="18"/>
                <w:szCs w:val="18"/>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3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0.7%</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Financial services</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15.0%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16.9%</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Insurance</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7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Office products</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3.3%</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17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Transportation</w:t>
            </w:r>
          </w:p>
        </w:tc>
        <w:tc>
          <w:tcPr>
            <w:tcW w:w="1700" w:type="dxa"/>
            <w:vAlign w:val="bottom"/>
          </w:tcPr>
          <w:p>
            <w:pPr>
              <w:spacing w:after="0"/>
              <w:rPr>
                <w:sz w:val="18"/>
                <w:szCs w:val="18"/>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7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8"/>
        </w:trPr>
        <w:tc>
          <w:tcPr>
            <w:tcW w:w="3260" w:type="dxa"/>
            <w:vAlign w:val="bottom"/>
          </w:tcPr>
          <w:p>
            <w:pPr>
              <w:spacing w:after="0"/>
              <w:rPr>
                <w:sz w:val="24"/>
                <w:szCs w:val="24"/>
                <w:color w:val="auto"/>
              </w:rPr>
            </w:pPr>
          </w:p>
        </w:tc>
        <w:tc>
          <w:tcPr>
            <w:tcW w:w="3520" w:type="dxa"/>
            <w:vAlign w:val="bottom"/>
            <w:gridSpan w:val="3"/>
          </w:tcPr>
          <w:p>
            <w:pPr>
              <w:jc w:val="right"/>
              <w:ind w:right="2280"/>
              <w:spacing w:after="0"/>
              <w:rPr>
                <w:sz w:val="20"/>
                <w:szCs w:val="20"/>
                <w:color w:val="auto"/>
              </w:rPr>
            </w:pPr>
            <w:r>
              <w:rPr>
                <w:rFonts w:ascii="Arial" w:cs="Arial" w:eastAsia="Arial" w:hAnsi="Arial"/>
                <w:sz w:val="18"/>
                <w:szCs w:val="18"/>
                <w:color w:val="auto"/>
              </w:rPr>
              <w:t>F-19</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2012 and 2011,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46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4"/>
              </w:rPr>
              <w:t>December 31, 2012</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2011</w:t>
            </w: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Midwest</w:t>
            </w:r>
          </w:p>
        </w:tc>
        <w:tc>
          <w:tcPr>
            <w:tcW w:w="2460" w:type="dxa"/>
            <w:vAlign w:val="bottom"/>
            <w:gridSpan w:val="2"/>
          </w:tcPr>
          <w:p>
            <w:pPr>
              <w:jc w:val="right"/>
              <w:ind w:right="1220"/>
              <w:spacing w:after="0"/>
              <w:rPr>
                <w:sz w:val="20"/>
                <w:szCs w:val="20"/>
                <w:color w:val="auto"/>
              </w:rPr>
            </w:pPr>
            <w:r>
              <w:rPr>
                <w:rFonts w:ascii="Arial" w:cs="Arial" w:eastAsia="Arial" w:hAnsi="Arial"/>
                <w:sz w:val="18"/>
                <w:szCs w:val="18"/>
                <w:color w:val="auto"/>
              </w:rPr>
              <w:t>18.8%</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24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17.8%</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South</w:t>
            </w:r>
          </w:p>
        </w:tc>
        <w:tc>
          <w:tcPr>
            <w:tcW w:w="2460" w:type="dxa"/>
            <w:vAlign w:val="bottom"/>
            <w:gridSpan w:val="2"/>
          </w:tcPr>
          <w:p>
            <w:pPr>
              <w:jc w:val="right"/>
              <w:ind w:right="1220"/>
              <w:spacing w:after="0"/>
              <w:rPr>
                <w:sz w:val="20"/>
                <w:szCs w:val="20"/>
                <w:color w:val="auto"/>
              </w:rPr>
            </w:pPr>
            <w:r>
              <w:rPr>
                <w:rFonts w:ascii="Arial" w:cs="Arial" w:eastAsia="Arial" w:hAnsi="Arial"/>
                <w:sz w:val="18"/>
                <w:szCs w:val="18"/>
                <w:color w:val="auto"/>
              </w:rPr>
              <w:t>25.7%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24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37.7%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Canada</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r>
      <w:tr>
        <w:trPr>
          <w:trHeight w:val="27"/>
        </w:trPr>
        <w:tc>
          <w:tcPr>
            <w:tcW w:w="58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4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5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300" w:firstLine="8"/>
        <w:spacing w:after="0" w:line="347" w:lineRule="auto"/>
        <w:tabs>
          <w:tab w:leader="none" w:pos="176"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fair value measurements of investments as of December 31, 2012 and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0" w:type="dxa"/>
            <w:vAlign w:val="bottom"/>
            <w:gridSpan w:val="8"/>
          </w:tcPr>
          <w:p>
            <w:pPr>
              <w:ind w:left="40"/>
              <w:spacing w:after="0"/>
              <w:rPr>
                <w:sz w:val="20"/>
                <w:szCs w:val="20"/>
                <w:color w:val="auto"/>
              </w:rPr>
            </w:pPr>
            <w:r>
              <w:rPr>
                <w:rFonts w:ascii="Arial" w:cs="Arial" w:eastAsia="Arial" w:hAnsi="Arial"/>
                <w:sz w:val="14"/>
                <w:szCs w:val="14"/>
                <w:b w:val="1"/>
                <w:bCs w:val="1"/>
                <w:color w:val="auto"/>
              </w:rPr>
              <w:t>Fair Value Hierarchy at December 31, 2012</w:t>
            </w:r>
          </w:p>
        </w:tc>
      </w:tr>
      <w:tr>
        <w:trPr>
          <w:trHeight w:val="142"/>
        </w:trPr>
        <w:tc>
          <w:tcPr>
            <w:tcW w:w="4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2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rPr>
              <w:t>Level 2</w:t>
            </w:r>
          </w:p>
        </w:tc>
        <w:tc>
          <w:tcPr>
            <w:tcW w:w="66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Level 3</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8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0"/>
              </w:rPr>
              <w:t>$ —</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$84,650</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$567,294</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$651,944</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Common equity</w:t>
            </w:r>
          </w:p>
        </w:tc>
        <w:tc>
          <w:tcPr>
            <w:tcW w:w="182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9"/>
                <w:szCs w:val="19"/>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4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15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569,294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200" w:type="dxa"/>
            <w:vAlign w:val="bottom"/>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4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gridSpan w:val="8"/>
          </w:tcPr>
          <w:p>
            <w:pPr>
              <w:ind w:left="120"/>
              <w:spacing w:after="0"/>
              <w:rPr>
                <w:sz w:val="20"/>
                <w:szCs w:val="20"/>
                <w:color w:val="auto"/>
              </w:rPr>
            </w:pPr>
            <w:r>
              <w:rPr>
                <w:rFonts w:ascii="Arial" w:cs="Arial" w:eastAsia="Arial" w:hAnsi="Arial"/>
                <w:sz w:val="14"/>
                <w:szCs w:val="14"/>
                <w:b w:val="1"/>
                <w:bCs w:val="1"/>
                <w:color w:val="auto"/>
              </w:rPr>
              <w:t>Fair Value Hierarchy at December 31, 2011</w:t>
            </w:r>
          </w:p>
        </w:tc>
      </w:tr>
      <w:tr>
        <w:trPr>
          <w:trHeight w:val="142"/>
        </w:trPr>
        <w:tc>
          <w:tcPr>
            <w:tcW w:w="4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4"/>
              </w:rPr>
              <w:t>Level 2</w:t>
            </w:r>
          </w:p>
        </w:tc>
        <w:tc>
          <w:tcPr>
            <w:tcW w:w="66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Level 3</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$174,348</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$174,348</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4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184,348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184,348</w:t>
            </w:r>
          </w:p>
        </w:tc>
        <w:tc>
          <w:tcPr>
            <w:tcW w:w="200" w:type="dxa"/>
            <w:vAlign w:val="bottom"/>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2012 and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2012</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Preferred</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Equity/</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2"/>
              </w:rPr>
              <w:t>Common</w:t>
            </w:r>
          </w:p>
        </w:tc>
        <w:tc>
          <w:tcPr>
            <w:tcW w:w="68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Mezzanine</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Investments</w:t>
            </w:r>
          </w:p>
        </w:tc>
        <w:tc>
          <w:tcPr>
            <w:tcW w:w="2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Equity</w:t>
            </w:r>
          </w:p>
        </w:tc>
        <w:tc>
          <w:tcPr>
            <w:tcW w:w="68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Investments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1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$ 174,348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Purchases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670,544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2,000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672,544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2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(97,090)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(97,090)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2860" w:type="dxa"/>
            <w:vAlign w:val="bottom"/>
            <w:gridSpan w:val="3"/>
          </w:tcPr>
          <w:p>
            <w:pPr>
              <w:jc w:val="right"/>
              <w:ind w:right="260"/>
              <w:spacing w:after="0"/>
              <w:rPr>
                <w:sz w:val="20"/>
                <w:szCs w:val="20"/>
                <w:color w:val="auto"/>
              </w:rPr>
            </w:pPr>
            <w:r>
              <w:rPr>
                <w:rFonts w:ascii="Arial" w:cs="Arial" w:eastAsia="Arial" w:hAnsi="Arial"/>
                <w:sz w:val="18"/>
                <w:szCs w:val="18"/>
                <w:color w:val="auto"/>
              </w:rPr>
              <w:t>(180,343)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(10,000)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(190,343)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7,434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3,940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18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1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$ 567,294</w:t>
            </w: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$ 569,294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20" w:type="dxa"/>
            <w:vAlign w:val="bottom"/>
          </w:tcPr>
          <w:p>
            <w:pPr>
              <w:spacing w:after="0"/>
              <w:rPr>
                <w:sz w:val="24"/>
                <w:szCs w:val="24"/>
                <w:color w:val="auto"/>
              </w:rPr>
            </w:pPr>
          </w:p>
        </w:tc>
        <w:tc>
          <w:tcPr>
            <w:tcW w:w="2860" w:type="dxa"/>
            <w:vAlign w:val="bottom"/>
            <w:gridSpan w:val="3"/>
          </w:tcPr>
          <w:p>
            <w:pPr>
              <w:jc w:val="right"/>
              <w:ind w:right="1460"/>
              <w:spacing w:after="0"/>
              <w:rPr>
                <w:sz w:val="20"/>
                <w:szCs w:val="20"/>
                <w:color w:val="auto"/>
              </w:rPr>
            </w:pPr>
            <w:r>
              <w:rPr>
                <w:rFonts w:ascii="Arial" w:cs="Arial" w:eastAsia="Arial" w:hAnsi="Arial"/>
                <w:sz w:val="18"/>
                <w:szCs w:val="18"/>
                <w:color w:val="auto"/>
              </w:rPr>
              <w:t>F-20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60"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 2011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Preferred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Equity/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Debt</w:t>
            </w:r>
          </w:p>
        </w:tc>
        <w:tc>
          <w:tcPr>
            <w:tcW w:w="380" w:type="dxa"/>
            <w:vAlign w:val="bottom"/>
          </w:tcPr>
          <w:p>
            <w:pPr>
              <w:spacing w:after="0"/>
              <w:rPr>
                <w:sz w:val="12"/>
                <w:szCs w:val="12"/>
                <w:color w:val="auto"/>
              </w:rPr>
            </w:pPr>
          </w:p>
        </w:tc>
        <w:tc>
          <w:tcPr>
            <w:tcW w:w="11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Mezzanine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020" w:type="dxa"/>
            <w:vAlign w:val="bottom"/>
          </w:tcPr>
          <w:p>
            <w:pPr>
              <w:spacing w:after="0"/>
              <w:rPr>
                <w:sz w:val="14"/>
                <w:szCs w:val="1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Investments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6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Purchases, net</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174,291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9,905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184,196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(2,503)</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unrealized gains on investments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2,217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2,312</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r>
      <w:tr>
        <w:trPr>
          <w:trHeight w:val="222"/>
        </w:trPr>
        <w:tc>
          <w:tcPr>
            <w:tcW w:w="6020" w:type="dxa"/>
            <w:vAlign w:val="bottom"/>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174,348</w:t>
            </w:r>
          </w:p>
        </w:tc>
        <w:tc>
          <w:tcPr>
            <w:tcW w:w="2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10,000</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184,348</w:t>
            </w:r>
          </w:p>
        </w:tc>
      </w:tr>
      <w:tr>
        <w:trPr>
          <w:trHeight w:val="20"/>
        </w:trPr>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Rare Restaurant Group, LLC transferred out of Level 3 during the year ended December 31, 2012, as a result of changes in the observability of inputs into its valuation. Other than Rare Restaurant Group, LLC, there were no transfers between levels in the fair value hierarchy during the year ended December 31, 2012. There were no transfers between levels in the fair value hierarchy during the year ended December 31, 2011.</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2012 and 2011:</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87"/>
              </w:rPr>
              <w:t>Net Change in Unrealized</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Net Change in Unrealized</w:t>
            </w:r>
          </w:p>
        </w:tc>
      </w:tr>
      <w:tr>
        <w:trPr>
          <w:trHeight w:val="149"/>
        </w:trPr>
        <w:tc>
          <w:tcPr>
            <w:tcW w:w="4600" w:type="dxa"/>
            <w:vAlign w:val="bottom"/>
          </w:tcPr>
          <w:p>
            <w:pPr>
              <w:spacing w:after="0"/>
              <w:rPr>
                <w:sz w:val="12"/>
                <w:szCs w:val="12"/>
                <w:color w:val="auto"/>
              </w:rPr>
            </w:pPr>
          </w:p>
        </w:tc>
        <w:tc>
          <w:tcPr>
            <w:tcW w:w="3200" w:type="dxa"/>
            <w:vAlign w:val="bottom"/>
            <w:gridSpan w:val="4"/>
          </w:tcPr>
          <w:p>
            <w:pPr>
              <w:jc w:val="center"/>
              <w:ind w:right="152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c>
          <w:tcPr>
            <w:tcW w:w="1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r>
      <w:tr>
        <w:trPr>
          <w:trHeight w:val="149"/>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3"/>
          </w:tcPr>
          <w:p>
            <w:pPr>
              <w:jc w:val="center"/>
              <w:ind w:right="1620"/>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100" w:type="dxa"/>
            <w:vAlign w:val="bottom"/>
          </w:tcPr>
          <w:p>
            <w:pPr>
              <w:spacing w:after="0"/>
              <w:rPr>
                <w:sz w:val="12"/>
                <w:szCs w:val="12"/>
                <w:color w:val="auto"/>
              </w:rPr>
            </w:pP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for the Year Ended</w:t>
            </w:r>
          </w:p>
        </w:tc>
      </w:tr>
      <w:tr>
        <w:trPr>
          <w:trHeight w:val="149"/>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3"/>
          </w:tcPr>
          <w:p>
            <w:pPr>
              <w:jc w:val="center"/>
              <w:ind w:right="1620"/>
              <w:spacing w:after="0" w:line="149" w:lineRule="exact"/>
              <w:rPr>
                <w:sz w:val="20"/>
                <w:szCs w:val="20"/>
                <w:color w:val="auto"/>
              </w:rPr>
            </w:pPr>
            <w:r>
              <w:rPr>
                <w:rFonts w:ascii="Arial" w:cs="Arial" w:eastAsia="Arial" w:hAnsi="Arial"/>
                <w:sz w:val="14"/>
                <w:szCs w:val="14"/>
                <w:b w:val="1"/>
                <w:bCs w:val="1"/>
                <w:color w:val="auto"/>
                <w:w w:val="87"/>
              </w:rPr>
              <w:t>December 31, 2012 on</w:t>
            </w:r>
          </w:p>
        </w:tc>
        <w:tc>
          <w:tcPr>
            <w:tcW w:w="100" w:type="dxa"/>
            <w:vAlign w:val="bottom"/>
          </w:tcPr>
          <w:p>
            <w:pPr>
              <w:spacing w:after="0"/>
              <w:rPr>
                <w:sz w:val="12"/>
                <w:szCs w:val="12"/>
                <w:color w:val="auto"/>
              </w:rPr>
            </w:pP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 2011 on</w:t>
            </w:r>
          </w:p>
        </w:tc>
      </w:tr>
      <w:tr>
        <w:trPr>
          <w:trHeight w:val="149"/>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3"/>
          </w:tcPr>
          <w:p>
            <w:pPr>
              <w:jc w:val="center"/>
              <w:ind w:right="162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Investments Held at</w:t>
            </w:r>
          </w:p>
        </w:tc>
      </w:tr>
      <w:tr>
        <w:trPr>
          <w:trHeight w:val="16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85"/>
              </w:rPr>
              <w:t>December 31, 2012</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2011</w:t>
            </w:r>
          </w:p>
        </w:tc>
      </w:tr>
      <w:tr>
        <w:trPr>
          <w:trHeight w:val="210"/>
        </w:trPr>
        <w:tc>
          <w:tcPr>
            <w:tcW w:w="4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Common Equity</w:t>
            </w:r>
          </w:p>
        </w:tc>
        <w:tc>
          <w:tcPr>
            <w:tcW w:w="100" w:type="dxa"/>
            <w:vAlign w:val="bottom"/>
          </w:tcPr>
          <w:p>
            <w:pPr>
              <w:spacing w:after="0"/>
              <w:rPr>
                <w:sz w:val="18"/>
                <w:szCs w:val="18"/>
                <w:color w:val="auto"/>
              </w:rPr>
            </w:pPr>
          </w:p>
        </w:tc>
        <w:tc>
          <w:tcPr>
            <w:tcW w:w="310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equity/mezzanine investments</w:t>
            </w: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r>
      <w:tr>
        <w:trPr>
          <w:trHeight w:val="222"/>
        </w:trPr>
        <w:tc>
          <w:tcPr>
            <w:tcW w:w="460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7,918</w:t>
            </w:r>
          </w:p>
        </w:tc>
        <w:tc>
          <w:tcPr>
            <w:tcW w:w="1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5"/>
              </w:rPr>
              <w:t>December 31, 2012</w:t>
            </w:r>
          </w:p>
        </w:tc>
        <w:tc>
          <w:tcPr>
            <w:tcW w:w="1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Impact to Valuation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2"/>
                <w:szCs w:val="22"/>
                <w:b w:val="1"/>
                <w:bCs w:val="1"/>
                <w:color w:val="auto"/>
                <w:vertAlign w:val="superscript"/>
              </w:rPr>
              <w:t>(1)</w:t>
            </w:r>
          </w:p>
        </w:tc>
        <w:tc>
          <w:tcPr>
            <w:tcW w:w="180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rPr>
              <w:t>Valuation</w:t>
            </w:r>
          </w:p>
        </w:tc>
        <w:tc>
          <w:tcPr>
            <w:tcW w:w="154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Unobservable</w:t>
            </w:r>
          </w:p>
        </w:tc>
        <w:tc>
          <w:tcPr>
            <w:tcW w:w="2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Range (Weighted</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800" w:type="dxa"/>
            <w:vAlign w:val="bottom"/>
            <w:gridSpan w:val="2"/>
          </w:tcPr>
          <w:p>
            <w:pPr>
              <w:ind w:left="400"/>
              <w:spacing w:after="0"/>
              <w:rPr>
                <w:sz w:val="20"/>
                <w:szCs w:val="20"/>
                <w:color w:val="auto"/>
              </w:rPr>
            </w:pPr>
            <w:r>
              <w:rPr>
                <w:rFonts w:ascii="Arial" w:cs="Arial" w:eastAsia="Arial" w:hAnsi="Arial"/>
                <w:sz w:val="14"/>
                <w:szCs w:val="14"/>
                <w:b w:val="1"/>
                <w:bCs w:val="1"/>
                <w:color w:val="auto"/>
              </w:rPr>
              <w:t>Technique</w:t>
            </w:r>
          </w:p>
        </w:tc>
        <w:tc>
          <w:tcPr>
            <w:tcW w:w="1540" w:type="dxa"/>
            <w:vAlign w:val="bottom"/>
            <w:gridSpan w:val="3"/>
          </w:tcPr>
          <w:p>
            <w:pPr>
              <w:ind w:left="360"/>
              <w:spacing w:after="0"/>
              <w:rPr>
                <w:sz w:val="20"/>
                <w:szCs w:val="20"/>
                <w:color w:val="auto"/>
              </w:rPr>
            </w:pPr>
            <w:r>
              <w:rPr>
                <w:rFonts w:ascii="Arial" w:cs="Arial" w:eastAsia="Arial" w:hAnsi="Arial"/>
                <w:sz w:val="14"/>
                <w:szCs w:val="14"/>
                <w:b w:val="1"/>
                <w:bCs w:val="1"/>
                <w:color w:val="auto"/>
              </w:rPr>
              <w:t>Input</w:t>
            </w:r>
          </w:p>
        </w:tc>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Average)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Input</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452,831</w:t>
            </w:r>
          </w:p>
        </w:tc>
        <w:tc>
          <w:tcPr>
            <w:tcW w:w="3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6"/>
              </w:rPr>
              <w:t>Income Approach</w:t>
            </w:r>
          </w:p>
        </w:tc>
        <w:tc>
          <w:tcPr>
            <w:tcW w:w="3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9"/>
              </w:rPr>
              <w:t>Market Yield</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7.00% — 11.29% (9.84%)</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3"/>
              </w:rPr>
              <w:t>Decrease</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Common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 xml:space="preserve">Market Approach </w:t>
            </w:r>
            <w:r>
              <w:rPr>
                <w:rFonts w:ascii="Arial" w:cs="Arial" w:eastAsia="Arial" w:hAnsi="Arial"/>
                <w:sz w:val="11"/>
                <w:szCs w:val="11"/>
                <w:color w:val="auto"/>
              </w:rPr>
              <w:t>(2)</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340" w:hanging="452"/>
        <w:spacing w:after="0" w:line="254"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Excludes $114.5 million of debt investments which, due to the proximity of the transactions relative to the measurement date, were valued by using the value implied from such transactions.</w:t>
      </w:r>
    </w:p>
    <w:p>
      <w:pPr>
        <w:ind w:left="460" w:right="280" w:hanging="452"/>
        <w:spacing w:after="0" w:line="261"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Due to the proximity of the transaction relative to the measurement date, the value implied from the transaction is representative of the fair value for the investments as of December 31,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December 31, 2012 and 2011, approximates its carrying value as the outstanding balances are callable at carrying value.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17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borrowings, are classified as Level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2012 and 2011, the Company’s asset coverage was 244.6% and 211.7%,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2012 and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2012</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84"/>
              </w:rPr>
              <w:t>Borrowings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7"/>
              <w:spacing w:after="0" w:line="129"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8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86"/>
              </w:rPr>
              <w:t>Total Facility</w:t>
            </w:r>
          </w:p>
        </w:tc>
        <w:tc>
          <w:tcPr>
            <w:tcW w:w="62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60" w:type="dxa"/>
            <w:vAlign w:val="bottom"/>
            <w:gridSpan w:val="3"/>
          </w:tcPr>
          <w:p>
            <w:pPr>
              <w:jc w:val="center"/>
              <w:ind w:left="225"/>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250,000</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100,000</w:t>
            </w:r>
          </w:p>
        </w:tc>
        <w:tc>
          <w:tcPr>
            <w:tcW w:w="120" w:type="dxa"/>
            <w:vAlign w:val="bottom"/>
          </w:tcPr>
          <w:p>
            <w:pPr>
              <w:spacing w:after="0"/>
              <w:rPr>
                <w:sz w:val="18"/>
                <w:szCs w:val="18"/>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66,836</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200,000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550,000</w:t>
            </w:r>
          </w:p>
        </w:tc>
        <w:tc>
          <w:tcPr>
            <w:tcW w:w="120" w:type="dxa"/>
            <w:vAlign w:val="bottom"/>
          </w:tcPr>
          <w:p>
            <w:pPr>
              <w:spacing w:after="0"/>
              <w:rPr>
                <w:sz w:val="19"/>
                <w:szCs w:val="19"/>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$ 331,836</w:t>
            </w:r>
          </w:p>
        </w:tc>
        <w:tc>
          <w:tcPr>
            <w:tcW w:w="3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left="100"/>
              <w:spacing w:after="0"/>
              <w:rPr>
                <w:sz w:val="20"/>
                <w:szCs w:val="20"/>
                <w:color w:val="auto"/>
              </w:rPr>
            </w:pPr>
            <w:r>
              <w:rPr>
                <w:rFonts w:ascii="Arial" w:cs="Arial" w:eastAsia="Arial" w:hAnsi="Arial"/>
                <w:sz w:val="14"/>
                <w:szCs w:val="14"/>
                <w:b w:val="1"/>
                <w:bCs w:val="1"/>
                <w:color w:val="auto"/>
                <w:w w:val="85"/>
              </w:rPr>
              <w:t>December 31, 2011</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7"/>
              </w:rPr>
              <w:t>Borrowings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84"/>
              </w:rPr>
              <w:t>Total Facility</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Available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60" w:type="dxa"/>
            <w:vAlign w:val="bottom"/>
            <w:gridSpan w:val="3"/>
          </w:tcPr>
          <w:p>
            <w:pPr>
              <w:jc w:val="center"/>
              <w:ind w:left="325"/>
              <w:spacing w:after="0"/>
              <w:rPr>
                <w:sz w:val="20"/>
                <w:szCs w:val="20"/>
                <w:color w:val="auto"/>
              </w:rPr>
            </w:pPr>
            <w:r>
              <w:rPr>
                <w:rFonts w:ascii="Arial" w:cs="Arial" w:eastAsia="Arial" w:hAnsi="Arial"/>
                <w:sz w:val="11"/>
                <w:szCs w:val="11"/>
                <w:b w:val="1"/>
                <w:bCs w:val="1"/>
                <w:color w:val="auto"/>
                <w:w w:val="88"/>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74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74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$ 155,000</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820" w:type="dxa"/>
            <w:vAlign w:val="bottom"/>
            <w:gridSpan w:val="5"/>
          </w:tcPr>
          <w:p>
            <w:pPr>
              <w:jc w:val="center"/>
              <w:ind w:left="300"/>
              <w:spacing w:after="0"/>
              <w:rPr>
                <w:sz w:val="20"/>
                <w:szCs w:val="20"/>
                <w:color w:val="auto"/>
              </w:rPr>
            </w:pPr>
            <w:r>
              <w:rPr>
                <w:rFonts w:ascii="Arial" w:cs="Arial" w:eastAsia="Arial" w:hAnsi="Arial"/>
                <w:sz w:val="18"/>
                <w:szCs w:val="18"/>
                <w:color w:val="auto"/>
                <w:w w:val="89"/>
              </w:rPr>
              <w:t>$ 155,000</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tabs>
          <w:tab w:leader="none" w:pos="14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Average debt outstanding during the years ended December 31, 2012 and 2011, was $111.2 million and $11.4 million, respectively. The weighted average interest rate for outstanding borrowings during the year ended December 31, 2012 and 2011 was 2.9% and 3.0%,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2012 and 2011, the components of interest expense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106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592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3"/>
              </w:rPr>
              <w:t>December 31,</w:t>
            </w:r>
          </w:p>
        </w:tc>
        <w:tc>
          <w:tcPr>
            <w:tcW w:w="196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1"/>
        </w:trPr>
        <w:tc>
          <w:tcPr>
            <w:tcW w:w="5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1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Commitment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1,252</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r>
      <w:tr>
        <w:trPr>
          <w:trHeight w:val="222"/>
        </w:trPr>
        <w:tc>
          <w:tcPr>
            <w:tcW w:w="592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60" w:type="dxa"/>
            <w:vAlign w:val="bottom"/>
            <w:gridSpan w:val="2"/>
          </w:tcPr>
          <w:p>
            <w:pPr>
              <w:jc w:val="right"/>
              <w:ind w:right="2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6,020</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23, 2012, the Company entered into a Senior Secured Revolving Credit Agreement (the “Revolving Credit Facility (SunTrust)”). The parties to the Revolving Credit Facility (SunTrust) include the Company, as Borrower, the lenders from time to time parties thereto (each a “Lender” and collectively, the “Lenders”) and SunTrust Bank, as Administrative Agent.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40"/>
          </w:cols>
          <w:pgMar w:left="240" w:top="460" w:right="3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Revolving Credit Facility (SunTrust) is guaranteed by TC Lending, LLC and certain domestic subsidiaries of the Company that are formed or acquired by the Company in the future (collectively, the “Guarantors”). Proceeds from borrowings may be used for general corporate purposes, including the funding of portfolio investments.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maximum principal amount of the facility is $200 million, subject to availability under the borrowing base, which is based on the Company’s portfolio investments and other outstanding indebtedness. Maximum capacity may be increased to $300 million through the exercise by the Borrower of an uncommitted accordion feature through which existing and new lenders may, at their option, agree to provide additional financing. The Revolving Credit Facility (SunTrust) includes a $30 million limit for swingline loans and a $20 million limit for letters of credit and is secured by a perfected first-priority interest in substantially the entire portfolio of investments held by the Company and each Guarantor.</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availability period under the Revolving Credit Facility (SunTrust) will terminate on August 24, 2015 (the “SunTrust Commitment Termination Date”) and it will mature on August 23, 2016 (the “SunTrust Maturity Date”). During the period from the SunTrust Commitment Termination Date to the SunTrust Maturity Date, the Company will be obligated to make mandatory prepayments out of the proceeds of certain asset sales, and other recovery events and equity and debt issuances.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may borrow amounts in U.S. dollars or certain other permitted currencies. Amounts drawn under the Revolving Credit Facility (SunTrust), including amounts drawn in respect of letters of credit, will bear interest at either LIBOR plus a margin, or the prime rate plus a margin. The Company may elect either the LIBOR or prime rate at the time of drawdown, and loans may be converted from one rate to another at any time, subject to certain conditions. The Company will also pay a fee of 0.50% on undrawn amounts and, in respect of each undrawn letter of credit, a fee and interest rate equal to the then-applicable margin while the letter of credit is outstanding.</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covenants, including certain financial covenants related to asset coverage and liquidity and other maintenance covenants, as well as customary events of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May 8, 2012 (the “Natixis Closing Date”), the Company’s wholly-owned subsidiary TPG SL SPV, LLC (the “Subsidiary”), a Delaware limited liability company, entered into a Revolving Credit and Security Agreement (the “Revolving Credit Facility (Natixis)”). Parties to the agreement include TPG SL SPV, LLC, as Borrower, and the lenders from time to time parties thereto, Natixis, New York Branch, as Facility Agent and The Bank of New York Mellon Trust Company, N.A., as Collateral Agent. Also on May 8, 2012, the Company contributed certain investments to the Subsidiary pursuant to the terms of a Master Sale and Contribution Agreement by and between the Company and the Subsidiary. No gain or loss was recognized as a result of the contribution. Proceeds from the Revolving Credit Facility (Natixis) may be used to finance the acquisition of eligible assets by the Subsidiary, including the purchase of such assets from the Company. The Company retains a residual interest in assets contributed to or acquired by the Subsidiary through its ownership of the Subsidiary. The maximum principal amount of the facility is $100 million, subject to availability under the borrowing base, which is based on the amount of the Subsidiary’s assets from time to time, and satisfaction of certain conditions, including an asset coverage test, an asset quality test and certain concentration limits.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agreement provides for a contribution and reinvestment period for up to 18 months after the Natixis Closing Date (the “Natixis Commitment Termination Date”). Prior to the Natixis Commitment Termination Date, proceeds received by the Subsidiary from interest, dividends, or fees on assets must be used to pay expenses and interest on outstanding borrowings, and the excess may be returned to the Company, subject to certain conditions. Proceeds received from principal on assets prior to the Natixis Commitment Termination Date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must be used to make quarterly payments of principal on outstanding borrowings. Following the Natixis Commitment Termination Date, proceeds received by the Subsidiary from interest and principal on collateral assets must be used to make quarterly payments of principal on outstanding borrowings. Proceeds received from interest and principal at the end of a reporting period that have not gone through a settlement process are considered to be restricted cash. As of December 31, 2012, the Subsidiary had $4.3 million in restricted cash, a component of Prepaid expenses and other assets, in the accompanying consolidated financial statements.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Revolving Credit Facility (Natixis) will mature on May 8, 2020. Amounts drawn bear interest at LIBOR plus a margin and the undrawn portion of the commitment bears an unutilized commitment fee of 0.75%. The Revolving Credit Facility (Natixis) contains customary covenants, including certain maintenance covenants, and events of default. The Revolving Credit Facility (Natixis) is secured by a perfected first priority security interest in the assets of the Subsidiary and on any payments received by the Subsidiary in respect of such assets and, as such, are not available to pay the debts of the Company. As of December 31, 2012, the Subsidiary had $163.8 million in assets, including $154.4 million in investments, and $67.3 million in liabilities, including the outstanding borrowings, on its balance sheet.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the Subsidiary are considered borrowings of the Company for purposes of complying with the asset coverage requirements under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September 28, 2011, the Company entered into a revolving credit facility (the “Initial DBTCA Revolving Credit Facility”) with Deutsche Bank Trust Company Americas (“DBTCA”) as administrative agent (the “Administrative Agent”), and DBTCA and certain of its affiliates as lenders. At closing, the maximum principal amount of the Initial DTBCA Revolving Credit Facility was $150 million, subject to availability under the borrowing base. On December 22, 2011, the Initial DBTCA Revolving Credit Facility was amended and restated (the “Revolving Credit Facility (DBTCA)”). Under the Revolving Credit Facility (DBTCA), the maximum principal amount was increased from $150 million to $250 million, including up to $75 million available for standby letters of credit, subject in each case to availability under a borrowing base which is based on unfunded capital commitments and outstanding indebtedness. The maximum principal amount of the Revolving Credit Facility (DBTCA) may be increased to up to $300 million upon request of the Company within twelve months of closing and subject to payment of an additional fee. The option to increase the facility expired on September 28, 2012. Proceeds from the Revolving Credit Facility (DBTCA) may be used for investment activities, expenses, working capital requirements and general corporate purposes.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Revolving Credit Facility (DBTCA) matures upon the earlier of December 20, 2013, and 25 days prior to a qualifying initial public offering of the Company.</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Revolving Credit Facility (DBTCA) is secured by a perfected first priority security interest in the unfunded capital commitments of the Company’s private investors, including assignment of the right to make capital calls, receive and apply capital contributions, enforce remedies and claims related thereto, and a pledge of the collateral account into which all capital calls flow.</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rates on obligations under the Revolving Credit Facility (DBTCA) are based on prevailing LIBOR or prime lending rate plus an applicable margin. We may elect either the LIBOR or prime rate at the time of draw-down, and loans may be converted from one rate to another at any time, subject to certain conditions. We also pay a fee of 0.375% on undrawn amounts of the Revolving Credit Facility. In respect of each letter of credit, the Company will pay a fee and a fixed rate while the letter of credit is outstanding.</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Revolving Credit Facility (DBTCA) contains customary covenants on us and our subsidiaries, including requirements to deposit all capital call proceeds into a collateral account, restrict certain distributions, and restrict certain types and amounts of indebtedness. The Revolving Credit Facility (DBTCA) includes customary events of default.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Transfers of interests in the Company by investors will require the prior consent of the Administrative Agent, which shall not be unreasonably withheld or delayed. Such transfers may trigger mandatory prepayment obligations.</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connection with the closing of all three revolving credit facilities, the Company paid fees totaling $7.6 million. Such fees have been capitalized as debt issuance costs, included in Prepaid expenses and other assets, and are being amortized over the life of the respective facility.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and 2011, the Company was in compliance with the terms of its debt arrangements.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Subsequent to December 31, 2012, the Company repaid a portion of its debt and borrowed additional amounts to fund investments. As of March 14, 2013, there was $132.7 million outstanding.</w:t>
      </w:r>
    </w:p>
    <w:p>
      <w:pPr>
        <w:spacing w:after="0" w:line="207" w:lineRule="exact"/>
        <w:rPr>
          <w:sz w:val="20"/>
          <w:szCs w:val="20"/>
          <w:color w:val="auto"/>
        </w:rPr>
      </w:pPr>
    </w:p>
    <w:p>
      <w:pPr>
        <w:ind w:right="8720" w:firstLine="8"/>
        <w:spacing w:after="0" w:line="417" w:lineRule="auto"/>
        <w:tabs>
          <w:tab w:leader="none" w:pos="176" w:val="left"/>
        </w:tabs>
        <w:numPr>
          <w:ilvl w:val="0"/>
          <w:numId w:val="14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December 31, 2012 and 2011, the Company had the following commitments to fund loans: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7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17,500</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14,500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r>
      <w:tr>
        <w:trPr>
          <w:trHeight w:val="27"/>
        </w:trPr>
        <w:tc>
          <w:tcPr>
            <w:tcW w:w="7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32,000</w:t>
            </w: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of December 31, 2012 and 2011, the Company had $1.4 billion and $1.2 billion, respectively, in total capital commitments from investors ($0.9 billion and $1.0 billion unfunded, respectively), of which $114.1 million and $70.4 million, respectively, is from the Adviser and its affiliates ($76.6 million and $60.3 million unfunded,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2012,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Assets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its formation, the Company had the authority to issue 10,000 shares of common stock at $0.01 per share par value (“Common Stock”). The Company also had the authority to issue 100,000,000 shares of preferred stock at $0.01 per share par value. The Company’s preferred stock is non-convertible.</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December 21, 2010, the Company issued 1,000 shares of Common Stock for $1,000 to Tarrant Advisors, Inc., an affiliate of the Company and its Adviser.</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March 8, 2011, the Company increased the number of shares of Common Stock authorized to be issued to 100,000,000, par value $0.01 per share. The authorized preferred stock was unchanged and no preferred stock was outstanding as of December 31,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years ended December 31 2012 and 2011, the Company entered into subscription agreements (collectively, the “Subscription Agreements”) with several investors, including the Adviser and its affiliates, 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2012 and 2011:</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7"/>
              </w:rPr>
              <w:t>December 31, 2012</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5740" w:type="dxa"/>
            <w:vAlign w:val="bottom"/>
          </w:tcPr>
          <w:p>
            <w:pPr>
              <w:spacing w:after="0"/>
              <w:rPr>
                <w:sz w:val="10"/>
                <w:szCs w:val="10"/>
                <w:color w:val="auto"/>
              </w:rPr>
            </w:pPr>
          </w:p>
        </w:tc>
        <w:tc>
          <w:tcPr>
            <w:tcW w:w="840" w:type="dxa"/>
            <w:vAlign w:val="bottom"/>
          </w:tcPr>
          <w:p>
            <w:pPr>
              <w:jc w:val="right"/>
              <w:ind w:right="177"/>
              <w:spacing w:after="0" w:line="115" w:lineRule="exact"/>
              <w:rPr>
                <w:sz w:val="20"/>
                <w:szCs w:val="20"/>
                <w:color w:val="auto"/>
              </w:rPr>
            </w:pPr>
            <w:r>
              <w:rPr>
                <w:rFonts w:ascii="Arial" w:cs="Arial" w:eastAsia="Arial" w:hAnsi="Arial"/>
                <w:sz w:val="12"/>
                <w:szCs w:val="12"/>
                <w:b w:val="1"/>
                <w:bCs w:val="1"/>
                <w:color w:val="auto"/>
              </w:rPr>
              <w:t>Shares</w:t>
            </w: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6"/>
        </w:trPr>
        <w:tc>
          <w:tcPr>
            <w:tcW w:w="5740" w:type="dxa"/>
            <w:vAlign w:val="bottom"/>
          </w:tcPr>
          <w:p>
            <w:pPr>
              <w:spacing w:after="0"/>
              <w:rPr>
                <w:sz w:val="15"/>
                <w:szCs w:val="15"/>
                <w:color w:val="auto"/>
              </w:rPr>
            </w:pPr>
          </w:p>
        </w:tc>
        <w:tc>
          <w:tcPr>
            <w:tcW w:w="840" w:type="dxa"/>
            <w:vAlign w:val="bottom"/>
          </w:tcPr>
          <w:p>
            <w:pPr>
              <w:jc w:val="right"/>
              <w:ind w:right="97"/>
              <w:spacing w:after="0" w:line="176" w:lineRule="exact"/>
              <w:rPr>
                <w:sz w:val="20"/>
                <w:szCs w:val="20"/>
                <w:color w:val="auto"/>
              </w:rPr>
            </w:pPr>
            <w:r>
              <w:rPr>
                <w:rFonts w:ascii="Arial" w:cs="Arial" w:eastAsia="Arial" w:hAnsi="Arial"/>
                <w:sz w:val="13"/>
                <w:szCs w:val="13"/>
                <w:b w:val="1"/>
                <w:bCs w:val="1"/>
                <w:color w:val="auto"/>
              </w:rPr>
              <w:t>Issued</w:t>
            </w:r>
            <w:r>
              <w:rPr>
                <w:rFonts w:ascii="Arial" w:cs="Arial" w:eastAsia="Arial" w:hAnsi="Arial"/>
                <w:sz w:val="20"/>
                <w:szCs w:val="20"/>
                <w:b w:val="1"/>
                <w:bCs w:val="1"/>
                <w:color w:val="auto"/>
                <w:vertAlign w:val="superscript"/>
              </w:rPr>
              <w:t>(2)</w:t>
            </w:r>
          </w:p>
        </w:tc>
        <w:tc>
          <w:tcPr>
            <w:tcW w:w="2100" w:type="dxa"/>
            <w:vAlign w:val="bottom"/>
            <w:gridSpan w:val="4"/>
          </w:tcPr>
          <w:p>
            <w:pPr>
              <w:ind w:left="920"/>
              <w:spacing w:after="0"/>
              <w:rPr>
                <w:sz w:val="20"/>
                <w:szCs w:val="20"/>
                <w:color w:val="auto"/>
              </w:rPr>
            </w:pPr>
            <w:r>
              <w:rPr>
                <w:rFonts w:ascii="Arial" w:cs="Arial" w:eastAsia="Arial" w:hAnsi="Arial"/>
                <w:sz w:val="14"/>
                <w:szCs w:val="14"/>
                <w:b w:val="1"/>
                <w:bCs w:val="1"/>
                <w:color w:val="auto"/>
                <w:w w:val="90"/>
              </w:rPr>
              <w:t>Proceeds Received</w:t>
            </w:r>
          </w:p>
        </w:tc>
      </w:tr>
      <w:tr>
        <w:trPr>
          <w:trHeight w:val="210"/>
        </w:trPr>
        <w:tc>
          <w:tcPr>
            <w:tcW w:w="5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435,061</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February 22, 2012</w:t>
            </w:r>
          </w:p>
        </w:tc>
        <w:tc>
          <w:tcPr>
            <w:tcW w:w="840" w:type="dxa"/>
            <w:vAlign w:val="bottom"/>
          </w:tcPr>
          <w:p>
            <w:pPr>
              <w:jc w:val="right"/>
              <w:spacing w:after="0"/>
              <w:rPr>
                <w:sz w:val="20"/>
                <w:szCs w:val="20"/>
                <w:color w:val="auto"/>
              </w:rPr>
            </w:pPr>
            <w:r>
              <w:rPr>
                <w:rFonts w:ascii="Arial" w:cs="Arial" w:eastAsia="Arial" w:hAnsi="Arial"/>
                <w:sz w:val="18"/>
                <w:szCs w:val="18"/>
                <w:color w:val="auto"/>
              </w:rPr>
              <w:t>2,368,398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5,076,511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May 31, 2012</w:t>
            </w:r>
          </w:p>
        </w:tc>
        <w:tc>
          <w:tcPr>
            <w:tcW w:w="840" w:type="dxa"/>
            <w:vAlign w:val="bottom"/>
          </w:tcPr>
          <w:p>
            <w:pPr>
              <w:jc w:val="right"/>
              <w:spacing w:after="0"/>
              <w:rPr>
                <w:sz w:val="20"/>
                <w:szCs w:val="20"/>
                <w:color w:val="auto"/>
              </w:rPr>
            </w:pPr>
            <w:r>
              <w:rPr>
                <w:rFonts w:ascii="Arial" w:cs="Arial" w:eastAsia="Arial" w:hAnsi="Arial"/>
                <w:sz w:val="18"/>
                <w:szCs w:val="18"/>
                <w:color w:val="auto"/>
              </w:rPr>
              <w:t>892,058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June 29,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2,319,591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September 26, 2012</w:t>
            </w:r>
          </w:p>
        </w:tc>
        <w:tc>
          <w:tcPr>
            <w:tcW w:w="840" w:type="dxa"/>
            <w:vAlign w:val="bottom"/>
          </w:tcPr>
          <w:p>
            <w:pPr>
              <w:jc w:val="right"/>
              <w:spacing w:after="0"/>
              <w:rPr>
                <w:sz w:val="20"/>
                <w:szCs w:val="20"/>
                <w:color w:val="auto"/>
              </w:rPr>
            </w:pPr>
            <w:r>
              <w:rPr>
                <w:rFonts w:ascii="Arial" w:cs="Arial" w:eastAsia="Arial" w:hAnsi="Arial"/>
                <w:sz w:val="18"/>
                <w:szCs w:val="18"/>
                <w:color w:val="auto"/>
              </w:rPr>
              <w:t>1,496,143</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December 10, 2012 </w:t>
            </w:r>
            <w:r>
              <w:rPr>
                <w:rFonts w:ascii="Arial" w:cs="Arial" w:eastAsia="Arial" w:hAnsi="Arial"/>
                <w:sz w:val="11"/>
                <w:szCs w:val="11"/>
                <w:color w:val="auto"/>
              </w:rPr>
              <w:t>(1)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6,611,659</w:t>
            </w:r>
          </w:p>
        </w:tc>
        <w:tc>
          <w:tcPr>
            <w:tcW w:w="9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22"/>
        </w:trPr>
        <w:tc>
          <w:tcPr>
            <w:tcW w:w="574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19,199,421</w:t>
            </w:r>
          </w:p>
        </w:tc>
        <w:tc>
          <w:tcPr>
            <w:tcW w:w="126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287,586</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1920" w:right="620" w:hanging="440"/>
        <w:spacing w:after="0" w:line="268" w:lineRule="auto"/>
        <w:tabs>
          <w:tab w:leader="none" w:pos="19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As of December 31, 2012, there were $1.9 million in capital drawdowns outstanding from investors. On January 4, 2013, all outstanding amounts had been received by the Company.</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7"/>
              </w:rPr>
              <w:t>December 31, 2011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5740" w:type="dxa"/>
            <w:vAlign w:val="bottom"/>
          </w:tcPr>
          <w:p>
            <w:pPr>
              <w:spacing w:after="0"/>
              <w:rPr>
                <w:sz w:val="10"/>
                <w:szCs w:val="10"/>
                <w:color w:val="auto"/>
              </w:rPr>
            </w:pPr>
          </w:p>
        </w:tc>
        <w:tc>
          <w:tcPr>
            <w:tcW w:w="840" w:type="dxa"/>
            <w:vAlign w:val="bottom"/>
          </w:tcPr>
          <w:p>
            <w:pPr>
              <w:jc w:val="right"/>
              <w:ind w:right="180"/>
              <w:spacing w:after="0" w:line="115" w:lineRule="exact"/>
              <w:rPr>
                <w:sz w:val="20"/>
                <w:szCs w:val="20"/>
                <w:color w:val="auto"/>
              </w:rPr>
            </w:pPr>
            <w:r>
              <w:rPr>
                <w:rFonts w:ascii="Arial" w:cs="Arial" w:eastAsia="Arial" w:hAnsi="Arial"/>
                <w:sz w:val="12"/>
                <w:szCs w:val="12"/>
                <w:b w:val="1"/>
                <w:bCs w:val="1"/>
                <w:color w:val="auto"/>
              </w:rPr>
              <w:t>Shares</w:t>
            </w: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6"/>
        </w:trPr>
        <w:tc>
          <w:tcPr>
            <w:tcW w:w="5740" w:type="dxa"/>
            <w:vAlign w:val="bottom"/>
          </w:tcPr>
          <w:p>
            <w:pPr>
              <w:spacing w:after="0"/>
              <w:rPr>
                <w:sz w:val="15"/>
                <w:szCs w:val="15"/>
                <w:color w:val="auto"/>
              </w:rPr>
            </w:pPr>
          </w:p>
        </w:tc>
        <w:tc>
          <w:tcPr>
            <w:tcW w:w="840" w:type="dxa"/>
            <w:vAlign w:val="bottom"/>
          </w:tcPr>
          <w:p>
            <w:pPr>
              <w:jc w:val="right"/>
              <w:ind w:right="100"/>
              <w:spacing w:after="0" w:line="176" w:lineRule="exact"/>
              <w:rPr>
                <w:sz w:val="20"/>
                <w:szCs w:val="20"/>
                <w:color w:val="auto"/>
              </w:rPr>
            </w:pPr>
            <w:r>
              <w:rPr>
                <w:rFonts w:ascii="Arial" w:cs="Arial" w:eastAsia="Arial" w:hAnsi="Arial"/>
                <w:sz w:val="13"/>
                <w:szCs w:val="13"/>
                <w:b w:val="1"/>
                <w:bCs w:val="1"/>
                <w:color w:val="auto"/>
              </w:rPr>
              <w:t>Issued</w:t>
            </w:r>
            <w:r>
              <w:rPr>
                <w:rFonts w:ascii="Arial" w:cs="Arial" w:eastAsia="Arial" w:hAnsi="Arial"/>
                <w:sz w:val="20"/>
                <w:szCs w:val="20"/>
                <w:b w:val="1"/>
                <w:bCs w:val="1"/>
                <w:color w:val="auto"/>
                <w:vertAlign w:val="superscript"/>
              </w:rPr>
              <w:t>(2)</w:t>
            </w:r>
          </w:p>
        </w:tc>
        <w:tc>
          <w:tcPr>
            <w:tcW w:w="2100" w:type="dxa"/>
            <w:vAlign w:val="bottom"/>
            <w:gridSpan w:val="4"/>
          </w:tcPr>
          <w:p>
            <w:pPr>
              <w:ind w:left="920"/>
              <w:spacing w:after="0"/>
              <w:rPr>
                <w:sz w:val="20"/>
                <w:szCs w:val="20"/>
                <w:color w:val="auto"/>
              </w:rPr>
            </w:pPr>
            <w:r>
              <w:rPr>
                <w:rFonts w:ascii="Arial" w:cs="Arial" w:eastAsia="Arial" w:hAnsi="Arial"/>
                <w:sz w:val="14"/>
                <w:szCs w:val="14"/>
                <w:b w:val="1"/>
                <w:bCs w:val="1"/>
                <w:color w:val="auto"/>
                <w:w w:val="90"/>
              </w:rPr>
              <w:t>Proceeds Received</w:t>
            </w:r>
          </w:p>
        </w:tc>
      </w:tr>
      <w:tr>
        <w:trPr>
          <w:trHeight w:val="210"/>
        </w:trPr>
        <w:tc>
          <w:tcPr>
            <w:tcW w:w="5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June 30, 2011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2,333,660</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August 12, 2011</w:t>
            </w:r>
          </w:p>
        </w:tc>
        <w:tc>
          <w:tcPr>
            <w:tcW w:w="840" w:type="dxa"/>
            <w:vAlign w:val="bottom"/>
          </w:tcPr>
          <w:p>
            <w:pPr>
              <w:jc w:val="right"/>
              <w:spacing w:after="0"/>
              <w:rPr>
                <w:sz w:val="20"/>
                <w:szCs w:val="20"/>
                <w:color w:val="auto"/>
              </w:rPr>
            </w:pPr>
            <w:r>
              <w:rPr>
                <w:rFonts w:ascii="Arial" w:cs="Arial" w:eastAsia="Arial" w:hAnsi="Arial"/>
                <w:sz w:val="18"/>
                <w:szCs w:val="18"/>
                <w:color w:val="auto"/>
              </w:rPr>
              <w:t>5,044,173</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73,000</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December 15,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3,543,563</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52,534</w:t>
            </w: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December 30, 2011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849,052</w:t>
            </w:r>
          </w:p>
        </w:tc>
        <w:tc>
          <w:tcPr>
            <w:tcW w:w="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11,770,448</w:t>
            </w:r>
          </w:p>
        </w:tc>
        <w:tc>
          <w:tcPr>
            <w:tcW w:w="12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173,034</w:t>
            </w:r>
          </w:p>
        </w:tc>
        <w:tc>
          <w:tcPr>
            <w:tcW w:w="100" w:type="dxa"/>
            <w:vAlign w:val="bottom"/>
            <w:shd w:val="clear" w:color="auto" w:fill="CCEEFF"/>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addition to the drawdowns noted above, on June 29, 2011, the Company repurchased 999 shares of its Common Stock issued as part of its formation from Tarrant Advisors, Inc. for $999. The repurchased shares are held in treasury shares, at cost, as of December 31, 2012 and 2011. Treasury shares were not included in the stock split in the form of a stock dividend on December 4,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8"/>
              </w:rPr>
              <w:t>Year Ended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 Dividend Declared</w:t>
            </w:r>
          </w:p>
        </w:tc>
        <w:tc>
          <w:tcPr>
            <w:tcW w:w="2360" w:type="dxa"/>
            <w:vAlign w:val="bottom"/>
            <w:vMerge w:val="restart"/>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jc w:val="center"/>
              <w:ind w:right="1180"/>
              <w:spacing w:after="0"/>
              <w:rPr>
                <w:sz w:val="20"/>
                <w:szCs w:val="20"/>
                <w:color w:val="auto"/>
              </w:rPr>
            </w:pPr>
            <w:r>
              <w:rPr>
                <w:rFonts w:ascii="Arial" w:cs="Arial" w:eastAsia="Arial" w:hAnsi="Arial"/>
                <w:sz w:val="14"/>
                <w:szCs w:val="14"/>
                <w:b w:val="1"/>
                <w:bCs w:val="1"/>
                <w:color w:val="auto"/>
                <w:w w:val="85"/>
              </w:rPr>
              <w:t>December 31, 2012</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460" w:type="dxa"/>
            <w:vAlign w:val="bottom"/>
            <w:tcBorders>
              <w:bottom w:val="single" w:sz="8" w:color="auto"/>
            </w:tcBorders>
            <w:gridSpan w:val="2"/>
            <w:vMerge w:val="continue"/>
          </w:tcPr>
          <w:p>
            <w:pPr>
              <w:spacing w:after="0"/>
              <w:rPr>
                <w:sz w:val="12"/>
                <w:szCs w:val="12"/>
                <w:color w:val="auto"/>
              </w:rPr>
            </w:pPr>
          </w:p>
        </w:tc>
        <w:tc>
          <w:tcPr>
            <w:tcW w:w="2360" w:type="dxa"/>
            <w:vAlign w:val="bottom"/>
            <w:vMerge w:val="continue"/>
          </w:tcPr>
          <w:p>
            <w:pPr>
              <w:spacing w:after="0"/>
              <w:rPr>
                <w:sz w:val="12"/>
                <w:szCs w:val="12"/>
                <w:color w:val="auto"/>
              </w:rPr>
            </w:pPr>
          </w:p>
        </w:tc>
        <w:tc>
          <w:tcPr>
            <w:tcW w:w="2280" w:type="dxa"/>
            <w:vAlign w:val="bottom"/>
            <w:gridSpan w:val="2"/>
          </w:tcPr>
          <w:p>
            <w:pPr>
              <w:ind w:left="500"/>
              <w:spacing w:after="0" w:line="129" w:lineRule="exact"/>
              <w:rPr>
                <w:sz w:val="20"/>
                <w:szCs w:val="20"/>
                <w:color w:val="auto"/>
              </w:rPr>
            </w:pPr>
            <w:r>
              <w:rPr>
                <w:rFonts w:ascii="Arial" w:cs="Arial" w:eastAsia="Arial" w:hAnsi="Arial"/>
                <w:sz w:val="14"/>
                <w:szCs w:val="14"/>
                <w:b w:val="1"/>
                <w:bCs w:val="1"/>
                <w:color w:val="auto"/>
              </w:rPr>
              <w:t>Record Date</w:t>
            </w:r>
          </w:p>
        </w:tc>
        <w:tc>
          <w:tcPr>
            <w:tcW w:w="2260" w:type="dxa"/>
            <w:vAlign w:val="bottom"/>
            <w:gridSpan w:val="2"/>
          </w:tcPr>
          <w:p>
            <w:pPr>
              <w:ind w:left="280"/>
              <w:spacing w:after="0" w:line="129" w:lineRule="exact"/>
              <w:rPr>
                <w:sz w:val="20"/>
                <w:szCs w:val="20"/>
                <w:color w:val="auto"/>
              </w:rPr>
            </w:pPr>
            <w:r>
              <w:rPr>
                <w:rFonts w:ascii="Arial" w:cs="Arial" w:eastAsia="Arial" w:hAnsi="Arial"/>
                <w:sz w:val="14"/>
                <w:szCs w:val="14"/>
                <w:b w:val="1"/>
                <w:bCs w:val="1"/>
                <w:color w:val="auto"/>
              </w:rPr>
              <w:t>Date Shares Issued</w:t>
            </w:r>
          </w:p>
        </w:tc>
        <w:tc>
          <w:tcPr>
            <w:tcW w:w="1100" w:type="dxa"/>
            <w:vAlign w:val="bottom"/>
          </w:tcPr>
          <w:p>
            <w:pPr>
              <w:jc w:val="right"/>
              <w:spacing w:after="0" w:line="129" w:lineRule="exact"/>
              <w:rPr>
                <w:sz w:val="20"/>
                <w:szCs w:val="20"/>
                <w:color w:val="auto"/>
              </w:rPr>
            </w:pPr>
            <w:r>
              <w:rPr>
                <w:rFonts w:ascii="Arial" w:cs="Arial" w:eastAsia="Arial" w:hAnsi="Arial"/>
                <w:sz w:val="10"/>
                <w:szCs w:val="10"/>
                <w:b w:val="1"/>
                <w:bCs w:val="1"/>
                <w:color w:val="auto"/>
              </w:rPr>
              <w:t>Shares Issued</w:t>
            </w:r>
            <w:r>
              <w:rPr>
                <w:rFonts w:ascii="Arial" w:cs="Arial" w:eastAsia="Arial" w:hAnsi="Arial"/>
                <w:sz w:val="14"/>
                <w:szCs w:val="14"/>
                <w:b w:val="1"/>
                <w:bCs w:val="1"/>
                <w:color w:val="auto"/>
                <w:vertAlign w:val="superscript"/>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8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5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16, 2012</w:t>
            </w:r>
          </w:p>
        </w:tc>
        <w:tc>
          <w:tcPr>
            <w:tcW w:w="5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97,214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May 9, 2012</w:t>
            </w:r>
          </w:p>
        </w:tc>
        <w:tc>
          <w:tcPr>
            <w:tcW w:w="2280" w:type="dxa"/>
            <w:vAlign w:val="bottom"/>
            <w:gridSpan w:val="2"/>
          </w:tcPr>
          <w:p>
            <w:pPr>
              <w:jc w:val="right"/>
              <w:ind w:right="580"/>
              <w:spacing w:after="0"/>
              <w:rPr>
                <w:sz w:val="20"/>
                <w:szCs w:val="20"/>
                <w:color w:val="auto"/>
              </w:rPr>
            </w:pPr>
            <w:r>
              <w:rPr>
                <w:rFonts w:ascii="Arial" w:cs="Arial" w:eastAsia="Arial" w:hAnsi="Arial"/>
                <w:sz w:val="18"/>
                <w:szCs w:val="18"/>
                <w:color w:val="auto"/>
              </w:rPr>
              <w:t>June 30, 2012</w:t>
            </w:r>
          </w:p>
        </w:tc>
        <w:tc>
          <w:tcPr>
            <w:tcW w:w="2260" w:type="dxa"/>
            <w:vAlign w:val="bottom"/>
            <w:gridSpan w:val="2"/>
          </w:tcPr>
          <w:p>
            <w:pPr>
              <w:jc w:val="right"/>
              <w:ind w:right="580"/>
              <w:spacing w:after="0"/>
              <w:rPr>
                <w:sz w:val="20"/>
                <w:szCs w:val="20"/>
                <w:color w:val="auto"/>
              </w:rPr>
            </w:pPr>
            <w:r>
              <w:rPr>
                <w:rFonts w:ascii="Arial" w:cs="Arial" w:eastAsia="Arial" w:hAnsi="Arial"/>
                <w:sz w:val="18"/>
                <w:szCs w:val="18"/>
                <w:color w:val="auto"/>
              </w:rPr>
              <w:t>August 7, 2012</w:t>
            </w:r>
          </w:p>
        </w:tc>
        <w:tc>
          <w:tcPr>
            <w:tcW w:w="1100" w:type="dxa"/>
            <w:vAlign w:val="bottom"/>
          </w:tcPr>
          <w:p>
            <w:pPr>
              <w:jc w:val="right"/>
              <w:spacing w:after="0"/>
              <w:rPr>
                <w:sz w:val="20"/>
                <w:szCs w:val="20"/>
                <w:color w:val="auto"/>
              </w:rPr>
            </w:pPr>
            <w:r>
              <w:rPr>
                <w:rFonts w:ascii="Arial" w:cs="Arial" w:eastAsia="Arial" w:hAnsi="Arial"/>
                <w:sz w:val="18"/>
                <w:szCs w:val="18"/>
                <w:color w:val="auto"/>
              </w:rPr>
              <w:t>221,098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September 30, 2012</w:t>
            </w:r>
          </w:p>
        </w:tc>
        <w:tc>
          <w:tcPr>
            <w:tcW w:w="2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November 13, 2012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December 31, 2012</w:t>
            </w:r>
          </w:p>
        </w:tc>
        <w:tc>
          <w:tcPr>
            <w:tcW w:w="2280" w:type="dxa"/>
            <w:vAlign w:val="bottom"/>
            <w:gridSpan w:val="2"/>
          </w:tcPr>
          <w:p>
            <w:pPr>
              <w:jc w:val="right"/>
              <w:ind w:right="580"/>
              <w:spacing w:after="0"/>
              <w:rPr>
                <w:sz w:val="20"/>
                <w:szCs w:val="20"/>
                <w:color w:val="auto"/>
              </w:rPr>
            </w:pPr>
            <w:r>
              <w:rPr>
                <w:rFonts w:ascii="Arial" w:cs="Arial" w:eastAsia="Arial" w:hAnsi="Arial"/>
                <w:sz w:val="18"/>
                <w:szCs w:val="18"/>
                <w:color w:val="auto"/>
              </w:rPr>
              <w:t>December 31, 2012</w:t>
            </w:r>
          </w:p>
        </w:tc>
        <w:tc>
          <w:tcPr>
            <w:tcW w:w="2260" w:type="dxa"/>
            <w:vAlign w:val="bottom"/>
            <w:gridSpan w:val="2"/>
          </w:tcPr>
          <w:p>
            <w:pPr>
              <w:jc w:val="right"/>
              <w:ind w:right="580"/>
              <w:spacing w:after="0"/>
              <w:rPr>
                <w:sz w:val="20"/>
                <w:szCs w:val="20"/>
                <w:color w:val="auto"/>
              </w:rPr>
            </w:pPr>
            <w:r>
              <w:rPr>
                <w:rFonts w:ascii="Arial" w:cs="Arial" w:eastAsia="Arial" w:hAnsi="Arial"/>
                <w:sz w:val="18"/>
                <w:szCs w:val="18"/>
                <w:color w:val="auto"/>
              </w:rPr>
              <w:t>March 12, 2013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Shares Issued</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40" w:hanging="452"/>
        <w:spacing w:after="0" w:line="268" w:lineRule="auto"/>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80"/>
          </w:cols>
          <w:pgMar w:left="240" w:top="460" w:right="3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Year Ended</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Dividend Declared</w:t>
            </w:r>
          </w:p>
        </w:tc>
        <w:tc>
          <w:tcPr>
            <w:tcW w:w="3420" w:type="dxa"/>
            <w:vAlign w:val="bottom"/>
            <w:vMerge w:val="restart"/>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85"/>
              </w:rPr>
              <w:t>December 31, 2011</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640" w:type="dxa"/>
            <w:vAlign w:val="bottom"/>
            <w:gridSpan w:val="2"/>
          </w:tcPr>
          <w:p>
            <w:pPr>
              <w:ind w:left="400"/>
              <w:spacing w:after="0" w:line="129" w:lineRule="exact"/>
              <w:rPr>
                <w:sz w:val="20"/>
                <w:szCs w:val="20"/>
                <w:color w:val="auto"/>
              </w:rPr>
            </w:pPr>
            <w:r>
              <w:rPr>
                <w:rFonts w:ascii="Arial" w:cs="Arial" w:eastAsia="Arial" w:hAnsi="Arial"/>
                <w:sz w:val="14"/>
                <w:szCs w:val="14"/>
                <w:b w:val="1"/>
                <w:bCs w:val="1"/>
                <w:color w:val="auto"/>
              </w:rPr>
              <w:t>Record Date</w:t>
            </w:r>
          </w:p>
        </w:tc>
        <w:tc>
          <w:tcPr>
            <w:tcW w:w="260" w:type="dxa"/>
            <w:vAlign w:val="bottom"/>
          </w:tcPr>
          <w:p>
            <w:pPr>
              <w:spacing w:after="0"/>
              <w:rPr>
                <w:sz w:val="12"/>
                <w:szCs w:val="12"/>
                <w:color w:val="auto"/>
              </w:rPr>
            </w:pPr>
          </w:p>
        </w:tc>
        <w:tc>
          <w:tcPr>
            <w:tcW w:w="16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Date Shares Issued</w:t>
            </w:r>
          </w:p>
        </w:tc>
        <w:tc>
          <w:tcPr>
            <w:tcW w:w="1060" w:type="dxa"/>
            <w:vAlign w:val="bottom"/>
          </w:tcPr>
          <w:p>
            <w:pPr>
              <w:jc w:val="right"/>
              <w:spacing w:after="0" w:line="129" w:lineRule="exact"/>
              <w:rPr>
                <w:sz w:val="20"/>
                <w:szCs w:val="20"/>
                <w:color w:val="auto"/>
              </w:rPr>
            </w:pPr>
            <w:r>
              <w:rPr>
                <w:rFonts w:ascii="Arial" w:cs="Arial" w:eastAsia="Arial" w:hAnsi="Arial"/>
                <w:sz w:val="10"/>
                <w:szCs w:val="10"/>
                <w:b w:val="1"/>
                <w:bCs w:val="1"/>
                <w:color w:val="auto"/>
              </w:rPr>
              <w:t>Shares Issued</w:t>
            </w:r>
            <w:r>
              <w:rPr>
                <w:rFonts w:ascii="Arial" w:cs="Arial" w:eastAsia="Arial" w:hAnsi="Arial"/>
                <w:sz w:val="14"/>
                <w:szCs w:val="14"/>
                <w:b w:val="1"/>
                <w:bCs w:val="1"/>
                <w:color w:val="auto"/>
                <w:vertAlign w:val="superscript"/>
              </w:rPr>
              <w:t>(2)</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December 31, 2011 </w:t>
            </w:r>
            <w:r>
              <w:rPr>
                <w:rFonts w:ascii="Arial" w:cs="Arial" w:eastAsia="Arial" w:hAnsi="Arial"/>
                <w:sz w:val="11"/>
                <w:szCs w:val="11"/>
                <w:color w:val="auto"/>
              </w:rPr>
              <w:t>(1)</w:t>
            </w:r>
          </w:p>
        </w:tc>
        <w:tc>
          <w:tcPr>
            <w:tcW w:w="15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4"/>
              </w:rPr>
              <w:t>December 31, 2011</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87"/>
              </w:rPr>
              <w:t>March 20, 2012</w:t>
            </w:r>
          </w:p>
        </w:tc>
        <w:tc>
          <w:tcPr>
            <w:tcW w:w="3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22,870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8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22,870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tabs>
          <w:tab w:leader="none" w:pos="14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On March 20, 2012, 1,933</w:t>
      </w:r>
      <w:r>
        <w:rPr>
          <w:rFonts w:ascii="Arial" w:cs="Arial" w:eastAsia="Arial" w:hAnsi="Arial"/>
          <w:sz w:val="10"/>
          <w:szCs w:val="10"/>
          <w:color w:val="auto"/>
        </w:rPr>
        <w:t>(2)</w:t>
      </w:r>
      <w:r>
        <w:rPr>
          <w:rFonts w:ascii="Arial" w:cs="Arial" w:eastAsia="Arial" w:hAnsi="Arial"/>
          <w:sz w:val="16"/>
          <w:szCs w:val="16"/>
          <w:color w:val="auto"/>
        </w:rPr>
        <w:t xml:space="preserve"> shares were issued to the Adviser in connection with its then participation in the dividend reinvestment plan.</w:t>
      </w:r>
    </w:p>
    <w:p>
      <w:pPr>
        <w:spacing w:after="0" w:line="194"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5, 2013, the Company’s issued and outstanding shares total 37,026,023, as adjusted for the stock split.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Year Ended</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2012</w:t>
            </w:r>
          </w:p>
        </w:tc>
        <w:tc>
          <w:tcPr>
            <w:tcW w:w="2360" w:type="dxa"/>
            <w:vAlign w:val="bottom"/>
            <w:gridSpan w:val="3"/>
          </w:tcPr>
          <w:p>
            <w:pPr>
              <w:ind w:left="1260"/>
              <w:spacing w:after="0" w:line="142" w:lineRule="exact"/>
              <w:rPr>
                <w:sz w:val="20"/>
                <w:szCs w:val="20"/>
                <w:color w:val="auto"/>
              </w:rPr>
            </w:pPr>
            <w:r>
              <w:rPr>
                <w:rFonts w:ascii="Arial" w:cs="Arial" w:eastAsia="Arial" w:hAnsi="Arial"/>
                <w:sz w:val="14"/>
                <w:szCs w:val="14"/>
                <w:b w:val="1"/>
                <w:bCs w:val="1"/>
                <w:color w:val="auto"/>
                <w:w w:val="85"/>
              </w:rPr>
              <w:t>December 31, 2011</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500" w:type="dxa"/>
            <w:vAlign w:val="bottom"/>
          </w:tcPr>
          <w:p>
            <w:pPr>
              <w:ind w:left="220"/>
              <w:spacing w:after="0"/>
              <w:rPr>
                <w:sz w:val="20"/>
                <w:szCs w:val="20"/>
                <w:color w:val="auto"/>
              </w:rPr>
            </w:pPr>
            <w:r>
              <w:rPr>
                <w:rFonts w:ascii="Arial" w:cs="Arial" w:eastAsia="Arial" w:hAnsi="Arial"/>
                <w:sz w:val="18"/>
                <w:szCs w:val="18"/>
                <w:color w:val="auto"/>
              </w:rPr>
              <w:t xml:space="preserve">– basic and diluted </w:t>
            </w:r>
            <w:r>
              <w:rPr>
                <w:rFonts w:ascii="Arial" w:cs="Arial" w:eastAsia="Arial" w:hAnsi="Arial"/>
                <w:sz w:val="11"/>
                <w:szCs w:val="11"/>
                <w:color w:val="auto"/>
              </w:rPr>
              <w:t>(2)</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20,541,475</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3,347,602</w:t>
            </w:r>
          </w:p>
        </w:tc>
        <w:tc>
          <w:tcPr>
            <w:tcW w:w="100" w:type="dxa"/>
            <w:vAlign w:val="bottom"/>
          </w:tcPr>
          <w:p>
            <w:pPr>
              <w:spacing w:after="0"/>
              <w:rPr>
                <w:sz w:val="19"/>
                <w:szCs w:val="19"/>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 – basic and diluted </w:t>
            </w:r>
            <w:r>
              <w:rPr>
                <w:rFonts w:ascii="Arial" w:cs="Arial" w:eastAsia="Arial" w:hAnsi="Arial"/>
                <w:sz w:val="11"/>
                <w:szCs w:val="11"/>
                <w:color w:val="auto"/>
              </w:rPr>
              <w:t>(2)</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5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2012 and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780"/>
              <w:spacing w:after="0"/>
              <w:rPr>
                <w:sz w:val="20"/>
                <w:szCs w:val="20"/>
                <w:color w:val="auto"/>
              </w:rPr>
            </w:pPr>
            <w:r>
              <w:rPr>
                <w:rFonts w:ascii="Arial" w:cs="Arial" w:eastAsia="Arial" w:hAnsi="Arial"/>
                <w:sz w:val="14"/>
                <w:szCs w:val="14"/>
                <w:b w:val="1"/>
                <w:bCs w:val="1"/>
                <w:color w:val="auto"/>
                <w:w w:val="85"/>
              </w:rPr>
              <w:t>December 31, 2012</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8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gridSpan w:val="2"/>
          </w:tcPr>
          <w:p>
            <w:pPr>
              <w:jc w:val="center"/>
              <w:spacing w:after="0" w:line="115" w:lineRule="exact"/>
              <w:rPr>
                <w:sz w:val="20"/>
                <w:szCs w:val="20"/>
                <w:color w:val="auto"/>
              </w:rPr>
            </w:pPr>
            <w:r>
              <w:rPr>
                <w:rFonts w:ascii="Arial" w:cs="Arial" w:eastAsia="Arial" w:hAnsi="Arial"/>
                <w:sz w:val="12"/>
                <w:szCs w:val="12"/>
                <w:b w:val="1"/>
                <w:bCs w:val="1"/>
                <w:color w:val="auto"/>
              </w:rPr>
              <w:t>Dividend per</w:t>
            </w:r>
          </w:p>
        </w:tc>
        <w:tc>
          <w:tcPr>
            <w:tcW w:w="100" w:type="dxa"/>
            <w:vAlign w:val="bottom"/>
          </w:tcPr>
          <w:p>
            <w:pPr>
              <w:spacing w:after="0"/>
              <w:rPr>
                <w:sz w:val="10"/>
                <w:szCs w:val="10"/>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4000" w:type="dxa"/>
            <w:vAlign w:val="bottom"/>
          </w:tcPr>
          <w:p>
            <w:pPr>
              <w:spacing w:after="0"/>
              <w:rPr>
                <w:sz w:val="15"/>
                <w:szCs w:val="15"/>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Record Date</w:t>
            </w:r>
          </w:p>
        </w:tc>
        <w:tc>
          <w:tcPr>
            <w:tcW w:w="300" w:type="dxa"/>
            <w:vAlign w:val="bottom"/>
          </w:tcPr>
          <w:p>
            <w:pPr>
              <w:spacing w:after="0"/>
              <w:rPr>
                <w:sz w:val="15"/>
                <w:szCs w:val="15"/>
                <w:color w:val="auto"/>
              </w:rPr>
            </w:pPr>
          </w:p>
        </w:tc>
        <w:tc>
          <w:tcPr>
            <w:tcW w:w="1760" w:type="dxa"/>
            <w:vAlign w:val="bottom"/>
            <w:gridSpan w:val="2"/>
          </w:tcPr>
          <w:p>
            <w:pPr>
              <w:ind w:left="28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5"/>
                <w:szCs w:val="15"/>
                <w:color w:val="auto"/>
              </w:rPr>
            </w:pPr>
          </w:p>
        </w:tc>
        <w:tc>
          <w:tcPr>
            <w:tcW w:w="840" w:type="dxa"/>
            <w:vAlign w:val="bottom"/>
            <w:gridSpan w:val="2"/>
          </w:tcPr>
          <w:p>
            <w:pPr>
              <w:jc w:val="center"/>
              <w:ind w:right="260"/>
              <w:spacing w:after="0" w:line="162" w:lineRule="exact"/>
              <w:rPr>
                <w:sz w:val="20"/>
                <w:szCs w:val="20"/>
                <w:color w:val="auto"/>
              </w:rPr>
            </w:pPr>
            <w:r>
              <w:rPr>
                <w:rFonts w:ascii="Arial" w:cs="Arial" w:eastAsia="Arial" w:hAnsi="Arial"/>
                <w:sz w:val="12"/>
                <w:szCs w:val="12"/>
                <w:b w:val="1"/>
                <w:bCs w:val="1"/>
                <w:color w:val="auto"/>
                <w:w w:val="95"/>
              </w:rPr>
              <w:t>Share</w:t>
            </w:r>
            <w:r>
              <w:rPr>
                <w:rFonts w:ascii="Arial" w:cs="Arial" w:eastAsia="Arial" w:hAnsi="Arial"/>
                <w:sz w:val="18"/>
                <w:szCs w:val="18"/>
                <w:b w:val="1"/>
                <w:bCs w:val="1"/>
                <w:color w:val="auto"/>
                <w:w w:val="95"/>
                <w:vertAlign w:val="superscript"/>
              </w:rPr>
              <w:t>(2)</w:t>
            </w:r>
          </w:p>
        </w:tc>
      </w:tr>
      <w:tr>
        <w:trPr>
          <w:trHeight w:val="203"/>
        </w:trPr>
        <w:tc>
          <w:tcPr>
            <w:tcW w:w="4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June 30, 2012</w:t>
            </w:r>
          </w:p>
        </w:tc>
        <w:tc>
          <w:tcPr>
            <w:tcW w:w="300" w:type="dxa"/>
            <w:vAlign w:val="bottom"/>
          </w:tcPr>
          <w:p>
            <w:pPr>
              <w:spacing w:after="0"/>
              <w:rPr>
                <w:sz w:val="18"/>
                <w:szCs w:val="18"/>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August 3, 2012</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September 30, 2012</w:t>
            </w: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October 30, 2012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1"/>
                <w:szCs w:val="11"/>
                <w:color w:val="auto"/>
              </w:rPr>
              <w:t>(1)</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December 31, 2012</w:t>
            </w:r>
          </w:p>
        </w:tc>
        <w:tc>
          <w:tcPr>
            <w:tcW w:w="300" w:type="dxa"/>
            <w:vAlign w:val="bottom"/>
          </w:tcPr>
          <w:p>
            <w:pPr>
              <w:spacing w:after="0"/>
              <w:rPr>
                <w:sz w:val="19"/>
                <w:szCs w:val="19"/>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January 31, 2013</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r>
      <w:tr>
        <w:trPr>
          <w:trHeight w:val="216"/>
        </w:trPr>
        <w:tc>
          <w:tcPr>
            <w:tcW w:w="48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0"/>
        </w:trPr>
        <w:tc>
          <w:tcPr>
            <w:tcW w:w="8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tabs>
          <w:tab w:leader="none" w:pos="14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w:t>
      </w:r>
      <w:r>
        <w:rPr>
          <w:rFonts w:ascii="Arial" w:cs="Arial" w:eastAsia="Arial" w:hAnsi="Arial"/>
          <w:sz w:val="11"/>
          <w:szCs w:val="11"/>
          <w:color w:val="auto"/>
        </w:rPr>
        <w:t>(2)</w:t>
      </w:r>
      <w:r>
        <w:rPr>
          <w:rFonts w:ascii="Arial" w:cs="Arial" w:eastAsia="Arial" w:hAnsi="Arial"/>
          <w:sz w:val="18"/>
          <w:szCs w:val="18"/>
          <w:color w:val="auto"/>
        </w:rPr>
        <w:t xml:space="preserve"> per share.</w:t>
      </w:r>
    </w:p>
    <w:p>
      <w:pPr>
        <w:spacing w:after="0" w:line="157" w:lineRule="exact"/>
        <w:rPr>
          <w:rFonts w:ascii="Arial" w:cs="Arial" w:eastAsia="Arial" w:hAnsi="Arial"/>
          <w:sz w:val="18"/>
          <w:szCs w:val="18"/>
          <w:color w:val="auto"/>
        </w:rPr>
      </w:pPr>
    </w:p>
    <w:p>
      <w:pPr>
        <w:ind w:left="460" w:right="640" w:hanging="452"/>
        <w:spacing w:after="0" w:line="268"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89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720"/>
              <w:spacing w:after="0"/>
              <w:rPr>
                <w:sz w:val="20"/>
                <w:szCs w:val="20"/>
                <w:color w:val="auto"/>
              </w:rPr>
            </w:pPr>
            <w:r>
              <w:rPr>
                <w:rFonts w:ascii="Arial" w:cs="Arial" w:eastAsia="Arial" w:hAnsi="Arial"/>
                <w:sz w:val="14"/>
                <w:szCs w:val="14"/>
                <w:b w:val="1"/>
                <w:bCs w:val="1"/>
                <w:color w:val="auto"/>
                <w:w w:val="85"/>
              </w:rPr>
              <w:t>December 31, 2011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5"/>
        </w:trPr>
        <w:tc>
          <w:tcPr>
            <w:tcW w:w="88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Dividend per</w:t>
            </w:r>
          </w:p>
        </w:tc>
        <w:tc>
          <w:tcPr>
            <w:tcW w:w="100" w:type="dxa"/>
            <w:vAlign w:val="bottom"/>
            <w:gridSpan w:val="2"/>
          </w:tcPr>
          <w:p>
            <w:pPr>
              <w:spacing w:after="0"/>
              <w:rPr>
                <w:sz w:val="10"/>
                <w:szCs w:val="10"/>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4280" w:type="dxa"/>
            <w:vAlign w:val="bottom"/>
          </w:tcPr>
          <w:p>
            <w:pPr>
              <w:spacing w:after="0"/>
              <w:rPr>
                <w:sz w:val="15"/>
                <w:szCs w:val="15"/>
                <w:color w:val="auto"/>
              </w:rPr>
            </w:pPr>
          </w:p>
        </w:tc>
        <w:tc>
          <w:tcPr>
            <w:tcW w:w="154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5"/>
                <w:szCs w:val="15"/>
                <w:color w:val="auto"/>
              </w:rPr>
            </w:pP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Payment Date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ind w:left="40"/>
              <w:spacing w:after="0" w:line="162" w:lineRule="exact"/>
              <w:rPr>
                <w:sz w:val="20"/>
                <w:szCs w:val="20"/>
                <w:color w:val="auto"/>
              </w:rPr>
            </w:pPr>
            <w:r>
              <w:rPr>
                <w:rFonts w:ascii="Arial" w:cs="Arial" w:eastAsia="Arial" w:hAnsi="Arial"/>
                <w:sz w:val="12"/>
                <w:szCs w:val="12"/>
                <w:b w:val="1"/>
                <w:bCs w:val="1"/>
                <w:color w:val="auto"/>
              </w:rPr>
              <w:t>Share</w:t>
            </w:r>
            <w:r>
              <w:rPr>
                <w:rFonts w:ascii="Arial" w:cs="Arial" w:eastAsia="Arial" w:hAnsi="Arial"/>
                <w:sz w:val="18"/>
                <w:szCs w:val="18"/>
                <w:b w:val="1"/>
                <w:bCs w:val="1"/>
                <w:color w:val="auto"/>
                <w:vertAlign w:val="superscript"/>
              </w:rPr>
              <w:t>(1)</w:t>
            </w:r>
          </w:p>
        </w:tc>
      </w:tr>
      <w:tr>
        <w:trPr>
          <w:trHeight w:val="203"/>
        </w:trPr>
        <w:tc>
          <w:tcPr>
            <w:tcW w:w="5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46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6"/>
              </w:rPr>
              <w:t>December 31, 2011</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January 30, 2012</w:t>
            </w: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22"/>
        </w:trPr>
        <w:tc>
          <w:tcPr>
            <w:tcW w:w="51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2012 and 2011, to undistributed taxable income at December 31, 2012 and 2011:</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8"/>
              </w:rPr>
              <w:t>Year Ended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4"/>
        </w:trPr>
        <w:tc>
          <w:tcPr>
            <w:tcW w:w="518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December 31, 2012</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3"/>
              </w:rPr>
              <w:t>Year Ended</w:t>
            </w:r>
          </w:p>
        </w:tc>
      </w:tr>
      <w:tr>
        <w:trPr>
          <w:trHeight w:val="176"/>
        </w:trPr>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ind w:right="760"/>
              <w:spacing w:after="0" w:line="176" w:lineRule="exact"/>
              <w:rPr>
                <w:sz w:val="20"/>
                <w:szCs w:val="20"/>
                <w:color w:val="auto"/>
              </w:rPr>
            </w:pPr>
            <w:r>
              <w:rPr>
                <w:rFonts w:ascii="Arial" w:cs="Arial" w:eastAsia="Arial" w:hAnsi="Arial"/>
                <w:sz w:val="13"/>
                <w:szCs w:val="13"/>
                <w:b w:val="1"/>
                <w:bCs w:val="1"/>
                <w:color w:val="auto"/>
                <w:w w:val="92"/>
              </w:rPr>
              <w:t xml:space="preserve">(Estimated) </w:t>
            </w:r>
            <w:r>
              <w:rPr>
                <w:rFonts w:ascii="Arial" w:cs="Arial" w:eastAsia="Arial" w:hAnsi="Arial"/>
                <w:sz w:val="20"/>
                <w:szCs w:val="20"/>
                <w:b w:val="1"/>
                <w:bCs w:val="1"/>
                <w:color w:val="auto"/>
                <w:w w:val="92"/>
                <w:vertAlign w:val="superscript"/>
              </w:rPr>
              <w:t>(1)</w:t>
            </w:r>
          </w:p>
        </w:tc>
        <w:tc>
          <w:tcPr>
            <w:tcW w:w="1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5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(7,211)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(2,312)</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Other income (expense) for tax purposes, not book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(670)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organization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shd w:val="clear" w:color="auto" w:fill="CCEEFF"/>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Other expenses not currently deductible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book-tax differences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r>
      <w:tr>
        <w:trPr>
          <w:trHeight w:val="222"/>
        </w:trPr>
        <w:tc>
          <w:tcPr>
            <w:tcW w:w="5180" w:type="dxa"/>
            <w:vAlign w:val="bottom"/>
          </w:tcPr>
          <w:p>
            <w:pPr>
              <w:ind w:left="440"/>
              <w:spacing w:after="0"/>
              <w:rPr>
                <w:sz w:val="20"/>
                <w:szCs w:val="20"/>
                <w:color w:val="auto"/>
              </w:rPr>
            </w:pPr>
            <w:r>
              <w:rPr>
                <w:rFonts w:ascii="Arial" w:cs="Arial" w:eastAsia="Arial" w:hAnsi="Arial"/>
                <w:sz w:val="18"/>
                <w:szCs w:val="18"/>
                <w:b w:val="1"/>
                <w:bCs w:val="1"/>
                <w:color w:val="auto"/>
              </w:rPr>
              <w:t>Undistributed Taxable Income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31,755</w:t>
            </w:r>
          </w:p>
        </w:tc>
        <w:tc>
          <w:tcPr>
            <w:tcW w:w="6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1920" w:hanging="440"/>
        <w:spacing w:after="0"/>
        <w:tabs>
          <w:tab w:leader="none" w:pos="19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Taxable income is an estimate and will not be fully determined until the Company’s 2012 tax return is filed in 2013.</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general, the Company may make certain adjustments to the classification of stockholders’ equity as a result of permanent book-to-tax differences, which may include differences in the book and tax basis of certain assets and liabilities, and nondeductible federal taxes or losses, among other items. To the extent these differences are permanent, they are charged or credited to additional paid-in capital or accumulated net investment income (loss), as appropriate, in the period that the differences arise. These adjustments have no effect on the Company’s net assets or results of operations.</w:t>
      </w:r>
    </w:p>
    <w:p>
      <w:pPr>
        <w:spacing w:after="0" w:line="113"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During the year ended December 31, 2012, permanent differences of $46 thousand were principally attributable to accrued U.S. federal excise taxes and $441 thousand of distributions from the Company’s net short-term capital gains generally characterized as ordinary dividend income to Company shareholders. During the year ended December 31, 2011, permanent differences were primarily attributable to $54 thousand of nondeductible net operating losses incurred by the Company in respect of the Company’s taxable year ended March 31, 2011, and were recorded as a decrease to the Company’s additional paid-in capital and accumulated net investment income (loss) as of December 31, 2011.</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660" w:hanging="452"/>
        <w:spacing w:after="0" w:line="268"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2012 and 2011, approximates their amortized cost.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Highlights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years ended December 31, 2012 and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3"/>
              </w:rPr>
              <w:t>Year Ended</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2012</w:t>
            </w:r>
          </w:p>
        </w:tc>
        <w:tc>
          <w:tcPr>
            <w:tcW w:w="5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1"/>
                <w:szCs w:val="11"/>
                <w:color w:val="auto"/>
              </w:rPr>
              <w:t>(3)</w:t>
            </w: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14.71</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at prices above net asset value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1.36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420"/>
              <w:spacing w:after="0"/>
              <w:rPr>
                <w:sz w:val="20"/>
                <w:szCs w:val="20"/>
                <w:color w:val="auto"/>
              </w:rPr>
            </w:pPr>
            <w:r>
              <w:rPr>
                <w:rFonts w:ascii="Arial" w:cs="Arial" w:eastAsia="Arial" w:hAnsi="Arial"/>
                <w:sz w:val="18"/>
                <w:szCs w:val="18"/>
                <w:color w:val="auto"/>
              </w:rPr>
              <w:t>Total from investment operations</w:t>
            </w: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00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1.65</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420"/>
              <w:spacing w:after="0"/>
              <w:rPr>
                <w:sz w:val="20"/>
                <w:szCs w:val="20"/>
                <w:color w:val="auto"/>
              </w:rPr>
            </w:pPr>
            <w:r>
              <w:rPr>
                <w:rFonts w:ascii="Arial" w:cs="Arial" w:eastAsia="Arial" w:hAnsi="Arial"/>
                <w:sz w:val="18"/>
                <w:szCs w:val="18"/>
                <w:color w:val="auto"/>
              </w:rPr>
              <w:t>Total increase in net assets</w:t>
            </w: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0.48</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Asset Value, End of Period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15.19</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Shares Outstanding, End of Period </w:t>
            </w:r>
            <w:r>
              <w:rPr>
                <w:rFonts w:ascii="Arial" w:cs="Arial" w:eastAsia="Arial" w:hAnsi="Arial"/>
                <w:sz w:val="11"/>
                <w:szCs w:val="11"/>
                <w:color w:val="auto"/>
              </w:rPr>
              <w:t>(3)</w:t>
            </w: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2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31,582,954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11,770,514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1"/>
                <w:szCs w:val="11"/>
                <w:color w:val="auto"/>
              </w:rPr>
              <w:t>(1)</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2"/>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Ratios / Supplemental Data</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Ratio of net investment income (loss) to average net assets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8.4%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spacing w:after="0" w:line="162" w:lineRule="exact"/>
              <w:rPr>
                <w:sz w:val="20"/>
                <w:szCs w:val="20"/>
                <w:color w:val="auto"/>
              </w:rPr>
            </w:pPr>
            <w:r>
              <w:rPr>
                <w:rFonts w:ascii="Arial" w:cs="Arial" w:eastAsia="Arial" w:hAnsi="Arial"/>
                <w:sz w:val="18"/>
                <w:szCs w:val="18"/>
                <w:color w:val="auto"/>
              </w:rPr>
              <w:t>Net assets, end of period</w:t>
            </w:r>
          </w:p>
        </w:tc>
        <w:tc>
          <w:tcPr>
            <w:tcW w:w="1000" w:type="dxa"/>
            <w:vAlign w:val="bottom"/>
            <w:gridSpan w:val="2"/>
          </w:tcPr>
          <w:p>
            <w:pPr>
              <w:ind w:left="840"/>
              <w:spacing w:after="0" w:line="16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60"/>
              <w:spacing w:after="0" w:line="162" w:lineRule="exact"/>
              <w:rPr>
                <w:sz w:val="20"/>
                <w:szCs w:val="20"/>
                <w:color w:val="auto"/>
              </w:rPr>
            </w:pPr>
            <w:r>
              <w:rPr>
                <w:rFonts w:ascii="Arial" w:cs="Arial" w:eastAsia="Arial" w:hAnsi="Arial"/>
                <w:sz w:val="18"/>
                <w:szCs w:val="18"/>
                <w:color w:val="auto"/>
              </w:rPr>
              <w:t>479,803</w:t>
            </w:r>
          </w:p>
        </w:tc>
        <w:tc>
          <w:tcPr>
            <w:tcW w:w="680" w:type="dxa"/>
            <w:vAlign w:val="bottom"/>
            <w:gridSpan w:val="2"/>
          </w:tcPr>
          <w:p>
            <w:pPr>
              <w:ind w:left="540"/>
              <w:spacing w:after="0" w:line="16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line="162" w:lineRule="exact"/>
              <w:rPr>
                <w:sz w:val="20"/>
                <w:szCs w:val="20"/>
                <w:color w:val="auto"/>
              </w:rPr>
            </w:pPr>
            <w:r>
              <w:rPr>
                <w:rFonts w:ascii="Arial" w:cs="Arial" w:eastAsia="Arial" w:hAnsi="Arial"/>
                <w:sz w:val="18"/>
                <w:szCs w:val="18"/>
                <w:color w:val="auto"/>
              </w:rPr>
              <w:t>173,092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22"/>
                <w:szCs w:val="22"/>
                <w:color w:val="auto"/>
                <w:vertAlign w:val="superscript"/>
              </w:rPr>
              <w:t>(3)</w:t>
            </w: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20,541,475</w:t>
            </w: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3,347,602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committed capital, end of period </w:t>
            </w:r>
            <w:r>
              <w:rPr>
                <w:rFonts w:ascii="Arial" w:cs="Arial" w:eastAsia="Arial" w:hAnsi="Arial"/>
                <w:sz w:val="11"/>
                <w:szCs w:val="11"/>
                <w:color w:val="auto"/>
              </w:rPr>
              <w:t>(2)</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1,402,970</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Ratio of total contributed capital to total committed capital, end of period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32.8%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Year of formation</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2010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-685165</wp:posOffset>
            </wp:positionV>
            <wp:extent cx="666369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74" w:lineRule="exact"/>
        <w:rPr>
          <w:sz w:val="20"/>
          <w:szCs w:val="20"/>
          <w:color w:val="auto"/>
        </w:rPr>
      </w:pPr>
    </w:p>
    <w:p>
      <w:pPr>
        <w:ind w:left="900" w:hanging="446"/>
        <w:spacing w:after="0" w:line="283" w:lineRule="auto"/>
        <w:tabs>
          <w:tab w:leader="none" w:pos="90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$0.01</w:t>
      </w:r>
      <w:r>
        <w:rPr>
          <w:rFonts w:ascii="Arial" w:cs="Arial" w:eastAsia="Arial" w:hAnsi="Arial"/>
          <w:sz w:val="10"/>
          <w:szCs w:val="10"/>
          <w:color w:val="auto"/>
        </w:rPr>
        <w:t>(3)</w:t>
      </w:r>
      <w:r>
        <w:rPr>
          <w:rFonts w:ascii="Arial" w:cs="Arial" w:eastAsia="Arial" w:hAnsi="Arial"/>
          <w:sz w:val="16"/>
          <w:szCs w:val="16"/>
          <w:color w:val="auto"/>
        </w:rPr>
        <w:t xml:space="preserve"> per share) and accordingly the information is not meaningful. Excluding the effect of the initial seed funding, total return for the period July 1, 2011 through December 31, 2011 would be (1.58%).</w:t>
      </w:r>
    </w:p>
    <w:p>
      <w:pPr>
        <w:spacing w:after="0" w:line="2" w:lineRule="exact"/>
        <w:rPr>
          <w:rFonts w:ascii="Arial" w:cs="Arial" w:eastAsia="Arial" w:hAnsi="Arial"/>
          <w:sz w:val="16"/>
          <w:szCs w:val="16"/>
          <w:color w:val="auto"/>
        </w:rPr>
      </w:pPr>
    </w:p>
    <w:p>
      <w:pPr>
        <w:ind w:left="900" w:hanging="446"/>
        <w:spacing w:after="0"/>
        <w:tabs>
          <w:tab w:leader="none" w:pos="90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As of December 31, 2012 and 2011, the amount includes commitments from the Adviser and its affiliates of $114.1 and $70.4 million, respectively.</w:t>
      </w:r>
    </w:p>
    <w:p>
      <w:pPr>
        <w:spacing w:after="0" w:line="174" w:lineRule="exact"/>
        <w:rPr>
          <w:rFonts w:ascii="Arial" w:cs="Arial" w:eastAsia="Arial" w:hAnsi="Arial"/>
          <w:sz w:val="16"/>
          <w:szCs w:val="16"/>
          <w:color w:val="auto"/>
        </w:rPr>
      </w:pPr>
    </w:p>
    <w:p>
      <w:pPr>
        <w:ind w:left="460" w:right="600" w:hanging="452"/>
        <w:spacing w:after="0" w:line="268"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89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40"/>
          </w:cols>
          <w:pgMar w:left="240" w:top="460" w:right="3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Selected Quarterly Financial Data (Unaudited)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Q4</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Q3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Q1</w:t>
            </w:r>
          </w:p>
        </w:tc>
        <w:tc>
          <w:tcPr>
            <w:tcW w:w="200" w:type="dxa"/>
            <w:vAlign w:val="bottom"/>
          </w:tcPr>
          <w:p>
            <w:pPr>
              <w:spacing w:after="0"/>
              <w:rPr>
                <w:sz w:val="12"/>
                <w:szCs w:val="12"/>
                <w:color w:val="auto"/>
              </w:rPr>
            </w:pP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$18,169</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$14,554</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11,314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$6,974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Expenses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7,231</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6,637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$4,357</w:t>
            </w:r>
          </w:p>
        </w:tc>
        <w:tc>
          <w:tcPr>
            <w:tcW w:w="2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$10,892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7,917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6,603</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$2,617</w:t>
            </w:r>
          </w:p>
        </w:tc>
        <w:tc>
          <w:tcPr>
            <w:tcW w:w="2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1,568</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5,664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$3,169</w:t>
            </w:r>
          </w:p>
        </w:tc>
        <w:tc>
          <w:tcPr>
            <w:tcW w:w="2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$12,460</w:t>
            </w:r>
          </w:p>
        </w:tc>
        <w:tc>
          <w:tcPr>
            <w:tcW w:w="1580" w:type="dxa"/>
            <w:vAlign w:val="bottom"/>
            <w:gridSpan w:val="6"/>
            <w:shd w:val="clear" w:color="auto" w:fill="CCEEFF"/>
          </w:tcPr>
          <w:p>
            <w:pPr>
              <w:jc w:val="right"/>
              <w:ind w:right="380"/>
              <w:spacing w:after="0"/>
              <w:rPr>
                <w:sz w:val="20"/>
                <w:szCs w:val="20"/>
                <w:color w:val="auto"/>
              </w:rPr>
            </w:pPr>
            <w:r>
              <w:rPr>
                <w:rFonts w:ascii="Arial" w:cs="Arial" w:eastAsia="Arial" w:hAnsi="Arial"/>
                <w:sz w:val="18"/>
                <w:szCs w:val="18"/>
                <w:color w:val="auto"/>
              </w:rPr>
              <w:t>$13,581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7,768</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$5,786</w:t>
            </w:r>
          </w:p>
        </w:tc>
        <w:tc>
          <w:tcPr>
            <w:tcW w:w="2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 xml:space="preserve">Net Assets Value per Share as of the End of the Quarter </w:t>
            </w:r>
            <w:r>
              <w:rPr>
                <w:rFonts w:ascii="Arial" w:cs="Arial" w:eastAsia="Arial" w:hAnsi="Arial"/>
                <w:sz w:val="11"/>
                <w:szCs w:val="11"/>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15.19</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15.12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14.88</w:t>
            </w:r>
          </w:p>
        </w:tc>
        <w:tc>
          <w:tcPr>
            <w:tcW w:w="200" w:type="dxa"/>
            <w:vAlign w:val="bottom"/>
          </w:tcPr>
          <w:p>
            <w:pPr>
              <w:spacing w:after="0"/>
              <w:rPr>
                <w:sz w:val="19"/>
                <w:szCs w:val="19"/>
                <w:color w:val="auto"/>
              </w:rPr>
            </w:pPr>
          </w:p>
        </w:tc>
      </w:tr>
      <w:tr>
        <w:trPr>
          <w:trHeight w:val="345"/>
        </w:trPr>
        <w:tc>
          <w:tcPr>
            <w:tcW w:w="6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6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Q4</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rPr>
              <w:t>Q3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ind w:right="100"/>
              <w:spacing w:after="0" w:line="142" w:lineRule="exact"/>
              <w:rPr>
                <w:sz w:val="20"/>
                <w:szCs w:val="20"/>
                <w:color w:val="auto"/>
              </w:rPr>
            </w:pPr>
            <w:r>
              <w:rPr>
                <w:rFonts w:ascii="Arial" w:cs="Arial" w:eastAsia="Arial" w:hAnsi="Arial"/>
                <w:sz w:val="14"/>
                <w:szCs w:val="14"/>
                <w:b w:val="1"/>
                <w:bCs w:val="1"/>
                <w:color w:val="auto"/>
              </w:rPr>
              <w:t>Q1</w:t>
            </w:r>
          </w:p>
        </w:tc>
        <w:tc>
          <w:tcPr>
            <w:tcW w:w="300" w:type="dxa"/>
            <w:vAlign w:val="bottom"/>
            <w:gridSpan w:val="2"/>
          </w:tcPr>
          <w:p>
            <w:pPr>
              <w:spacing w:after="0"/>
              <w:rPr>
                <w:sz w:val="12"/>
                <w:szCs w:val="12"/>
                <w:color w:val="auto"/>
              </w:rPr>
            </w:pP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3,764</w:t>
            </w: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1,551</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Expenses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2,835</w:t>
            </w:r>
          </w:p>
        </w:tc>
        <w:tc>
          <w:tcPr>
            <w:tcW w:w="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636</w:t>
            </w:r>
          </w:p>
        </w:tc>
        <w:tc>
          <w:tcPr>
            <w:tcW w:w="140" w:type="dxa"/>
            <w:vAlign w:val="bottom"/>
          </w:tcPr>
          <w:p>
            <w:pPr>
              <w:spacing w:after="0"/>
              <w:rPr>
                <w:sz w:val="18"/>
                <w:szCs w:val="18"/>
                <w:color w:val="auto"/>
              </w:rPr>
            </w:pPr>
          </w:p>
        </w:tc>
        <w:tc>
          <w:tcPr>
            <w:tcW w:w="560" w:type="dxa"/>
            <w:vAlign w:val="bottom"/>
            <w:gridSpan w:val="3"/>
          </w:tcPr>
          <w:p>
            <w:pPr>
              <w:ind w:left="20"/>
              <w:spacing w:after="0"/>
              <w:rPr>
                <w:sz w:val="20"/>
                <w:szCs w:val="20"/>
                <w:color w:val="auto"/>
              </w:rPr>
            </w:pPr>
            <w:r>
              <w:rPr>
                <w:rFonts w:ascii="Arial" w:cs="Arial" w:eastAsia="Arial" w:hAnsi="Arial"/>
                <w:sz w:val="18"/>
                <w:szCs w:val="18"/>
                <w:color w:val="auto"/>
                <w:w w:val="86"/>
              </w:rPr>
              <w:t>$ 1,554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3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(636)</w:t>
            </w: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2"/>
              </w:rPr>
              <w:t>$(1,554)</w:t>
            </w:r>
          </w:p>
        </w:tc>
        <w:tc>
          <w:tcPr>
            <w:tcW w:w="2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Unrealized Gains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937</w:t>
            </w:r>
          </w:p>
        </w:tc>
        <w:tc>
          <w:tcPr>
            <w:tcW w:w="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7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1,866</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(636)</w:t>
            </w: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2"/>
              </w:rPr>
              <w:t>$(1,554)</w:t>
            </w:r>
          </w:p>
        </w:tc>
        <w:tc>
          <w:tcPr>
            <w:tcW w:w="2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Net Assets (Liabilities) Value per Share as of the End of the Quarter</w:t>
            </w:r>
            <w:r>
              <w:rPr>
                <w:rFonts w:ascii="Arial" w:cs="Arial" w:eastAsia="Arial" w:hAnsi="Arial"/>
                <w:sz w:val="11"/>
                <w:szCs w:val="11"/>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14.71</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5"/>
          </w:tcPr>
          <w:p>
            <w:pPr>
              <w:jc w:val="right"/>
              <w:ind w:right="160"/>
              <w:spacing w:after="0"/>
              <w:rPr>
                <w:sz w:val="20"/>
                <w:szCs w:val="20"/>
                <w:color w:val="auto"/>
              </w:rPr>
            </w:pPr>
            <w:r>
              <w:rPr>
                <w:rFonts w:ascii="Arial" w:cs="Arial" w:eastAsia="Arial" w:hAnsi="Arial"/>
                <w:sz w:val="18"/>
                <w:szCs w:val="18"/>
                <w:color w:val="auto"/>
              </w:rPr>
              <w:t>14.06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(23.30)</w:t>
            </w:r>
          </w:p>
        </w:tc>
        <w:tc>
          <w:tcPr>
            <w:tcW w:w="2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31, 2013, the Company concluded its Private Offerings by reaching $1.5 billion in committed capital.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12, 2013, the Board renewed the Administration Agreement which will now remain in effect until March 15, 2014, unless earlier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1" w:lineRule="exact"/>
        <w:rPr>
          <w:sz w:val="20"/>
          <w:szCs w:val="20"/>
          <w:color w:val="auto"/>
        </w:rPr>
      </w:pPr>
    </w:p>
    <w:p>
      <w:pPr>
        <w:ind w:left="460" w:right="380" w:hanging="452"/>
        <w:spacing w:after="0" w:line="268"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240" w:top="460" w:right="5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$874,580 and $644,421,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889,330</w:t>
            </w: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19,643</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Receivable for investments sold</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865</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w:t>
            </w:r>
          </w:p>
        </w:tc>
        <w:tc>
          <w:tcPr>
            <w:tcW w:w="1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926,154</w:t>
            </w:r>
          </w:p>
        </w:tc>
        <w:tc>
          <w:tcPr>
            <w:tcW w:w="11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Revolving credit facilities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338,267</w:t>
            </w:r>
          </w:p>
        </w:tc>
        <w:tc>
          <w:tcPr>
            <w:tcW w:w="11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Incentive fees payable to affiliate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5,051</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Payable for investments purchased</w:t>
            </w:r>
          </w:p>
        </w:tc>
        <w:tc>
          <w:tcPr>
            <w:tcW w:w="320" w:type="dxa"/>
            <w:vAlign w:val="bottom"/>
          </w:tcPr>
          <w:p>
            <w:pPr>
              <w:spacing w:after="0"/>
              <w:rPr>
                <w:sz w:val="18"/>
                <w:szCs w:val="18"/>
                <w:color w:val="auto"/>
              </w:rPr>
            </w:pPr>
          </w:p>
        </w:tc>
        <w:tc>
          <w:tcPr>
            <w:tcW w:w="192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Payables to affiliate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1,682</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365,065</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Net Assets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Common stock, $0.01 par value; 100,000,000 shares authorized; 36,547,515 and 31,583,953</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shares issued, respectively; and 36,546,516 and 31,582,954 shares outstanding, respectively</w:t>
            </w:r>
            <w:r>
              <w:rPr>
                <w:rFonts w:ascii="Arial" w:cs="Arial" w:eastAsia="Arial" w:hAnsi="Arial"/>
                <w:sz w:val="11"/>
                <w:szCs w:val="11"/>
                <w:color w:val="auto"/>
              </w:rPr>
              <w:t>(1)</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1"/>
                <w:szCs w:val="11"/>
                <w:color w:val="auto"/>
              </w:rPr>
              <w:t>(1)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545,283</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Treasury stock at cost; 999 shares</w:t>
            </w:r>
          </w:p>
        </w:tc>
        <w:tc>
          <w:tcPr>
            <w:tcW w:w="320" w:type="dxa"/>
            <w:vAlign w:val="bottom"/>
          </w:tcPr>
          <w:p>
            <w:pPr>
              <w:spacing w:after="0"/>
              <w:rPr>
                <w:sz w:val="18"/>
                <w:szCs w:val="18"/>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(1,083)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Net unrealized gains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13,527</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net realized gains</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Net Assets</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561,089</w:t>
            </w: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926,154</w:t>
            </w:r>
          </w:p>
        </w:tc>
        <w:tc>
          <w:tcPr>
            <w:tcW w:w="1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Net Asset Value Per Share</w:t>
            </w:r>
            <w:r>
              <w:rPr>
                <w:rFonts w:ascii="Arial" w:cs="Arial" w:eastAsia="Arial" w:hAnsi="Arial"/>
                <w:sz w:val="11"/>
                <w:szCs w:val="11"/>
                <w:color w:val="auto"/>
              </w:rPr>
              <w:t>(1)</w:t>
            </w: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gridSpan w:val="2"/>
            <w:vMerge w:val="continue"/>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15.35</w:t>
            </w:r>
          </w:p>
        </w:tc>
        <w:tc>
          <w:tcPr>
            <w:tcW w:w="11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68" w:lineRule="auto"/>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ind w:lef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1240" w:type="dxa"/>
            <w:vAlign w:val="bottom"/>
            <w:tcBorders>
              <w:top w:val="single" w:sz="8" w:color="auto"/>
            </w:tcBorders>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tcBorders>
              <w:top w:val="single" w:sz="8" w:color="auto"/>
            </w:tcBorders>
            <w:gridSpan w:val="3"/>
          </w:tcPr>
          <w:p>
            <w:pPr>
              <w:jc w:val="right"/>
              <w:ind w:right="66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non-affiliated</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23,298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13,620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65,040</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30,109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affiliated</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84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32,842</w:t>
            </w: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9,698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29,486</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Management fees waived (Note 3)</w:t>
            </w:r>
          </w:p>
        </w:tc>
        <w:tc>
          <w:tcPr>
            <w:tcW w:w="1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(1,853)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(1,189)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(5,038)</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24,448</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14,665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40,592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14,585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40,508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Total net change in unrealized gains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Total realized gains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Unrealized and Realized Gains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12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16,259</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13,581</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45,927</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 and diluted</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5"/>
        </w:trPr>
        <w:tc>
          <w:tcPr>
            <w:tcW w:w="5860" w:type="dxa"/>
            <w:vAlign w:val="bottom"/>
            <w:gridSpan w:val="2"/>
          </w:tcPr>
          <w:p>
            <w:pPr>
              <w:spacing w:after="0"/>
              <w:rPr>
                <w:sz w:val="20"/>
                <w:szCs w:val="20"/>
                <w:color w:val="auto"/>
              </w:rPr>
            </w:pPr>
            <w:r>
              <w:rPr>
                <w:rFonts w:ascii="Arial" w:cs="Arial" w:eastAsia="Arial" w:hAnsi="Arial"/>
                <w:sz w:val="18"/>
                <w:szCs w:val="18"/>
                <w:color w:val="auto"/>
              </w:rPr>
              <w:t>Weighted average shares of common stock outstanding – basic and</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diluted</w:t>
            </w:r>
            <w:r>
              <w:rPr>
                <w:rFonts w:ascii="Arial" w:cs="Arial" w:eastAsia="Arial" w:hAnsi="Arial"/>
                <w:sz w:val="11"/>
                <w:szCs w:val="11"/>
                <w:color w:val="auto"/>
              </w:rPr>
              <w:t>(1)</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34,817,674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23,195,714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33,891,011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18,832,303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680" w:hanging="452"/>
        <w:spacing w:after="0" w:line="268"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Consolidated Schedule of Investments as of September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230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Interest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Acquisition</w:t>
            </w:r>
          </w:p>
        </w:tc>
        <w:tc>
          <w:tcPr>
            <w:tcW w:w="1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Amortized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5"/>
                <w:szCs w:val="15"/>
                <w:color w:val="auto"/>
              </w:rPr>
            </w:pPr>
          </w:p>
        </w:tc>
        <w:tc>
          <w:tcPr>
            <w:tcW w:w="1540" w:type="dxa"/>
            <w:vAlign w:val="bottom"/>
            <w:gridSpan w:val="2"/>
          </w:tcPr>
          <w:p>
            <w:pPr>
              <w:ind w:left="40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Rate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ind w:right="13"/>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22"/>
        </w:trPr>
        <w:tc>
          <w:tcPr>
            <w:tcW w:w="30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Senior Secured First-Lien Loans</w:t>
            </w:r>
          </w:p>
        </w:tc>
        <w:tc>
          <w:tcPr>
            <w:tcW w:w="62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4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0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AFS Technologies, Inc. </w:t>
            </w:r>
            <w:r>
              <w:rPr>
                <w:rFonts w:ascii="Arial" w:cs="Arial" w:eastAsia="Arial" w:hAnsi="Arial"/>
                <w:sz w:val="15"/>
                <w:szCs w:val="15"/>
                <w:color w:val="auto"/>
                <w:vertAlign w:val="superscript"/>
              </w:rPr>
              <w:t>(3)(4)(5)</w:t>
            </w:r>
          </w:p>
        </w:tc>
        <w:tc>
          <w:tcPr>
            <w:tcW w:w="2160" w:type="dxa"/>
            <w:vAlign w:val="bottom"/>
            <w:gridSpan w:val="2"/>
          </w:tcPr>
          <w:p>
            <w:pPr>
              <w:ind w:left="620"/>
              <w:spacing w:after="0" w:line="138" w:lineRule="exact"/>
              <w:rPr>
                <w:sz w:val="20"/>
                <w:szCs w:val="20"/>
                <w:color w:val="auto"/>
              </w:rPr>
            </w:pPr>
            <w:r>
              <w:rPr>
                <w:rFonts w:ascii="Arial" w:cs="Arial" w:eastAsia="Arial" w:hAnsi="Arial"/>
                <w:sz w:val="14"/>
                <w:szCs w:val="14"/>
                <w:color w:val="auto"/>
              </w:rPr>
              <w:t>Beverage, food,</w:t>
            </w:r>
          </w:p>
        </w:tc>
        <w:tc>
          <w:tcPr>
            <w:tcW w:w="1740" w:type="dxa"/>
            <w:vAlign w:val="bottom"/>
            <w:gridSpan w:val="3"/>
          </w:tcPr>
          <w:p>
            <w:pPr>
              <w:ind w:left="200"/>
              <w:spacing w:after="0" w:line="138" w:lineRule="exact"/>
              <w:rPr>
                <w:sz w:val="20"/>
                <w:szCs w:val="20"/>
                <w:color w:val="auto"/>
              </w:rPr>
            </w:pPr>
            <w:r>
              <w:rPr>
                <w:rFonts w:ascii="Arial" w:cs="Arial" w:eastAsia="Arial" w:hAnsi="Arial"/>
                <w:sz w:val="14"/>
                <w:szCs w:val="14"/>
                <w:color w:val="auto"/>
              </w:rPr>
              <w:t>Senior secured first-lien</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1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and tobacco</w:t>
            </w:r>
          </w:p>
        </w:tc>
        <w:tc>
          <w:tcPr>
            <w:tcW w:w="1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loan ($45,017</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par, due 8/2015)</w:t>
            </w: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8/31/2011</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44,375</w:t>
            </w:r>
          </w:p>
        </w:tc>
        <w:tc>
          <w:tcPr>
            <w:tcW w:w="4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45,692</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38"/>
        </w:trPr>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Ecommerce Industries, Inc. </w:t>
            </w:r>
            <w:r>
              <w:rPr>
                <w:rFonts w:ascii="Arial" w:cs="Arial" w:eastAsia="Arial" w:hAnsi="Arial"/>
                <w:sz w:val="15"/>
                <w:szCs w:val="15"/>
                <w:color w:val="auto"/>
                <w:vertAlign w:val="superscript"/>
              </w:rPr>
              <w:t>(3)(4)(5)</w:t>
            </w:r>
          </w:p>
        </w:tc>
        <w:tc>
          <w:tcPr>
            <w:tcW w:w="2160" w:type="dxa"/>
            <w:vAlign w:val="bottom"/>
            <w:gridSpan w:val="2"/>
            <w:shd w:val="clear" w:color="auto" w:fill="CCEEFF"/>
          </w:tcPr>
          <w:p>
            <w:pPr>
              <w:ind w:left="620"/>
              <w:spacing w:after="0" w:line="138" w:lineRule="exact"/>
              <w:rPr>
                <w:sz w:val="20"/>
                <w:szCs w:val="20"/>
                <w:color w:val="auto"/>
              </w:rPr>
            </w:pPr>
            <w:r>
              <w:rPr>
                <w:rFonts w:ascii="Arial" w:cs="Arial" w:eastAsia="Arial" w:hAnsi="Arial"/>
                <w:sz w:val="14"/>
                <w:szCs w:val="14"/>
                <w:color w:val="auto"/>
              </w:rPr>
              <w:t>Office products</w:t>
            </w:r>
          </w:p>
        </w:tc>
        <w:tc>
          <w:tcPr>
            <w:tcW w:w="174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Senior secured first-lien</w:t>
            </w: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loan ($20,217</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7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par, due 10/2016)</w:t>
            </w: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1"/>
              </w:rPr>
              <w:t>10/17/2011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20,001</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20,419</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8"/>
        </w:trPr>
        <w:tc>
          <w:tcPr>
            <w:tcW w:w="30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MSC.Software Corporation </w:t>
            </w:r>
            <w:r>
              <w:rPr>
                <w:rFonts w:ascii="Arial" w:cs="Arial" w:eastAsia="Arial" w:hAnsi="Arial"/>
                <w:sz w:val="15"/>
                <w:szCs w:val="15"/>
                <w:color w:val="auto"/>
                <w:vertAlign w:val="superscript"/>
              </w:rPr>
              <w:t>(3)(4)(5)</w:t>
            </w:r>
          </w:p>
        </w:tc>
        <w:tc>
          <w:tcPr>
            <w:tcW w:w="2160" w:type="dxa"/>
            <w:vAlign w:val="bottom"/>
            <w:gridSpan w:val="2"/>
          </w:tcPr>
          <w:p>
            <w:pPr>
              <w:ind w:left="620"/>
              <w:spacing w:after="0" w:line="138" w:lineRule="exact"/>
              <w:rPr>
                <w:sz w:val="20"/>
                <w:szCs w:val="20"/>
                <w:color w:val="auto"/>
              </w:rPr>
            </w:pPr>
            <w:r>
              <w:rPr>
                <w:rFonts w:ascii="Arial" w:cs="Arial" w:eastAsia="Arial" w:hAnsi="Arial"/>
                <w:sz w:val="14"/>
                <w:szCs w:val="14"/>
                <w:color w:val="auto"/>
              </w:rPr>
              <w:t>Aerospace and defense</w:t>
            </w:r>
          </w:p>
        </w:tc>
        <w:tc>
          <w:tcPr>
            <w:tcW w:w="1740" w:type="dxa"/>
            <w:vAlign w:val="bottom"/>
            <w:gridSpan w:val="3"/>
          </w:tcPr>
          <w:p>
            <w:pPr>
              <w:ind w:left="200"/>
              <w:spacing w:after="0" w:line="138" w:lineRule="exact"/>
              <w:rPr>
                <w:sz w:val="20"/>
                <w:szCs w:val="20"/>
                <w:color w:val="auto"/>
              </w:rPr>
            </w:pPr>
            <w:r>
              <w:rPr>
                <w:rFonts w:ascii="Arial" w:cs="Arial" w:eastAsia="Arial" w:hAnsi="Arial"/>
                <w:sz w:val="14"/>
                <w:szCs w:val="14"/>
                <w:color w:val="auto"/>
              </w:rPr>
              <w:t>Senior secured first-lien</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loan ($54,156 par, due</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11/2017)</w:t>
            </w:r>
          </w:p>
        </w:tc>
        <w:tc>
          <w:tcPr>
            <w:tcW w:w="10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12/23/2011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53,477</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54,156</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38"/>
        </w:trPr>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Mandalay Baseball Properties, LLC </w:t>
            </w:r>
            <w:r>
              <w:rPr>
                <w:rFonts w:ascii="Arial" w:cs="Arial" w:eastAsia="Arial" w:hAnsi="Arial"/>
                <w:sz w:val="15"/>
                <w:szCs w:val="15"/>
                <w:color w:val="auto"/>
                <w:vertAlign w:val="superscript"/>
              </w:rPr>
              <w:t>(3)(5)</w:t>
            </w:r>
          </w:p>
        </w:tc>
        <w:tc>
          <w:tcPr>
            <w:tcW w:w="2160" w:type="dxa"/>
            <w:vAlign w:val="bottom"/>
            <w:gridSpan w:val="2"/>
            <w:shd w:val="clear" w:color="auto" w:fill="CCEEFF"/>
          </w:tcPr>
          <w:p>
            <w:pPr>
              <w:ind w:left="620"/>
              <w:spacing w:after="0" w:line="138" w:lineRule="exact"/>
              <w:rPr>
                <w:sz w:val="20"/>
                <w:szCs w:val="20"/>
                <w:color w:val="auto"/>
              </w:rPr>
            </w:pPr>
            <w:r>
              <w:rPr>
                <w:rFonts w:ascii="Arial" w:cs="Arial" w:eastAsia="Arial" w:hAnsi="Arial"/>
                <w:sz w:val="14"/>
                <w:szCs w:val="14"/>
                <w:color w:val="auto"/>
                <w:w w:val="93"/>
              </w:rPr>
              <w:t>Hotel, gaming, and leisure</w:t>
            </w:r>
          </w:p>
        </w:tc>
        <w:tc>
          <w:tcPr>
            <w:tcW w:w="174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Senior secured first-lien</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12.00%</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loan ($34,489 par, due</w:t>
            </w:r>
          </w:p>
        </w:tc>
        <w:tc>
          <w:tcPr>
            <w:tcW w:w="8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(incl.</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3/2017)</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4/12/2012</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33,869</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35,362</w:t>
            </w: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8"/>
        </w:trPr>
        <w:tc>
          <w:tcPr>
            <w:tcW w:w="30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Infogix, Inc. </w:t>
            </w:r>
            <w:r>
              <w:rPr>
                <w:rFonts w:ascii="Arial" w:cs="Arial" w:eastAsia="Arial" w:hAnsi="Arial"/>
                <w:sz w:val="15"/>
                <w:szCs w:val="15"/>
                <w:color w:val="auto"/>
                <w:vertAlign w:val="superscript"/>
              </w:rPr>
              <w:t>(3)(5)</w:t>
            </w:r>
          </w:p>
        </w:tc>
        <w:tc>
          <w:tcPr>
            <w:tcW w:w="2160" w:type="dxa"/>
            <w:vAlign w:val="bottom"/>
            <w:gridSpan w:val="2"/>
          </w:tcPr>
          <w:p>
            <w:pPr>
              <w:ind w:left="620"/>
              <w:spacing w:after="0" w:line="138" w:lineRule="exact"/>
              <w:rPr>
                <w:sz w:val="20"/>
                <w:szCs w:val="20"/>
                <w:color w:val="auto"/>
              </w:rPr>
            </w:pPr>
            <w:r>
              <w:rPr>
                <w:rFonts w:ascii="Arial" w:cs="Arial" w:eastAsia="Arial" w:hAnsi="Arial"/>
                <w:sz w:val="14"/>
                <w:szCs w:val="14"/>
                <w:color w:val="auto"/>
              </w:rPr>
              <w:t>Insurance</w:t>
            </w:r>
          </w:p>
        </w:tc>
        <w:tc>
          <w:tcPr>
            <w:tcW w:w="1740" w:type="dxa"/>
            <w:vAlign w:val="bottom"/>
            <w:gridSpan w:val="3"/>
          </w:tcPr>
          <w:p>
            <w:pPr>
              <w:ind w:left="200"/>
              <w:spacing w:after="0" w:line="138" w:lineRule="exact"/>
              <w:rPr>
                <w:sz w:val="20"/>
                <w:szCs w:val="20"/>
                <w:color w:val="auto"/>
              </w:rPr>
            </w:pPr>
            <w:r>
              <w:rPr>
                <w:rFonts w:ascii="Arial" w:cs="Arial" w:eastAsia="Arial" w:hAnsi="Arial"/>
                <w:sz w:val="14"/>
                <w:szCs w:val="14"/>
                <w:color w:val="auto"/>
              </w:rPr>
              <w:t>Senior secured first-lien</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loan ($32,306 par, due</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6/2017)</w:t>
            </w:r>
          </w:p>
        </w:tc>
        <w:tc>
          <w:tcPr>
            <w:tcW w:w="10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10.00%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6/1/2012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31,815</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32,225</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38"/>
        </w:trPr>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Consona Holdings, Inc. </w:t>
            </w:r>
            <w:r>
              <w:rPr>
                <w:rFonts w:ascii="Arial" w:cs="Arial" w:eastAsia="Arial" w:hAnsi="Arial"/>
                <w:sz w:val="15"/>
                <w:szCs w:val="15"/>
                <w:color w:val="auto"/>
                <w:vertAlign w:val="superscript"/>
              </w:rPr>
              <w:t>(3)(5)</w:t>
            </w:r>
          </w:p>
        </w:tc>
        <w:tc>
          <w:tcPr>
            <w:tcW w:w="2160" w:type="dxa"/>
            <w:vAlign w:val="bottom"/>
            <w:gridSpan w:val="2"/>
            <w:shd w:val="clear" w:color="auto" w:fill="CCEEFF"/>
          </w:tcPr>
          <w:p>
            <w:pPr>
              <w:ind w:left="620"/>
              <w:spacing w:after="0" w:line="138" w:lineRule="exact"/>
              <w:rPr>
                <w:sz w:val="20"/>
                <w:szCs w:val="20"/>
                <w:color w:val="auto"/>
              </w:rPr>
            </w:pPr>
            <w:r>
              <w:rPr>
                <w:rFonts w:ascii="Arial" w:cs="Arial" w:eastAsia="Arial" w:hAnsi="Arial"/>
                <w:sz w:val="14"/>
                <w:szCs w:val="14"/>
                <w:color w:val="auto"/>
              </w:rPr>
              <w:t>Business services</w:t>
            </w:r>
          </w:p>
        </w:tc>
        <w:tc>
          <w:tcPr>
            <w:tcW w:w="174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Senior secured first-lien</w:t>
            </w: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loan ($29,700 par, due</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8/2018)</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8/13/2012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29,337</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29,403</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8"/>
        </w:trPr>
        <w:tc>
          <w:tcPr>
            <w:tcW w:w="30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Heartland Automotive Holdings, LLC </w:t>
            </w:r>
            <w:r>
              <w:rPr>
                <w:rFonts w:ascii="Arial" w:cs="Arial" w:eastAsia="Arial" w:hAnsi="Arial"/>
                <w:sz w:val="15"/>
                <w:szCs w:val="15"/>
                <w:color w:val="auto"/>
                <w:vertAlign w:val="superscript"/>
              </w:rPr>
              <w:t>(3)(5)</w:t>
            </w:r>
          </w:p>
        </w:tc>
        <w:tc>
          <w:tcPr>
            <w:tcW w:w="2160" w:type="dxa"/>
            <w:vAlign w:val="bottom"/>
            <w:gridSpan w:val="2"/>
          </w:tcPr>
          <w:p>
            <w:pPr>
              <w:ind w:left="620"/>
              <w:spacing w:after="0" w:line="138" w:lineRule="exact"/>
              <w:rPr>
                <w:sz w:val="20"/>
                <w:szCs w:val="20"/>
                <w:color w:val="auto"/>
              </w:rPr>
            </w:pPr>
            <w:r>
              <w:rPr>
                <w:rFonts w:ascii="Arial" w:cs="Arial" w:eastAsia="Arial" w:hAnsi="Arial"/>
                <w:sz w:val="14"/>
                <w:szCs w:val="14"/>
                <w:color w:val="auto"/>
              </w:rPr>
              <w:t>Automotive</w:t>
            </w:r>
          </w:p>
        </w:tc>
        <w:tc>
          <w:tcPr>
            <w:tcW w:w="1740" w:type="dxa"/>
            <w:vAlign w:val="bottom"/>
            <w:gridSpan w:val="3"/>
          </w:tcPr>
          <w:p>
            <w:pPr>
              <w:ind w:left="200"/>
              <w:spacing w:after="0" w:line="138" w:lineRule="exact"/>
              <w:rPr>
                <w:sz w:val="20"/>
                <w:szCs w:val="20"/>
                <w:color w:val="auto"/>
              </w:rPr>
            </w:pPr>
            <w:r>
              <w:rPr>
                <w:rFonts w:ascii="Arial" w:cs="Arial" w:eastAsia="Arial" w:hAnsi="Arial"/>
                <w:sz w:val="14"/>
                <w:szCs w:val="14"/>
                <w:color w:val="auto"/>
              </w:rPr>
              <w:t>Senior secured first-lien</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loan ($37,472 par, due</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6/2017)</w:t>
            </w:r>
          </w:p>
        </w:tc>
        <w:tc>
          <w:tcPr>
            <w:tcW w:w="10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9.00%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8/28/2012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36,682</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36,723</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8"/>
        </w:trPr>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Mediware Information Systems, Inc. </w:t>
            </w:r>
            <w:r>
              <w:rPr>
                <w:rFonts w:ascii="Arial" w:cs="Arial" w:eastAsia="Arial" w:hAnsi="Arial"/>
                <w:sz w:val="15"/>
                <w:szCs w:val="15"/>
                <w:color w:val="auto"/>
                <w:vertAlign w:val="superscript"/>
              </w:rPr>
              <w:t>(3)(4)(5)</w:t>
            </w:r>
          </w:p>
        </w:tc>
        <w:tc>
          <w:tcPr>
            <w:tcW w:w="2160" w:type="dxa"/>
            <w:vAlign w:val="bottom"/>
            <w:gridSpan w:val="2"/>
            <w:shd w:val="clear" w:color="auto" w:fill="CCEEFF"/>
          </w:tcPr>
          <w:p>
            <w:pPr>
              <w:ind w:left="620"/>
              <w:spacing w:after="0" w:line="138" w:lineRule="exact"/>
              <w:rPr>
                <w:sz w:val="20"/>
                <w:szCs w:val="20"/>
                <w:color w:val="auto"/>
              </w:rPr>
            </w:pPr>
            <w:r>
              <w:rPr>
                <w:rFonts w:ascii="Arial" w:cs="Arial" w:eastAsia="Arial" w:hAnsi="Arial"/>
                <w:sz w:val="14"/>
                <w:szCs w:val="14"/>
                <w:color w:val="auto"/>
              </w:rPr>
              <w:t>Healthcare and</w:t>
            </w:r>
          </w:p>
        </w:tc>
        <w:tc>
          <w:tcPr>
            <w:tcW w:w="174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Senior secured first-lien</w:t>
            </w: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pharmaceuticals</w:t>
            </w:r>
          </w:p>
        </w:tc>
        <w:tc>
          <w:tcPr>
            <w:tcW w:w="17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loan ($72,092 par, due</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5/2018)</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11/9/2012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70,496</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71,371</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38"/>
        </w:trPr>
        <w:tc>
          <w:tcPr>
            <w:tcW w:w="30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SumTotal Systems, LLC </w:t>
            </w:r>
            <w:r>
              <w:rPr>
                <w:rFonts w:ascii="Arial" w:cs="Arial" w:eastAsia="Arial" w:hAnsi="Arial"/>
                <w:sz w:val="15"/>
                <w:szCs w:val="15"/>
                <w:color w:val="auto"/>
                <w:vertAlign w:val="superscript"/>
              </w:rPr>
              <w:t>(3)</w:t>
            </w:r>
          </w:p>
        </w:tc>
        <w:tc>
          <w:tcPr>
            <w:tcW w:w="2160" w:type="dxa"/>
            <w:vAlign w:val="bottom"/>
            <w:gridSpan w:val="2"/>
          </w:tcPr>
          <w:p>
            <w:pPr>
              <w:ind w:left="620"/>
              <w:spacing w:after="0" w:line="138" w:lineRule="exact"/>
              <w:rPr>
                <w:sz w:val="20"/>
                <w:szCs w:val="20"/>
                <w:color w:val="auto"/>
              </w:rPr>
            </w:pPr>
            <w:r>
              <w:rPr>
                <w:rFonts w:ascii="Arial" w:cs="Arial" w:eastAsia="Arial" w:hAnsi="Arial"/>
                <w:sz w:val="14"/>
                <w:szCs w:val="14"/>
                <w:color w:val="auto"/>
                <w:w w:val="98"/>
              </w:rPr>
              <w:t>Human resource support</w:t>
            </w:r>
          </w:p>
        </w:tc>
        <w:tc>
          <w:tcPr>
            <w:tcW w:w="1740" w:type="dxa"/>
            <w:vAlign w:val="bottom"/>
            <w:gridSpan w:val="3"/>
          </w:tcPr>
          <w:p>
            <w:pPr>
              <w:ind w:left="200"/>
              <w:spacing w:after="0" w:line="138" w:lineRule="exact"/>
              <w:rPr>
                <w:sz w:val="20"/>
                <w:szCs w:val="20"/>
                <w:color w:val="auto"/>
              </w:rPr>
            </w:pPr>
            <w:r>
              <w:rPr>
                <w:rFonts w:ascii="Arial" w:cs="Arial" w:eastAsia="Arial" w:hAnsi="Arial"/>
                <w:sz w:val="14"/>
                <w:szCs w:val="14"/>
                <w:color w:val="auto"/>
              </w:rPr>
              <w:t>Senior secured first-lien</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1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services</w:t>
            </w:r>
          </w:p>
        </w:tc>
        <w:tc>
          <w:tcPr>
            <w:tcW w:w="1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loan ($7,503 par, due</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11/2018)</w:t>
            </w:r>
          </w:p>
        </w:tc>
        <w:tc>
          <w:tcPr>
            <w:tcW w:w="10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6.25%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11/16/2012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7,422</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7,463</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8"/>
        </w:trPr>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Rogue Wave Holdings, Inc. </w:t>
            </w:r>
            <w:r>
              <w:rPr>
                <w:rFonts w:ascii="Arial" w:cs="Arial" w:eastAsia="Arial" w:hAnsi="Arial"/>
                <w:sz w:val="15"/>
                <w:szCs w:val="15"/>
                <w:color w:val="auto"/>
                <w:vertAlign w:val="superscript"/>
              </w:rPr>
              <w:t>(3)(4)(5)</w:t>
            </w:r>
          </w:p>
        </w:tc>
        <w:tc>
          <w:tcPr>
            <w:tcW w:w="2160" w:type="dxa"/>
            <w:vAlign w:val="bottom"/>
            <w:gridSpan w:val="2"/>
            <w:shd w:val="clear" w:color="auto" w:fill="CCEEFF"/>
          </w:tcPr>
          <w:p>
            <w:pPr>
              <w:ind w:left="620"/>
              <w:spacing w:after="0" w:line="138" w:lineRule="exact"/>
              <w:rPr>
                <w:sz w:val="20"/>
                <w:szCs w:val="20"/>
                <w:color w:val="auto"/>
              </w:rPr>
            </w:pPr>
            <w:r>
              <w:rPr>
                <w:rFonts w:ascii="Arial" w:cs="Arial" w:eastAsia="Arial" w:hAnsi="Arial"/>
                <w:sz w:val="14"/>
                <w:szCs w:val="14"/>
                <w:color w:val="auto"/>
              </w:rPr>
              <w:t>Financial services</w:t>
            </w:r>
          </w:p>
        </w:tc>
        <w:tc>
          <w:tcPr>
            <w:tcW w:w="174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Senior secured first-lien</w:t>
            </w: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loan ($45,975 par, due</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11/2017)</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8.25%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1"/>
              </w:rPr>
              <w:t>11/21/2012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44,948</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45,745</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22"/>
        </w:trPr>
        <w:tc>
          <w:tcPr>
            <w:tcW w:w="3060" w:type="dxa"/>
            <w:vAlign w:val="bottom"/>
            <w:gridSpan w:val="2"/>
          </w:tcPr>
          <w:p>
            <w:pPr>
              <w:spacing w:after="0" w:line="122" w:lineRule="exact"/>
              <w:rPr>
                <w:sz w:val="20"/>
                <w:szCs w:val="20"/>
                <w:color w:val="auto"/>
              </w:rPr>
            </w:pPr>
            <w:r>
              <w:rPr>
                <w:rFonts w:ascii="Arial" w:cs="Arial" w:eastAsia="Arial" w:hAnsi="Arial"/>
                <w:sz w:val="14"/>
                <w:szCs w:val="14"/>
                <w:color w:val="auto"/>
              </w:rPr>
              <w:t>Embarcadero Technologies,</w:t>
            </w:r>
          </w:p>
        </w:tc>
        <w:tc>
          <w:tcPr>
            <w:tcW w:w="2160" w:type="dxa"/>
            <w:vAlign w:val="bottom"/>
            <w:gridSpan w:val="2"/>
          </w:tcPr>
          <w:p>
            <w:pPr>
              <w:ind w:left="620"/>
              <w:spacing w:after="0" w:line="122" w:lineRule="exact"/>
              <w:rPr>
                <w:sz w:val="20"/>
                <w:szCs w:val="20"/>
                <w:color w:val="auto"/>
              </w:rPr>
            </w:pPr>
            <w:r>
              <w:rPr>
                <w:rFonts w:ascii="Arial" w:cs="Arial" w:eastAsia="Arial" w:hAnsi="Arial"/>
                <w:sz w:val="14"/>
                <w:szCs w:val="14"/>
                <w:color w:val="auto"/>
              </w:rPr>
              <w:t>Financial services</w:t>
            </w:r>
          </w:p>
        </w:tc>
        <w:tc>
          <w:tcPr>
            <w:tcW w:w="1740" w:type="dxa"/>
            <w:vAlign w:val="bottom"/>
            <w:gridSpan w:val="3"/>
          </w:tcPr>
          <w:p>
            <w:pPr>
              <w:ind w:left="200"/>
              <w:spacing w:after="0" w:line="122" w:lineRule="exact"/>
              <w:rPr>
                <w:sz w:val="20"/>
                <w:szCs w:val="20"/>
                <w:color w:val="auto"/>
              </w:rPr>
            </w:pPr>
            <w:r>
              <w:rPr>
                <w:rFonts w:ascii="Arial" w:cs="Arial" w:eastAsia="Arial" w:hAnsi="Arial"/>
                <w:sz w:val="14"/>
                <w:szCs w:val="14"/>
                <w:color w:val="auto"/>
              </w:rPr>
              <w:t>Senior secured first-lien</w:t>
            </w: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060" w:type="dxa"/>
            <w:vAlign w:val="bottom"/>
            <w:gridSpan w:val="2"/>
          </w:tcPr>
          <w:p>
            <w:pPr>
              <w:ind w:left="220"/>
              <w:spacing w:after="0" w:line="165" w:lineRule="exact"/>
              <w:rPr>
                <w:sz w:val="20"/>
                <w:szCs w:val="20"/>
                <w:color w:val="auto"/>
              </w:rPr>
            </w:pPr>
            <w:r>
              <w:rPr>
                <w:rFonts w:ascii="Arial" w:cs="Arial" w:eastAsia="Arial" w:hAnsi="Arial"/>
                <w:sz w:val="19"/>
                <w:szCs w:val="19"/>
                <w:color w:val="auto"/>
                <w:vertAlign w:val="subscript"/>
              </w:rPr>
              <w:t>Inc.</w:t>
            </w:r>
            <w:r>
              <w:rPr>
                <w:rFonts w:ascii="Arial" w:cs="Arial" w:eastAsia="Arial" w:hAnsi="Arial"/>
                <w:sz w:val="9"/>
                <w:szCs w:val="9"/>
                <w:color w:val="auto"/>
              </w:rPr>
              <w:t xml:space="preserve"> (3)(4)(5)</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gridSpan w:val="3"/>
          </w:tcPr>
          <w:p>
            <w:pPr>
              <w:ind w:left="200"/>
              <w:spacing w:after="0"/>
              <w:rPr>
                <w:sz w:val="20"/>
                <w:szCs w:val="20"/>
                <w:color w:val="auto"/>
              </w:rPr>
            </w:pPr>
            <w:r>
              <w:rPr>
                <w:rFonts w:ascii="Arial" w:cs="Arial" w:eastAsia="Arial" w:hAnsi="Arial"/>
                <w:sz w:val="14"/>
                <w:szCs w:val="14"/>
                <w:color w:val="auto"/>
              </w:rPr>
              <w:t>loan ($43,596 par, due</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12/2017)</w:t>
            </w:r>
          </w:p>
        </w:tc>
        <w:tc>
          <w:tcPr>
            <w:tcW w:w="10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91"/>
              </w:rPr>
              <w:t>12/28/2012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42,644</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43,487</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8"/>
        </w:trPr>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SRS Software, LLC </w:t>
            </w:r>
            <w:r>
              <w:rPr>
                <w:rFonts w:ascii="Arial" w:cs="Arial" w:eastAsia="Arial" w:hAnsi="Arial"/>
                <w:sz w:val="15"/>
                <w:szCs w:val="15"/>
                <w:color w:val="auto"/>
                <w:vertAlign w:val="superscript"/>
              </w:rPr>
              <w:t>(3)(5)</w:t>
            </w:r>
          </w:p>
        </w:tc>
        <w:tc>
          <w:tcPr>
            <w:tcW w:w="2160" w:type="dxa"/>
            <w:vAlign w:val="bottom"/>
            <w:gridSpan w:val="2"/>
            <w:shd w:val="clear" w:color="auto" w:fill="CCEEFF"/>
          </w:tcPr>
          <w:p>
            <w:pPr>
              <w:ind w:left="620"/>
              <w:spacing w:after="0" w:line="138" w:lineRule="exact"/>
              <w:rPr>
                <w:sz w:val="20"/>
                <w:szCs w:val="20"/>
                <w:color w:val="auto"/>
              </w:rPr>
            </w:pPr>
            <w:r>
              <w:rPr>
                <w:rFonts w:ascii="Arial" w:cs="Arial" w:eastAsia="Arial" w:hAnsi="Arial"/>
                <w:sz w:val="14"/>
                <w:szCs w:val="14"/>
                <w:color w:val="auto"/>
              </w:rPr>
              <w:t>Healthcare and</w:t>
            </w:r>
          </w:p>
        </w:tc>
        <w:tc>
          <w:tcPr>
            <w:tcW w:w="174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Senior secured first-lien</w:t>
            </w: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pharmaceuticals</w:t>
            </w:r>
          </w:p>
        </w:tc>
        <w:tc>
          <w:tcPr>
            <w:tcW w:w="17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loan ($36,094 par, due</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12/2017)</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8.75%</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12/28/2012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35,196</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35,191</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22"/>
        </w:trPr>
        <w:tc>
          <w:tcPr>
            <w:tcW w:w="3060" w:type="dxa"/>
            <w:vAlign w:val="bottom"/>
            <w:gridSpan w:val="2"/>
          </w:tcPr>
          <w:p>
            <w:pPr>
              <w:spacing w:after="0" w:line="122" w:lineRule="exact"/>
              <w:rPr>
                <w:sz w:val="20"/>
                <w:szCs w:val="20"/>
                <w:color w:val="auto"/>
              </w:rPr>
            </w:pPr>
            <w:r>
              <w:rPr>
                <w:rFonts w:ascii="Arial" w:cs="Arial" w:eastAsia="Arial" w:hAnsi="Arial"/>
                <w:sz w:val="14"/>
                <w:szCs w:val="14"/>
                <w:color w:val="auto"/>
              </w:rPr>
              <w:t>Sage Automotive Interiors,</w:t>
            </w:r>
          </w:p>
        </w:tc>
        <w:tc>
          <w:tcPr>
            <w:tcW w:w="2160" w:type="dxa"/>
            <w:vAlign w:val="bottom"/>
            <w:gridSpan w:val="2"/>
          </w:tcPr>
          <w:p>
            <w:pPr>
              <w:ind w:left="620"/>
              <w:spacing w:after="0" w:line="122" w:lineRule="exact"/>
              <w:rPr>
                <w:sz w:val="20"/>
                <w:szCs w:val="20"/>
                <w:color w:val="auto"/>
              </w:rPr>
            </w:pPr>
            <w:r>
              <w:rPr>
                <w:rFonts w:ascii="Arial" w:cs="Arial" w:eastAsia="Arial" w:hAnsi="Arial"/>
                <w:sz w:val="14"/>
                <w:szCs w:val="14"/>
                <w:color w:val="auto"/>
              </w:rPr>
              <w:t>Automotive</w:t>
            </w:r>
          </w:p>
        </w:tc>
        <w:tc>
          <w:tcPr>
            <w:tcW w:w="1740" w:type="dxa"/>
            <w:vAlign w:val="bottom"/>
            <w:gridSpan w:val="3"/>
          </w:tcPr>
          <w:p>
            <w:pPr>
              <w:ind w:left="200"/>
              <w:spacing w:after="0" w:line="122" w:lineRule="exact"/>
              <w:rPr>
                <w:sz w:val="20"/>
                <w:szCs w:val="20"/>
                <w:color w:val="auto"/>
              </w:rPr>
            </w:pPr>
            <w:r>
              <w:rPr>
                <w:rFonts w:ascii="Arial" w:cs="Arial" w:eastAsia="Arial" w:hAnsi="Arial"/>
                <w:sz w:val="14"/>
                <w:szCs w:val="14"/>
                <w:color w:val="auto"/>
              </w:rPr>
              <w:t>Senior secured first-lien</w:t>
            </w: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060" w:type="dxa"/>
            <w:vAlign w:val="bottom"/>
            <w:gridSpan w:val="2"/>
          </w:tcPr>
          <w:p>
            <w:pPr>
              <w:ind w:left="220"/>
              <w:spacing w:after="0" w:line="165" w:lineRule="exact"/>
              <w:rPr>
                <w:sz w:val="20"/>
                <w:szCs w:val="20"/>
                <w:color w:val="auto"/>
              </w:rPr>
            </w:pPr>
            <w:r>
              <w:rPr>
                <w:rFonts w:ascii="Arial" w:cs="Arial" w:eastAsia="Arial" w:hAnsi="Arial"/>
                <w:sz w:val="19"/>
                <w:szCs w:val="19"/>
                <w:color w:val="auto"/>
                <w:vertAlign w:val="subscript"/>
              </w:rPr>
              <w:t>Inc.</w:t>
            </w:r>
            <w:r>
              <w:rPr>
                <w:rFonts w:ascii="Arial" w:cs="Arial" w:eastAsia="Arial" w:hAnsi="Arial"/>
                <w:sz w:val="9"/>
                <w:szCs w:val="9"/>
                <w:color w:val="auto"/>
              </w:rPr>
              <w:t xml:space="preserve"> (3)(4)(5)</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gridSpan w:val="3"/>
          </w:tcPr>
          <w:p>
            <w:pPr>
              <w:ind w:left="200"/>
              <w:spacing w:after="0"/>
              <w:rPr>
                <w:sz w:val="20"/>
                <w:szCs w:val="20"/>
                <w:color w:val="auto"/>
              </w:rPr>
            </w:pPr>
            <w:r>
              <w:rPr>
                <w:rFonts w:ascii="Arial" w:cs="Arial" w:eastAsia="Arial" w:hAnsi="Arial"/>
                <w:sz w:val="14"/>
                <w:szCs w:val="14"/>
                <w:color w:val="auto"/>
              </w:rPr>
              <w:t>loan ($21,775 par, due</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color w:val="auto"/>
              </w:rPr>
              <w:t>12/2016)</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8.50%</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12/31/2012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21,541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21,666</w:t>
            </w:r>
          </w:p>
        </w:tc>
        <w:tc>
          <w:tcPr>
            <w:tcW w:w="2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Interest</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Acquisition</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Amortized</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3300" w:type="dxa"/>
            <w:vAlign w:val="bottom"/>
            <w:gridSpan w:val="3"/>
            <w:vMerge w:val="continue"/>
          </w:tcPr>
          <w:p>
            <w:pPr>
              <w:spacing w:after="0"/>
              <w:rPr>
                <w:sz w:val="14"/>
                <w:szCs w:val="14"/>
                <w:color w:val="auto"/>
              </w:rPr>
            </w:pPr>
          </w:p>
        </w:tc>
        <w:tc>
          <w:tcPr>
            <w:tcW w:w="1600" w:type="dxa"/>
            <w:vAlign w:val="bottom"/>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1580" w:type="dxa"/>
            <w:vAlign w:val="bottom"/>
            <w:gridSpan w:val="2"/>
          </w:tcPr>
          <w:p>
            <w:pPr>
              <w:ind w:left="400"/>
              <w:spacing w:after="0"/>
              <w:rPr>
                <w:sz w:val="20"/>
                <w:szCs w:val="20"/>
                <w:color w:val="auto"/>
              </w:rPr>
            </w:pPr>
            <w:r>
              <w:rPr>
                <w:rFonts w:ascii="Arial" w:cs="Arial" w:eastAsia="Arial" w:hAnsi="Arial"/>
                <w:sz w:val="14"/>
                <w:szCs w:val="14"/>
                <w:b w:val="1"/>
                <w:bCs w:val="1"/>
                <w:color w:val="auto"/>
              </w:rPr>
              <w:t>Investment</w:t>
            </w: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w:t>
            </w: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Date</w:t>
            </w:r>
          </w:p>
        </w:tc>
        <w:tc>
          <w:tcPr>
            <w:tcW w:w="900" w:type="dxa"/>
            <w:vAlign w:val="bottom"/>
            <w:gridSpan w:val="2"/>
          </w:tcPr>
          <w:p>
            <w:pPr>
              <w:jc w:val="right"/>
              <w:ind w:right="36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2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3280" w:type="dxa"/>
            <w:vAlign w:val="bottom"/>
            <w:gridSpan w:val="2"/>
            <w:shd w:val="clear" w:color="auto" w:fill="CCEEFF"/>
          </w:tcPr>
          <w:p>
            <w:pPr>
              <w:spacing w:after="0" w:line="125" w:lineRule="exact"/>
              <w:rPr>
                <w:sz w:val="20"/>
                <w:szCs w:val="20"/>
                <w:color w:val="auto"/>
              </w:rPr>
            </w:pPr>
            <w:r>
              <w:rPr>
                <w:rFonts w:ascii="Arial" w:cs="Arial" w:eastAsia="Arial" w:hAnsi="Arial"/>
                <w:sz w:val="10"/>
                <w:szCs w:val="10"/>
                <w:color w:val="auto"/>
              </w:rPr>
              <w:t xml:space="preserve">The Newark Group, Inc. </w:t>
            </w:r>
            <w:r>
              <w:rPr>
                <w:rFonts w:ascii="Arial" w:cs="Arial" w:eastAsia="Arial" w:hAnsi="Arial"/>
                <w:sz w:val="14"/>
                <w:szCs w:val="14"/>
                <w:color w:val="auto"/>
                <w:vertAlign w:val="superscript"/>
              </w:rPr>
              <w:t>(3)(5)</w:t>
            </w:r>
          </w:p>
        </w:tc>
        <w:tc>
          <w:tcPr>
            <w:tcW w:w="16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97"/>
              </w:rPr>
              <w:t>Containers and packaging</w:t>
            </w:r>
          </w:p>
        </w:tc>
        <w:tc>
          <w:tcPr>
            <w:tcW w:w="2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97"/>
              </w:rPr>
              <w:t>Senior secured first-lien</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loan ($47,040 par, due</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2/2018)</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8.50%</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2/8/2013</w:t>
            </w:r>
          </w:p>
        </w:tc>
        <w:tc>
          <w:tcPr>
            <w:tcW w:w="4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46,619</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47,510</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80" w:type="dxa"/>
            <w:vAlign w:val="bottom"/>
            <w:gridSpan w:val="2"/>
          </w:tcPr>
          <w:p>
            <w:pPr>
              <w:spacing w:after="0" w:line="122" w:lineRule="exact"/>
              <w:rPr>
                <w:sz w:val="20"/>
                <w:szCs w:val="20"/>
                <w:color w:val="auto"/>
              </w:rPr>
            </w:pPr>
            <w:r>
              <w:rPr>
                <w:rFonts w:ascii="Arial" w:cs="Arial" w:eastAsia="Arial" w:hAnsi="Arial"/>
                <w:sz w:val="14"/>
                <w:szCs w:val="14"/>
                <w:color w:val="auto"/>
              </w:rPr>
              <w:t>Actian Corporation</w:t>
            </w:r>
          </w:p>
        </w:tc>
        <w:tc>
          <w:tcPr>
            <w:tcW w:w="1600" w:type="dxa"/>
            <w:vAlign w:val="bottom"/>
          </w:tcPr>
          <w:p>
            <w:pPr>
              <w:spacing w:after="0" w:line="122" w:lineRule="exact"/>
              <w:rPr>
                <w:sz w:val="20"/>
                <w:szCs w:val="20"/>
                <w:color w:val="auto"/>
              </w:rPr>
            </w:pPr>
            <w:r>
              <w:rPr>
                <w:rFonts w:ascii="Arial" w:cs="Arial" w:eastAsia="Arial" w:hAnsi="Arial"/>
                <w:sz w:val="14"/>
                <w:szCs w:val="14"/>
                <w:color w:val="auto"/>
              </w:rPr>
              <w:t>Business services</w:t>
            </w:r>
          </w:p>
        </w:tc>
        <w:tc>
          <w:tcPr>
            <w:tcW w:w="1800" w:type="dxa"/>
            <w:vAlign w:val="bottom"/>
            <w:gridSpan w:val="3"/>
          </w:tcPr>
          <w:p>
            <w:pPr>
              <w:ind w:left="220"/>
              <w:spacing w:after="0" w:line="122" w:lineRule="exact"/>
              <w:rPr>
                <w:sz w:val="20"/>
                <w:szCs w:val="20"/>
                <w:color w:val="auto"/>
              </w:rPr>
            </w:pPr>
            <w:r>
              <w:rPr>
                <w:rFonts w:ascii="Arial" w:cs="Arial" w:eastAsia="Arial" w:hAnsi="Arial"/>
                <w:sz w:val="14"/>
                <w:szCs w:val="14"/>
                <w:color w:val="auto"/>
              </w:rPr>
              <w:t>Senior secured first-lien</w:t>
            </w: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(3)(4)(5)</w:t>
            </w:r>
          </w:p>
        </w:tc>
        <w:tc>
          <w:tcPr>
            <w:tcW w:w="2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0" w:type="dxa"/>
            <w:vAlign w:val="bottom"/>
            <w:gridSpan w:val="3"/>
            <w:vMerge w:val="restart"/>
          </w:tcPr>
          <w:p>
            <w:pPr>
              <w:ind w:left="220"/>
              <w:spacing w:after="0"/>
              <w:rPr>
                <w:sz w:val="20"/>
                <w:szCs w:val="20"/>
                <w:color w:val="auto"/>
              </w:rPr>
            </w:pPr>
            <w:r>
              <w:rPr>
                <w:rFonts w:ascii="Arial" w:cs="Arial" w:eastAsia="Arial" w:hAnsi="Arial"/>
                <w:sz w:val="14"/>
                <w:szCs w:val="14"/>
                <w:color w:val="auto"/>
              </w:rPr>
              <w:t>loan ($68,933 par, due</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4/2018)</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8.50%</w:t>
            </w:r>
          </w:p>
        </w:tc>
        <w:tc>
          <w:tcPr>
            <w:tcW w:w="110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4/11/2013</w:t>
            </w: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66,633</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66,865</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PAI Group, Inc. </w:t>
            </w:r>
            <w:r>
              <w:rPr>
                <w:rFonts w:ascii="Arial" w:cs="Arial" w:eastAsia="Arial" w:hAnsi="Arial"/>
                <w:sz w:val="15"/>
                <w:szCs w:val="15"/>
                <w:color w:val="auto"/>
                <w:vertAlign w:val="superscript"/>
              </w:rPr>
              <w:t>(3)(5)</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Human resource support</w:t>
            </w:r>
          </w:p>
        </w:tc>
        <w:tc>
          <w:tcPr>
            <w:tcW w:w="180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Senior secured first-lien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services</w:t>
            </w:r>
          </w:p>
        </w:tc>
        <w:tc>
          <w:tcPr>
            <w:tcW w:w="18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loan ($34,825 par, due</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5/2018)</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10.50%</w:t>
            </w:r>
          </w:p>
        </w:tc>
        <w:tc>
          <w:tcPr>
            <w:tcW w:w="110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5/8/2013</w:t>
            </w: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34,031</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34,029</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Intelident Solutions, Inc. </w:t>
            </w:r>
            <w:r>
              <w:rPr>
                <w:rFonts w:ascii="Arial" w:cs="Arial" w:eastAsia="Arial" w:hAnsi="Arial"/>
                <w:sz w:val="15"/>
                <w:szCs w:val="15"/>
                <w:color w:val="auto"/>
                <w:vertAlign w:val="superscript"/>
              </w:rPr>
              <w:t>(3)</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Healthcare and</w:t>
            </w:r>
          </w:p>
        </w:tc>
        <w:tc>
          <w:tcPr>
            <w:tcW w:w="1800" w:type="dxa"/>
            <w:vAlign w:val="bottom"/>
            <w:gridSpan w:val="3"/>
          </w:tcPr>
          <w:p>
            <w:pPr>
              <w:ind w:left="220"/>
              <w:spacing w:after="0" w:line="138" w:lineRule="exact"/>
              <w:rPr>
                <w:sz w:val="20"/>
                <w:szCs w:val="20"/>
                <w:color w:val="auto"/>
              </w:rPr>
            </w:pPr>
            <w:r>
              <w:rPr>
                <w:rFonts w:ascii="Arial" w:cs="Arial" w:eastAsia="Arial" w:hAnsi="Arial"/>
                <w:sz w:val="14"/>
                <w:szCs w:val="14"/>
                <w:color w:val="auto"/>
              </w:rPr>
              <w:t>Senior secured first-lien</w:t>
            </w:r>
          </w:p>
        </w:tc>
        <w:tc>
          <w:tcPr>
            <w:tcW w:w="9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8.00%</w:t>
            </w: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pharmaceuticals</w:t>
            </w:r>
          </w:p>
        </w:tc>
        <w:tc>
          <w:tcPr>
            <w:tcW w:w="18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loan ($27,555 par, due</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5"/>
              </w:rPr>
              <w:t>(incl.2.00%</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gridSpan w:val="2"/>
          </w:tcPr>
          <w:p>
            <w:pPr>
              <w:ind w:left="220"/>
              <w:spacing w:after="0"/>
              <w:rPr>
                <w:sz w:val="20"/>
                <w:szCs w:val="20"/>
                <w:color w:val="auto"/>
              </w:rPr>
            </w:pPr>
            <w:r>
              <w:rPr>
                <w:rFonts w:ascii="Arial" w:cs="Arial" w:eastAsia="Arial" w:hAnsi="Arial"/>
                <w:sz w:val="14"/>
                <w:szCs w:val="14"/>
                <w:color w:val="auto"/>
              </w:rPr>
              <w:t>8/2016)</w:t>
            </w:r>
          </w:p>
        </w:tc>
        <w:tc>
          <w:tcPr>
            <w:tcW w:w="12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PIK)</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6/4/2013</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26,848</w:t>
            </w:r>
          </w:p>
        </w:tc>
        <w:tc>
          <w:tcPr>
            <w:tcW w:w="620" w:type="dxa"/>
            <w:vAlign w:val="bottom"/>
          </w:tcPr>
          <w:p>
            <w:pPr>
              <w:jc w:val="right"/>
              <w:spacing w:after="0"/>
              <w:rPr>
                <w:sz w:val="20"/>
                <w:szCs w:val="20"/>
                <w:color w:val="auto"/>
              </w:rPr>
            </w:pPr>
            <w:r>
              <w:rPr>
                <w:rFonts w:ascii="Arial" w:cs="Arial" w:eastAsia="Arial" w:hAnsi="Arial"/>
                <w:sz w:val="14"/>
                <w:szCs w:val="14"/>
                <w:color w:val="auto"/>
              </w:rPr>
              <w:t>26,807</w:t>
            </w:r>
          </w:p>
        </w:tc>
        <w:tc>
          <w:tcPr>
            <w:tcW w:w="1180" w:type="dxa"/>
            <w:vAlign w:val="bottom"/>
            <w:gridSpan w:val="3"/>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Jeeves Information Systems AB </w:t>
            </w:r>
            <w:r>
              <w:rPr>
                <w:rFonts w:ascii="Arial" w:cs="Arial" w:eastAsia="Arial" w:hAnsi="Arial"/>
                <w:sz w:val="15"/>
                <w:szCs w:val="15"/>
                <w:color w:val="auto"/>
                <w:vertAlign w:val="superscript"/>
              </w:rPr>
              <w:t>(3)(6)</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Manufacturing</w:t>
            </w:r>
          </w:p>
        </w:tc>
        <w:tc>
          <w:tcPr>
            <w:tcW w:w="180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Senior secured first-lien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loan (SEK 177,608 par,</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8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due 6/2018)</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9.25%</w:t>
            </w:r>
          </w:p>
        </w:tc>
        <w:tc>
          <w:tcPr>
            <w:tcW w:w="110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6/5/2013</w:t>
            </w: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26,446</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27,061</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Network Merchants, Inc. </w:t>
            </w:r>
            <w:r>
              <w:rPr>
                <w:rFonts w:ascii="Arial" w:cs="Arial" w:eastAsia="Arial" w:hAnsi="Arial"/>
                <w:sz w:val="15"/>
                <w:szCs w:val="15"/>
                <w:color w:val="auto"/>
                <w:vertAlign w:val="superscript"/>
              </w:rPr>
              <w:t>(3)</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Business services</w:t>
            </w:r>
          </w:p>
        </w:tc>
        <w:tc>
          <w:tcPr>
            <w:tcW w:w="1800" w:type="dxa"/>
            <w:vAlign w:val="bottom"/>
            <w:gridSpan w:val="3"/>
          </w:tcPr>
          <w:p>
            <w:pPr>
              <w:ind w:left="220"/>
              <w:spacing w:after="0" w:line="138" w:lineRule="exact"/>
              <w:rPr>
                <w:sz w:val="20"/>
                <w:szCs w:val="20"/>
                <w:color w:val="auto"/>
              </w:rPr>
            </w:pPr>
            <w:r>
              <w:rPr>
                <w:rFonts w:ascii="Arial" w:cs="Arial" w:eastAsia="Arial" w:hAnsi="Arial"/>
                <w:sz w:val="14"/>
                <w:szCs w:val="14"/>
                <w:color w:val="auto"/>
              </w:rPr>
              <w:t>Senior secured first-lien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loan ($29,659 par, due</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9/2018)</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8.75%</w:t>
            </w:r>
          </w:p>
        </w:tc>
        <w:tc>
          <w:tcPr>
            <w:tcW w:w="110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9/12/2013</w:t>
            </w: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29,055</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29,050</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AMF Bowling Worldwide, Inc. </w:t>
            </w:r>
            <w:r>
              <w:rPr>
                <w:rFonts w:ascii="Arial" w:cs="Arial" w:eastAsia="Arial" w:hAnsi="Arial"/>
                <w:sz w:val="15"/>
                <w:szCs w:val="15"/>
                <w:color w:val="auto"/>
                <w:vertAlign w:val="superscript"/>
              </w:rPr>
              <w:t>(3)(5)</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Hotel, gaming, and leisure</w:t>
            </w:r>
          </w:p>
        </w:tc>
        <w:tc>
          <w:tcPr>
            <w:tcW w:w="180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Senior secured first-lien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loan ($14,906 par, due</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6/2018)</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8.75%</w:t>
            </w:r>
          </w:p>
        </w:tc>
        <w:tc>
          <w:tcPr>
            <w:tcW w:w="110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7/2/2013</w:t>
            </w: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13,716</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14,666</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Campus Management, Inc. </w:t>
            </w:r>
            <w:r>
              <w:rPr>
                <w:rFonts w:ascii="Arial" w:cs="Arial" w:eastAsia="Arial" w:hAnsi="Arial"/>
                <w:sz w:val="15"/>
                <w:szCs w:val="15"/>
                <w:color w:val="auto"/>
                <w:vertAlign w:val="superscript"/>
              </w:rPr>
              <w:t>(3)(4)</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Education</w:t>
            </w:r>
          </w:p>
        </w:tc>
        <w:tc>
          <w:tcPr>
            <w:tcW w:w="1800" w:type="dxa"/>
            <w:vAlign w:val="bottom"/>
            <w:gridSpan w:val="3"/>
          </w:tcPr>
          <w:p>
            <w:pPr>
              <w:ind w:left="220"/>
              <w:spacing w:after="0" w:line="138" w:lineRule="exact"/>
              <w:rPr>
                <w:sz w:val="20"/>
                <w:szCs w:val="20"/>
                <w:color w:val="auto"/>
              </w:rPr>
            </w:pPr>
            <w:r>
              <w:rPr>
                <w:rFonts w:ascii="Arial" w:cs="Arial" w:eastAsia="Arial" w:hAnsi="Arial"/>
                <w:sz w:val="14"/>
                <w:szCs w:val="14"/>
                <w:color w:val="auto"/>
              </w:rPr>
              <w:t>Senior secured first-lien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loan ($30,000 par, due</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9/2018)</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8.75%</w:t>
            </w:r>
          </w:p>
        </w:tc>
        <w:tc>
          <w:tcPr>
            <w:tcW w:w="110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9/30/2013</w:t>
            </w: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29,250</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29,250</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Global Geophysical </w:t>
            </w:r>
            <w:r>
              <w:rPr>
                <w:rFonts w:ascii="Arial" w:cs="Arial" w:eastAsia="Arial" w:hAnsi="Arial"/>
                <w:sz w:val="15"/>
                <w:szCs w:val="15"/>
                <w:color w:val="auto"/>
                <w:vertAlign w:val="superscript"/>
              </w:rPr>
              <w:t>(3)(5)</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Oil, gas, and consumable</w:t>
            </w:r>
          </w:p>
        </w:tc>
        <w:tc>
          <w:tcPr>
            <w:tcW w:w="180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Senior secured first-lien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fuels</w:t>
            </w:r>
          </w:p>
        </w:tc>
        <w:tc>
          <w:tcPr>
            <w:tcW w:w="18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loan ($41,000 par, due</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9/2016)</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10.75%</w:t>
            </w:r>
          </w:p>
        </w:tc>
        <w:tc>
          <w:tcPr>
            <w:tcW w:w="110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9/30/2013</w:t>
            </w: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40,262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40,262</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Senior Secured First-Lien Loans</w:t>
            </w: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280" w:type="dxa"/>
            <w:vAlign w:val="bottom"/>
            <w:gridSpan w:val="2"/>
            <w:vMerge w:val="continue"/>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784,663</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794,403</w:t>
            </w:r>
          </w:p>
        </w:tc>
        <w:tc>
          <w:tcPr>
            <w:tcW w:w="11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Secured Second-Lien Loans</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Centaur, LLC </w:t>
            </w:r>
            <w:r>
              <w:rPr>
                <w:rFonts w:ascii="Arial" w:cs="Arial" w:eastAsia="Arial" w:hAnsi="Arial"/>
                <w:sz w:val="15"/>
                <w:szCs w:val="15"/>
                <w:color w:val="auto"/>
                <w:vertAlign w:val="superscript"/>
              </w:rPr>
              <w:t>(3)</w:t>
            </w:r>
          </w:p>
        </w:tc>
        <w:tc>
          <w:tcPr>
            <w:tcW w:w="1600" w:type="dxa"/>
            <w:vAlign w:val="bottom"/>
          </w:tcPr>
          <w:p>
            <w:pPr>
              <w:spacing w:after="0" w:line="138" w:lineRule="exact"/>
              <w:rPr>
                <w:sz w:val="20"/>
                <w:szCs w:val="20"/>
                <w:color w:val="auto"/>
              </w:rPr>
            </w:pPr>
            <w:r>
              <w:rPr>
                <w:rFonts w:ascii="Arial" w:cs="Arial" w:eastAsia="Arial" w:hAnsi="Arial"/>
                <w:sz w:val="14"/>
                <w:szCs w:val="14"/>
                <w:color w:val="auto"/>
                <w:w w:val="97"/>
              </w:rPr>
              <w:t>Hotel, gaming, and leisure</w:t>
            </w:r>
          </w:p>
        </w:tc>
        <w:tc>
          <w:tcPr>
            <w:tcW w:w="1800" w:type="dxa"/>
            <w:vAlign w:val="bottom"/>
            <w:gridSpan w:val="3"/>
          </w:tcPr>
          <w:p>
            <w:pPr>
              <w:ind w:left="220"/>
              <w:spacing w:after="0" w:line="138" w:lineRule="exact"/>
              <w:rPr>
                <w:sz w:val="20"/>
                <w:szCs w:val="20"/>
                <w:color w:val="auto"/>
              </w:rPr>
            </w:pPr>
            <w:r>
              <w:rPr>
                <w:rFonts w:ascii="Arial" w:cs="Arial" w:eastAsia="Arial" w:hAnsi="Arial"/>
                <w:sz w:val="14"/>
                <w:szCs w:val="14"/>
                <w:color w:val="auto"/>
                <w:w w:val="91"/>
              </w:rPr>
              <w:t>Senior secured second-lien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loan ($10,000 par, due</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2/2020)</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110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2/15/2013</w:t>
            </w: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9,920</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10,050</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Mannington Mills, Inc. </w:t>
            </w:r>
            <w:r>
              <w:rPr>
                <w:rFonts w:ascii="Arial" w:cs="Arial" w:eastAsia="Arial" w:hAnsi="Arial"/>
                <w:sz w:val="15"/>
                <w:szCs w:val="15"/>
                <w:color w:val="auto"/>
                <w:vertAlign w:val="superscript"/>
              </w:rPr>
              <w:t>(3)(5)</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Construction and building</w:t>
            </w:r>
          </w:p>
        </w:tc>
        <w:tc>
          <w:tcPr>
            <w:tcW w:w="180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w w:val="91"/>
              </w:rPr>
              <w:t>Senior secured second-lien</w:t>
            </w:r>
          </w:p>
        </w:tc>
        <w:tc>
          <w:tcPr>
            <w:tcW w:w="9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14.00%</w:t>
            </w: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loan ($47,488 par, due</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(incl.2.00%</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3/2017)</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3/2/2012</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46,543</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52,238</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SumTotal Systems, LLC </w:t>
            </w:r>
            <w:r>
              <w:rPr>
                <w:rFonts w:ascii="Arial" w:cs="Arial" w:eastAsia="Arial" w:hAnsi="Arial"/>
                <w:sz w:val="15"/>
                <w:szCs w:val="15"/>
                <w:color w:val="auto"/>
                <w:vertAlign w:val="superscript"/>
              </w:rPr>
              <w:t>(3)</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Human resource support</w:t>
            </w:r>
          </w:p>
        </w:tc>
        <w:tc>
          <w:tcPr>
            <w:tcW w:w="1800" w:type="dxa"/>
            <w:vAlign w:val="bottom"/>
            <w:gridSpan w:val="3"/>
          </w:tcPr>
          <w:p>
            <w:pPr>
              <w:ind w:left="220"/>
              <w:spacing w:after="0" w:line="138" w:lineRule="exact"/>
              <w:rPr>
                <w:sz w:val="20"/>
                <w:szCs w:val="20"/>
                <w:color w:val="auto"/>
              </w:rPr>
            </w:pPr>
            <w:r>
              <w:rPr>
                <w:rFonts w:ascii="Arial" w:cs="Arial" w:eastAsia="Arial" w:hAnsi="Arial"/>
                <w:sz w:val="14"/>
                <w:szCs w:val="14"/>
                <w:color w:val="auto"/>
                <w:w w:val="91"/>
              </w:rPr>
              <w:t>Senior secured second-lien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services</w:t>
            </w:r>
          </w:p>
        </w:tc>
        <w:tc>
          <w:tcPr>
            <w:tcW w:w="18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loan ($10,000 par, due</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5/2019)</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10.25%</w:t>
            </w:r>
          </w:p>
        </w:tc>
        <w:tc>
          <w:tcPr>
            <w:tcW w:w="110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w w:val="91"/>
              </w:rPr>
              <w:t>11/16/2012</w:t>
            </w: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9,945</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9,925</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Senior Secured Second-Lien Loans</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66,408</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72,213</w:t>
            </w:r>
          </w:p>
        </w:tc>
        <w:tc>
          <w:tcPr>
            <w:tcW w:w="11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56"/>
        </w:trPr>
        <w:tc>
          <w:tcPr>
            <w:tcW w:w="33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Senior Secured Revolving Loans</w:t>
            </w: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Infogix, Inc. </w:t>
            </w:r>
            <w:r>
              <w:rPr>
                <w:rFonts w:ascii="Arial" w:cs="Arial" w:eastAsia="Arial" w:hAnsi="Arial"/>
                <w:sz w:val="15"/>
                <w:szCs w:val="15"/>
                <w:color w:val="auto"/>
                <w:vertAlign w:val="superscript"/>
              </w:rPr>
              <w:t>(3)(5)</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Insurance</w:t>
            </w:r>
          </w:p>
        </w:tc>
        <w:tc>
          <w:tcPr>
            <w:tcW w:w="180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Senior secured revolving</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loan ($3,300 par, due</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6/2017)</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10.00%</w:t>
            </w:r>
          </w:p>
        </w:tc>
        <w:tc>
          <w:tcPr>
            <w:tcW w:w="110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6/1/2012</w:t>
            </w: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3,227</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3,288</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Heartland Automotive Holdings, LLC </w:t>
            </w:r>
            <w:r>
              <w:rPr>
                <w:rFonts w:ascii="Arial" w:cs="Arial" w:eastAsia="Arial" w:hAnsi="Arial"/>
                <w:sz w:val="15"/>
                <w:szCs w:val="15"/>
                <w:color w:val="auto"/>
                <w:vertAlign w:val="superscript"/>
              </w:rPr>
              <w:t>(3)(5)</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Automotive</w:t>
            </w:r>
          </w:p>
        </w:tc>
        <w:tc>
          <w:tcPr>
            <w:tcW w:w="1800" w:type="dxa"/>
            <w:vAlign w:val="bottom"/>
            <w:gridSpan w:val="3"/>
          </w:tcPr>
          <w:p>
            <w:pPr>
              <w:ind w:left="220"/>
              <w:spacing w:after="0" w:line="138" w:lineRule="exact"/>
              <w:rPr>
                <w:sz w:val="20"/>
                <w:szCs w:val="20"/>
                <w:color w:val="auto"/>
              </w:rPr>
            </w:pPr>
            <w:r>
              <w:rPr>
                <w:rFonts w:ascii="Arial" w:cs="Arial" w:eastAsia="Arial" w:hAnsi="Arial"/>
                <w:sz w:val="14"/>
                <w:szCs w:val="14"/>
                <w:color w:val="auto"/>
              </w:rPr>
              <w:t>Senior secured revolving</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loan ($2,778 par, due</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6/2017)</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10.00%</w:t>
            </w:r>
          </w:p>
        </w:tc>
        <w:tc>
          <w:tcPr>
            <w:tcW w:w="110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8/28/2012</w:t>
            </w: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2,659</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2,667</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SRS Software, LLC </w:t>
            </w:r>
            <w:r>
              <w:rPr>
                <w:rFonts w:ascii="Arial" w:cs="Arial" w:eastAsia="Arial" w:hAnsi="Arial"/>
                <w:sz w:val="15"/>
                <w:szCs w:val="15"/>
                <w:color w:val="auto"/>
                <w:vertAlign w:val="superscript"/>
              </w:rPr>
              <w:t>(3)</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Healthcare and</w:t>
            </w:r>
          </w:p>
        </w:tc>
        <w:tc>
          <w:tcPr>
            <w:tcW w:w="180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Senior secured revolving</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pharmaceuticals</w:t>
            </w:r>
          </w:p>
        </w:tc>
        <w:tc>
          <w:tcPr>
            <w:tcW w:w="18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loan ($2,000 par, due</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12/2017)</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8.75%</w:t>
            </w:r>
          </w:p>
        </w:tc>
        <w:tc>
          <w:tcPr>
            <w:tcW w:w="110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w w:val="91"/>
              </w:rPr>
              <w:t>12/28/2012</w:t>
            </w: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2,000</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1,950</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Interest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Acquisition</w:t>
            </w:r>
          </w:p>
        </w:tc>
        <w:tc>
          <w:tcPr>
            <w:tcW w:w="14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Amortized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2"/>
        </w:trPr>
        <w:tc>
          <w:tcPr>
            <w:tcW w:w="3460" w:type="dxa"/>
            <w:vAlign w:val="bottom"/>
            <w:gridSpan w:val="3"/>
            <w:vMerge w:val="continue"/>
          </w:tcPr>
          <w:p>
            <w:pPr>
              <w:spacing w:after="0"/>
              <w:rPr>
                <w:sz w:val="14"/>
                <w:szCs w:val="14"/>
                <w:color w:val="auto"/>
              </w:rPr>
            </w:pPr>
          </w:p>
        </w:tc>
        <w:tc>
          <w:tcPr>
            <w:tcW w:w="1800" w:type="dxa"/>
            <w:vAlign w:val="bottom"/>
            <w:gridSpan w:val="2"/>
          </w:tcPr>
          <w:p>
            <w:pPr>
              <w:ind w:left="540"/>
              <w:spacing w:after="0"/>
              <w:rPr>
                <w:sz w:val="20"/>
                <w:szCs w:val="20"/>
                <w:color w:val="auto"/>
              </w:rPr>
            </w:pPr>
            <w:r>
              <w:rPr>
                <w:rFonts w:ascii="Arial" w:cs="Arial" w:eastAsia="Arial" w:hAnsi="Arial"/>
                <w:sz w:val="14"/>
                <w:szCs w:val="14"/>
                <w:b w:val="1"/>
                <w:bCs w:val="1"/>
                <w:color w:val="auto"/>
              </w:rPr>
              <w:t>Industry</w:t>
            </w:r>
          </w:p>
        </w:tc>
        <w:tc>
          <w:tcPr>
            <w:tcW w:w="1700" w:type="dxa"/>
            <w:vAlign w:val="bottom"/>
            <w:gridSpan w:val="2"/>
          </w:tcPr>
          <w:p>
            <w:pPr>
              <w:ind w:left="48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Rate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4"/>
                <w:szCs w:val="14"/>
                <w:color w:val="auto"/>
              </w:rPr>
            </w:pPr>
          </w:p>
        </w:tc>
        <w:tc>
          <w:tcPr>
            <w:tcW w:w="760" w:type="dxa"/>
            <w:vAlign w:val="bottom"/>
            <w:gridSpan w:val="2"/>
          </w:tcPr>
          <w:p>
            <w:pPr>
              <w:jc w:val="center"/>
              <w:ind w:right="14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2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3440" w:type="dxa"/>
            <w:vAlign w:val="bottom"/>
            <w:gridSpan w:val="2"/>
            <w:shd w:val="clear" w:color="auto" w:fill="CCEEFF"/>
          </w:tcPr>
          <w:p>
            <w:pPr>
              <w:spacing w:after="0" w:line="125" w:lineRule="exact"/>
              <w:rPr>
                <w:sz w:val="20"/>
                <w:szCs w:val="20"/>
                <w:color w:val="auto"/>
              </w:rPr>
            </w:pPr>
            <w:r>
              <w:rPr>
                <w:rFonts w:ascii="Arial" w:cs="Arial" w:eastAsia="Arial" w:hAnsi="Arial"/>
                <w:sz w:val="10"/>
                <w:szCs w:val="10"/>
                <w:color w:val="auto"/>
              </w:rPr>
              <w:t xml:space="preserve">Intelident Solutions, Inc. </w:t>
            </w:r>
            <w:r>
              <w:rPr>
                <w:rFonts w:ascii="Arial" w:cs="Arial" w:eastAsia="Arial" w:hAnsi="Arial"/>
                <w:sz w:val="14"/>
                <w:szCs w:val="14"/>
                <w:color w:val="auto"/>
                <w:vertAlign w:val="superscript"/>
              </w:rPr>
              <w:t>(3)</w:t>
            </w:r>
          </w:p>
        </w:tc>
        <w:tc>
          <w:tcPr>
            <w:tcW w:w="15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Healthcare and</w:t>
            </w:r>
          </w:p>
        </w:tc>
        <w:tc>
          <w:tcPr>
            <w:tcW w:w="2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Senior secured revolving</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pharmaceuticals</w:t>
            </w: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 ($1,642 par, due</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8/2016)</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6/4/2013</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1,643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1,634</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Senior Secured Revolving Loans</w:t>
            </w: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9,529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9,539</w:t>
            </w:r>
          </w:p>
        </w:tc>
        <w:tc>
          <w:tcPr>
            <w:tcW w:w="28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Secured Corporate Bonds</w:t>
            </w: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Soho House Bond Ltd. </w:t>
            </w:r>
            <w:r>
              <w:rPr>
                <w:rFonts w:ascii="Arial" w:cs="Arial" w:eastAsia="Arial" w:hAnsi="Arial"/>
                <w:sz w:val="15"/>
                <w:szCs w:val="15"/>
                <w:color w:val="auto"/>
                <w:vertAlign w:val="superscript"/>
              </w:rPr>
              <w:t>(6)</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Hotel, gaming, and leisure</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rPr>
              <w:t>Senior secured bond (GBP</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7,000 par, due 10/2018)</w:t>
            </w: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9.00%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9/20/2013</w:t>
            </w: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11,200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11,455</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Senior Secured Corporate Bonds</w:t>
            </w: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11,455</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6"/>
        </w:trPr>
        <w:tc>
          <w:tcPr>
            <w:tcW w:w="34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Equity</w:t>
            </w: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SRS Parent Corp.</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Healthcare and</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Common Shares Class A</w:t>
            </w: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pharmaceuticals</w:t>
            </w: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(1,980 shares)</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1"/>
              </w:rPr>
              <w:t>12/28/2012</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1,980</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931</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rPr>
              <w:t>Common Shares Class B</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(2,953,020 shares)</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12/28/2012</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3"/>
                <w:szCs w:val="13"/>
                <w:color w:val="auto"/>
              </w:rPr>
            </w:pP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Network Merchants, Inc.</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Business services</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9"/>
              </w:rPr>
              <w:t>Non-Voting Preferred Units</w:t>
            </w: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(774,099 units)</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9/12/2013</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780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780</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Equity</w:t>
            </w: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2,780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1,720</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874,580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889,330</w:t>
            </w:r>
          </w:p>
        </w:tc>
        <w:tc>
          <w:tcPr>
            <w:tcW w:w="11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80" w:right="340" w:hanging="572"/>
        <w:spacing w:after="0" w:line="253" w:lineRule="auto"/>
        <w:tabs>
          <w:tab w:leader="none" w:pos="5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September 30, 2013, the Company does not “control” any of the portfolio companies nor are any of its portfolio companies considered to be “affiliates” – see Note 4. Certain portfolio company investments are subject to contractual restrictions on sales.</w:t>
      </w:r>
    </w:p>
    <w:p>
      <w:pPr>
        <w:ind w:left="580" w:right="380" w:hanging="572"/>
        <w:spacing w:after="0" w:line="250" w:lineRule="auto"/>
        <w:tabs>
          <w:tab w:leader="none" w:pos="5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jc w:val="both"/>
        <w:ind w:left="580" w:right="40" w:hanging="572"/>
        <w:spacing w:after="0" w:line="250" w:lineRule="auto"/>
        <w:tabs>
          <w:tab w:leader="none" w:pos="5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580" w:right="80" w:hanging="572"/>
        <w:spacing w:after="0" w:line="250" w:lineRule="auto"/>
        <w:tabs>
          <w:tab w:leader="none" w:pos="5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the Company may be entitled to receive additional amounts as a result of its arrangement with other lenders in a syndication.</w:t>
      </w:r>
    </w:p>
    <w:p>
      <w:pPr>
        <w:ind w:left="580" w:right="740" w:hanging="572"/>
        <w:spacing w:after="0" w:line="250" w:lineRule="auto"/>
        <w:tabs>
          <w:tab w:leader="none" w:pos="5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7).</w:t>
      </w:r>
    </w:p>
    <w:p>
      <w:pPr>
        <w:jc w:val="both"/>
        <w:ind w:left="580" w:right="200" w:hanging="572"/>
        <w:spacing w:after="0" w:line="361" w:lineRule="auto"/>
        <w:tabs>
          <w:tab w:leader="none" w:pos="58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2600" w:type="dxa"/>
            <w:vAlign w:val="bottom"/>
            <w:vMerge w:val="restart"/>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Interest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Acquisition</w:t>
            </w:r>
          </w:p>
        </w:tc>
        <w:tc>
          <w:tcPr>
            <w:tcW w:w="2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78"/>
              </w:rPr>
              <w:t>Amortized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1800" w:type="dxa"/>
            <w:vAlign w:val="bottom"/>
            <w:gridSpan w:val="2"/>
          </w:tcPr>
          <w:p>
            <w:pPr>
              <w:ind w:left="540"/>
              <w:spacing w:after="0"/>
              <w:rPr>
                <w:sz w:val="20"/>
                <w:szCs w:val="20"/>
                <w:color w:val="auto"/>
              </w:rPr>
            </w:pPr>
            <w:r>
              <w:rPr>
                <w:rFonts w:ascii="Arial" w:cs="Arial" w:eastAsia="Arial" w:hAnsi="Arial"/>
                <w:sz w:val="14"/>
                <w:szCs w:val="14"/>
                <w:b w:val="1"/>
                <w:bCs w:val="1"/>
                <w:color w:val="auto"/>
              </w:rPr>
              <w:t>Industry</w:t>
            </w: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5"/>
                <w:szCs w:val="15"/>
                <w:color w:val="auto"/>
              </w:rPr>
            </w:pPr>
          </w:p>
        </w:tc>
        <w:tc>
          <w:tcPr>
            <w:tcW w:w="560" w:type="dxa"/>
            <w:vAlign w:val="bottom"/>
          </w:tcPr>
          <w:p>
            <w:pPr>
              <w:jc w:val="right"/>
              <w:ind w:right="13"/>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2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22"/>
        </w:trPr>
        <w:tc>
          <w:tcPr>
            <w:tcW w:w="33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Senior Secured First-Lien Loans</w:t>
            </w:r>
          </w:p>
        </w:tc>
        <w:tc>
          <w:tcPr>
            <w:tcW w:w="15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AFS Technologies, Inc. </w:t>
            </w:r>
            <w:r>
              <w:rPr>
                <w:rFonts w:ascii="Arial" w:cs="Arial" w:eastAsia="Arial" w:hAnsi="Arial"/>
                <w:sz w:val="15"/>
                <w:szCs w:val="15"/>
                <w:color w:val="auto"/>
                <w:vertAlign w:val="superscript"/>
              </w:rPr>
              <w:t>(3)(4)(5)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Beverage, food and tobacco</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($46,884 par, due 8/2015)</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8/31/2011</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45,987</w:t>
            </w:r>
          </w:p>
        </w:tc>
        <w:tc>
          <w:tcPr>
            <w:tcW w:w="4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46,532</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Ecommerce Industries, Inc. </w:t>
            </w:r>
            <w:r>
              <w:rPr>
                <w:rFonts w:ascii="Arial" w:cs="Arial" w:eastAsia="Arial" w:hAnsi="Arial"/>
                <w:sz w:val="15"/>
                <w:szCs w:val="15"/>
                <w:color w:val="auto"/>
                <w:vertAlign w:val="superscript"/>
              </w:rPr>
              <w:t>(3)(4)(5)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Office products</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8"/>
              </w:rPr>
              <w:t>($21,562 par, due 10/2016)</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1"/>
              </w:rPr>
              <w:t>10/17/2011</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21,286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21,808</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MSC.Software Corporation </w:t>
            </w:r>
            <w:r>
              <w:rPr>
                <w:rFonts w:ascii="Arial" w:cs="Arial" w:eastAsia="Arial" w:hAnsi="Arial"/>
                <w:sz w:val="15"/>
                <w:szCs w:val="15"/>
                <w:color w:val="auto"/>
                <w:vertAlign w:val="superscript"/>
              </w:rPr>
              <w:t>(3)(4)(5)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Aerospace and defense</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w w:val="98"/>
              </w:rPr>
              <w:t>($56,266 par, due 11/2017)</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12/23/2011</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55,423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55,984</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Federal Signal Corporation </w:t>
            </w:r>
            <w:r>
              <w:rPr>
                <w:rFonts w:ascii="Arial" w:cs="Arial" w:eastAsia="Arial" w:hAnsi="Arial"/>
                <w:sz w:val="15"/>
                <w:szCs w:val="15"/>
                <w:color w:val="auto"/>
                <w:vertAlign w:val="superscript"/>
              </w:rPr>
              <w:t>(3)(5)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Capital equipment</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($41,608 par, due 2/2017)</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12.00%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2/22/2012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40,897</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43,064</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Mandalay Baseball Properties, LLC </w:t>
            </w:r>
            <w:r>
              <w:rPr>
                <w:rFonts w:ascii="Arial" w:cs="Arial" w:eastAsia="Arial" w:hAnsi="Arial"/>
                <w:sz w:val="15"/>
                <w:szCs w:val="15"/>
                <w:color w:val="auto"/>
                <w:vertAlign w:val="superscript"/>
              </w:rPr>
              <w:t>(3)(5)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Hotel, gaming</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9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12.00%</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and leisure</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($28,414 par, due 3/2017)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5"/>
              </w:rPr>
              <w:t>(incl.4.00%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PIK)</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4/12/2012</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27,684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28,556</w:t>
            </w:r>
          </w:p>
        </w:tc>
        <w:tc>
          <w:tcPr>
            <w:tcW w:w="1180" w:type="dxa"/>
            <w:vAlign w:val="bottom"/>
            <w:gridSpan w:val="3"/>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Infogix, Inc. </w:t>
            </w:r>
            <w:r>
              <w:rPr>
                <w:rFonts w:ascii="Arial" w:cs="Arial" w:eastAsia="Arial" w:hAnsi="Arial"/>
                <w:sz w:val="15"/>
                <w:szCs w:val="15"/>
                <w:color w:val="auto"/>
                <w:vertAlign w:val="superscript"/>
              </w:rPr>
              <w:t>(3)(5)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Insurance</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($30,613 par, due 6/2017)</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10.00%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6/1/2012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29,974</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30,346</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Attachmate Corporation </w:t>
            </w:r>
            <w:r>
              <w:rPr>
                <w:rFonts w:ascii="Arial" w:cs="Arial" w:eastAsia="Arial" w:hAnsi="Arial"/>
                <w:sz w:val="15"/>
                <w:szCs w:val="15"/>
                <w:color w:val="auto"/>
                <w:vertAlign w:val="superscript"/>
              </w:rPr>
              <w:t>(3)(5)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Business services</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($926 par, due 11/2017)</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7.25%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6/25/2012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944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894</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eResearch Technology, Inc. </w:t>
            </w:r>
            <w:r>
              <w:rPr>
                <w:rFonts w:ascii="Arial" w:cs="Arial" w:eastAsia="Arial" w:hAnsi="Arial"/>
                <w:sz w:val="15"/>
                <w:szCs w:val="15"/>
                <w:color w:val="auto"/>
                <w:vertAlign w:val="superscript"/>
              </w:rPr>
              <w:t>(3)(5)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Healthcare and</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pharmaceuticals</w:t>
            </w: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($24,937 par, due 5/2018)</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7/3/2012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24,006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24,626</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Teletrac, Inc. </w:t>
            </w:r>
            <w:r>
              <w:rPr>
                <w:rFonts w:ascii="Arial" w:cs="Arial" w:eastAsia="Arial" w:hAnsi="Arial"/>
                <w:sz w:val="15"/>
                <w:szCs w:val="15"/>
                <w:color w:val="auto"/>
                <w:vertAlign w:val="superscript"/>
              </w:rPr>
              <w:t>(3)(4)(5)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($17,413 par, due 7/2017)</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6.65%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7/23/2012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17,049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17,151</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Consona Holdings, Inc. </w:t>
            </w:r>
            <w:r>
              <w:rPr>
                <w:rFonts w:ascii="Arial" w:cs="Arial" w:eastAsia="Arial" w:hAnsi="Arial"/>
                <w:sz w:val="15"/>
                <w:szCs w:val="15"/>
                <w:color w:val="auto"/>
                <w:vertAlign w:val="superscript"/>
              </w:rPr>
              <w:t>(3)(5)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Business services</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($29,925 par, due 8/2018)</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8/13/2012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29,514</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29,925</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Heartland Automotive Holdings, LLC </w:t>
            </w:r>
            <w:r>
              <w:rPr>
                <w:rFonts w:ascii="Arial" w:cs="Arial" w:eastAsia="Arial" w:hAnsi="Arial"/>
                <w:sz w:val="15"/>
                <w:szCs w:val="15"/>
                <w:color w:val="auto"/>
                <w:vertAlign w:val="superscript"/>
              </w:rPr>
              <w:t>(3)(5)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Automotive</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($38,951 par, due 6/2017)</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9.00%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8/28/2012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37,998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38,075</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Synagro Technologies, Inc. </w:t>
            </w:r>
            <w:r>
              <w:rPr>
                <w:rFonts w:ascii="Arial" w:cs="Arial" w:eastAsia="Arial" w:hAnsi="Arial"/>
                <w:sz w:val="15"/>
                <w:szCs w:val="15"/>
                <w:color w:val="auto"/>
                <w:vertAlign w:val="superscript"/>
              </w:rPr>
              <w:t>(3)</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Environmental industries</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($3,134 par, due 10/2014)</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2.31%</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11/8/2012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2,759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2,813</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International Equipment Solutions, Inc. </w:t>
            </w:r>
            <w:r>
              <w:rPr>
                <w:rFonts w:ascii="Arial" w:cs="Arial" w:eastAsia="Arial" w:hAnsi="Arial"/>
                <w:sz w:val="15"/>
                <w:szCs w:val="15"/>
                <w:color w:val="auto"/>
                <w:vertAlign w:val="superscript"/>
              </w:rPr>
              <w:t>(3)(5)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Capital</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0" w:type="dxa"/>
            <w:vAlign w:val="bottom"/>
            <w:gridSpan w:val="2"/>
          </w:tcPr>
          <w:p>
            <w:pPr>
              <w:spacing w:after="0" w:line="159" w:lineRule="exact"/>
              <w:rPr>
                <w:sz w:val="20"/>
                <w:szCs w:val="20"/>
                <w:color w:val="auto"/>
              </w:rPr>
            </w:pPr>
            <w:r>
              <w:rPr>
                <w:rFonts w:ascii="Arial" w:cs="Arial" w:eastAsia="Arial" w:hAnsi="Arial"/>
                <w:sz w:val="14"/>
                <w:szCs w:val="14"/>
                <w:color w:val="auto"/>
              </w:rPr>
              <w:t>equipment</w:t>
            </w: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($29,391 par, due 9/2016)</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9/18/2012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28,732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28,876</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Mediware Information Systems, Inc. </w:t>
            </w:r>
            <w:r>
              <w:rPr>
                <w:rFonts w:ascii="Arial" w:cs="Arial" w:eastAsia="Arial" w:hAnsi="Arial"/>
                <w:sz w:val="15"/>
                <w:szCs w:val="15"/>
                <w:color w:val="auto"/>
                <w:vertAlign w:val="superscript"/>
              </w:rPr>
              <w:t>(3)(4)(5)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Healthcare and</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pharmaceuticals</w:t>
            </w: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($50,500 par, due 5/2018)</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11/9/2012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49,230</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49,218</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SumTotal Systems, LLC </w:t>
            </w:r>
            <w:r>
              <w:rPr>
                <w:rFonts w:ascii="Arial" w:cs="Arial" w:eastAsia="Arial" w:hAnsi="Arial"/>
                <w:sz w:val="15"/>
                <w:szCs w:val="15"/>
                <w:color w:val="auto"/>
                <w:vertAlign w:val="superscript"/>
              </w:rPr>
              <w:t>(3)</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Human resource support</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0" w:type="dxa"/>
            <w:vAlign w:val="bottom"/>
            <w:gridSpan w:val="2"/>
          </w:tcPr>
          <w:p>
            <w:pPr>
              <w:spacing w:after="0" w:line="159" w:lineRule="exact"/>
              <w:rPr>
                <w:sz w:val="20"/>
                <w:szCs w:val="20"/>
                <w:color w:val="auto"/>
              </w:rPr>
            </w:pPr>
            <w:r>
              <w:rPr>
                <w:rFonts w:ascii="Arial" w:cs="Arial" w:eastAsia="Arial" w:hAnsi="Arial"/>
                <w:sz w:val="14"/>
                <w:szCs w:val="14"/>
                <w:color w:val="auto"/>
              </w:rPr>
              <w:t>services</w:t>
            </w: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w w:val="98"/>
              </w:rPr>
              <w:t>($10,000 par, due 11/2018)</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6.25%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11/16/2012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9,867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9,925</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Rogue Wave Holdings, Inc. </w:t>
            </w:r>
            <w:r>
              <w:rPr>
                <w:rFonts w:ascii="Arial" w:cs="Arial" w:eastAsia="Arial" w:hAnsi="Arial"/>
                <w:sz w:val="15"/>
                <w:szCs w:val="15"/>
                <w:color w:val="auto"/>
                <w:vertAlign w:val="superscript"/>
              </w:rPr>
              <w:t>(3)(4)(5)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Financial services</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8"/>
              </w:rPr>
              <w:t>($40,000 par, due 11/2017)</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8.25%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1"/>
              </w:rPr>
              <w:t>11/21/2012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38,947</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39,600</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Embarcadero Technologies, Inc. </w:t>
            </w:r>
            <w:r>
              <w:rPr>
                <w:rFonts w:ascii="Arial" w:cs="Arial" w:eastAsia="Arial" w:hAnsi="Arial"/>
                <w:sz w:val="15"/>
                <w:szCs w:val="15"/>
                <w:color w:val="auto"/>
                <w:vertAlign w:val="superscript"/>
              </w:rPr>
              <w:t>(3)(4)(5)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Financial services</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w w:val="98"/>
              </w:rPr>
              <w:t>($59,714 par, due 12/2017)</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12/28/2012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58,223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58,221</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SRS Software, LLC </w:t>
            </w:r>
            <w:r>
              <w:rPr>
                <w:rFonts w:ascii="Arial" w:cs="Arial" w:eastAsia="Arial" w:hAnsi="Arial"/>
                <w:sz w:val="15"/>
                <w:szCs w:val="15"/>
                <w:color w:val="auto"/>
                <w:vertAlign w:val="superscript"/>
              </w:rPr>
              <w:t>(3)(5)</w:t>
            </w:r>
          </w:p>
        </w:tc>
        <w:tc>
          <w:tcPr>
            <w:tcW w:w="1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Healthcare and</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pharmaceuticals</w:t>
            </w: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8"/>
              </w:rPr>
              <w:t>($37,500 par, due 12/2017)</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8.75%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1"/>
              </w:rPr>
              <w:t>12/28/2012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36,439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36,563</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Sage Automotive Interiors, Inc. </w:t>
            </w:r>
            <w:r>
              <w:rPr>
                <w:rFonts w:ascii="Arial" w:cs="Arial" w:eastAsia="Arial" w:hAnsi="Arial"/>
                <w:sz w:val="15"/>
                <w:szCs w:val="15"/>
                <w:color w:val="auto"/>
                <w:vertAlign w:val="superscript"/>
              </w:rPr>
              <w:t>(3)(4)(5)</w:t>
            </w: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rPr>
              <w:t>Automotive</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4"/>
              </w:rPr>
              <w:t>Senior secured first-lien loan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w w:val="98"/>
              </w:rPr>
              <w:t>($19,878 par, due 12/2016)</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9.50%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12/31/2012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19,717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19,679</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Total Senior Secured Loans</w:t>
            </w: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574,676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581,856</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Interest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Acquisition</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Amortized</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62"/>
        </w:trPr>
        <w:tc>
          <w:tcPr>
            <w:tcW w:w="3180" w:type="dxa"/>
            <w:vAlign w:val="bottom"/>
            <w:gridSpan w:val="3"/>
            <w:vMerge w:val="continue"/>
          </w:tcPr>
          <w:p>
            <w:pPr>
              <w:spacing w:after="0"/>
              <w:rPr>
                <w:sz w:val="14"/>
                <w:szCs w:val="14"/>
                <w:color w:val="auto"/>
              </w:rPr>
            </w:pPr>
          </w:p>
        </w:tc>
        <w:tc>
          <w:tcPr>
            <w:tcW w:w="1600" w:type="dxa"/>
            <w:vAlign w:val="bottom"/>
          </w:tcPr>
          <w:p>
            <w:pPr>
              <w:ind w:left="54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Rate</w:t>
            </w: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Date</w:t>
            </w:r>
          </w:p>
        </w:tc>
        <w:tc>
          <w:tcPr>
            <w:tcW w:w="920" w:type="dxa"/>
            <w:vAlign w:val="bottom"/>
            <w:gridSpan w:val="2"/>
          </w:tcPr>
          <w:p>
            <w:pPr>
              <w:jc w:val="center"/>
              <w:ind w:right="30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2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316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Senior Secured</w:t>
            </w:r>
          </w:p>
        </w:tc>
        <w:tc>
          <w:tcPr>
            <w:tcW w:w="1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Second-Lien</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Loans</w:t>
            </w:r>
          </w:p>
        </w:tc>
        <w:tc>
          <w:tcPr>
            <w:tcW w:w="1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Mannington Mills, Inc. </w:t>
            </w:r>
            <w:r>
              <w:rPr>
                <w:rFonts w:ascii="Arial" w:cs="Arial" w:eastAsia="Arial" w:hAnsi="Arial"/>
                <w:sz w:val="15"/>
                <w:szCs w:val="15"/>
                <w:color w:val="auto"/>
                <w:vertAlign w:val="superscript"/>
              </w:rPr>
              <w:t>(3)(5)</w:t>
            </w:r>
          </w:p>
        </w:tc>
        <w:tc>
          <w:tcPr>
            <w:tcW w:w="1600" w:type="dxa"/>
            <w:vAlign w:val="bottom"/>
          </w:tcPr>
          <w:p>
            <w:pPr>
              <w:spacing w:after="0" w:line="138" w:lineRule="exact"/>
              <w:rPr>
                <w:sz w:val="20"/>
                <w:szCs w:val="20"/>
                <w:color w:val="auto"/>
              </w:rPr>
            </w:pPr>
            <w:r>
              <w:rPr>
                <w:rFonts w:ascii="Arial" w:cs="Arial" w:eastAsia="Arial" w:hAnsi="Arial"/>
                <w:sz w:val="14"/>
                <w:szCs w:val="14"/>
                <w:color w:val="auto"/>
                <w:w w:val="99"/>
              </w:rPr>
              <w:t>Construction and building</w:t>
            </w:r>
          </w:p>
        </w:tc>
        <w:tc>
          <w:tcPr>
            <w:tcW w:w="1920" w:type="dxa"/>
            <w:vAlign w:val="bottom"/>
            <w:gridSpan w:val="3"/>
          </w:tcPr>
          <w:p>
            <w:pPr>
              <w:ind w:left="220"/>
              <w:spacing w:after="0" w:line="138" w:lineRule="exact"/>
              <w:rPr>
                <w:sz w:val="20"/>
                <w:szCs w:val="20"/>
                <w:color w:val="auto"/>
              </w:rPr>
            </w:pPr>
            <w:r>
              <w:rPr>
                <w:rFonts w:ascii="Arial" w:cs="Arial" w:eastAsia="Arial" w:hAnsi="Arial"/>
                <w:sz w:val="14"/>
                <w:szCs w:val="14"/>
                <w:color w:val="auto"/>
                <w:w w:val="99"/>
              </w:rPr>
              <w:t>Senior secured second-lien</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14.00%</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9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loan ($50,537 par, due</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(incl.2.00%</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0" w:type="dxa"/>
            <w:vAlign w:val="bottom"/>
            <w:gridSpan w:val="2"/>
          </w:tcPr>
          <w:p>
            <w:pPr>
              <w:ind w:left="220"/>
              <w:spacing w:after="0"/>
              <w:rPr>
                <w:sz w:val="20"/>
                <w:szCs w:val="20"/>
                <w:color w:val="auto"/>
              </w:rPr>
            </w:pPr>
            <w:r>
              <w:rPr>
                <w:rFonts w:ascii="Arial" w:cs="Arial" w:eastAsia="Arial" w:hAnsi="Arial"/>
                <w:sz w:val="14"/>
                <w:szCs w:val="14"/>
                <w:color w:val="auto"/>
              </w:rPr>
              <w:t>3/2017)</w:t>
            </w:r>
          </w:p>
        </w:tc>
        <w:tc>
          <w:tcPr>
            <w:tcW w:w="12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PIK)</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3/2/2012</w:t>
            </w:r>
          </w:p>
        </w:tc>
        <w:tc>
          <w:tcPr>
            <w:tcW w:w="640" w:type="dxa"/>
            <w:vAlign w:val="bottom"/>
          </w:tcPr>
          <w:p>
            <w:pPr>
              <w:jc w:val="right"/>
              <w:spacing w:after="0"/>
              <w:rPr>
                <w:sz w:val="20"/>
                <w:szCs w:val="20"/>
                <w:color w:val="auto"/>
              </w:rPr>
            </w:pPr>
            <w:r>
              <w:rPr>
                <w:rFonts w:ascii="Arial" w:cs="Arial" w:eastAsia="Arial" w:hAnsi="Arial"/>
                <w:sz w:val="14"/>
                <w:szCs w:val="14"/>
                <w:color w:val="auto"/>
              </w:rPr>
              <w:t>49,551</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53,190</w:t>
            </w:r>
          </w:p>
        </w:tc>
        <w:tc>
          <w:tcPr>
            <w:tcW w:w="1240" w:type="dxa"/>
            <w:vAlign w:val="bottom"/>
            <w:gridSpan w:val="3"/>
          </w:tcPr>
          <w:p>
            <w:pPr>
              <w:jc w:val="right"/>
              <w:ind w:right="4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SumTotal Systems, LLC </w:t>
            </w:r>
            <w:r>
              <w:rPr>
                <w:rFonts w:ascii="Arial" w:cs="Arial" w:eastAsia="Arial" w:hAnsi="Arial"/>
                <w:sz w:val="15"/>
                <w:szCs w:val="15"/>
                <w:color w:val="auto"/>
                <w:vertAlign w:val="superscript"/>
              </w:rPr>
              <w:t>(3)</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Human resources support</w:t>
            </w:r>
          </w:p>
        </w:tc>
        <w:tc>
          <w:tcPr>
            <w:tcW w:w="192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w w:val="99"/>
              </w:rPr>
              <w:t>Senior secured second-lien</w:t>
            </w: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services</w:t>
            </w:r>
          </w:p>
        </w:tc>
        <w:tc>
          <w:tcPr>
            <w:tcW w:w="19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loan ($5,000 par, due</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5/2018)</w:t>
            </w: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10.25%</w:t>
            </w:r>
          </w:p>
        </w:tc>
        <w:tc>
          <w:tcPr>
            <w:tcW w:w="9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w w:val="94"/>
              </w:rPr>
              <w:t>11/16/2012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4,950</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4,925</w:t>
            </w:r>
          </w:p>
        </w:tc>
        <w:tc>
          <w:tcPr>
            <w:tcW w:w="12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Synagro Technologies, Inc. </w:t>
            </w:r>
            <w:r>
              <w:rPr>
                <w:rFonts w:ascii="Arial" w:cs="Arial" w:eastAsia="Arial" w:hAnsi="Arial"/>
                <w:sz w:val="15"/>
                <w:szCs w:val="15"/>
                <w:color w:val="auto"/>
                <w:vertAlign w:val="superscript"/>
              </w:rPr>
              <w:t>(3)</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Environmental industries</w:t>
            </w:r>
          </w:p>
        </w:tc>
        <w:tc>
          <w:tcPr>
            <w:tcW w:w="1920" w:type="dxa"/>
            <w:vAlign w:val="bottom"/>
            <w:gridSpan w:val="3"/>
          </w:tcPr>
          <w:p>
            <w:pPr>
              <w:ind w:left="220"/>
              <w:spacing w:after="0" w:line="138" w:lineRule="exact"/>
              <w:rPr>
                <w:sz w:val="20"/>
                <w:szCs w:val="20"/>
                <w:color w:val="auto"/>
              </w:rPr>
            </w:pPr>
            <w:r>
              <w:rPr>
                <w:rFonts w:ascii="Arial" w:cs="Arial" w:eastAsia="Arial" w:hAnsi="Arial"/>
                <w:sz w:val="14"/>
                <w:szCs w:val="14"/>
                <w:color w:val="auto"/>
                <w:w w:val="99"/>
              </w:rPr>
              <w:t>Senior secured second-lien</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9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loan ($5,670 par, due</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10/2014)</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7.00%</w:t>
            </w: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9/14/2012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2,814</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1,517</w:t>
            </w:r>
          </w:p>
        </w:tc>
        <w:tc>
          <w:tcPr>
            <w:tcW w:w="280" w:type="dxa"/>
            <w:vAlign w:val="bottom"/>
          </w:tcPr>
          <w:p>
            <w:pPr>
              <w:spacing w:after="0"/>
              <w:rPr>
                <w:sz w:val="13"/>
                <w:szCs w:val="13"/>
                <w:color w:val="auto"/>
              </w:rPr>
            </w:pP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w w:val="99"/>
              </w:rPr>
              <w:t>Total Senior Secured Second-Lien Loans</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57,315</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59,632</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56"/>
        </w:trPr>
        <w:tc>
          <w:tcPr>
            <w:tcW w:w="31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Senior Secured Revolving Loans</w:t>
            </w: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Heartland Automotive Holdings, LLC </w:t>
            </w:r>
            <w:r>
              <w:rPr>
                <w:rFonts w:ascii="Arial" w:cs="Arial" w:eastAsia="Arial" w:hAnsi="Arial"/>
                <w:sz w:val="15"/>
                <w:szCs w:val="15"/>
                <w:color w:val="auto"/>
                <w:vertAlign w:val="superscript"/>
              </w:rPr>
              <w:t>(3)(5)</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Automotive</w:t>
            </w:r>
          </w:p>
        </w:tc>
        <w:tc>
          <w:tcPr>
            <w:tcW w:w="192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Senior secured revolving</w:t>
            </w: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92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w w:val="97"/>
              </w:rPr>
              <w:t>loan ($555 par, due 6/2017)</w:t>
            </w:r>
          </w:p>
        </w:tc>
        <w:tc>
          <w:tcPr>
            <w:tcW w:w="9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10.00%</w:t>
            </w:r>
          </w:p>
        </w:tc>
        <w:tc>
          <w:tcPr>
            <w:tcW w:w="9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8/28/2012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413</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431</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Senior Secured Revolving Loans</w:t>
            </w: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160" w:type="dxa"/>
            <w:vAlign w:val="bottom"/>
            <w:gridSpan w:val="2"/>
            <w:vMerge w:val="continue"/>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413</w:t>
            </w:r>
          </w:p>
        </w:tc>
        <w:tc>
          <w:tcPr>
            <w:tcW w:w="2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431</w:t>
            </w:r>
          </w:p>
        </w:tc>
        <w:tc>
          <w:tcPr>
            <w:tcW w:w="280" w:type="dxa"/>
            <w:vAlign w:val="bottom"/>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Secured Corporate Bonds</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Checkers Drive-In Restaurants, Inc. </w:t>
            </w:r>
            <w:r>
              <w:rPr>
                <w:rFonts w:ascii="Arial" w:cs="Arial" w:eastAsia="Arial" w:hAnsi="Arial"/>
                <w:sz w:val="15"/>
                <w:szCs w:val="15"/>
                <w:color w:val="auto"/>
                <w:vertAlign w:val="superscript"/>
              </w:rPr>
              <w:t>(5)</w:t>
            </w:r>
          </w:p>
        </w:tc>
        <w:tc>
          <w:tcPr>
            <w:tcW w:w="1600" w:type="dxa"/>
            <w:vAlign w:val="bottom"/>
          </w:tcPr>
          <w:p>
            <w:pPr>
              <w:spacing w:after="0" w:line="138" w:lineRule="exact"/>
              <w:rPr>
                <w:sz w:val="20"/>
                <w:szCs w:val="20"/>
                <w:color w:val="auto"/>
              </w:rPr>
            </w:pPr>
            <w:r>
              <w:rPr>
                <w:rFonts w:ascii="Arial" w:cs="Arial" w:eastAsia="Arial" w:hAnsi="Arial"/>
                <w:sz w:val="14"/>
                <w:szCs w:val="14"/>
                <w:color w:val="auto"/>
                <w:w w:val="90"/>
              </w:rPr>
              <w:t>Beverage, food and tobacco</w:t>
            </w:r>
          </w:p>
        </w:tc>
        <w:tc>
          <w:tcPr>
            <w:tcW w:w="1920" w:type="dxa"/>
            <w:vAlign w:val="bottom"/>
            <w:gridSpan w:val="3"/>
          </w:tcPr>
          <w:p>
            <w:pPr>
              <w:ind w:left="220"/>
              <w:spacing w:after="0" w:line="138" w:lineRule="exact"/>
              <w:rPr>
                <w:sz w:val="20"/>
                <w:szCs w:val="20"/>
                <w:color w:val="auto"/>
              </w:rPr>
            </w:pPr>
            <w:r>
              <w:rPr>
                <w:rFonts w:ascii="Arial" w:cs="Arial" w:eastAsia="Arial" w:hAnsi="Arial"/>
                <w:sz w:val="14"/>
                <w:szCs w:val="14"/>
                <w:color w:val="auto"/>
              </w:rPr>
              <w:t>Senior secured bond</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920" w:type="dxa"/>
            <w:vAlign w:val="bottom"/>
            <w:gridSpan w:val="3"/>
          </w:tcPr>
          <w:p>
            <w:pPr>
              <w:ind w:left="220"/>
              <w:spacing w:after="0" w:line="159" w:lineRule="exact"/>
              <w:rPr>
                <w:sz w:val="20"/>
                <w:szCs w:val="20"/>
                <w:color w:val="auto"/>
              </w:rPr>
            </w:pPr>
            <w:r>
              <w:rPr>
                <w:rFonts w:ascii="Arial" w:cs="Arial" w:eastAsia="Arial" w:hAnsi="Arial"/>
                <w:sz w:val="14"/>
                <w:szCs w:val="14"/>
                <w:color w:val="auto"/>
                <w:w w:val="98"/>
              </w:rPr>
              <w:t>($10,000 par, due 12/2017)</w:t>
            </w: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11.00%</w:t>
            </w: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94"/>
              </w:rPr>
              <w:t>11/16/2012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10,017</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10,025</w:t>
            </w:r>
          </w:p>
        </w:tc>
        <w:tc>
          <w:tcPr>
            <w:tcW w:w="280" w:type="dxa"/>
            <w:vAlign w:val="bottom"/>
          </w:tcPr>
          <w:p>
            <w:pPr>
              <w:spacing w:after="0"/>
              <w:rPr>
                <w:sz w:val="13"/>
                <w:szCs w:val="13"/>
                <w:color w:val="auto"/>
              </w:rPr>
            </w:pP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Senior Secured Corporate Bonds</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10,017</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10,025</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6"/>
        </w:trPr>
        <w:tc>
          <w:tcPr>
            <w:tcW w:w="31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Equity</w:t>
            </w: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SRS Parent Corp.</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Healthcare and</w:t>
            </w:r>
          </w:p>
        </w:tc>
        <w:tc>
          <w:tcPr>
            <w:tcW w:w="192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Common Shares Class A</w:t>
            </w: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pharmaceuticals</w:t>
            </w:r>
          </w:p>
        </w:tc>
        <w:tc>
          <w:tcPr>
            <w:tcW w:w="192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(1,980 shares)</w:t>
            </w: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w w:val="94"/>
              </w:rPr>
              <w:t>12/28/2012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1,980</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1,980</w:t>
            </w:r>
          </w:p>
        </w:tc>
        <w:tc>
          <w:tcPr>
            <w:tcW w:w="12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920" w:type="dxa"/>
            <w:vAlign w:val="bottom"/>
            <w:gridSpan w:val="3"/>
          </w:tcPr>
          <w:p>
            <w:pPr>
              <w:ind w:left="220"/>
              <w:spacing w:after="0" w:line="138" w:lineRule="exact"/>
              <w:rPr>
                <w:sz w:val="20"/>
                <w:szCs w:val="20"/>
                <w:color w:val="auto"/>
              </w:rPr>
            </w:pPr>
            <w:r>
              <w:rPr>
                <w:rFonts w:ascii="Arial" w:cs="Arial" w:eastAsia="Arial" w:hAnsi="Arial"/>
                <w:sz w:val="14"/>
                <w:szCs w:val="14"/>
                <w:color w:val="auto"/>
              </w:rPr>
              <w:t>Common Shares Class B</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92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(2,953,020 shares)</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94"/>
              </w:rPr>
              <w:t>12/28/2012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w:t>
            </w:r>
          </w:p>
        </w:tc>
        <w:tc>
          <w:tcPr>
            <w:tcW w:w="280" w:type="dxa"/>
            <w:vAlign w:val="bottom"/>
          </w:tcPr>
          <w:p>
            <w:pPr>
              <w:spacing w:after="0"/>
              <w:rPr>
                <w:sz w:val="13"/>
                <w:szCs w:val="13"/>
                <w:color w:val="auto"/>
              </w:rPr>
            </w:pP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Equity</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80" w:type="dxa"/>
            <w:vAlign w:val="bottom"/>
            <w:gridSpan w:val="3"/>
            <w:vMerge w:val="continue"/>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3"/>
              </w:rPr>
              <w:t>$  644,421</w:t>
            </w:r>
          </w:p>
        </w:tc>
        <w:tc>
          <w:tcPr>
            <w:tcW w:w="2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3"/>
              </w:rPr>
              <w:t>$  653,944</w:t>
            </w:r>
          </w:p>
        </w:tc>
        <w:tc>
          <w:tcPr>
            <w:tcW w:w="280" w:type="dxa"/>
            <w:vAlign w:val="bottom"/>
          </w:tcPr>
          <w:p>
            <w:pPr>
              <w:spacing w:after="0"/>
              <w:rPr>
                <w:sz w:val="13"/>
                <w:szCs w:val="13"/>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80" w:right="360" w:hanging="572"/>
        <w:spacing w:after="0" w:line="253" w:lineRule="auto"/>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2012, the Company does not “control” any of the portfolio companies nor are any of its portfolio companies considered to be “affiliates” – see Note 4. Certain portfolio company investments are subject to contractual restrictions on sales.</w:t>
      </w:r>
    </w:p>
    <w:p>
      <w:pPr>
        <w:ind w:left="580" w:right="380" w:hanging="572"/>
        <w:spacing w:after="0" w:line="250" w:lineRule="auto"/>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80" w:right="40" w:hanging="572"/>
        <w:spacing w:after="0" w:line="250" w:lineRule="auto"/>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Loan contains a variable rate structure. Variable rate loans bear interest at a rate that may be determined by reference to either LIBOR or an alternate base rate, at the borrower’s option, which reset periodically</w:t>
      </w:r>
    </w:p>
    <w:p>
      <w:pPr>
        <w:ind w:left="580"/>
        <w:spacing w:after="0"/>
        <w:rPr>
          <w:rFonts w:ascii="Arial" w:cs="Arial" w:eastAsia="Arial" w:hAnsi="Arial"/>
          <w:sz w:val="18"/>
          <w:szCs w:val="18"/>
          <w:color w:val="auto"/>
        </w:rPr>
      </w:pPr>
      <w:r>
        <w:rPr>
          <w:rFonts w:ascii="Arial" w:cs="Arial" w:eastAsia="Arial" w:hAnsi="Arial"/>
          <w:sz w:val="18"/>
          <w:szCs w:val="18"/>
          <w:color w:val="auto"/>
        </w:rPr>
        <w:t>based on the terms of the loan agreement. For each such loan we have provided the interest rate in effect on the date presented.</w:t>
      </w:r>
    </w:p>
    <w:p>
      <w:pPr>
        <w:spacing w:after="0" w:line="9" w:lineRule="exact"/>
        <w:rPr>
          <w:rFonts w:ascii="Arial" w:cs="Arial" w:eastAsia="Arial" w:hAnsi="Arial"/>
          <w:sz w:val="18"/>
          <w:szCs w:val="18"/>
          <w:color w:val="auto"/>
        </w:rPr>
      </w:pPr>
    </w:p>
    <w:p>
      <w:pPr>
        <w:ind w:left="580" w:right="80" w:hanging="572"/>
        <w:spacing w:after="0" w:line="250" w:lineRule="auto"/>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the Company may be entitled to receive additional amounts as a result of its arrangement with other lenders in a syndication.</w:t>
      </w:r>
    </w:p>
    <w:p>
      <w:pPr>
        <w:ind w:left="580" w:right="740" w:hanging="572"/>
        <w:spacing w:after="0" w:line="261" w:lineRule="auto"/>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7).</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Transactions during the year ended December 31, 2012 in which the issuer was an affiliated company (but not a portfolio company that we “control”)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As of and for the Year</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Ended December 31, 2012</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93"/>
              </w:rPr>
              <w:t>Fair</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93"/>
              </w:rPr>
              <w:t>Fair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Value at</w:t>
            </w:r>
          </w:p>
        </w:tc>
        <w:tc>
          <w:tcPr>
            <w:tcW w:w="3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Value at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3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Additions</w:t>
            </w:r>
          </w:p>
        </w:tc>
        <w:tc>
          <w:tcPr>
            <w:tcW w:w="3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Reductions</w:t>
            </w:r>
          </w:p>
        </w:tc>
        <w:tc>
          <w:tcPr>
            <w:tcW w:w="1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3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w:t>
            </w: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0"/>
              </w:rPr>
              <w:t>Interest</w:t>
            </w:r>
          </w:p>
        </w:tc>
        <w:tc>
          <w:tcPr>
            <w:tcW w:w="3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Dividend</w:t>
            </w:r>
          </w:p>
        </w:tc>
        <w:tc>
          <w:tcPr>
            <w:tcW w:w="34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(b)</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6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2"/>
                <w:szCs w:val="12"/>
                <w:color w:val="auto"/>
              </w:rPr>
            </w:pPr>
          </w:p>
        </w:tc>
        <w:tc>
          <w:tcPr>
            <w:tcW w:w="8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Gains</w:t>
            </w: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3"/>
              </w:rPr>
              <w:t>Income</w:t>
            </w:r>
          </w:p>
        </w:tc>
        <w:tc>
          <w:tcPr>
            <w:tcW w:w="3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w:t>
            </w:r>
          </w:p>
        </w:tc>
        <w:tc>
          <w:tcPr>
            <w:tcW w:w="340" w:type="dxa"/>
            <w:vAlign w:val="bottom"/>
          </w:tcPr>
          <w:p>
            <w:pPr>
              <w:spacing w:after="0"/>
              <w:rPr>
                <w:sz w:val="12"/>
                <w:szCs w:val="12"/>
                <w:color w:val="auto"/>
              </w:rPr>
            </w:pPr>
          </w:p>
        </w:tc>
        <w:tc>
          <w:tcPr>
            <w:tcW w:w="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1"/>
        </w:trPr>
        <w:tc>
          <w:tcPr>
            <w:tcW w:w="2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AFS Technologies,</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42,663</w:t>
            </w:r>
          </w:p>
        </w:tc>
        <w:tc>
          <w:tcPr>
            <w:tcW w:w="9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118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(58,316)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2,724</w:t>
            </w:r>
          </w:p>
        </w:tc>
        <w:tc>
          <w:tcPr>
            <w:tcW w:w="8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$ 1,231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42,663</w:t>
            </w:r>
          </w:p>
        </w:tc>
        <w:tc>
          <w:tcPr>
            <w:tcW w:w="920" w:type="dxa"/>
            <w:vAlign w:val="bottom"/>
            <w:gridSpan w:val="2"/>
          </w:tcPr>
          <w:p>
            <w:pPr>
              <w:jc w:val="center"/>
              <w:ind w:left="25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1180" w:type="dxa"/>
            <w:vAlign w:val="bottom"/>
            <w:gridSpan w:val="3"/>
          </w:tcPr>
          <w:p>
            <w:pPr>
              <w:ind w:left="3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(58,316)</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2,724</w:t>
            </w:r>
          </w:p>
        </w:tc>
        <w:tc>
          <w:tcPr>
            <w:tcW w:w="86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$ 1,231</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54"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50"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ind w:left="460" w:right="540" w:hanging="452"/>
        <w:spacing w:after="0" w:line="261"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connection with the redemption of the Company’s preferred equity investment, AFS Technologies, Inc. was no longer an affiliated company as of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2"/>
              </w:rPr>
              <w:t>Nine Months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9"/>
        </w:trPr>
        <w:tc>
          <w:tcPr>
            <w:tcW w:w="7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5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Net investment income</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40,508</w:t>
            </w:r>
          </w:p>
        </w:tc>
        <w:tc>
          <w:tcPr>
            <w:tcW w:w="580" w:type="dxa"/>
            <w:vAlign w:val="bottom"/>
          </w:tcPr>
          <w:p>
            <w:pPr>
              <w:spacing w:after="0"/>
              <w:rPr>
                <w:sz w:val="18"/>
                <w:szCs w:val="18"/>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Net realized gains</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45,927</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27,135</w:t>
            </w:r>
          </w:p>
        </w:tc>
        <w:tc>
          <w:tcPr>
            <w:tcW w:w="0" w:type="dxa"/>
            <w:vAlign w:val="bottom"/>
          </w:tcPr>
          <w:p>
            <w:pPr>
              <w:spacing w:after="0"/>
              <w:rPr>
                <w:sz w:val="1"/>
                <w:szCs w:val="1"/>
                <w:color w:val="auto"/>
              </w:rPr>
            </w:pPr>
          </w:p>
        </w:tc>
      </w:tr>
      <w:tr>
        <w:trPr>
          <w:trHeight w:val="221"/>
        </w:trPr>
        <w:tc>
          <w:tcPr>
            <w:tcW w:w="716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187,692</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19,077</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(40,575)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(19,510)</w:t>
            </w:r>
          </w:p>
        </w:tc>
        <w:tc>
          <w:tcPr>
            <w:tcW w:w="0" w:type="dxa"/>
            <w:vAlign w:val="bottom"/>
          </w:tcPr>
          <w:p>
            <w:pPr>
              <w:spacing w:after="0"/>
              <w:rPr>
                <w:sz w:val="1"/>
                <w:szCs w:val="1"/>
                <w:color w:val="auto"/>
              </w:rPr>
            </w:pPr>
          </w:p>
        </w:tc>
      </w:tr>
      <w:tr>
        <w:trPr>
          <w:trHeight w:val="230"/>
        </w:trPr>
        <w:tc>
          <w:tcPr>
            <w:tcW w:w="7160" w:type="dxa"/>
            <w:vAlign w:val="bottom"/>
          </w:tcPr>
          <w:p>
            <w:pPr>
              <w:ind w:left="44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35,359</w:t>
            </w: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81,286</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200,399</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561,089</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373,491</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w w:val="98"/>
              </w:rPr>
              <w:t>Undistributed Net Investment Income Included in Net Assets at the End of the Period</w:t>
            </w: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60" w:type="dxa"/>
            <w:vAlign w:val="bottom"/>
            <w:vMerge w:val="continue"/>
          </w:tcPr>
          <w:p>
            <w:pPr>
              <w:spacing w:after="0"/>
              <w:rPr>
                <w:sz w:val="18"/>
                <w:szCs w:val="18"/>
                <w:color w:val="auto"/>
              </w:rPr>
            </w:pP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(1,083)</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Nine Months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5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45,927</w:t>
            </w:r>
          </w:p>
        </w:tc>
        <w:tc>
          <w:tcPr>
            <w:tcW w:w="560" w:type="dxa"/>
            <w:vAlign w:val="bottom"/>
          </w:tcPr>
          <w:p>
            <w:pPr>
              <w:spacing w:after="0"/>
              <w:rPr>
                <w:sz w:val="18"/>
                <w:szCs w:val="18"/>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27,135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increase in net assets resulting from operations to net cash used in</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Net change in unrealized gains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(4,004)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gains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(1,415)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Realized gains on foreign currency forward contracts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(5,216)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1,514</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investments, net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(432,428)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Proceeds from investments,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46,357</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on investments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164,250</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Paid-in-kind interest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(2,061)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Interest receivable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(722)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Management fees payable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Incentive fees payable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Payable to affiliate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1,202</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(1,891)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Cash Used in Operating Activities</w:t>
            </w: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(186,185)</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Borrowings on revolving credit facilities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717,000</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on revolving credit facilities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(710,569)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56,857</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187,692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Dividend paid to stockholders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(17,858)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Debt issuance costs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(1,427)</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Cash Provided by Financing Activities</w:t>
            </w: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44,003</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tcPr>
          <w:p>
            <w:pPr>
              <w:ind w:left="86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(142,182)</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34,599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161,825</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860"/>
              <w:spacing w:after="0"/>
              <w:rPr>
                <w:sz w:val="20"/>
                <w:szCs w:val="20"/>
                <w:color w:val="auto"/>
              </w:rPr>
            </w:pPr>
            <w:r>
              <w:rPr>
                <w:rFonts w:ascii="Arial" w:cs="Arial" w:eastAsia="Arial" w:hAnsi="Arial"/>
                <w:sz w:val="18"/>
                <w:szCs w:val="18"/>
                <w:b w:val="1"/>
                <w:bCs w:val="1"/>
                <w:color w:val="auto"/>
              </w:rPr>
              <w:t>Cash and Cash Equivalents, End of Period</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19,643</w:t>
            </w:r>
          </w:p>
        </w:tc>
        <w:tc>
          <w:tcPr>
            <w:tcW w:w="560" w:type="dxa"/>
            <w:vAlign w:val="bottom"/>
          </w:tcPr>
          <w:p>
            <w:pPr>
              <w:spacing w:after="0"/>
              <w:rPr>
                <w:sz w:val="19"/>
                <w:szCs w:val="19"/>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paid during the period</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6,263</w:t>
            </w:r>
          </w:p>
        </w:tc>
        <w:tc>
          <w:tcPr>
            <w:tcW w:w="560" w:type="dxa"/>
            <w:vAlign w:val="bottom"/>
          </w:tcPr>
          <w:p>
            <w:pPr>
              <w:spacing w:after="0"/>
              <w:rPr>
                <w:sz w:val="18"/>
                <w:szCs w:val="18"/>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during the period</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40,575</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Reinvestment of dividends during the period</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19,077</w:t>
            </w:r>
          </w:p>
        </w:tc>
        <w:tc>
          <w:tcPr>
            <w:tcW w:w="560" w:type="dxa"/>
            <w:vAlign w:val="bottom"/>
          </w:tcPr>
          <w:p>
            <w:pPr>
              <w:spacing w:after="0"/>
              <w:rPr>
                <w:sz w:val="18"/>
                <w:szCs w:val="18"/>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159" w:lineRule="exact"/>
        <w:rPr>
          <w:sz w:val="20"/>
          <w:szCs w:val="20"/>
          <w:color w:val="auto"/>
        </w:rPr>
      </w:pPr>
    </w:p>
    <w:p>
      <w:pPr>
        <w:ind w:right="8280" w:firstLine="8"/>
        <w:spacing w:after="0" w:line="347" w:lineRule="auto"/>
        <w:tabs>
          <w:tab w:leader="none" w:pos="176"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TPG Specialty Lending, Inc. (collectively with its consolidated subsidiaries,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2012, which was filed with the Securities and Exchange Commission (“SEC”) on March 15, 2013.</w:t>
      </w:r>
    </w:p>
    <w:p>
      <w:pPr>
        <w:spacing w:after="0" w:line="11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900" w:firstLine="8"/>
        <w:spacing w:after="0" w:line="347" w:lineRule="auto"/>
        <w:tabs>
          <w:tab w:leader="none" w:pos="176"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 the reversal of previously recorded unrealized gains or losses with respect to investments realized during the period.</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the Company utilizes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Board considers the pricing indicated by the external event to corroborate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each quarter, which includes, among other procedures,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a value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connection with debt and equity securities that were valued at fair value in good faith by the Board, the Board has engaged independent third-party valuation firms to perform certain limited procedures that the Board identified and requested them to perform. As of September 30, 2013, independent third-party valuation firms performed their procedures over substantially all of the Company’s investments. Upon completion of such limited procedures for the quarter ended September 30, 2013, the third-party valuation firms determined that the fair value, as determined by the Board, of those investments subjected to their limited procedures, was reasonable.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The Company applies Financial Accounting Standards Board Accounting Standards Codification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as amended, which establishes a framework for measuring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63" w:lineRule="exact"/>
        <w:rPr>
          <w:sz w:val="20"/>
          <w:szCs w:val="20"/>
          <w:color w:val="auto"/>
        </w:rPr>
      </w:pPr>
    </w:p>
    <w:p>
      <w:pPr>
        <w:ind w:left="900" w:hanging="325"/>
        <w:spacing w:after="0"/>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580" w:hanging="325"/>
        <w:spacing w:after="0" w:line="268"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(i.e.,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including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60"/>
          </w:cols>
          <w:pgMar w:left="240" w:top="460" w:right="2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instruments are subject to various risks similar to non-derivative instruments including market, credit, liquidity, and operational risks. The Company manages these risks on an aggregate basis as part of its risk management policies.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90" w:lineRule="exact"/>
        <w:rPr>
          <w:sz w:val="20"/>
          <w:szCs w:val="20"/>
          <w:color w:val="auto"/>
        </w:rPr>
      </w:pPr>
    </w:p>
    <w:p>
      <w:pPr>
        <w:ind w:left="900" w:hanging="325"/>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market value of investments, other assets and liabilities: at the spot exchange rate on the last business day of the period;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purchases and sales of investments, income and expenses: at the rates of exchange prevailing on the respective dates of such transactions, income or expenses.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elected to be treated as a BDC under the 1940 Act. The Company also has elected to be treated as a RIC under the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1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2013-08”). ASU 2013-08 amends the criteria that define</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219" w:lineRule="exact"/>
        <w:rPr>
          <w:sz w:val="20"/>
          <w:szCs w:val="20"/>
          <w:color w:val="auto"/>
        </w:rPr>
      </w:pPr>
    </w:p>
    <w:p>
      <w:pPr>
        <w:ind w:right="7880" w:firstLine="8"/>
        <w:spacing w:after="0" w:line="347" w:lineRule="auto"/>
        <w:tabs>
          <w:tab w:leader="none" w:pos="176"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three and nine months ended September 30, 2013, the Company incurred expenses of $0.3 million and $0.9 million, respectively, for administrative services payable to the Adviser under the terms of the Administration Agreement. For the three and nine months ended September 30, 2012, the Company incurred expenses of $0.2 million and $0.7 million, respectively, for administrative services payable to the Adviser under the terms of the Administration Agreement.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which now remains in effect, unless earlier terminated as described below, for a period of one year from the date it was approved by the Board. The Administration Agreement may be terminated by either party without penalty upon at least 60 days’ written notice to the other party.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and who serves as a director of the Company receives any compensation from the Company for such services.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a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On April 15, 2011, the Company entered into an Advisory Agreement (the “Advisory Agreement”) with the Adviser. The Advisory Agreement was subsequently amended on December 12, 2011. Under the terms of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80"/>
          </w:cols>
          <w:pgMar w:left="240" w:top="460" w:right="2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Advisory Agreement, the Adviser will provide investment advisory services to the Company. The Adviser’s services under the Advisory Agreement are not exclusive, and the Adviser is free to furnish similar or other services to others so long as its services to the Company are not impaired. Under the terms of the Advisory Agreement, the Company will pay the Adviser a base management fee (the “Management Fee”) and may also pay certain incentive fees (the “Incentive Fee”).</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For the three and nine months ended September 30, 2013, Management Fees were $3.4 million and $9.7 million, respectively. For the three and nine months ended September 30, 2012, Management Fees were $2.5 million and $6.1 million, respectively.</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Until such time that the Company has an initial public offering of its Common Stock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For the three and nine months ended September 30, 2013, Management Fees of $1.9 million and $5.0 million, respectively, were waived. For the three and nine months ended September 30, 2012, Management Fees of $1.2 million and $2.4 million, respectively, were waived.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hanging="446"/>
        <w:spacing w:after="0" w:line="306" w:lineRule="auto"/>
        <w:tabs>
          <w:tab w:leader="none" w:pos="9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cumulative realized capital losses, unrealized capital depreciation and net of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accrues Incentive Fees taking into account unrealized gains and losses; however, Section 205(b)(3) of the Investment Advisers Act of 1940, as amended, prohibits the Adviser from receiving the payment of fees until such gains are realized. There can be no assurance that such unrealized gains will be realized in the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For the three and nine months ended September 30, 2013, Incentive Fees were $2.9 million and $8.1 million, respectively, of which $2.6 million and $7.3 million, respectively, were realized and payable to the Adviser. For the three and nine months ended September 30, 2012, Incentive Fees were $2.4 million and $4.8 million, respectively, of which $1.5 million and $3.3 million, respectively, were realized and payable to the Adviser.</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5, 2013, the Board renewed the Advisory Agreement which now remains in effect, unless earlier terminated as described below, for a period of one year from the date it was approved by the Board. The Advisory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and nine months ended September 30, 2013, were $1.2 million and $3.4 million, respectively. Expenses incurred by the Adviser on behalf of the Company for the three and nine months ended September 30, 2012, were $0.9 million and $2.6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(as defined under the 1940 Act).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(as defined under the 1940 Act).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September 30, 2013 and December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September 30, 2013</w:t>
            </w: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9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89"/>
              </w:rPr>
              <w:t>Fair Value</w:t>
            </w:r>
          </w:p>
        </w:tc>
        <w:tc>
          <w:tcPr>
            <w:tcW w:w="32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8"/>
              </w:rPr>
              <w:t>Net 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319"/>
              <w:spacing w:after="0"/>
              <w:rPr>
                <w:sz w:val="20"/>
                <w:szCs w:val="20"/>
                <w:color w:val="auto"/>
              </w:rPr>
            </w:pPr>
            <w:r>
              <w:rPr>
                <w:rFonts w:ascii="Arial" w:cs="Arial" w:eastAsia="Arial" w:hAnsi="Arial"/>
                <w:sz w:val="11"/>
                <w:szCs w:val="11"/>
                <w:b w:val="1"/>
                <w:bCs w:val="1"/>
                <w:color w:val="auto"/>
              </w:rPr>
              <w:t>(1)</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871,800</w:t>
            </w: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$887,610</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Preferred equity / mezzanine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780</w:t>
            </w:r>
          </w:p>
        </w:tc>
        <w:tc>
          <w:tcPr>
            <w:tcW w:w="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780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22"/>
        </w:trPr>
        <w:tc>
          <w:tcPr>
            <w:tcW w:w="5260" w:type="dxa"/>
            <w:vAlign w:val="bottom"/>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874,580</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889,330</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left="182"/>
              <w:spacing w:after="0"/>
              <w:rPr>
                <w:sz w:val="20"/>
                <w:szCs w:val="20"/>
                <w:color w:val="auto"/>
              </w:rPr>
            </w:pPr>
            <w:r>
              <w:rPr>
                <w:rFonts w:ascii="Arial" w:cs="Arial" w:eastAsia="Arial" w:hAnsi="Arial"/>
                <w:sz w:val="14"/>
                <w:szCs w:val="14"/>
                <w:b w:val="1"/>
                <w:bCs w:val="1"/>
                <w:color w:val="auto"/>
                <w:w w:val="87"/>
              </w:rPr>
              <w:t>December 31, 2012</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8"/>
              </w:rPr>
              <w:t>Amortized Cost</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8"/>
              </w:rPr>
              <w:t>Net Unrealized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279"/>
              <w:spacing w:after="0"/>
              <w:rPr>
                <w:sz w:val="20"/>
                <w:szCs w:val="20"/>
                <w:color w:val="auto"/>
              </w:rPr>
            </w:pPr>
            <w:r>
              <w:rPr>
                <w:rFonts w:ascii="Arial" w:cs="Arial" w:eastAsia="Arial" w:hAnsi="Arial"/>
                <w:sz w:val="11"/>
                <w:szCs w:val="11"/>
                <w:b w:val="1"/>
                <w:bCs w:val="1"/>
                <w:color w:val="auto"/>
              </w:rPr>
              <w:t>(1)</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642,421</w:t>
            </w:r>
          </w:p>
        </w:tc>
        <w:tc>
          <w:tcPr>
            <w:tcW w:w="86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$651,944</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Common equity</w:t>
            </w: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2,000</w:t>
            </w:r>
          </w:p>
        </w:tc>
        <w:tc>
          <w:tcPr>
            <w:tcW w:w="860" w:type="dxa"/>
            <w:vAlign w:val="bottom"/>
            <w:gridSpan w:val="2"/>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644,421</w:t>
            </w:r>
          </w:p>
        </w:tc>
        <w:tc>
          <w:tcPr>
            <w:tcW w:w="204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80" w:right="60" w:hanging="572"/>
        <w:spacing w:after="0" w:line="268" w:lineRule="auto"/>
        <w:tabs>
          <w:tab w:leader="none" w:pos="5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80"/>
          </w:cols>
          <w:pgMar w:left="240" w:top="459" w:right="2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as of September 30, 2013 and December 31, 2012,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5"/>
              </w:rPr>
              <w:t>September 30, 2013</w:t>
            </w:r>
          </w:p>
        </w:tc>
        <w:tc>
          <w:tcPr>
            <w:tcW w:w="760" w:type="dxa"/>
            <w:vAlign w:val="bottom"/>
          </w:tcPr>
          <w:p>
            <w:pPr>
              <w:spacing w:after="0"/>
              <w:rPr>
                <w:sz w:val="14"/>
                <w:szCs w:val="14"/>
                <w:color w:val="auto"/>
              </w:rPr>
            </w:pP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26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w:t>
            </w:r>
          </w:p>
        </w:tc>
        <w:tc>
          <w:tcPr>
            <w:tcW w:w="6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Automotive</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6.9%</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Business services</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14.2%</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5.9%</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5.3%</w:t>
            </w: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Education</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Financial services</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10.0%</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15.5%</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8.0%</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5.8%</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Insurance</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4.0%</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Office products</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2.3%</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4.6%</w:t>
            </w: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Transportation</w:t>
            </w:r>
          </w:p>
        </w:tc>
        <w:tc>
          <w:tcPr>
            <w:tcW w:w="126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as of September 30, 2013 and December 31, 2012,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7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September 30, 2013</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Midwest</w:t>
            </w:r>
          </w:p>
        </w:tc>
        <w:tc>
          <w:tcPr>
            <w:tcW w:w="3700" w:type="dxa"/>
            <w:vAlign w:val="bottom"/>
            <w:gridSpan w:val="3"/>
          </w:tcPr>
          <w:p>
            <w:pPr>
              <w:jc w:val="right"/>
              <w:ind w:right="620"/>
              <w:spacing w:after="0"/>
              <w:rPr>
                <w:sz w:val="20"/>
                <w:szCs w:val="20"/>
                <w:color w:val="auto"/>
              </w:rPr>
            </w:pPr>
            <w:r>
              <w:rPr>
                <w:rFonts w:ascii="Arial" w:cs="Arial" w:eastAsia="Arial" w:hAnsi="Arial"/>
                <w:sz w:val="18"/>
                <w:szCs w:val="18"/>
                <w:color w:val="auto"/>
              </w:rPr>
              <w:t>16.5%</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South</w:t>
            </w:r>
          </w:p>
        </w:tc>
        <w:tc>
          <w:tcPr>
            <w:tcW w:w="3700" w:type="dxa"/>
            <w:vAlign w:val="bottom"/>
            <w:gridSpan w:val="3"/>
          </w:tcPr>
          <w:p>
            <w:pPr>
              <w:jc w:val="right"/>
              <w:ind w:right="620"/>
              <w:spacing w:after="0"/>
              <w:rPr>
                <w:sz w:val="20"/>
                <w:szCs w:val="20"/>
                <w:color w:val="auto"/>
              </w:rPr>
            </w:pPr>
            <w:r>
              <w:rPr>
                <w:rFonts w:ascii="Arial" w:cs="Arial" w:eastAsia="Arial" w:hAnsi="Arial"/>
                <w:sz w:val="18"/>
                <w:szCs w:val="18"/>
                <w:color w:val="auto"/>
              </w:rPr>
              <w:t>25.4%</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32.8%</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Europe</w:t>
            </w:r>
          </w:p>
        </w:tc>
        <w:tc>
          <w:tcPr>
            <w:tcW w:w="180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3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0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8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140" w:firstLine="8"/>
        <w:spacing w:after="0" w:line="444" w:lineRule="auto"/>
        <w:tabs>
          <w:tab w:leader="none" w:pos="176"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i w:val="1"/>
          <w:iCs w:val="1"/>
          <w:color w:val="auto"/>
        </w:rPr>
        <w:t>Foreign Currency</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typically have terms of approximately one month.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During the three and nine months ended September 30, 2013, we entered into foreign currency forward contracts related to our investments in Jeeves Information Systems AB (SEK) and Soho House Bond Ltd. (GBP).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details of open foreign currency forward contracts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Unrealized</w:t>
            </w:r>
          </w:p>
        </w:tc>
        <w:tc>
          <w:tcPr>
            <w:tcW w:w="0" w:type="dxa"/>
            <w:vAlign w:val="bottom"/>
          </w:tcPr>
          <w:p>
            <w:pPr>
              <w:spacing w:after="0"/>
              <w:rPr>
                <w:sz w:val="1"/>
                <w:szCs w:val="1"/>
                <w:color w:val="auto"/>
              </w:rPr>
            </w:pPr>
          </w:p>
        </w:tc>
      </w:tr>
      <w:tr>
        <w:trPr>
          <w:trHeight w:val="149"/>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Foreign Currency</w:t>
            </w:r>
          </w:p>
        </w:tc>
        <w:tc>
          <w:tcPr>
            <w:tcW w:w="224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Amount (in ‘000s)</w:t>
            </w:r>
          </w:p>
        </w:tc>
        <w:tc>
          <w:tcPr>
            <w:tcW w:w="16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USD Value at</w:t>
            </w:r>
          </w:p>
        </w:tc>
        <w:tc>
          <w:tcPr>
            <w:tcW w:w="120" w:type="dxa"/>
            <w:vAlign w:val="bottom"/>
          </w:tcPr>
          <w:p>
            <w:pPr>
              <w:spacing w:after="0"/>
              <w:rPr>
                <w:sz w:val="12"/>
                <w:szCs w:val="12"/>
                <w:color w:val="auto"/>
              </w:rPr>
            </w:pPr>
          </w:p>
        </w:tc>
        <w:tc>
          <w:tcPr>
            <w:tcW w:w="1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USD Value at</w:t>
            </w: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Appreciation</w:t>
            </w:r>
          </w:p>
        </w:tc>
        <w:tc>
          <w:tcPr>
            <w:tcW w:w="0" w:type="dxa"/>
            <w:vAlign w:val="bottom"/>
          </w:tcPr>
          <w:p>
            <w:pPr>
              <w:spacing w:after="0"/>
              <w:rPr>
                <w:sz w:val="1"/>
                <w:szCs w:val="1"/>
                <w:color w:val="auto"/>
              </w:rPr>
            </w:pPr>
          </w:p>
        </w:tc>
      </w:tr>
      <w:tr>
        <w:trPr>
          <w:trHeight w:val="168"/>
        </w:trPr>
        <w:tc>
          <w:tcPr>
            <w:tcW w:w="1100" w:type="dxa"/>
            <w:vAlign w:val="bottom"/>
            <w:tcBorders>
              <w:bottom w:val="single" w:sz="8" w:color="auto"/>
            </w:tcBorders>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96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Settlement Date</w:t>
            </w:r>
          </w:p>
        </w:tc>
        <w:tc>
          <w:tcPr>
            <w:tcW w:w="17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and Transaction</w:t>
            </w:r>
          </w:p>
        </w:tc>
        <w:tc>
          <w:tcPr>
            <w:tcW w:w="16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Settlement Date</w:t>
            </w:r>
          </w:p>
        </w:tc>
        <w:tc>
          <w:tcPr>
            <w:tcW w:w="18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September 30, 2013</w:t>
            </w:r>
          </w:p>
        </w:tc>
        <w:tc>
          <w:tcPr>
            <w:tcW w:w="9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7"/>
              </w:rPr>
              <w:t>(Depreciation)</w:t>
            </w: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Swedish Kronor (SEK)</w:t>
            </w:r>
          </w:p>
        </w:tc>
        <w:tc>
          <w:tcPr>
            <w:tcW w:w="12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October 17, 2013</w:t>
            </w:r>
          </w:p>
        </w:tc>
        <w:tc>
          <w:tcPr>
            <w:tcW w:w="6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193,326 sold</w:t>
            </w:r>
          </w:p>
        </w:tc>
        <w:tc>
          <w:tcPr>
            <w:tcW w:w="6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77"/>
              </w:rPr>
              <w:t>(28,949)</w:t>
            </w: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w w:val="77"/>
              </w:rPr>
              <w:t>(30,088)</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British Pound (GBP)</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October 17, 2013</w:t>
            </w: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7,000 sold</w:t>
            </w: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rPr>
              <w:t>(11,251)</w:t>
            </w:r>
          </w:p>
        </w:tc>
        <w:tc>
          <w:tcPr>
            <w:tcW w:w="120" w:type="dxa"/>
            <w:vAlign w:val="bottom"/>
          </w:tcPr>
          <w:p>
            <w:pPr>
              <w:spacing w:after="0"/>
              <w:rPr>
                <w:sz w:val="18"/>
                <w:szCs w:val="18"/>
                <w:color w:val="auto"/>
              </w:rPr>
            </w:pPr>
          </w:p>
        </w:tc>
        <w:tc>
          <w:tcPr>
            <w:tcW w:w="1700" w:type="dxa"/>
            <w:vAlign w:val="bottom"/>
            <w:gridSpan w:val="2"/>
          </w:tcPr>
          <w:p>
            <w:pPr>
              <w:ind w:left="480"/>
              <w:spacing w:after="0"/>
              <w:rPr>
                <w:sz w:val="20"/>
                <w:szCs w:val="20"/>
                <w:color w:val="auto"/>
              </w:rPr>
            </w:pPr>
            <w:r>
              <w:rPr>
                <w:rFonts w:ascii="Arial" w:cs="Arial" w:eastAsia="Arial" w:hAnsi="Arial"/>
                <w:sz w:val="18"/>
                <w:szCs w:val="18"/>
                <w:color w:val="auto"/>
              </w:rPr>
              <w:t>(11,335)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(40,200)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(41,423)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open foreign currency forward contracts as of December 31, 2012.</w:t>
      </w:r>
    </w:p>
    <w:p>
      <w:pPr>
        <w:spacing w:after="0" w:line="246" w:lineRule="exact"/>
        <w:rPr>
          <w:sz w:val="20"/>
          <w:szCs w:val="20"/>
          <w:color w:val="auto"/>
        </w:rPr>
      </w:pPr>
    </w:p>
    <w:p>
      <w:pPr>
        <w:ind w:right="8280" w:firstLine="8"/>
        <w:spacing w:after="0" w:line="444" w:lineRule="auto"/>
        <w:tabs>
          <w:tab w:leader="none" w:pos="176"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i w:val="1"/>
          <w:iCs w:val="1"/>
          <w:color w:val="auto"/>
        </w:rPr>
        <w:t>Financial Instruments Carried at Fair Value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fair value measurements for Investments at fair value and foreign currency forward contracts based on the inputs used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December 31, 2012:</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88"/>
              </w:rPr>
              <w:t>Fair Value Hierarchy at September 30, 2013</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60" w:type="dxa"/>
            <w:vAlign w:val="bottom"/>
          </w:tcPr>
          <w:p>
            <w:pPr>
              <w:spacing w:after="0"/>
              <w:rPr>
                <w:sz w:val="12"/>
                <w:szCs w:val="12"/>
                <w:color w:val="auto"/>
              </w:rPr>
            </w:pPr>
          </w:p>
        </w:tc>
        <w:tc>
          <w:tcPr>
            <w:tcW w:w="10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Level 2</w:t>
            </w:r>
          </w:p>
        </w:tc>
        <w:tc>
          <w:tcPr>
            <w:tcW w:w="12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2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$53,559</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$834,051</w:t>
            </w: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$887,610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Preferred equity / mezzanine</w:t>
            </w:r>
          </w:p>
        </w:tc>
        <w:tc>
          <w:tcPr>
            <w:tcW w:w="24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780</w:t>
            </w:r>
          </w:p>
        </w:tc>
        <w:tc>
          <w:tcPr>
            <w:tcW w:w="56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4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4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auto"/>
              </w:rPr>
              <w:t>53,559</w:t>
            </w:r>
          </w:p>
        </w:tc>
        <w:tc>
          <w:tcPr>
            <w:tcW w:w="680" w:type="dxa"/>
            <w:vAlign w:val="bottom"/>
          </w:tcPr>
          <w:p>
            <w:pPr>
              <w:jc w:val="right"/>
              <w:spacing w:after="0"/>
              <w:rPr>
                <w:sz w:val="20"/>
                <w:szCs w:val="20"/>
                <w:color w:val="auto"/>
              </w:rPr>
            </w:pPr>
            <w:r>
              <w:rPr>
                <w:rFonts w:ascii="Arial" w:cs="Arial" w:eastAsia="Arial" w:hAnsi="Arial"/>
                <w:sz w:val="18"/>
                <w:szCs w:val="18"/>
                <w:color w:val="auto"/>
              </w:rPr>
              <w:t>835,771</w:t>
            </w:r>
          </w:p>
        </w:tc>
        <w:tc>
          <w:tcPr>
            <w:tcW w:w="56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889,330</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4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(1,223)</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2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40" w:type="dxa"/>
            <w:vAlign w:val="bottom"/>
            <w:vMerge w:val="continue"/>
          </w:tcPr>
          <w:p>
            <w:pPr>
              <w:spacing w:after="0"/>
              <w:rPr>
                <w:sz w:val="19"/>
                <w:szCs w:val="19"/>
                <w:color w:val="auto"/>
              </w:rPr>
            </w:pPr>
          </w:p>
        </w:tc>
        <w:tc>
          <w:tcPr>
            <w:tcW w:w="24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164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52,336</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835,771</w:t>
            </w:r>
          </w:p>
        </w:tc>
        <w:tc>
          <w:tcPr>
            <w:tcW w:w="56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888,107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9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89"/>
              </w:rPr>
              <w:t>Fair Value Hierarchy at December 31, 2012</w:t>
            </w: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60" w:type="dxa"/>
            <w:vAlign w:val="bottom"/>
          </w:tcPr>
          <w:p>
            <w:pPr>
              <w:spacing w:after="0"/>
              <w:rPr>
                <w:sz w:val="12"/>
                <w:szCs w:val="12"/>
                <w:color w:val="auto"/>
              </w:rPr>
            </w:pPr>
          </w:p>
        </w:tc>
        <w:tc>
          <w:tcPr>
            <w:tcW w:w="10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Level 2</w:t>
            </w:r>
          </w:p>
        </w:tc>
        <w:tc>
          <w:tcPr>
            <w:tcW w:w="12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2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$84,650</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$567,294</w:t>
            </w: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$651,944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Common equity</w:t>
            </w:r>
          </w:p>
        </w:tc>
        <w:tc>
          <w:tcPr>
            <w:tcW w:w="24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4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84,650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569,294</w:t>
            </w:r>
          </w:p>
        </w:tc>
        <w:tc>
          <w:tcPr>
            <w:tcW w:w="5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653,944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40" w:type="dxa"/>
            <w:vAlign w:val="bottom"/>
          </w:tcPr>
          <w:p>
            <w:pPr>
              <w:spacing w:after="0"/>
              <w:rPr>
                <w:sz w:val="24"/>
                <w:szCs w:val="24"/>
                <w:color w:val="auto"/>
              </w:rPr>
            </w:pPr>
          </w:p>
        </w:tc>
        <w:tc>
          <w:tcPr>
            <w:tcW w:w="2860" w:type="dxa"/>
            <w:vAlign w:val="bottom"/>
            <w:gridSpan w:val="2"/>
          </w:tcPr>
          <w:p>
            <w:pPr>
              <w:jc w:val="right"/>
              <w:ind w:right="1296"/>
              <w:spacing w:after="0"/>
              <w:rPr>
                <w:sz w:val="20"/>
                <w:szCs w:val="20"/>
                <w:color w:val="auto"/>
              </w:rPr>
            </w:pPr>
            <w:r>
              <w:rPr>
                <w:rFonts w:ascii="Arial" w:cs="Arial" w:eastAsia="Arial" w:hAnsi="Arial"/>
                <w:sz w:val="18"/>
                <w:szCs w:val="18"/>
                <w:color w:val="auto"/>
              </w:rPr>
              <w:t>F-49</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changes in Investments at fair value that use Level 3 inputs as of and for the three and nine months ended September 30, 2013:</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7"/>
              </w:rPr>
              <w:t>As of and for the Three</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6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87"/>
              </w:rPr>
              <w:t>Months Ended September 30, 2013</w:t>
            </w: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6"/>
              </w:rPr>
              <w:t>Preferred</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66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Debt</w:t>
            </w:r>
          </w:p>
        </w:tc>
        <w:tc>
          <w:tcPr>
            <w:tcW w:w="3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Equity /</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660" w:type="dxa"/>
            <w:vAlign w:val="bottom"/>
          </w:tcPr>
          <w:p>
            <w:pPr>
              <w:spacing w:after="0"/>
              <w:rPr>
                <w:sz w:val="14"/>
                <w:szCs w:val="14"/>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Investments</w:t>
            </w:r>
          </w:p>
        </w:tc>
        <w:tc>
          <w:tcPr>
            <w:tcW w:w="32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10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Mezzanine</w:t>
            </w:r>
          </w:p>
        </w:tc>
        <w:tc>
          <w:tcPr>
            <w:tcW w:w="3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$ 744,206</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$ 1,244</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$ 745,450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146,192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780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146,972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(60,965)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(60,965)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808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808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1,862</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$ 834,051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940</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780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$ 835,771</w:t>
            </w:r>
          </w:p>
        </w:tc>
      </w:tr>
      <w:tr>
        <w:trPr>
          <w:trHeight w:val="20"/>
        </w:trPr>
        <w:tc>
          <w:tcPr>
            <w:tcW w:w="5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5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6"/>
              </w:rPr>
              <w:t>As of and for the Nine</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56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87"/>
              </w:rPr>
              <w:t>Months Ended September 30, 2013</w:t>
            </w: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6"/>
              </w:rPr>
              <w:t>Preferred</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66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Debt</w:t>
            </w:r>
          </w:p>
        </w:tc>
        <w:tc>
          <w:tcPr>
            <w:tcW w:w="3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Equity /</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660" w:type="dxa"/>
            <w:vAlign w:val="bottom"/>
          </w:tcPr>
          <w:p>
            <w:pPr>
              <w:spacing w:after="0"/>
              <w:rPr>
                <w:sz w:val="14"/>
                <w:szCs w:val="14"/>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Investments</w:t>
            </w:r>
          </w:p>
        </w:tc>
        <w:tc>
          <w:tcPr>
            <w:tcW w:w="32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10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Mezzanine</w:t>
            </w:r>
          </w:p>
        </w:tc>
        <w:tc>
          <w:tcPr>
            <w:tcW w:w="3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$ 567,294</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$ 2,000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$ 569,294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389,756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780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390,536</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(30,615)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(132,988)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(132,988)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4,241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(1,060)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3,181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4,235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4,235</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100" w:type="dxa"/>
            <w:vAlign w:val="bottom"/>
            <w:shd w:val="clear" w:color="auto" w:fill="CCEEFF"/>
          </w:tcPr>
          <w:p>
            <w:pPr>
              <w:spacing w:after="0"/>
              <w:rPr>
                <w:sz w:val="18"/>
                <w:szCs w:val="18"/>
                <w:color w:val="auto"/>
              </w:rPr>
            </w:pPr>
          </w:p>
        </w:tc>
      </w:tr>
      <w:tr>
        <w:trPr>
          <w:trHeight w:val="222"/>
        </w:trPr>
        <w:tc>
          <w:tcPr>
            <w:tcW w:w="5660" w:type="dxa"/>
            <w:vAlign w:val="bottom"/>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$ 834,051</w:t>
            </w:r>
          </w:p>
        </w:tc>
        <w:tc>
          <w:tcPr>
            <w:tcW w:w="32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180"/>
              <w:spacing w:after="0"/>
              <w:rPr>
                <w:sz w:val="20"/>
                <w:szCs w:val="20"/>
                <w:color w:val="auto"/>
              </w:rPr>
            </w:pPr>
            <w:r>
              <w:rPr>
                <w:rFonts w:ascii="Arial" w:cs="Arial" w:eastAsia="Arial" w:hAnsi="Arial"/>
                <w:sz w:val="18"/>
                <w:szCs w:val="18"/>
                <w:color w:val="auto"/>
                <w:w w:val="86"/>
              </w:rPr>
              <w:t>940</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780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$ 835,771</w:t>
            </w:r>
          </w:p>
        </w:tc>
      </w:tr>
      <w:tr>
        <w:trPr>
          <w:trHeight w:val="20"/>
        </w:trPr>
        <w:tc>
          <w:tcPr>
            <w:tcW w:w="5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Consona Holdings, Inc. transferred into Level 3 during the three months ended June 30, 2013, as a result of changes in the observability of inputs into its valuation.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presents changes in Investments at fair value that use Level 3 inputs as of and for the three and nine months ended September 30, 2012:</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8"/>
              </w:rPr>
              <w:t>As of and for the Three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6"/>
              </w:rPr>
              <w:t>Months Ended September 30, 2012</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3"/>
          </w:tcPr>
          <w:p>
            <w:pPr>
              <w:jc w:val="center"/>
              <w:ind w:right="800"/>
              <w:spacing w:after="0" w:line="129" w:lineRule="exact"/>
              <w:rPr>
                <w:sz w:val="20"/>
                <w:szCs w:val="20"/>
                <w:color w:val="auto"/>
              </w:rPr>
            </w:pPr>
            <w:r>
              <w:rPr>
                <w:rFonts w:ascii="Arial" w:cs="Arial" w:eastAsia="Arial" w:hAnsi="Arial"/>
                <w:sz w:val="14"/>
                <w:szCs w:val="14"/>
                <w:b w:val="1"/>
                <w:bCs w:val="1"/>
                <w:color w:val="auto"/>
                <w:w w:val="89"/>
              </w:rPr>
              <w:t>Preferred</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Debt</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Equity/Mezzanine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3"/>
              </w:rPr>
              <w:t>Investments</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3"/>
              </w:rPr>
              <w:t>Investments</w:t>
            </w:r>
          </w:p>
        </w:tc>
        <w:tc>
          <w:tcPr>
            <w:tcW w:w="1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$ 394,598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9,050</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$403,648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Purchases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116,051</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116,051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(45,742)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(45,742)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Paid-in-kind interest</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556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4,229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w:t>
            </w:r>
          </w:p>
        </w:tc>
        <w:tc>
          <w:tcPr>
            <w:tcW w:w="6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8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1,508</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$ 471,200</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6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481,200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6"/>
              </w:rPr>
              <w:t>As of and for the Nine</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87"/>
              </w:rPr>
              <w:t>Months Ended September 30, 2012</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3"/>
          </w:tcPr>
          <w:p>
            <w:pPr>
              <w:jc w:val="center"/>
              <w:ind w:right="840"/>
              <w:spacing w:after="0" w:line="129" w:lineRule="exact"/>
              <w:rPr>
                <w:sz w:val="20"/>
                <w:szCs w:val="20"/>
                <w:color w:val="auto"/>
              </w:rPr>
            </w:pPr>
            <w:r>
              <w:rPr>
                <w:rFonts w:ascii="Arial" w:cs="Arial" w:eastAsia="Arial" w:hAnsi="Arial"/>
                <w:sz w:val="14"/>
                <w:szCs w:val="14"/>
                <w:b w:val="1"/>
                <w:bCs w:val="1"/>
                <w:color w:val="auto"/>
                <w:w w:val="89"/>
              </w:rPr>
              <w:t>Preferred</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Debt</w:t>
            </w:r>
          </w:p>
        </w:tc>
        <w:tc>
          <w:tcPr>
            <w:tcW w:w="600" w:type="dxa"/>
            <w:vAlign w:val="bottom"/>
          </w:tcPr>
          <w:p>
            <w:pPr>
              <w:spacing w:after="0"/>
              <w:rPr>
                <w:sz w:val="12"/>
                <w:szCs w:val="12"/>
                <w:color w:val="auto"/>
              </w:rPr>
            </w:pPr>
          </w:p>
        </w:tc>
        <w:tc>
          <w:tcPr>
            <w:tcW w:w="17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Equity/Mezzanine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9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3"/>
              </w:rPr>
              <w:t>Investments</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5"/>
              </w:rPr>
              <w:t>Investments</w:t>
            </w:r>
          </w:p>
        </w:tc>
        <w:tc>
          <w:tcPr>
            <w:tcW w:w="1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$ 174,348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Purchases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414,992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(5)</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414,987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(60,905)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(60,905)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(53,146)</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(53,146)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$ 471,200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481,200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Rare Restaurant Group, LLC transferred out of Level 3 during the three months ended March 31, 2012, as a result of changes in the observability of inputs into its valuation.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at fair value for the three and nine months ended September 30, 2013 and 2012 for which Level 3 inputs were used in determining fair value that are still held by the Company as of September 30, 2013 and 2012:</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Net Change in Unrealized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Change in Unrealized</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3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Appreciation or Depreciation</w:t>
            </w:r>
          </w:p>
        </w:tc>
        <w:tc>
          <w:tcPr>
            <w:tcW w:w="2400" w:type="dxa"/>
            <w:vAlign w:val="bottom"/>
            <w:gridSpan w:val="4"/>
          </w:tcPr>
          <w:p>
            <w:pPr>
              <w:jc w:val="center"/>
              <w:ind w:left="42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for the Three Months Ended</w:t>
            </w:r>
          </w:p>
        </w:tc>
        <w:tc>
          <w:tcPr>
            <w:tcW w:w="620" w:type="dxa"/>
            <w:vAlign w:val="bottom"/>
          </w:tcPr>
          <w:p>
            <w:pPr>
              <w:spacing w:after="0"/>
              <w:rPr>
                <w:sz w:val="12"/>
                <w:szCs w:val="12"/>
                <w:color w:val="auto"/>
              </w:rPr>
            </w:pPr>
          </w:p>
        </w:tc>
        <w:tc>
          <w:tcPr>
            <w:tcW w:w="1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for the Three Months Ended</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September 30, 2013 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 2012 on</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Investments Held at</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September 30, 2013</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September 30, 2012</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tcPr>
          <w:p>
            <w:pPr>
              <w:spacing w:after="0"/>
              <w:rPr>
                <w:sz w:val="20"/>
                <w:szCs w:val="20"/>
                <w:color w:val="auto"/>
              </w:rPr>
            </w:pPr>
            <w:r>
              <w:rPr>
                <w:rFonts w:ascii="Arial" w:cs="Arial" w:eastAsia="Arial" w:hAnsi="Arial"/>
                <w:sz w:val="18"/>
                <w:szCs w:val="18"/>
                <w:color w:val="auto"/>
              </w:rPr>
              <w:t>Preferred equity /mezzanine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jc w:val="center"/>
              <w:ind w:right="2572"/>
              <w:spacing w:after="0"/>
              <w:rPr>
                <w:sz w:val="20"/>
                <w:szCs w:val="20"/>
                <w:color w:val="auto"/>
              </w:rPr>
            </w:pPr>
            <w:r>
              <w:rPr>
                <w:rFonts w:ascii="Arial" w:cs="Arial" w:eastAsia="Arial" w:hAnsi="Arial"/>
                <w:sz w:val="18"/>
                <w:szCs w:val="18"/>
                <w:color w:val="auto"/>
                <w:w w:val="87"/>
              </w:rPr>
              <w:t>investments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vMerge w:val="restart"/>
          </w:tcPr>
          <w:p>
            <w:pPr>
              <w:jc w:val="center"/>
              <w:ind w:right="2592"/>
              <w:spacing w:after="0"/>
              <w:rPr>
                <w:sz w:val="20"/>
                <w:szCs w:val="20"/>
                <w:color w:val="auto"/>
              </w:rPr>
            </w:pPr>
            <w:r>
              <w:rPr>
                <w:rFonts w:ascii="Arial" w:cs="Arial" w:eastAsia="Arial" w:hAnsi="Arial"/>
                <w:sz w:val="18"/>
                <w:szCs w:val="18"/>
                <w:b w:val="1"/>
                <w:bCs w:val="1"/>
                <w:color w:val="auto"/>
                <w:w w:val="88"/>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4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1,861</w:t>
            </w:r>
          </w:p>
        </w:tc>
        <w:tc>
          <w:tcPr>
            <w:tcW w:w="6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Net Change in Unrealized</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Change in Unrealized</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3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Appreciation or Depreciation</w:t>
            </w:r>
          </w:p>
        </w:tc>
        <w:tc>
          <w:tcPr>
            <w:tcW w:w="2400" w:type="dxa"/>
            <w:vAlign w:val="bottom"/>
            <w:gridSpan w:val="4"/>
          </w:tcPr>
          <w:p>
            <w:pPr>
              <w:jc w:val="center"/>
              <w:ind w:left="42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for the Nine Months Ended</w:t>
            </w:r>
          </w:p>
        </w:tc>
        <w:tc>
          <w:tcPr>
            <w:tcW w:w="620" w:type="dxa"/>
            <w:vAlign w:val="bottom"/>
          </w:tcPr>
          <w:p>
            <w:pPr>
              <w:spacing w:after="0"/>
              <w:rPr>
                <w:sz w:val="12"/>
                <w:szCs w:val="12"/>
                <w:color w:val="auto"/>
              </w:rPr>
            </w:pPr>
          </w:p>
        </w:tc>
        <w:tc>
          <w:tcPr>
            <w:tcW w:w="1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for the Nine Months Ended</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September 30, 2013 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 2012 on</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Investments Held at</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September 30, 2013</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September 30, 2012</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tcPr>
          <w:p>
            <w:pPr>
              <w:spacing w:after="0"/>
              <w:rPr>
                <w:sz w:val="20"/>
                <w:szCs w:val="20"/>
                <w:color w:val="auto"/>
              </w:rPr>
            </w:pPr>
            <w:r>
              <w:rPr>
                <w:rFonts w:ascii="Arial" w:cs="Arial" w:eastAsia="Arial" w:hAnsi="Arial"/>
                <w:sz w:val="18"/>
                <w:szCs w:val="18"/>
                <w:color w:val="auto"/>
              </w:rPr>
              <w:t>Preferred equity / mezzanine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jc w:val="center"/>
              <w:ind w:right="2572"/>
              <w:spacing w:after="0"/>
              <w:rPr>
                <w:sz w:val="20"/>
                <w:szCs w:val="20"/>
                <w:color w:val="auto"/>
              </w:rPr>
            </w:pPr>
            <w:r>
              <w:rPr>
                <w:rFonts w:ascii="Arial" w:cs="Arial" w:eastAsia="Arial" w:hAnsi="Arial"/>
                <w:sz w:val="18"/>
                <w:szCs w:val="18"/>
                <w:color w:val="auto"/>
                <w:w w:val="87"/>
              </w:rPr>
              <w:t>investments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vMerge w:val="restart"/>
          </w:tcPr>
          <w:p>
            <w:pPr>
              <w:jc w:val="center"/>
              <w:ind w:right="2592"/>
              <w:spacing w:after="0"/>
              <w:rPr>
                <w:sz w:val="20"/>
                <w:szCs w:val="20"/>
                <w:color w:val="auto"/>
              </w:rPr>
            </w:pPr>
            <w:r>
              <w:rPr>
                <w:rFonts w:ascii="Arial" w:cs="Arial" w:eastAsia="Arial" w:hAnsi="Arial"/>
                <w:sz w:val="18"/>
                <w:szCs w:val="18"/>
                <w:b w:val="1"/>
                <w:bCs w:val="1"/>
                <w:color w:val="auto"/>
                <w:w w:val="88"/>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4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5,354</w:t>
            </w:r>
          </w:p>
        </w:tc>
        <w:tc>
          <w:tcPr>
            <w:tcW w:w="6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September 30, 2013</w:t>
            </w:r>
          </w:p>
        </w:tc>
        <w:tc>
          <w:tcPr>
            <w:tcW w:w="2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Valuation</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from an</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3"/>
              </w:rPr>
              <w:t xml:space="preserve">Fair Value </w:t>
            </w:r>
            <w:r>
              <w:rPr>
                <w:rFonts w:ascii="Arial" w:cs="Arial" w:eastAsia="Arial" w:hAnsi="Arial"/>
                <w:sz w:val="22"/>
                <w:szCs w:val="22"/>
                <w:b w:val="1"/>
                <w:bCs w:val="1"/>
                <w:color w:val="auto"/>
                <w:w w:val="83"/>
                <w:vertAlign w:val="superscript"/>
              </w:rPr>
              <w:t>(1)</w:t>
            </w:r>
          </w:p>
        </w:tc>
        <w:tc>
          <w:tcPr>
            <w:tcW w:w="100" w:type="dxa"/>
            <w:vAlign w:val="bottom"/>
          </w:tcPr>
          <w:p>
            <w:pPr>
              <w:spacing w:after="0"/>
              <w:rPr>
                <w:sz w:val="12"/>
                <w:szCs w:val="12"/>
                <w:color w:val="auto"/>
              </w:rPr>
            </w:pPr>
          </w:p>
        </w:tc>
        <w:tc>
          <w:tcPr>
            <w:tcW w:w="20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Valuation Technique</w:t>
            </w:r>
          </w:p>
        </w:tc>
        <w:tc>
          <w:tcPr>
            <w:tcW w:w="150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Unobservable</w:t>
            </w:r>
          </w:p>
        </w:tc>
        <w:tc>
          <w:tcPr>
            <w:tcW w:w="2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Range</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500" w:type="dxa"/>
            <w:vAlign w:val="bottom"/>
            <w:gridSpan w:val="3"/>
          </w:tcPr>
          <w:p>
            <w:pPr>
              <w:ind w:left="400"/>
              <w:spacing w:after="0"/>
              <w:rPr>
                <w:sz w:val="20"/>
                <w:szCs w:val="20"/>
                <w:color w:val="auto"/>
              </w:rPr>
            </w:pPr>
            <w:r>
              <w:rPr>
                <w:rFonts w:ascii="Arial" w:cs="Arial" w:eastAsia="Arial" w:hAnsi="Arial"/>
                <w:sz w:val="14"/>
                <w:szCs w:val="14"/>
                <w:b w:val="1"/>
                <w:bCs w:val="1"/>
                <w:color w:val="auto"/>
              </w:rPr>
              <w:t>Input</w:t>
            </w:r>
          </w:p>
        </w:tc>
        <w:tc>
          <w:tcPr>
            <w:tcW w:w="2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(Weighted Average)</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 Input</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764,540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Approach</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5.90% —12.06%(10.01%)</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Decrease</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Preferred equity / mezzanine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780</w:t>
            </w:r>
          </w:p>
        </w:tc>
        <w:tc>
          <w:tcPr>
            <w:tcW w:w="2140" w:type="dxa"/>
            <w:vAlign w:val="bottom"/>
            <w:gridSpan w:val="3"/>
          </w:tcPr>
          <w:p>
            <w:pPr>
              <w:ind w:left="100"/>
              <w:spacing w:after="0"/>
              <w:rPr>
                <w:sz w:val="20"/>
                <w:szCs w:val="20"/>
                <w:color w:val="auto"/>
              </w:rPr>
            </w:pPr>
            <w:r>
              <w:rPr>
                <w:rFonts w:ascii="Arial" w:cs="Arial" w:eastAsia="Arial" w:hAnsi="Arial"/>
                <w:sz w:val="18"/>
                <w:szCs w:val="18"/>
                <w:color w:val="auto"/>
              </w:rPr>
              <w:t xml:space="preserve">Market Approach </w:t>
            </w:r>
            <w:r>
              <w:rPr>
                <w:rFonts w:ascii="Arial" w:cs="Arial" w:eastAsia="Arial" w:hAnsi="Arial"/>
                <w:sz w:val="11"/>
                <w:szCs w:val="11"/>
                <w:color w:val="auto"/>
              </w:rPr>
              <w:t>(2)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EBITDA</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w:t>
            </w:r>
          </w:p>
        </w:tc>
        <w:tc>
          <w:tcPr>
            <w:tcW w:w="21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Market Approach</w:t>
            </w:r>
          </w:p>
        </w:tc>
        <w:tc>
          <w:tcPr>
            <w:tcW w:w="1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Multiple</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9.5x</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365"/>
        </w:trPr>
        <w:tc>
          <w:tcPr>
            <w:tcW w:w="2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 2012</w:t>
            </w:r>
          </w:p>
        </w:tc>
        <w:tc>
          <w:tcPr>
            <w:tcW w:w="2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Valuation</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from an</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22"/>
                <w:szCs w:val="22"/>
                <w:b w:val="1"/>
                <w:bCs w:val="1"/>
                <w:color w:val="auto"/>
                <w:w w:val="96"/>
                <w:vertAlign w:val="superscript"/>
              </w:rPr>
              <w:t>(1)</w:t>
            </w:r>
          </w:p>
        </w:tc>
        <w:tc>
          <w:tcPr>
            <w:tcW w:w="100" w:type="dxa"/>
            <w:vAlign w:val="bottom"/>
          </w:tcPr>
          <w:p>
            <w:pPr>
              <w:spacing w:after="0"/>
              <w:rPr>
                <w:sz w:val="12"/>
                <w:szCs w:val="12"/>
                <w:color w:val="auto"/>
              </w:rPr>
            </w:pPr>
          </w:p>
        </w:tc>
        <w:tc>
          <w:tcPr>
            <w:tcW w:w="20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Valuation Technique</w:t>
            </w:r>
          </w:p>
        </w:tc>
        <w:tc>
          <w:tcPr>
            <w:tcW w:w="150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Unobservable</w:t>
            </w:r>
          </w:p>
        </w:tc>
        <w:tc>
          <w:tcPr>
            <w:tcW w:w="2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Range</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500" w:type="dxa"/>
            <w:vAlign w:val="bottom"/>
            <w:gridSpan w:val="3"/>
          </w:tcPr>
          <w:p>
            <w:pPr>
              <w:ind w:left="400"/>
              <w:spacing w:after="0"/>
              <w:rPr>
                <w:sz w:val="20"/>
                <w:szCs w:val="20"/>
                <w:color w:val="auto"/>
              </w:rPr>
            </w:pPr>
            <w:r>
              <w:rPr>
                <w:rFonts w:ascii="Arial" w:cs="Arial" w:eastAsia="Arial" w:hAnsi="Arial"/>
                <w:sz w:val="14"/>
                <w:szCs w:val="14"/>
                <w:b w:val="1"/>
                <w:bCs w:val="1"/>
                <w:color w:val="auto"/>
              </w:rPr>
              <w:t>Input</w:t>
            </w:r>
          </w:p>
        </w:tc>
        <w:tc>
          <w:tcPr>
            <w:tcW w:w="2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(Weighted Average)</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 Input</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Approach</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 — 11.29%(9.84%)</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Decrease</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Common equity</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2140" w:type="dxa"/>
            <w:vAlign w:val="bottom"/>
            <w:gridSpan w:val="3"/>
          </w:tcPr>
          <w:p>
            <w:pPr>
              <w:ind w:left="100"/>
              <w:spacing w:after="0"/>
              <w:rPr>
                <w:sz w:val="20"/>
                <w:szCs w:val="20"/>
                <w:color w:val="auto"/>
              </w:rPr>
            </w:pPr>
            <w:r>
              <w:rPr>
                <w:rFonts w:ascii="Arial" w:cs="Arial" w:eastAsia="Arial" w:hAnsi="Arial"/>
                <w:sz w:val="18"/>
                <w:szCs w:val="18"/>
                <w:color w:val="auto"/>
              </w:rPr>
              <w:t xml:space="preserve">Market Approach </w:t>
            </w:r>
            <w:r>
              <w:rPr>
                <w:rFonts w:ascii="Arial" w:cs="Arial" w:eastAsia="Arial" w:hAnsi="Arial"/>
                <w:sz w:val="11"/>
                <w:szCs w:val="11"/>
                <w:color w:val="auto"/>
              </w:rPr>
              <w:t>(2)</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80" w:right="640" w:hanging="572"/>
        <w:spacing w:after="0" w:line="286" w:lineRule="auto"/>
        <w:tabs>
          <w:tab w:leader="none" w:pos="5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Excludes $69.5 million and $114.5 million of debt investments as of September 30, 2013 and December 31, 2012, respectively, which, due to the proximity of the transactions relative to the measurement date, were valued by using the value implied from such transactions.</w:t>
      </w:r>
    </w:p>
    <w:p>
      <w:pPr>
        <w:ind w:left="580" w:right="160" w:hanging="572"/>
        <w:spacing w:after="0" w:line="261" w:lineRule="auto"/>
        <w:tabs>
          <w:tab w:leader="none" w:pos="5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Due to the proximity of the transaction relative to the measurement date, the value implied from the transaction is representative of the fair value for the investments as of September 30, 2013 and December 31, 2012,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September 30, 2013 and December 31, 2012,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carrying amounts of the Company’s financial assets and liabilities as of September 30, 2013 and December 31, 2012,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borrowings, are classified as Level 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September 30, 2013 and December 31, 2012, the Company’s asset coverage was 265.9% and 244.6%,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September 30, 2013 and December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September 30, 2013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4"/>
              </w:rPr>
              <w:t>Borrowings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
              <w:spacing w:after="0" w:line="129"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Total Facility</w:t>
            </w:r>
          </w:p>
        </w:tc>
        <w:tc>
          <w:tcPr>
            <w:tcW w:w="7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7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53,000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67,767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400,000</w:t>
            </w:r>
          </w:p>
        </w:tc>
        <w:tc>
          <w:tcPr>
            <w:tcW w:w="7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600,000</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$ 338,267</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December 31, 2012</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4"/>
              </w:rPr>
              <w:t>Borrowings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
              <w:spacing w:after="0" w:line="129"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Total Facility</w:t>
            </w:r>
          </w:p>
        </w:tc>
        <w:tc>
          <w:tcPr>
            <w:tcW w:w="7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7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66,836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200,000</w:t>
            </w:r>
          </w:p>
        </w:tc>
        <w:tc>
          <w:tcPr>
            <w:tcW w:w="7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550,000</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$ 331,836</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 On November 8, 2013, the Reinvestment Period of the Revolving Credit Facility (Natixis) expired and accordingly any availability under the facility terminated.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three and nine months ended September 30, 2013 and 2012, the components of interest expense, average debt outstanding, and weighted average interest rate on borrowings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1"/>
              </w:rPr>
              <w:t>Nine Months Ended</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50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0" w:type="dxa"/>
            <w:vAlign w:val="bottom"/>
          </w:tcPr>
          <w:p>
            <w:pPr>
              <w:spacing w:after="0"/>
              <w:rPr>
                <w:sz w:val="11"/>
                <w:szCs w:val="11"/>
                <w:color w:val="auto"/>
              </w:rPr>
            </w:pPr>
          </w:p>
        </w:tc>
      </w:tr>
      <w:tr>
        <w:trPr>
          <w:trHeight w:val="161"/>
        </w:trPr>
        <w:tc>
          <w:tcPr>
            <w:tcW w:w="4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2012</w:t>
            </w:r>
          </w:p>
        </w:tc>
        <w:tc>
          <w:tcPr>
            <w:tcW w:w="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Commitment fees</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341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365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1,151</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0" w:type="dxa"/>
            <w:vAlign w:val="bottom"/>
            <w:shd w:val="clear" w:color="auto" w:fill="CCEEFF"/>
          </w:tcPr>
          <w:p>
            <w:pPr>
              <w:spacing w:after="0"/>
              <w:rPr>
                <w:sz w:val="18"/>
                <w:szCs w:val="18"/>
                <w:color w:val="auto"/>
              </w:rPr>
            </w:pPr>
          </w:p>
        </w:tc>
      </w:tr>
      <w:tr>
        <w:trPr>
          <w:trHeight w:val="222"/>
        </w:trPr>
        <w:tc>
          <w:tcPr>
            <w:tcW w:w="450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2,651</w:t>
            </w:r>
          </w:p>
        </w:tc>
        <w:tc>
          <w:tcPr>
            <w:tcW w:w="5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1,780</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7,330</w:t>
            </w:r>
          </w:p>
        </w:tc>
        <w:tc>
          <w:tcPr>
            <w:tcW w:w="8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3,856</w:t>
            </w:r>
          </w:p>
        </w:tc>
        <w:tc>
          <w:tcPr>
            <w:tcW w:w="2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270,999</w:t>
            </w: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127,145</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226,294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92,398</w:t>
            </w:r>
          </w:p>
        </w:tc>
        <w:tc>
          <w:tcPr>
            <w:tcW w:w="200" w:type="dxa"/>
            <w:vAlign w:val="bottom"/>
            <w:shd w:val="clear" w:color="auto" w:fill="CCEEFF"/>
          </w:tcPr>
          <w:p>
            <w:pPr>
              <w:spacing w:after="0"/>
              <w:rPr>
                <w:sz w:val="18"/>
                <w:szCs w:val="18"/>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6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356"/>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F-53</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200" w:firstLine="456"/>
        <w:spacing w:after="0" w:line="305" w:lineRule="auto"/>
        <w:rPr>
          <w:sz w:val="20"/>
          <w:szCs w:val="20"/>
          <w:color w:val="auto"/>
        </w:rPr>
      </w:pPr>
      <w:r>
        <w:rPr>
          <w:rFonts w:ascii="Arial" w:cs="Arial" w:eastAsia="Arial" w:hAnsi="Arial"/>
          <w:sz w:val="15"/>
          <w:szCs w:val="15"/>
          <w:color w:val="auto"/>
        </w:rPr>
        <w:t>During July 2013, the Company delivered notices to Deutsche Bank Trust Company Americas to permanently reduce the commitment of the Company’s Revolving Credit Facility (DBTCA) from $250 million to $100 million. The elective reduction was made in anticipation of the facility expiring in December</w:t>
      </w:r>
    </w:p>
    <w:p>
      <w:pPr>
        <w:spacing w:after="0" w:line="261" w:lineRule="auto"/>
        <w:rPr>
          <w:sz w:val="20"/>
          <w:szCs w:val="20"/>
          <w:color w:val="auto"/>
        </w:rPr>
      </w:pPr>
      <w:r>
        <w:rPr>
          <w:rFonts w:ascii="Arial" w:cs="Arial" w:eastAsia="Arial" w:hAnsi="Arial"/>
          <w:sz w:val="18"/>
          <w:szCs w:val="18"/>
          <w:color w:val="auto"/>
        </w:rPr>
        <w:t>2013 and does not have a significant effect on the Company’s liquidity as (i) the Company’s borrowings are limited by the 1940 Act’s asset coverage requirement; and (ii) there is adequate availability under the Company’s other credit facilities.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July 17, 2013, the Company’s wholly-owned subsidiary TPG SL SPV, LLC amended the Revolving Credit Facility (Natixis). The amendment included additional options in the matrix table used in connection with managing the various benchmarks and compliance with the facility’s collateral quality tests.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Revolving Credit Facility (Natixis) is secured by a perfected first priority security interest in the assets of TPG SL SPV, LLC, a wholly-owned subsidiary of the Company (the “Subsidiary”) and on any payments received by the Subsidiary in respect of such assets and, as such, are not available to pay the debts of the Company. As of September 30, 2013 and December 31, 2012, the Subsidiary had $177.0 million and $163.8 million, respectively, in assets, including $167.6 million and $154.4 million, respectively, in investments, and $68.3 million and $67.3 million, respectively, in liabilities, including the outstanding borrowings, on its balance sheet. As of September 30, 2013 and December 31, 2012, the Subsidiary had $5.8 million and $4.3 million, respectively, in restricted cash, a component of Prepaid expenses and other assets, in the accompanying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On July 2, 2013, the Company entered into an agreement to amend and restate the Revolving Credit Facility (SunTrust), effective on July 3, 2013. The amended and restated facility, among other things, (a) increased the size of the facility from $200 million to $350 million; (b) increased the limit for swingline loans from $30 million to $50 million; (c) extended the expiration of the revolving period from August 24, 2015 to June 30, 2017, during which period the Company, subject to certain conditions, may make borrowings under the facility; (d) extended the stated maturity date from August 23, 2016 to July 2, 2018; (e) modified pricing; and, (f) increased advance rates for certain types of investments used in determining the borrowing base.</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amended and restated facility also reduced the fee rate on undrawn commitment amounts from 0.500% to 0.375% per annum. The amended and restated facility continues to be guaranteed by certain subsidiaries of the Company and secured by a perfected first-priority security interest in substantially all the portfolio investments held by the Company and each guarantor.</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amended and restated facility includes an uncommitted accordion feature that allows the Company, under certain circumstances, to increase the size of the facility to a maximum of $550 million. On September 30, 2013, the Company exercised its right under the accordion feature and increased the size of the facility to $400 million.</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Prior to the amendment, the revolving credit facility contained a covenant restricting the Company from incurring secured debt (other than the facility and any capital call facility) in excess of 40% of the total assets of the Company. The amended and restated facility removes this covenant. The amended and restated facility continues to include customary covenants, including certain financial covenants related to asset coverage and liquidity and other maintenance covenants, as well as customary events of default.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and December 31, 2012, the Company was in compliance with the terms of its debt obligations.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740" w:firstLine="8"/>
        <w:spacing w:after="0" w:line="417" w:lineRule="auto"/>
        <w:tabs>
          <w:tab w:leader="none" w:pos="176" w:val="left"/>
        </w:tabs>
        <w:numPr>
          <w:ilvl w:val="0"/>
          <w:numId w:val="17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September 30, 2013 and December 31, 2012, the Company had the following commitments to fund investments: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7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20,782</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14,100</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5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of September 30, 2013 and December 31, 2012, the Company had $1.5 billion and $1.4 billion, respectively, in total capital commitments from investors ($1.0 billion and $0.9 billion unfunded, respectively), of which $117.1 million and $114.1 million, respectively, is from the Adviser and its affiliates ($76.7 million and $76.6 million unfunded, respectively).</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September 30, 2013,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nine months ended September 30, 2013 and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gridSpan w:val="2"/>
          </w:tcPr>
          <w:p>
            <w:pPr>
              <w:jc w:val="right"/>
              <w:ind w:right="83"/>
              <w:spacing w:after="0"/>
              <w:rPr>
                <w:sz w:val="20"/>
                <w:szCs w:val="20"/>
                <w:color w:val="auto"/>
              </w:rPr>
            </w:pPr>
            <w:r>
              <w:rPr>
                <w:rFonts w:ascii="Arial" w:cs="Arial" w:eastAsia="Arial" w:hAnsi="Arial"/>
                <w:sz w:val="14"/>
                <w:szCs w:val="14"/>
                <w:b w:val="1"/>
                <w:bCs w:val="1"/>
                <w:color w:val="auto"/>
                <w:w w:val="88"/>
              </w:rPr>
              <w:t>Nine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8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4"/>
                <w:szCs w:val="14"/>
                <w:b w:val="1"/>
                <w:bCs w:val="1"/>
                <w:color w:val="auto"/>
                <w:w w:val="88"/>
              </w:rPr>
              <w:t>September 30, 2013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5860" w:type="dxa"/>
            <w:vAlign w:val="bottom"/>
          </w:tcPr>
          <w:p>
            <w:pPr>
              <w:spacing w:after="0"/>
              <w:rPr>
                <w:sz w:val="10"/>
                <w:szCs w:val="10"/>
                <w:color w:val="auto"/>
              </w:rPr>
            </w:pPr>
          </w:p>
        </w:tc>
        <w:tc>
          <w:tcPr>
            <w:tcW w:w="740" w:type="dxa"/>
            <w:vAlign w:val="bottom"/>
          </w:tcPr>
          <w:p>
            <w:pPr>
              <w:jc w:val="right"/>
              <w:ind w:right="122"/>
              <w:spacing w:after="0" w:line="115" w:lineRule="exact"/>
              <w:rPr>
                <w:sz w:val="20"/>
                <w:szCs w:val="20"/>
                <w:color w:val="auto"/>
              </w:rPr>
            </w:pPr>
            <w:r>
              <w:rPr>
                <w:rFonts w:ascii="Arial" w:cs="Arial" w:eastAsia="Arial" w:hAnsi="Arial"/>
                <w:sz w:val="12"/>
                <w:szCs w:val="12"/>
                <w:b w:val="1"/>
                <w:bCs w:val="1"/>
                <w:color w:val="auto"/>
              </w:rPr>
              <w:t>Shares</w:t>
            </w: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6"/>
        </w:trPr>
        <w:tc>
          <w:tcPr>
            <w:tcW w:w="5860" w:type="dxa"/>
            <w:vAlign w:val="bottom"/>
          </w:tcPr>
          <w:p>
            <w:pPr>
              <w:spacing w:after="0"/>
              <w:rPr>
                <w:sz w:val="15"/>
                <w:szCs w:val="15"/>
                <w:color w:val="auto"/>
              </w:rPr>
            </w:pPr>
          </w:p>
        </w:tc>
        <w:tc>
          <w:tcPr>
            <w:tcW w:w="740" w:type="dxa"/>
            <w:vAlign w:val="bottom"/>
          </w:tcPr>
          <w:p>
            <w:pPr>
              <w:jc w:val="right"/>
              <w:ind w:right="42"/>
              <w:spacing w:after="0" w:line="176" w:lineRule="exact"/>
              <w:rPr>
                <w:sz w:val="20"/>
                <w:szCs w:val="20"/>
                <w:color w:val="auto"/>
              </w:rPr>
            </w:pPr>
            <w:r>
              <w:rPr>
                <w:rFonts w:ascii="Arial" w:cs="Arial" w:eastAsia="Arial" w:hAnsi="Arial"/>
                <w:sz w:val="13"/>
                <w:szCs w:val="13"/>
                <w:b w:val="1"/>
                <w:bCs w:val="1"/>
                <w:color w:val="auto"/>
              </w:rPr>
              <w:t>Issued</w:t>
            </w:r>
            <w:r>
              <w:rPr>
                <w:rFonts w:ascii="Arial" w:cs="Arial" w:eastAsia="Arial" w:hAnsi="Arial"/>
                <w:sz w:val="20"/>
                <w:szCs w:val="20"/>
                <w:b w:val="1"/>
                <w:bCs w:val="1"/>
                <w:color w:val="auto"/>
                <w:vertAlign w:val="superscript"/>
              </w:rPr>
              <w:t>(2)</w:t>
            </w:r>
          </w:p>
        </w:tc>
        <w:tc>
          <w:tcPr>
            <w:tcW w:w="20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Proceeds Received</w:t>
            </w:r>
          </w:p>
        </w:tc>
      </w:tr>
      <w:tr>
        <w:trPr>
          <w:trHeight w:val="210"/>
        </w:trPr>
        <w:tc>
          <w:tcPr>
            <w:tcW w:w="5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20, 2013</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2,079,224</w:t>
            </w:r>
          </w:p>
        </w:tc>
        <w:tc>
          <w:tcPr>
            <w:tcW w:w="9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 xml:space="preserve">September 13, 2013 </w:t>
            </w:r>
            <w:r>
              <w:rPr>
                <w:rFonts w:ascii="Arial" w:cs="Arial" w:eastAsia="Arial" w:hAnsi="Arial"/>
                <w:sz w:val="11"/>
                <w:szCs w:val="11"/>
                <w:color w:val="auto"/>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1,633,829</w:t>
            </w:r>
          </w:p>
        </w:tc>
        <w:tc>
          <w:tcPr>
            <w:tcW w:w="9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3,713,053</w:t>
            </w:r>
          </w:p>
        </w:tc>
        <w:tc>
          <w:tcPr>
            <w:tcW w:w="134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00" w:type="dxa"/>
            <w:vAlign w:val="bottom"/>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As of September 30, 2013, there were $0.1 million in capital drawdowns outstanding from investors. On October 2, 2013, all outstanding amounts had been received by the Company.</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120" w:type="dxa"/>
            <w:vAlign w:val="bottom"/>
            <w:gridSpan w:val="3"/>
          </w:tcPr>
          <w:p>
            <w:pPr>
              <w:jc w:val="right"/>
              <w:ind w:right="63"/>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5"/>
              </w:rPr>
              <w:t>September 30, 2012</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5740" w:type="dxa"/>
            <w:vAlign w:val="bottom"/>
          </w:tcPr>
          <w:p>
            <w:pPr>
              <w:spacing w:after="0"/>
              <w:rPr>
                <w:sz w:val="10"/>
                <w:szCs w:val="10"/>
                <w:color w:val="auto"/>
              </w:rPr>
            </w:pPr>
          </w:p>
        </w:tc>
        <w:tc>
          <w:tcPr>
            <w:tcW w:w="840" w:type="dxa"/>
            <w:vAlign w:val="bottom"/>
          </w:tcPr>
          <w:p>
            <w:pPr>
              <w:jc w:val="right"/>
              <w:ind w:right="179"/>
              <w:spacing w:after="0" w:line="115" w:lineRule="exact"/>
              <w:rPr>
                <w:sz w:val="20"/>
                <w:szCs w:val="20"/>
                <w:color w:val="auto"/>
              </w:rPr>
            </w:pPr>
            <w:r>
              <w:rPr>
                <w:rFonts w:ascii="Arial" w:cs="Arial" w:eastAsia="Arial" w:hAnsi="Arial"/>
                <w:sz w:val="12"/>
                <w:szCs w:val="12"/>
                <w:b w:val="1"/>
                <w:bCs w:val="1"/>
                <w:color w:val="auto"/>
              </w:rPr>
              <w:t>Shares</w:t>
            </w: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6"/>
        </w:trPr>
        <w:tc>
          <w:tcPr>
            <w:tcW w:w="5740" w:type="dxa"/>
            <w:vAlign w:val="bottom"/>
          </w:tcPr>
          <w:p>
            <w:pPr>
              <w:spacing w:after="0"/>
              <w:rPr>
                <w:sz w:val="15"/>
                <w:szCs w:val="15"/>
                <w:color w:val="auto"/>
              </w:rPr>
            </w:pPr>
          </w:p>
        </w:tc>
        <w:tc>
          <w:tcPr>
            <w:tcW w:w="840" w:type="dxa"/>
            <w:vAlign w:val="bottom"/>
          </w:tcPr>
          <w:p>
            <w:pPr>
              <w:jc w:val="right"/>
              <w:ind w:right="99"/>
              <w:spacing w:after="0" w:line="176" w:lineRule="exact"/>
              <w:rPr>
                <w:sz w:val="20"/>
                <w:szCs w:val="20"/>
                <w:color w:val="auto"/>
              </w:rPr>
            </w:pPr>
            <w:r>
              <w:rPr>
                <w:rFonts w:ascii="Arial" w:cs="Arial" w:eastAsia="Arial" w:hAnsi="Arial"/>
                <w:sz w:val="13"/>
                <w:szCs w:val="13"/>
                <w:b w:val="1"/>
                <w:bCs w:val="1"/>
                <w:color w:val="auto"/>
              </w:rPr>
              <w:t>Issued</w:t>
            </w:r>
            <w:r>
              <w:rPr>
                <w:rFonts w:ascii="Arial" w:cs="Arial" w:eastAsia="Arial" w:hAnsi="Arial"/>
                <w:sz w:val="20"/>
                <w:szCs w:val="20"/>
                <w:b w:val="1"/>
                <w:bCs w:val="1"/>
                <w:color w:val="auto"/>
                <w:vertAlign w:val="superscript"/>
              </w:rPr>
              <w:t>(2)</w:t>
            </w:r>
          </w:p>
        </w:tc>
        <w:tc>
          <w:tcPr>
            <w:tcW w:w="2100" w:type="dxa"/>
            <w:vAlign w:val="bottom"/>
            <w:gridSpan w:val="4"/>
          </w:tcPr>
          <w:p>
            <w:pPr>
              <w:ind w:left="920"/>
              <w:spacing w:after="0"/>
              <w:rPr>
                <w:sz w:val="20"/>
                <w:szCs w:val="20"/>
                <w:color w:val="auto"/>
              </w:rPr>
            </w:pPr>
            <w:r>
              <w:rPr>
                <w:rFonts w:ascii="Arial" w:cs="Arial" w:eastAsia="Arial" w:hAnsi="Arial"/>
                <w:sz w:val="14"/>
                <w:szCs w:val="14"/>
                <w:b w:val="1"/>
                <w:bCs w:val="1"/>
                <w:color w:val="auto"/>
                <w:w w:val="90"/>
              </w:rPr>
              <w:t>Proceeds Received</w:t>
            </w:r>
          </w:p>
        </w:tc>
      </w:tr>
      <w:tr>
        <w:trPr>
          <w:trHeight w:val="210"/>
        </w:trPr>
        <w:tc>
          <w:tcPr>
            <w:tcW w:w="5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435,061</w:t>
            </w:r>
          </w:p>
        </w:tc>
        <w:tc>
          <w:tcPr>
            <w:tcW w:w="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February 22, 2012</w:t>
            </w:r>
          </w:p>
        </w:tc>
        <w:tc>
          <w:tcPr>
            <w:tcW w:w="840" w:type="dxa"/>
            <w:vAlign w:val="bottom"/>
          </w:tcPr>
          <w:p>
            <w:pPr>
              <w:jc w:val="right"/>
              <w:spacing w:after="0"/>
              <w:rPr>
                <w:sz w:val="20"/>
                <w:szCs w:val="20"/>
                <w:color w:val="auto"/>
              </w:rPr>
            </w:pPr>
            <w:r>
              <w:rPr>
                <w:rFonts w:ascii="Arial" w:cs="Arial" w:eastAsia="Arial" w:hAnsi="Arial"/>
                <w:sz w:val="18"/>
                <w:szCs w:val="18"/>
                <w:color w:val="auto"/>
              </w:rPr>
              <w:t>2,368,398</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5,076,511</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May 31, 2012</w:t>
            </w:r>
          </w:p>
        </w:tc>
        <w:tc>
          <w:tcPr>
            <w:tcW w:w="840" w:type="dxa"/>
            <w:vAlign w:val="bottom"/>
          </w:tcPr>
          <w:p>
            <w:pPr>
              <w:jc w:val="right"/>
              <w:spacing w:after="0"/>
              <w:rPr>
                <w:sz w:val="20"/>
                <w:szCs w:val="20"/>
                <w:color w:val="auto"/>
              </w:rPr>
            </w:pPr>
            <w:r>
              <w:rPr>
                <w:rFonts w:ascii="Arial" w:cs="Arial" w:eastAsia="Arial" w:hAnsi="Arial"/>
                <w:sz w:val="18"/>
                <w:szCs w:val="18"/>
                <w:color w:val="auto"/>
              </w:rPr>
              <w:t>892,058</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June 29, 2012 </w:t>
            </w:r>
            <w:r>
              <w:rPr>
                <w:rFonts w:ascii="Arial" w:cs="Arial" w:eastAsia="Arial" w:hAnsi="Arial"/>
                <w:sz w:val="11"/>
                <w:szCs w:val="11"/>
                <w:color w:val="auto"/>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2,319,591</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September 26, 2012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1,496,143</w:t>
            </w:r>
          </w:p>
        </w:tc>
        <w:tc>
          <w:tcPr>
            <w:tcW w:w="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12,587,762</w:t>
            </w:r>
          </w:p>
        </w:tc>
        <w:tc>
          <w:tcPr>
            <w:tcW w:w="128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187,586</w:t>
            </w:r>
          </w:p>
        </w:tc>
        <w:tc>
          <w:tcPr>
            <w:tcW w:w="100" w:type="dxa"/>
            <w:vAlign w:val="bottom"/>
            <w:shd w:val="clear" w:color="auto" w:fill="CCEEFF"/>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620" w:hanging="452"/>
        <w:spacing w:after="0" w:line="268"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As of June 30, 2012, there were $2.9 million in capital drawdowns outstanding from investors. On July 13, 2012, all outstanding amounts had been received by the Company.</w:t>
      </w:r>
    </w:p>
    <w:p>
      <w:pPr>
        <w:spacing w:after="0" w:line="118"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89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 during the nine months ended September 30, 2013 and 2012:</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3"/>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September 30, 2013</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720" w:type="dxa"/>
            <w:vAlign w:val="bottom"/>
            <w:vMerge w:val="restart"/>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Date</w:t>
            </w: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 Issued</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1740" w:type="dxa"/>
            <w:vAlign w:val="bottom"/>
            <w:gridSpan w:val="2"/>
          </w:tcPr>
          <w:p>
            <w:pPr>
              <w:ind w:left="460"/>
              <w:spacing w:after="0" w:line="148" w:lineRule="exact"/>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4"/>
                <w:szCs w:val="14"/>
                <w:color w:val="auto"/>
              </w:rPr>
            </w:pPr>
          </w:p>
        </w:tc>
        <w:tc>
          <w:tcPr>
            <w:tcW w:w="17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2"/>
              </w:rPr>
              <w:t>Shares Issued</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December 31, 2012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12, 2013</w:t>
            </w:r>
          </w:p>
        </w:tc>
        <w:tc>
          <w:tcPr>
            <w:tcW w:w="4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343,981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March 31, 2013</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2013</w:t>
            </w:r>
          </w:p>
        </w:tc>
        <w:tc>
          <w:tcPr>
            <w:tcW w:w="28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May 7, 2013</w:t>
            </w:r>
          </w:p>
        </w:tc>
        <w:tc>
          <w:tcPr>
            <w:tcW w:w="1100" w:type="dxa"/>
            <w:vAlign w:val="bottom"/>
          </w:tcPr>
          <w:p>
            <w:pPr>
              <w:jc w:val="right"/>
              <w:spacing w:after="0"/>
              <w:rPr>
                <w:sz w:val="20"/>
                <w:szCs w:val="20"/>
                <w:color w:val="auto"/>
              </w:rPr>
            </w:pPr>
            <w:r>
              <w:rPr>
                <w:rFonts w:ascii="Arial" w:cs="Arial" w:eastAsia="Arial" w:hAnsi="Arial"/>
                <w:sz w:val="18"/>
                <w:szCs w:val="18"/>
                <w:color w:val="auto"/>
              </w:rPr>
              <w:t>436,728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30, 2013</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6, 2013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September 30, 2012</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720" w:type="dxa"/>
            <w:vAlign w:val="bottom"/>
            <w:vMerge w:val="restart"/>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Date</w:t>
            </w: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 Issued</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1740" w:type="dxa"/>
            <w:vAlign w:val="bottom"/>
            <w:gridSpan w:val="2"/>
          </w:tcPr>
          <w:p>
            <w:pPr>
              <w:ind w:left="460"/>
              <w:spacing w:after="0" w:line="148" w:lineRule="exact"/>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4"/>
                <w:szCs w:val="14"/>
                <w:color w:val="auto"/>
              </w:rPr>
            </w:pPr>
          </w:p>
        </w:tc>
        <w:tc>
          <w:tcPr>
            <w:tcW w:w="17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2"/>
              </w:rPr>
              <w:t>Shares Issued</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December 31, 2011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20, 2012</w:t>
            </w:r>
          </w:p>
        </w:tc>
        <w:tc>
          <w:tcPr>
            <w:tcW w:w="4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22,870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March 20, 2012</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2012</w:t>
            </w:r>
          </w:p>
        </w:tc>
        <w:tc>
          <w:tcPr>
            <w:tcW w:w="28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May 16, 2012</w:t>
            </w:r>
          </w:p>
        </w:tc>
        <w:tc>
          <w:tcPr>
            <w:tcW w:w="1100" w:type="dxa"/>
            <w:vAlign w:val="bottom"/>
          </w:tcPr>
          <w:p>
            <w:pPr>
              <w:jc w:val="right"/>
              <w:spacing w:after="0"/>
              <w:rPr>
                <w:sz w:val="20"/>
                <w:szCs w:val="20"/>
                <w:color w:val="auto"/>
              </w:rPr>
            </w:pPr>
            <w:r>
              <w:rPr>
                <w:rFonts w:ascii="Arial" w:cs="Arial" w:eastAsia="Arial" w:hAnsi="Arial"/>
                <w:sz w:val="18"/>
                <w:szCs w:val="18"/>
                <w:color w:val="auto"/>
              </w:rPr>
              <w:t>97,214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2012</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30, 2012</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7, 2012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5, 2013, the Company’s issued and outstanding shares total 37,026,023, as adjusted for the stock split.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20" w:type="dxa"/>
            <w:vAlign w:val="bottom"/>
            <w:gridSpan w:val="6"/>
          </w:tcPr>
          <w:p>
            <w:pPr>
              <w:ind w:left="58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5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7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740" w:type="dxa"/>
            <w:vAlign w:val="bottom"/>
          </w:tcPr>
          <w:p>
            <w:pPr>
              <w:spacing w:after="0"/>
              <w:rPr>
                <w:sz w:val="11"/>
                <w:szCs w:val="11"/>
                <w:color w:val="auto"/>
              </w:rPr>
            </w:pPr>
          </w:p>
        </w:tc>
        <w:tc>
          <w:tcPr>
            <w:tcW w:w="12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September 30,</w:t>
            </w:r>
          </w:p>
        </w:tc>
        <w:tc>
          <w:tcPr>
            <w:tcW w:w="3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r>
      <w:tr>
        <w:trPr>
          <w:trHeight w:val="161"/>
        </w:trPr>
        <w:tc>
          <w:tcPr>
            <w:tcW w:w="51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45,927</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100" w:type="dxa"/>
            <w:vAlign w:val="bottom"/>
            <w:shd w:val="clear" w:color="auto" w:fill="CCEEFF"/>
          </w:tcPr>
          <w:p>
            <w:pPr>
              <w:spacing w:after="0"/>
              <w:rPr>
                <w:sz w:val="18"/>
                <w:szCs w:val="18"/>
                <w:color w:val="auto"/>
              </w:rPr>
            </w:pPr>
          </w:p>
        </w:tc>
      </w:tr>
      <w:tr>
        <w:trPr>
          <w:trHeight w:val="208"/>
        </w:trPr>
        <w:tc>
          <w:tcPr>
            <w:tcW w:w="5120" w:type="dxa"/>
            <w:vAlign w:val="bottom"/>
          </w:tcPr>
          <w:p>
            <w:pPr>
              <w:spacing w:after="0"/>
              <w:rPr>
                <w:sz w:val="20"/>
                <w:szCs w:val="20"/>
                <w:color w:val="auto"/>
              </w:rPr>
            </w:pPr>
            <w:r>
              <w:rPr>
                <w:rFonts w:ascii="Arial" w:cs="Arial" w:eastAsia="Arial" w:hAnsi="Arial"/>
                <w:sz w:val="18"/>
                <w:szCs w:val="18"/>
                <w:color w:val="auto"/>
                <w:w w:val="94"/>
              </w:rPr>
              <w:t>Weighted average shares of common stock outstanding – basic and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120" w:type="dxa"/>
            <w:vAlign w:val="bottom"/>
          </w:tcPr>
          <w:p>
            <w:pPr>
              <w:ind w:left="220"/>
              <w:spacing w:after="0"/>
              <w:rPr>
                <w:sz w:val="20"/>
                <w:szCs w:val="20"/>
                <w:color w:val="auto"/>
              </w:rPr>
            </w:pPr>
            <w:r>
              <w:rPr>
                <w:rFonts w:ascii="Arial" w:cs="Arial" w:eastAsia="Arial" w:hAnsi="Arial"/>
                <w:sz w:val="18"/>
                <w:szCs w:val="18"/>
                <w:color w:val="auto"/>
              </w:rPr>
              <w:t>diluted</w:t>
            </w:r>
            <w:r>
              <w:rPr>
                <w:rFonts w:ascii="Arial" w:cs="Arial" w:eastAsia="Arial" w:hAnsi="Arial"/>
                <w:sz w:val="11"/>
                <w:szCs w:val="11"/>
                <w:color w:val="auto"/>
              </w:rPr>
              <w:t>(1)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34,817,674</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w w:val="86"/>
              </w:rPr>
              <w:t>23,195,714</w:t>
            </w:r>
          </w:p>
        </w:tc>
        <w:tc>
          <w:tcPr>
            <w:tcW w:w="10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33,891,011</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18,832,303</w:t>
            </w:r>
          </w:p>
        </w:tc>
        <w:tc>
          <w:tcPr>
            <w:tcW w:w="100" w:type="dxa"/>
            <w:vAlign w:val="bottom"/>
          </w:tcPr>
          <w:p>
            <w:pPr>
              <w:spacing w:after="0"/>
              <w:rPr>
                <w:sz w:val="19"/>
                <w:szCs w:val="19"/>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 and diluted</w:t>
            </w:r>
            <w:r>
              <w:rPr>
                <w:rFonts w:ascii="Arial" w:cs="Arial" w:eastAsia="Arial" w:hAnsi="Arial"/>
                <w:sz w:val="11"/>
                <w:szCs w:val="11"/>
                <w:color w:val="auto"/>
              </w:rPr>
              <w:t>(1)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dividends declared during the nine months ended September 30,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1100"/>
              <w:spacing w:after="0"/>
              <w:rPr>
                <w:sz w:val="20"/>
                <w:szCs w:val="20"/>
                <w:color w:val="auto"/>
              </w:rPr>
            </w:pPr>
            <w:r>
              <w:rPr>
                <w:rFonts w:ascii="Arial" w:cs="Arial" w:eastAsia="Arial" w:hAnsi="Arial"/>
                <w:sz w:val="14"/>
                <w:szCs w:val="14"/>
                <w:b w:val="1"/>
                <w:bCs w:val="1"/>
                <w:color w:val="auto"/>
              </w:rPr>
              <w:t>September 30, 2013</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82"/>
              <w:spacing w:after="0" w:line="115" w:lineRule="exact"/>
              <w:rPr>
                <w:sz w:val="20"/>
                <w:szCs w:val="20"/>
                <w:color w:val="auto"/>
              </w:rPr>
            </w:pPr>
            <w:r>
              <w:rPr>
                <w:rFonts w:ascii="Arial" w:cs="Arial" w:eastAsia="Arial" w:hAnsi="Arial"/>
                <w:sz w:val="12"/>
                <w:szCs w:val="12"/>
                <w:b w:val="1"/>
                <w:bCs w:val="1"/>
                <w:color w:val="auto"/>
              </w:rPr>
              <w:t>Dividend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3020" w:type="dxa"/>
            <w:vAlign w:val="bottom"/>
          </w:tcPr>
          <w:p>
            <w:pPr>
              <w:spacing w:after="0"/>
              <w:rPr>
                <w:sz w:val="15"/>
                <w:szCs w:val="15"/>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Record Date</w:t>
            </w:r>
          </w:p>
        </w:tc>
        <w:tc>
          <w:tcPr>
            <w:tcW w:w="480" w:type="dxa"/>
            <w:vAlign w:val="bottom"/>
          </w:tcPr>
          <w:p>
            <w:pPr>
              <w:spacing w:after="0"/>
              <w:rPr>
                <w:sz w:val="15"/>
                <w:szCs w:val="15"/>
                <w:color w:val="auto"/>
              </w:rPr>
            </w:pPr>
          </w:p>
        </w:tc>
        <w:tc>
          <w:tcPr>
            <w:tcW w:w="212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5"/>
                <w:szCs w:val="15"/>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2"/>
                <w:szCs w:val="12"/>
                <w:b w:val="1"/>
                <w:bCs w:val="1"/>
                <w:color w:val="auto"/>
                <w:w w:val="95"/>
              </w:rPr>
              <w:t>Share</w:t>
            </w:r>
            <w:r>
              <w:rPr>
                <w:rFonts w:ascii="Arial" w:cs="Arial" w:eastAsia="Arial" w:hAnsi="Arial"/>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2013</w:t>
            </w: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6, 2013</w:t>
            </w:r>
          </w:p>
        </w:tc>
        <w:tc>
          <w:tcPr>
            <w:tcW w:w="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rPr>
              <w:t>June 30, 2013</w:t>
            </w:r>
          </w:p>
        </w:tc>
        <w:tc>
          <w:tcPr>
            <w:tcW w:w="480" w:type="dxa"/>
            <w:vAlign w:val="bottom"/>
          </w:tcPr>
          <w:p>
            <w:pPr>
              <w:spacing w:after="0"/>
              <w:rPr>
                <w:sz w:val="18"/>
                <w:szCs w:val="18"/>
                <w:color w:val="auto"/>
              </w:rPr>
            </w:pPr>
          </w:p>
        </w:tc>
        <w:tc>
          <w:tcPr>
            <w:tcW w:w="2120" w:type="dxa"/>
            <w:vAlign w:val="bottom"/>
            <w:gridSpan w:val="2"/>
          </w:tcPr>
          <w:p>
            <w:pPr>
              <w:jc w:val="right"/>
              <w:ind w:right="840"/>
              <w:spacing w:after="0"/>
              <w:rPr>
                <w:sz w:val="20"/>
                <w:szCs w:val="20"/>
                <w:color w:val="auto"/>
              </w:rPr>
            </w:pPr>
            <w:r>
              <w:rPr>
                <w:rFonts w:ascii="Arial" w:cs="Arial" w:eastAsia="Arial" w:hAnsi="Arial"/>
                <w:sz w:val="18"/>
                <w:szCs w:val="18"/>
                <w:color w:val="auto"/>
              </w:rPr>
              <w:t>July 31, 2013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September 30, 2013</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0"/>
              </w:rPr>
              <w:t>October 31, 2013</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gridSpan w:val="3"/>
            <w:vMerge w:val="restart"/>
          </w:tcPr>
          <w:p>
            <w:pPr>
              <w:jc w:val="right"/>
              <w:ind w:right="10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1100"/>
              <w:spacing w:after="0"/>
              <w:rPr>
                <w:sz w:val="20"/>
                <w:szCs w:val="20"/>
                <w:color w:val="auto"/>
              </w:rPr>
            </w:pPr>
            <w:r>
              <w:rPr>
                <w:rFonts w:ascii="Arial" w:cs="Arial" w:eastAsia="Arial" w:hAnsi="Arial"/>
                <w:sz w:val="14"/>
                <w:szCs w:val="14"/>
                <w:b w:val="1"/>
                <w:bCs w:val="1"/>
                <w:color w:val="auto"/>
              </w:rPr>
              <w:t>September 30, 2012</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82"/>
              <w:spacing w:after="0" w:line="115" w:lineRule="exact"/>
              <w:rPr>
                <w:sz w:val="20"/>
                <w:szCs w:val="20"/>
                <w:color w:val="auto"/>
              </w:rPr>
            </w:pPr>
            <w:r>
              <w:rPr>
                <w:rFonts w:ascii="Arial" w:cs="Arial" w:eastAsia="Arial" w:hAnsi="Arial"/>
                <w:sz w:val="12"/>
                <w:szCs w:val="12"/>
                <w:b w:val="1"/>
                <w:bCs w:val="1"/>
                <w:color w:val="auto"/>
              </w:rPr>
              <w:t>Dividend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3020" w:type="dxa"/>
            <w:vAlign w:val="bottom"/>
          </w:tcPr>
          <w:p>
            <w:pPr>
              <w:spacing w:after="0"/>
              <w:rPr>
                <w:sz w:val="15"/>
                <w:szCs w:val="15"/>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Record Date</w:t>
            </w:r>
          </w:p>
        </w:tc>
        <w:tc>
          <w:tcPr>
            <w:tcW w:w="480" w:type="dxa"/>
            <w:vAlign w:val="bottom"/>
          </w:tcPr>
          <w:p>
            <w:pPr>
              <w:spacing w:after="0"/>
              <w:rPr>
                <w:sz w:val="15"/>
                <w:szCs w:val="15"/>
                <w:color w:val="auto"/>
              </w:rPr>
            </w:pPr>
          </w:p>
        </w:tc>
        <w:tc>
          <w:tcPr>
            <w:tcW w:w="212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5"/>
                <w:szCs w:val="15"/>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2"/>
                <w:szCs w:val="12"/>
                <w:b w:val="1"/>
                <w:bCs w:val="1"/>
                <w:color w:val="auto"/>
                <w:w w:val="95"/>
              </w:rPr>
              <w:t>Share</w:t>
            </w:r>
            <w:r>
              <w:rPr>
                <w:rFonts w:ascii="Arial" w:cs="Arial" w:eastAsia="Arial" w:hAnsi="Arial"/>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rPr>
              <w:t>June 30, 2012</w:t>
            </w:r>
          </w:p>
        </w:tc>
        <w:tc>
          <w:tcPr>
            <w:tcW w:w="480" w:type="dxa"/>
            <w:vAlign w:val="bottom"/>
          </w:tcPr>
          <w:p>
            <w:pPr>
              <w:spacing w:after="0"/>
              <w:rPr>
                <w:sz w:val="18"/>
                <w:szCs w:val="18"/>
                <w:color w:val="auto"/>
              </w:rPr>
            </w:pPr>
          </w:p>
        </w:tc>
        <w:tc>
          <w:tcPr>
            <w:tcW w:w="2120" w:type="dxa"/>
            <w:vAlign w:val="bottom"/>
            <w:gridSpan w:val="2"/>
          </w:tcPr>
          <w:p>
            <w:pPr>
              <w:jc w:val="right"/>
              <w:ind w:right="840"/>
              <w:spacing w:after="0"/>
              <w:rPr>
                <w:sz w:val="20"/>
                <w:szCs w:val="20"/>
                <w:color w:val="auto"/>
              </w:rPr>
            </w:pPr>
            <w:r>
              <w:rPr>
                <w:rFonts w:ascii="Arial" w:cs="Arial" w:eastAsia="Arial" w:hAnsi="Arial"/>
                <w:sz w:val="18"/>
                <w:szCs w:val="18"/>
                <w:color w:val="auto"/>
              </w:rPr>
              <w:t>August 3, 2012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September 30, 2012</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0"/>
              </w:rPr>
              <w:t>October 30, 2012</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dividends declared during the nine months ended September 30, 2013 and 2012, were derived from net investment income, determined on a tax basis.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general, the Company may make certain adjustments to the classification of stockholders’ equity as a result of permanent book-to-tax differences, which may include differences in the book and tax basis of certain assets and liabilities and nondeductible federal taxes or expenses, among other items. To the extent these differences are permanent, they are charged or credited to Additional Paid-in Capital or Accumulated Net Investment Income, as appropriate, in the period that the differences arise. These adjustments have no effect on the Company’s net assets or results of operations.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We neither have any uncertain tax positions that met the recognition or measurement criteria of ASC 740-10-25, </w:t>
      </w:r>
      <w:r>
        <w:rPr>
          <w:rFonts w:ascii="Arial" w:cs="Arial" w:eastAsia="Arial" w:hAnsi="Arial"/>
          <w:sz w:val="16"/>
          <w:szCs w:val="16"/>
          <w:i w:val="1"/>
          <w:iCs w:val="1"/>
          <w:color w:val="auto"/>
        </w:rPr>
        <w:t>Income Taxes</w:t>
      </w:r>
      <w:r>
        <w:rPr>
          <w:rFonts w:ascii="Arial" w:cs="Arial" w:eastAsia="Arial" w:hAnsi="Arial"/>
          <w:sz w:val="16"/>
          <w:szCs w:val="16"/>
          <w:color w:val="auto"/>
        </w:rPr>
        <w:t>, nor did we have any unrecognized tax benefits as of the periods presented herein. Although we file federal and state tax returns, our primary tax jurisdiction is federal. Our inception-to-date taxable years remain subject to examination by the Internal Revenue Service as well as the respective state and local tax authorities.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basis of the Company’s investments as of September 30, 2013 and December 31, 2012, approximates their amortized cost.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three and nine months ended September 30, 2013, a net expense of $0.1 million and $0.1 million, respectively, was recorded for U.S. federal excise tax. For the three and nine months ended September 30, 2012, we did not incur any U.S. federal excise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right="620" w:hanging="452"/>
        <w:spacing w:after="0" w:line="268"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360"/>
          </w:cols>
          <w:pgMar w:left="240" w:top="460" w:right="2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following per share data and ratios have been derived from information provided in the consolidated financial statements. The following are the financial highlights for a share of Common Stock outstanding during the three months ended September 30, 2013 and 2012.</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Nine Months Ended</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2013</w:t>
            </w: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1"/>
                <w:szCs w:val="11"/>
                <w:b w:val="1"/>
                <w:bCs w:val="1"/>
                <w:color w:val="auto"/>
              </w:rPr>
              <w:t>(6)</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15.19</w:t>
            </w:r>
          </w:p>
        </w:tc>
        <w:tc>
          <w:tcPr>
            <w:tcW w:w="1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1"/>
                <w:szCs w:val="11"/>
                <w:color w:val="auto"/>
              </w:rPr>
              <w:t>(1)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unrealized and realized gains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from investment operations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 xml:space="preserve">Dividends declared </w:t>
            </w:r>
            <w:r>
              <w:rPr>
                <w:rFonts w:ascii="Arial" w:cs="Arial" w:eastAsia="Arial" w:hAnsi="Arial"/>
                <w:sz w:val="11"/>
                <w:szCs w:val="11"/>
                <w:color w:val="auto"/>
              </w:rPr>
              <w:t>(2)</w:t>
            </w:r>
          </w:p>
        </w:tc>
        <w:tc>
          <w:tcPr>
            <w:tcW w:w="220" w:type="dxa"/>
            <w:vAlign w:val="bottom"/>
          </w:tcPr>
          <w:p>
            <w:pPr>
              <w:spacing w:after="0"/>
              <w:rPr>
                <w:sz w:val="19"/>
                <w:szCs w:val="19"/>
                <w:color w:val="auto"/>
              </w:rPr>
            </w:pPr>
          </w:p>
        </w:tc>
        <w:tc>
          <w:tcPr>
            <w:tcW w:w="2080" w:type="dxa"/>
            <w:vAlign w:val="bottom"/>
            <w:gridSpan w:val="2"/>
          </w:tcPr>
          <w:p>
            <w:pPr>
              <w:jc w:val="right"/>
              <w:ind w:right="1052"/>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increase in net assets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1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420"/>
              <w:spacing w:after="0"/>
              <w:rPr>
                <w:sz w:val="20"/>
                <w:szCs w:val="20"/>
                <w:color w:val="auto"/>
              </w:rPr>
            </w:pPr>
            <w:r>
              <w:rPr>
                <w:rFonts w:ascii="Arial" w:cs="Arial" w:eastAsia="Arial" w:hAnsi="Arial"/>
                <w:sz w:val="18"/>
                <w:szCs w:val="18"/>
                <w:b w:val="1"/>
                <w:bCs w:val="1"/>
                <w:color w:val="auto"/>
              </w:rPr>
              <w:t>Net Asset Value, End of Period</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1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Shares Outstanding, End of Period </w:t>
            </w:r>
            <w:r>
              <w:rPr>
                <w:rFonts w:ascii="Arial" w:cs="Arial" w:eastAsia="Arial" w:hAnsi="Arial"/>
                <w:sz w:val="11"/>
                <w:szCs w:val="11"/>
                <w:b w:val="1"/>
                <w:bCs w:val="1"/>
                <w:color w:val="auto"/>
              </w:rPr>
              <w:t>(6)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36,546,516</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24,699,457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1"/>
                <w:szCs w:val="11"/>
                <w:color w:val="auto"/>
              </w:rPr>
              <w:t>(3) (4)</w:t>
            </w:r>
          </w:p>
        </w:tc>
        <w:tc>
          <w:tcPr>
            <w:tcW w:w="220" w:type="dxa"/>
            <w:vAlign w:val="bottom"/>
          </w:tcPr>
          <w:p>
            <w:pPr>
              <w:spacing w:after="0"/>
              <w:rPr>
                <w:sz w:val="24"/>
                <w:szCs w:val="24"/>
                <w:color w:val="auto"/>
              </w:rPr>
            </w:pPr>
          </w:p>
        </w:tc>
        <w:tc>
          <w:tcPr>
            <w:tcW w:w="2080" w:type="dxa"/>
            <w:vAlign w:val="bottom"/>
            <w:gridSpan w:val="2"/>
          </w:tcPr>
          <w:p>
            <w:pPr>
              <w:jc w:val="right"/>
              <w:ind w:right="952"/>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 xml:space="preserve">Ratio of net expenses to average net assets </w:t>
            </w:r>
            <w:r>
              <w:rPr>
                <w:rFonts w:ascii="Arial" w:cs="Arial" w:eastAsia="Arial" w:hAnsi="Arial"/>
                <w:sz w:val="11"/>
                <w:szCs w:val="11"/>
                <w:color w:val="auto"/>
              </w:rPr>
              <w:t>(4)</w:t>
            </w:r>
          </w:p>
        </w:tc>
        <w:tc>
          <w:tcPr>
            <w:tcW w:w="220" w:type="dxa"/>
            <w:vAlign w:val="bottom"/>
          </w:tcPr>
          <w:p>
            <w:pPr>
              <w:spacing w:after="0"/>
              <w:rPr>
                <w:sz w:val="18"/>
                <w:szCs w:val="18"/>
                <w:color w:val="auto"/>
              </w:rPr>
            </w:pPr>
          </w:p>
        </w:tc>
        <w:tc>
          <w:tcPr>
            <w:tcW w:w="2080" w:type="dxa"/>
            <w:vAlign w:val="bottom"/>
            <w:gridSpan w:val="2"/>
          </w:tcPr>
          <w:p>
            <w:pPr>
              <w:jc w:val="right"/>
              <w:ind w:right="952"/>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11"/>
                <w:szCs w:val="11"/>
                <w:color w:val="auto"/>
              </w:rPr>
              <w:t>(4)</w:t>
            </w:r>
          </w:p>
        </w:tc>
        <w:tc>
          <w:tcPr>
            <w:tcW w:w="2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561,089</w:t>
            </w:r>
          </w:p>
        </w:tc>
        <w:tc>
          <w:tcPr>
            <w:tcW w:w="1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373,491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1"/>
                <w:szCs w:val="11"/>
                <w:color w:val="auto"/>
              </w:rPr>
              <w:t>(6)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33,891,011</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18,832,303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 xml:space="preserve">Total committed capital, end of period </w:t>
            </w:r>
            <w:r>
              <w:rPr>
                <w:rFonts w:ascii="Arial" w:cs="Arial" w:eastAsia="Arial" w:hAnsi="Arial"/>
                <w:sz w:val="11"/>
                <w:szCs w:val="11"/>
                <w:color w:val="auto"/>
              </w:rPr>
              <w:t>(5)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1,500,000</w:t>
            </w:r>
          </w:p>
        </w:tc>
        <w:tc>
          <w:tcPr>
            <w:tcW w:w="1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1,402,970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contributed capital to total committed capital, end of period</w:t>
            </w:r>
          </w:p>
        </w:tc>
        <w:tc>
          <w:tcPr>
            <w:tcW w:w="2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Year of formation</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2010</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80" w:hanging="572"/>
        <w:spacing w:after="0"/>
        <w:tabs>
          <w:tab w:leader="none" w:pos="5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Total return is calculated as the change in net asset value per share during the period plus declared dividends per share, divided by the beginning net asset value per share.</w:t>
      </w:r>
    </w:p>
    <w:p>
      <w:pPr>
        <w:ind w:left="580" w:hanging="572"/>
        <w:spacing w:after="0"/>
        <w:tabs>
          <w:tab w:leader="none" w:pos="5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Amount includes $117.1 million and $98.4 million of commitments from the Adviser and its affiliates as of September 30, 2013 and 2012,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November 5, 2013, the Company entered into an agreement to amend the Revolving Credit Facility (DBTCA) by extending the stated maturity date from December 22, 2013 to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766445</wp:posOffset>
            </wp:positionV>
            <wp:extent cx="7289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0" w:right="500" w:hanging="572"/>
        <w:spacing w:after="0" w:line="268" w:lineRule="auto"/>
        <w:tabs>
          <w:tab w:leader="none" w:pos="5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360"/>
          </w:cols>
          <w:pgMar w:left="240" w:top="459" w:right="2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Arial" w:cs="Arial" w:eastAsia="Arial" w:hAnsi="Arial"/>
          <w:sz w:val="24"/>
          <w:szCs w:val="24"/>
          <w:b w:val="1"/>
          <w:bCs w:val="1"/>
          <w:color w:val="auto"/>
        </w:rPr>
        <w:t>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313690</wp:posOffset>
            </wp:positionV>
            <wp:extent cx="15176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4040" w:type="dxa"/>
            <w:vAlign w:val="bottom"/>
          </w:tcPr>
          <w:p>
            <w:pPr>
              <w:spacing w:after="0"/>
              <w:rPr>
                <w:sz w:val="20"/>
                <w:szCs w:val="20"/>
                <w:color w:val="auto"/>
              </w:rPr>
            </w:pPr>
            <w:r>
              <w:rPr>
                <w:rFonts w:ascii="Arial" w:cs="Arial" w:eastAsia="Arial" w:hAnsi="Arial"/>
                <w:sz w:val="32"/>
                <w:szCs w:val="32"/>
                <w:b w:val="1"/>
                <w:bCs w:val="1"/>
                <w:color w:val="auto"/>
              </w:rPr>
              <w:t>J.P. Morgan</w:t>
            </w:r>
          </w:p>
        </w:tc>
        <w:tc>
          <w:tcPr>
            <w:tcW w:w="3100" w:type="dxa"/>
            <w:vAlign w:val="bottom"/>
          </w:tcPr>
          <w:p>
            <w:pPr>
              <w:jc w:val="center"/>
              <w:ind w:left="145"/>
              <w:spacing w:after="0"/>
              <w:rPr>
                <w:sz w:val="20"/>
                <w:szCs w:val="20"/>
                <w:color w:val="auto"/>
              </w:rPr>
            </w:pPr>
            <w:r>
              <w:rPr>
                <w:rFonts w:ascii="Arial" w:cs="Arial" w:eastAsia="Arial" w:hAnsi="Arial"/>
                <w:sz w:val="32"/>
                <w:szCs w:val="32"/>
                <w:b w:val="1"/>
                <w:bCs w:val="1"/>
                <w:color w:val="auto"/>
                <w:w w:val="96"/>
              </w:rPr>
              <w:t>BofA Merrill Lynch</w:t>
            </w:r>
          </w:p>
        </w:tc>
        <w:tc>
          <w:tcPr>
            <w:tcW w:w="4280" w:type="dxa"/>
            <w:vAlign w:val="bottom"/>
          </w:tcPr>
          <w:p>
            <w:pPr>
              <w:ind w:left="1120"/>
              <w:spacing w:after="0"/>
              <w:rPr>
                <w:sz w:val="20"/>
                <w:szCs w:val="20"/>
                <w:color w:val="auto"/>
              </w:rPr>
            </w:pPr>
            <w:r>
              <w:rPr>
                <w:rFonts w:ascii="Arial" w:cs="Arial" w:eastAsia="Arial" w:hAnsi="Arial"/>
                <w:sz w:val="32"/>
                <w:szCs w:val="32"/>
                <w:b w:val="1"/>
                <w:bCs w:val="1"/>
                <w:color w:val="auto"/>
                <w:w w:val="91"/>
              </w:rPr>
              <w:t>Goldman, Sachs &amp; Co.</w:t>
            </w:r>
          </w:p>
        </w:tc>
      </w:tr>
      <w:tr>
        <w:trPr>
          <w:trHeight w:val="508"/>
        </w:trPr>
        <w:tc>
          <w:tcPr>
            <w:tcW w:w="4040" w:type="dxa"/>
            <w:vAlign w:val="bottom"/>
          </w:tcPr>
          <w:p>
            <w:pPr>
              <w:ind w:left="2820"/>
              <w:spacing w:after="0"/>
              <w:rPr>
                <w:sz w:val="20"/>
                <w:szCs w:val="20"/>
                <w:color w:val="auto"/>
              </w:rPr>
            </w:pPr>
            <w:r>
              <w:rPr>
                <w:rFonts w:ascii="Arial" w:cs="Arial" w:eastAsia="Arial" w:hAnsi="Arial"/>
                <w:sz w:val="22"/>
                <w:szCs w:val="22"/>
                <w:b w:val="1"/>
                <w:bCs w:val="1"/>
                <w:color w:val="auto"/>
              </w:rPr>
              <w:t>Citigroup</w:t>
            </w:r>
          </w:p>
        </w:tc>
        <w:tc>
          <w:tcPr>
            <w:tcW w:w="3100" w:type="dxa"/>
            <w:vAlign w:val="bottom"/>
          </w:tcPr>
          <w:p>
            <w:pPr>
              <w:spacing w:after="0"/>
              <w:rPr>
                <w:sz w:val="24"/>
                <w:szCs w:val="24"/>
                <w:color w:val="auto"/>
              </w:rPr>
            </w:pPr>
          </w:p>
        </w:tc>
        <w:tc>
          <w:tcPr>
            <w:tcW w:w="4280" w:type="dxa"/>
            <w:vAlign w:val="bottom"/>
          </w:tcPr>
          <w:p>
            <w:pPr>
              <w:ind w:left="40"/>
              <w:spacing w:after="0"/>
              <w:rPr>
                <w:sz w:val="20"/>
                <w:szCs w:val="20"/>
                <w:color w:val="auto"/>
              </w:rPr>
            </w:pPr>
            <w:r>
              <w:rPr>
                <w:rFonts w:ascii="Arial" w:cs="Arial" w:eastAsia="Arial" w:hAnsi="Arial"/>
                <w:sz w:val="22"/>
                <w:szCs w:val="22"/>
                <w:b w:val="1"/>
                <w:bCs w:val="1"/>
                <w:color w:val="auto"/>
              </w:rPr>
              <w:t>Wells Fargo Securities</w:t>
            </w:r>
          </w:p>
        </w:tc>
      </w:tr>
      <w:tr>
        <w:trPr>
          <w:trHeight w:val="567"/>
        </w:trPr>
        <w:tc>
          <w:tcPr>
            <w:tcW w:w="4040" w:type="dxa"/>
            <w:vAlign w:val="bottom"/>
          </w:tcPr>
          <w:p>
            <w:pPr>
              <w:spacing w:after="0"/>
              <w:rPr>
                <w:sz w:val="24"/>
                <w:szCs w:val="24"/>
                <w:color w:val="auto"/>
              </w:rPr>
            </w:pPr>
          </w:p>
        </w:tc>
        <w:tc>
          <w:tcPr>
            <w:tcW w:w="3100" w:type="dxa"/>
            <w:vAlign w:val="bottom"/>
          </w:tcPr>
          <w:p>
            <w:pPr>
              <w:jc w:val="center"/>
              <w:ind w:left="105"/>
              <w:spacing w:after="0"/>
              <w:rPr>
                <w:sz w:val="20"/>
                <w:szCs w:val="20"/>
                <w:color w:val="auto"/>
              </w:rPr>
            </w:pPr>
            <w:r>
              <w:rPr>
                <w:rFonts w:ascii="Arial" w:cs="Arial" w:eastAsia="Arial" w:hAnsi="Arial"/>
                <w:sz w:val="22"/>
                <w:szCs w:val="22"/>
                <w:b w:val="1"/>
                <w:bCs w:val="1"/>
                <w:i w:val="1"/>
                <w:iCs w:val="1"/>
                <w:color w:val="auto"/>
                <w:w w:val="87"/>
              </w:rPr>
              <w:t>Co-Managers</w:t>
            </w:r>
          </w:p>
        </w:tc>
        <w:tc>
          <w:tcPr>
            <w:tcW w:w="4280" w:type="dxa"/>
            <w:vAlign w:val="bottom"/>
          </w:tcPr>
          <w:p>
            <w:pPr>
              <w:spacing w:after="0"/>
              <w:rPr>
                <w:sz w:val="24"/>
                <w:szCs w:val="24"/>
                <w:color w:val="auto"/>
              </w:rPr>
            </w:pPr>
          </w:p>
        </w:tc>
      </w:tr>
      <w:tr>
        <w:trPr>
          <w:trHeight w:val="2056"/>
        </w:trPr>
        <w:tc>
          <w:tcPr>
            <w:tcW w:w="40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r>
        <w:trPr>
          <w:trHeight w:val="68"/>
        </w:trPr>
        <w:tc>
          <w:tcPr>
            <w:tcW w:w="404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42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40" w:type="dxa"/>
            <w:vAlign w:val="bottom"/>
            <w:gridSpan w:val="11"/>
          </w:tcPr>
          <w:p>
            <w:pPr>
              <w:jc w:val="center"/>
              <w:ind w:right="2660"/>
              <w:spacing w:after="0"/>
              <w:rPr>
                <w:sz w:val="20"/>
                <w:szCs w:val="20"/>
                <w:color w:val="auto"/>
              </w:rPr>
            </w:pPr>
            <w:r>
              <w:rPr>
                <w:rFonts w:ascii="Arial" w:cs="Arial" w:eastAsia="Arial" w:hAnsi="Arial"/>
                <w:sz w:val="18"/>
                <w:szCs w:val="18"/>
                <w:b w:val="1"/>
                <w:bCs w:val="1"/>
                <w:color w:val="auto"/>
                <w:w w:val="98"/>
              </w:rPr>
              <w:t>TPG SPECIALTY LENDING, INC.</w:t>
            </w:r>
          </w:p>
        </w:tc>
        <w:tc>
          <w:tcPr>
            <w:tcW w:w="1360" w:type="dxa"/>
            <w:vAlign w:val="bottom"/>
          </w:tcPr>
          <w:p>
            <w:pPr>
              <w:spacing w:after="0"/>
              <w:rPr>
                <w:sz w:val="19"/>
                <w:szCs w:val="19"/>
                <w:color w:val="auto"/>
              </w:rPr>
            </w:pPr>
          </w:p>
        </w:tc>
      </w:tr>
      <w:tr>
        <w:trPr>
          <w:trHeight w:val="297"/>
        </w:trPr>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00" w:type="dxa"/>
            <w:vAlign w:val="bottom"/>
            <w:gridSpan w:val="9"/>
          </w:tcPr>
          <w:p>
            <w:pPr>
              <w:jc w:val="center"/>
              <w:ind w:right="3800"/>
              <w:spacing w:after="0"/>
              <w:rPr>
                <w:sz w:val="20"/>
                <w:szCs w:val="20"/>
                <w:color w:val="auto"/>
              </w:rPr>
            </w:pPr>
            <w:r>
              <w:rPr>
                <w:rFonts w:ascii="Arial" w:cs="Arial" w:eastAsia="Arial" w:hAnsi="Arial"/>
                <w:sz w:val="18"/>
                <w:szCs w:val="18"/>
                <w:b w:val="1"/>
                <w:bCs w:val="1"/>
                <w:color w:val="auto"/>
                <w:w w:val="92"/>
              </w:rPr>
              <w:t>PART C</w:t>
            </w:r>
          </w:p>
        </w:tc>
        <w:tc>
          <w:tcPr>
            <w:tcW w:w="1360" w:type="dxa"/>
            <w:vAlign w:val="bottom"/>
          </w:tcPr>
          <w:p>
            <w:pPr>
              <w:spacing w:after="0"/>
              <w:rPr>
                <w:sz w:val="24"/>
                <w:szCs w:val="24"/>
                <w:color w:val="auto"/>
              </w:rPr>
            </w:pPr>
          </w:p>
        </w:tc>
      </w:tr>
      <w:tr>
        <w:trPr>
          <w:trHeight w:val="297"/>
        </w:trPr>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20" w:type="dxa"/>
            <w:vAlign w:val="bottom"/>
            <w:gridSpan w:val="10"/>
          </w:tcPr>
          <w:p>
            <w:pPr>
              <w:jc w:val="center"/>
              <w:ind w:right="3080"/>
              <w:spacing w:after="0"/>
              <w:rPr>
                <w:sz w:val="20"/>
                <w:szCs w:val="20"/>
                <w:color w:val="auto"/>
              </w:rPr>
            </w:pPr>
            <w:r>
              <w:rPr>
                <w:rFonts w:ascii="Arial" w:cs="Arial" w:eastAsia="Arial" w:hAnsi="Arial"/>
                <w:sz w:val="18"/>
                <w:szCs w:val="18"/>
                <w:b w:val="1"/>
                <w:bCs w:val="1"/>
                <w:color w:val="auto"/>
                <w:w w:val="93"/>
              </w:rPr>
              <w:t>Other Information</w:t>
            </w:r>
          </w:p>
        </w:tc>
        <w:tc>
          <w:tcPr>
            <w:tcW w:w="1360" w:type="dxa"/>
            <w:vAlign w:val="bottom"/>
          </w:tcPr>
          <w:p>
            <w:pPr>
              <w:spacing w:after="0"/>
              <w:rPr>
                <w:sz w:val="24"/>
                <w:szCs w:val="24"/>
                <w:color w:val="auto"/>
              </w:rPr>
            </w:pPr>
          </w:p>
        </w:tc>
      </w:tr>
      <w:tr>
        <w:trPr>
          <w:trHeight w:val="419"/>
        </w:trPr>
        <w:tc>
          <w:tcPr>
            <w:tcW w:w="760" w:type="dxa"/>
            <w:vAlign w:val="bottom"/>
          </w:tcPr>
          <w:p>
            <w:pPr>
              <w:spacing w:after="0"/>
              <w:rPr>
                <w:sz w:val="20"/>
                <w:szCs w:val="20"/>
                <w:color w:val="auto"/>
              </w:rPr>
            </w:pPr>
            <w:r>
              <w:rPr>
                <w:rFonts w:ascii="Arial" w:cs="Arial" w:eastAsia="Arial" w:hAnsi="Arial"/>
                <w:sz w:val="18"/>
                <w:szCs w:val="18"/>
                <w:b w:val="1"/>
                <w:bCs w:val="1"/>
                <w:color w:val="auto"/>
              </w:rPr>
              <w:t>Item 25.</w:t>
            </w:r>
          </w:p>
        </w:tc>
        <w:tc>
          <w:tcPr>
            <w:tcW w:w="9200" w:type="dxa"/>
            <w:vAlign w:val="bottom"/>
            <w:gridSpan w:val="1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1360" w:type="dxa"/>
            <w:vAlign w:val="bottom"/>
          </w:tcPr>
          <w:p>
            <w:pPr>
              <w:spacing w:after="0"/>
              <w:rPr>
                <w:sz w:val="24"/>
                <w:szCs w:val="24"/>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b w:val="1"/>
                <w:bCs w:val="1"/>
                <w:color w:val="auto"/>
              </w:rPr>
              <w:t>(1)</w:t>
            </w:r>
          </w:p>
        </w:tc>
        <w:tc>
          <w:tcPr>
            <w:tcW w:w="9200" w:type="dxa"/>
            <w:vAlign w:val="bottom"/>
            <w:gridSpan w:val="13"/>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1360" w:type="dxa"/>
            <w:vAlign w:val="bottom"/>
          </w:tcPr>
          <w:p>
            <w:pPr>
              <w:spacing w:after="0"/>
              <w:rPr>
                <w:sz w:val="24"/>
                <w:szCs w:val="24"/>
                <w:color w:val="auto"/>
              </w:rPr>
            </w:pPr>
          </w:p>
        </w:tc>
      </w:tr>
      <w:tr>
        <w:trPr>
          <w:trHeight w:val="378"/>
        </w:trPr>
        <w:tc>
          <w:tcPr>
            <w:tcW w:w="9960" w:type="dxa"/>
            <w:vAlign w:val="bottom"/>
            <w:gridSpan w:val="14"/>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1360" w:type="dxa"/>
            <w:vAlign w:val="bottom"/>
          </w:tcPr>
          <w:p>
            <w:pPr>
              <w:spacing w:after="0"/>
              <w:rPr>
                <w:sz w:val="24"/>
                <w:szCs w:val="24"/>
                <w:color w:val="auto"/>
              </w:rPr>
            </w:pPr>
          </w:p>
        </w:tc>
      </w:tr>
      <w:tr>
        <w:trPr>
          <w:trHeight w:val="291"/>
        </w:trPr>
        <w:tc>
          <w:tcPr>
            <w:tcW w:w="9960" w:type="dxa"/>
            <w:vAlign w:val="bottom"/>
            <w:gridSpan w:val="14"/>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360" w:type="dxa"/>
            <w:vAlign w:val="bottom"/>
          </w:tcPr>
          <w:p>
            <w:pPr>
              <w:spacing w:after="0"/>
              <w:rPr>
                <w:sz w:val="24"/>
                <w:szCs w:val="24"/>
                <w:color w:val="auto"/>
              </w:rPr>
            </w:pPr>
          </w:p>
        </w:tc>
      </w:tr>
      <w:tr>
        <w:trPr>
          <w:trHeight w:val="184"/>
        </w:trPr>
        <w:tc>
          <w:tcPr>
            <w:tcW w:w="9960" w:type="dxa"/>
            <w:vAlign w:val="bottom"/>
            <w:gridSpan w:val="14"/>
          </w:tcPr>
          <w:p>
            <w:pPr>
              <w:spacing w:after="0" w:line="184" w:lineRule="exact"/>
              <w:rPr>
                <w:rFonts w:ascii="Arial" w:cs="Arial" w:eastAsia="Arial" w:hAnsi="Arial"/>
                <w:sz w:val="18"/>
                <w:szCs w:val="18"/>
                <w:color w:val="0000EE"/>
              </w:rPr>
            </w:pPr>
            <w:hyperlink w:anchor="page155">
              <w:r>
                <w:rPr>
                  <w:rFonts w:ascii="Arial" w:cs="Arial" w:eastAsia="Arial" w:hAnsi="Arial"/>
                  <w:sz w:val="18"/>
                  <w:szCs w:val="18"/>
                  <w:color w:val="0000EE"/>
                </w:rPr>
                <w:t>Report of Independent Registered Public Accounting Firm</w:t>
              </w:r>
            </w:hyperlink>
          </w:p>
        </w:tc>
        <w:tc>
          <w:tcPr>
            <w:tcW w:w="136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5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156">
              <w:r>
                <w:rPr>
                  <w:rFonts w:ascii="Arial" w:cs="Arial" w:eastAsia="Arial" w:hAnsi="Arial"/>
                  <w:sz w:val="18"/>
                  <w:szCs w:val="18"/>
                  <w:color w:val="0000EE"/>
                  <w:w w:val="86"/>
                </w:rPr>
                <w:t>Consolidated Balance Sheets as of December 31, 2012 and 2011</w:t>
              </w:r>
            </w:hyperlink>
          </w:p>
        </w:tc>
        <w:tc>
          <w:tcPr>
            <w:tcW w:w="5420" w:type="dxa"/>
            <w:vAlign w:val="bottom"/>
            <w:gridSpan w:val="10"/>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9960" w:type="dxa"/>
            <w:vAlign w:val="bottom"/>
            <w:gridSpan w:val="14"/>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Consolidated Statements of Operations for the years ended December 31, 2012 and 2011</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62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Consolidated Schedules of Investments as of December 31, 2012 and 2011</w:t>
              </w:r>
            </w:hyperlink>
          </w:p>
        </w:tc>
        <w:tc>
          <w:tcPr>
            <w:tcW w:w="372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960" w:type="dxa"/>
            <w:vAlign w:val="bottom"/>
            <w:gridSpan w:val="14"/>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Consolidated Statements of Changes in Net Assets for the years ended December 31, 2012 and 2011</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196"/>
        </w:trPr>
        <w:tc>
          <w:tcPr>
            <w:tcW w:w="7060" w:type="dxa"/>
            <w:vAlign w:val="bottom"/>
            <w:tcBorders>
              <w:top w:val="single" w:sz="8" w:color="0000EE"/>
            </w:tcBorders>
            <w:gridSpan w:val="11"/>
          </w:tcPr>
          <w:p>
            <w:pPr>
              <w:spacing w:after="0" w:line="196" w:lineRule="exact"/>
              <w:rPr>
                <w:rFonts w:ascii="Arial" w:cs="Arial" w:eastAsia="Arial" w:hAnsi="Arial"/>
                <w:sz w:val="18"/>
                <w:szCs w:val="18"/>
                <w:color w:val="0000EE"/>
                <w:w w:val="97"/>
              </w:rPr>
            </w:pPr>
            <w:hyperlink w:anchor="page164">
              <w:r>
                <w:rPr>
                  <w:rFonts w:ascii="Arial" w:cs="Arial" w:eastAsia="Arial" w:hAnsi="Arial"/>
                  <w:sz w:val="18"/>
                  <w:szCs w:val="18"/>
                  <w:color w:val="0000EE"/>
                  <w:w w:val="97"/>
                </w:rPr>
                <w:t>Consolidated Statements of Cash Flows for the years ended December 31, 2012 and 2011</w:t>
              </w:r>
            </w:hyperlink>
          </w:p>
        </w:tc>
        <w:tc>
          <w:tcPr>
            <w:tcW w:w="290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r>
      <w:tr>
        <w:trPr>
          <w:trHeight w:val="196"/>
        </w:trPr>
        <w:tc>
          <w:tcPr>
            <w:tcW w:w="6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Notes to Consolidated Financial Statements</w:t>
              </w:r>
            </w:hyperlink>
          </w:p>
        </w:tc>
        <w:tc>
          <w:tcPr>
            <w:tcW w:w="3660" w:type="dxa"/>
            <w:vAlign w:val="bottom"/>
            <w:gridSpan w:val="6"/>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36"/>
        </w:trPr>
        <w:tc>
          <w:tcPr>
            <w:tcW w:w="9960" w:type="dxa"/>
            <w:vAlign w:val="bottom"/>
            <w:gridSpan w:val="14"/>
          </w:tcPr>
          <w:p>
            <w:pPr>
              <w:spacing w:after="0"/>
              <w:rPr>
                <w:sz w:val="20"/>
                <w:szCs w:val="20"/>
                <w:color w:val="auto"/>
              </w:rPr>
            </w:pPr>
            <w:r>
              <w:rPr>
                <w:rFonts w:ascii="Arial" w:cs="Arial" w:eastAsia="Arial" w:hAnsi="Arial"/>
                <w:sz w:val="18"/>
                <w:szCs w:val="18"/>
                <w:b w:val="1"/>
                <w:bCs w:val="1"/>
                <w:color w:val="auto"/>
              </w:rPr>
              <w:t>Unaudited Consolidated Financial Statements</w:t>
            </w:r>
          </w:p>
        </w:tc>
        <w:tc>
          <w:tcPr>
            <w:tcW w:w="1360" w:type="dxa"/>
            <w:vAlign w:val="bottom"/>
          </w:tcPr>
          <w:p>
            <w:pPr>
              <w:spacing w:after="0"/>
              <w:rPr>
                <w:sz w:val="24"/>
                <w:szCs w:val="24"/>
                <w:color w:val="auto"/>
              </w:rPr>
            </w:pPr>
          </w:p>
        </w:tc>
      </w:tr>
      <w:tr>
        <w:trPr>
          <w:trHeight w:val="184"/>
        </w:trPr>
        <w:tc>
          <w:tcPr>
            <w:tcW w:w="9960" w:type="dxa"/>
            <w:vAlign w:val="bottom"/>
            <w:gridSpan w:val="14"/>
          </w:tcPr>
          <w:p>
            <w:pPr>
              <w:spacing w:after="0" w:line="184" w:lineRule="exact"/>
              <w:rPr>
                <w:rFonts w:ascii="Arial" w:cs="Arial" w:eastAsia="Arial" w:hAnsi="Arial"/>
                <w:sz w:val="18"/>
                <w:szCs w:val="18"/>
                <w:color w:val="0000EE"/>
              </w:rPr>
            </w:pPr>
            <w:hyperlink w:anchor="page184">
              <w:r>
                <w:rPr>
                  <w:rFonts w:ascii="Arial" w:cs="Arial" w:eastAsia="Arial" w:hAnsi="Arial"/>
                  <w:sz w:val="18"/>
                  <w:szCs w:val="18"/>
                  <w:color w:val="0000EE"/>
                </w:rPr>
                <w:t>Consolidated Balance Sheets as of September 30, 2013 and December 31, 2012</w:t>
              </w:r>
            </w:hyperlink>
          </w:p>
        </w:tc>
        <w:tc>
          <w:tcPr>
            <w:tcW w:w="1360" w:type="dxa"/>
            <w:vAlign w:val="bottom"/>
          </w:tcPr>
          <w:p>
            <w:pPr>
              <w:jc w:val="right"/>
              <w:spacing w:after="0" w:line="184" w:lineRule="exact"/>
              <w:rPr>
                <w:sz w:val="20"/>
                <w:szCs w:val="20"/>
                <w:color w:val="auto"/>
              </w:rPr>
            </w:pPr>
            <w:r>
              <w:rPr>
                <w:rFonts w:ascii="Arial" w:cs="Arial" w:eastAsia="Arial" w:hAnsi="Arial"/>
                <w:sz w:val="18"/>
                <w:szCs w:val="18"/>
                <w:color w:val="auto"/>
              </w:rPr>
              <w:t>F-31</w:t>
            </w:r>
          </w:p>
        </w:tc>
      </w:tr>
      <w:tr>
        <w:trPr>
          <w:trHeight w:val="20"/>
        </w:trPr>
        <w:tc>
          <w:tcPr>
            <w:tcW w:w="5600" w:type="dxa"/>
            <w:vAlign w:val="bottom"/>
            <w:gridSpan w:val="6"/>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52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85">
              <w:r>
                <w:rPr>
                  <w:rFonts w:ascii="Arial" w:cs="Arial" w:eastAsia="Arial" w:hAnsi="Arial"/>
                  <w:sz w:val="18"/>
                  <w:szCs w:val="18"/>
                  <w:color w:val="0000EE"/>
                  <w:w w:val="87"/>
                </w:rPr>
                <w:t>Consolidated Statements of Operations for the three and nine months ended September 30, 2013 and 2012</w:t>
              </w:r>
            </w:hyperlink>
          </w:p>
        </w:tc>
        <w:tc>
          <w:tcPr>
            <w:tcW w:w="244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r>
      <w:tr>
        <w:trPr>
          <w:trHeight w:val="196"/>
        </w:trPr>
        <w:tc>
          <w:tcPr>
            <w:tcW w:w="9960" w:type="dxa"/>
            <w:vAlign w:val="bottom"/>
            <w:gridSpan w:val="14"/>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Consolidated Schedules of Investments as of September 30, 2013 and December 31, 2012</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20"/>
        </w:trPr>
        <w:tc>
          <w:tcPr>
            <w:tcW w:w="6320" w:type="dxa"/>
            <w:vAlign w:val="bottom"/>
            <w:gridSpan w:val="9"/>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64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92">
              <w:r>
                <w:rPr>
                  <w:rFonts w:ascii="Arial" w:cs="Arial" w:eastAsia="Arial" w:hAnsi="Arial"/>
                  <w:sz w:val="18"/>
                  <w:szCs w:val="18"/>
                  <w:color w:val="0000EE"/>
                  <w:w w:val="87"/>
                </w:rPr>
                <w:t>Consolidated Statements of Changes in Net Assets for the nine months ended September 30, 2013 and 2012</w:t>
              </w:r>
            </w:hyperlink>
          </w:p>
        </w:tc>
        <w:tc>
          <w:tcPr>
            <w:tcW w:w="23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r>
      <w:tr>
        <w:trPr>
          <w:trHeight w:val="196"/>
        </w:trPr>
        <w:tc>
          <w:tcPr>
            <w:tcW w:w="9960" w:type="dxa"/>
            <w:vAlign w:val="bottom"/>
            <w:gridSpan w:val="14"/>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Consolidated Statements of Cash Flows for the nine months ended September 30, 2013 and 2012</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196"/>
        </w:trPr>
        <w:tc>
          <w:tcPr>
            <w:tcW w:w="6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Notes to Consolidated Financial Statements</w:t>
              </w:r>
            </w:hyperlink>
          </w:p>
        </w:tc>
        <w:tc>
          <w:tcPr>
            <w:tcW w:w="3140" w:type="dxa"/>
            <w:vAlign w:val="bottom"/>
            <w:gridSpan w:val="4"/>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F-41</w:t>
            </w:r>
          </w:p>
        </w:tc>
      </w:tr>
      <w:tr>
        <w:trPr>
          <w:trHeight w:val="20"/>
        </w:trPr>
        <w:tc>
          <w:tcPr>
            <w:tcW w:w="7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96" w:lineRule="exact"/>
        <w:rPr>
          <w:sz w:val="20"/>
          <w:szCs w:val="20"/>
          <w:color w:val="auto"/>
        </w:rPr>
      </w:pPr>
    </w:p>
    <w:p>
      <w:pPr>
        <w:ind w:left="920" w:hanging="912"/>
        <w:spacing w:after="0"/>
        <w:tabs>
          <w:tab w:leader="none" w:pos="92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4" w:lineRule="exact"/>
        <w:rPr>
          <w:sz w:val="20"/>
          <w:szCs w:val="20"/>
          <w:color w:val="auto"/>
        </w:rPr>
      </w:pPr>
    </w:p>
    <w:p>
      <w:pPr>
        <w:ind w:left="1300" w:right="800" w:hanging="1292"/>
        <w:spacing w:after="0" w:line="268" w:lineRule="auto"/>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77" w:lineRule="exact"/>
        <w:rPr>
          <w:rFonts w:ascii="Arial" w:cs="Arial" w:eastAsia="Arial" w:hAnsi="Arial"/>
          <w:sz w:val="18"/>
          <w:szCs w:val="18"/>
          <w:color w:val="auto"/>
        </w:rPr>
      </w:pPr>
    </w:p>
    <w:p>
      <w:pPr>
        <w:ind w:left="1300" w:hanging="1292"/>
        <w:spacing w:after="0" w:line="268" w:lineRule="auto"/>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Bylaws (incorporated by reference to Exhibit 3.2 to Amendment No. 1 to the Company’s Registration Statement on Form 10 filed on March 14, 2011)</w:t>
      </w:r>
    </w:p>
    <w:p>
      <w:pPr>
        <w:spacing w:after="0" w:line="77" w:lineRule="exact"/>
        <w:rPr>
          <w:rFonts w:ascii="Arial" w:cs="Arial" w:eastAsia="Arial" w:hAnsi="Arial"/>
          <w:sz w:val="18"/>
          <w:szCs w:val="18"/>
          <w:color w:val="auto"/>
        </w:rPr>
      </w:pPr>
    </w:p>
    <w:p>
      <w:pPr>
        <w:ind w:left="1300" w:hanging="1292"/>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(d)(1)</w:t>
            </w:r>
          </w:p>
        </w:tc>
        <w:tc>
          <w:tcPr>
            <w:tcW w:w="10360" w:type="dxa"/>
            <w:vAlign w:val="bottom"/>
          </w:tcPr>
          <w:p>
            <w:pPr>
              <w:ind w:left="440"/>
              <w:spacing w:after="0"/>
              <w:rPr>
                <w:sz w:val="20"/>
                <w:szCs w:val="20"/>
                <w:color w:val="auto"/>
              </w:rPr>
            </w:pPr>
            <w:r>
              <w:rPr>
                <w:rFonts w:ascii="Arial" w:cs="Arial" w:eastAsia="Arial" w:hAnsi="Arial"/>
                <w:sz w:val="18"/>
                <w:szCs w:val="18"/>
                <w:color w:val="auto"/>
                <w:w w:val="94"/>
              </w:rPr>
              <w:t>Form of Subscription Agreement in connection with the Private Offerings (incorporated by reference to Exhibit 4.1 to the Company’s</w:t>
            </w:r>
          </w:p>
        </w:tc>
      </w:tr>
      <w:tr>
        <w:trPr>
          <w:trHeight w:val="222"/>
        </w:trPr>
        <w:tc>
          <w:tcPr>
            <w:tcW w:w="860" w:type="dxa"/>
            <w:vAlign w:val="bottom"/>
          </w:tcPr>
          <w:p>
            <w:pPr>
              <w:spacing w:after="0"/>
              <w:rPr>
                <w:sz w:val="19"/>
                <w:szCs w:val="19"/>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Registration Statement on Form 10 filed on January 14, 2011).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(d)(2)</w:t>
            </w:r>
          </w:p>
        </w:tc>
        <w:tc>
          <w:tcPr>
            <w:tcW w:w="10360" w:type="dxa"/>
            <w:vAlign w:val="bottom"/>
          </w:tcPr>
          <w:p>
            <w:pPr>
              <w:ind w:left="440"/>
              <w:spacing w:after="0"/>
              <w:rPr>
                <w:sz w:val="20"/>
                <w:szCs w:val="20"/>
                <w:color w:val="auto"/>
              </w:rPr>
            </w:pPr>
            <w:r>
              <w:rPr>
                <w:rFonts w:ascii="Arial" w:cs="Arial" w:eastAsia="Arial" w:hAnsi="Arial"/>
                <w:sz w:val="18"/>
                <w:szCs w:val="18"/>
                <w:color w:val="auto"/>
                <w:w w:val="90"/>
              </w:rPr>
              <w:t>Form of Common Stock Certificate (incorporated by reference to Exhibit 4.2 to the Company’s Annual Report on Form 10-K filed on March</w:t>
            </w:r>
          </w:p>
        </w:tc>
      </w:tr>
      <w:tr>
        <w:trPr>
          <w:trHeight w:val="222"/>
        </w:trPr>
        <w:tc>
          <w:tcPr>
            <w:tcW w:w="860" w:type="dxa"/>
            <w:vAlign w:val="bottom"/>
          </w:tcPr>
          <w:p>
            <w:pPr>
              <w:spacing w:after="0"/>
              <w:rPr>
                <w:sz w:val="19"/>
                <w:szCs w:val="19"/>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22, 2012)</w:t>
            </w:r>
          </w:p>
        </w:tc>
      </w:tr>
    </w:tbl>
    <w:p>
      <w:pPr>
        <w:spacing w:after="0" w:line="102" w:lineRule="exact"/>
        <w:rPr>
          <w:sz w:val="20"/>
          <w:szCs w:val="20"/>
          <w:color w:val="auto"/>
        </w:rPr>
      </w:pPr>
    </w:p>
    <w:p>
      <w:pPr>
        <w:ind w:left="1300" w:right="260" w:hanging="1292"/>
        <w:spacing w:after="0" w:line="268" w:lineRule="auto"/>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10.7 to the Company’s Annual Report on Form 10-K filed on March 22, 2012)</w:t>
      </w:r>
    </w:p>
    <w:p>
      <w:pPr>
        <w:spacing w:after="0" w:line="77" w:lineRule="exact"/>
        <w:rPr>
          <w:rFonts w:ascii="Arial" w:cs="Arial" w:eastAsia="Arial" w:hAnsi="Arial"/>
          <w:sz w:val="18"/>
          <w:szCs w:val="18"/>
          <w:color w:val="auto"/>
        </w:rPr>
      </w:pPr>
    </w:p>
    <w:p>
      <w:pPr>
        <w:ind w:left="1300" w:hanging="1292"/>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300" w:right="180" w:hanging="1292"/>
        <w:spacing w:after="0" w:line="332" w:lineRule="auto"/>
        <w:tabs>
          <w:tab w:leader="none" w:pos="13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1" w:lineRule="exact"/>
        <w:rPr>
          <w:rFonts w:ascii="Arial" w:cs="Arial" w:eastAsia="Arial" w:hAnsi="Arial"/>
          <w:sz w:val="16"/>
          <w:szCs w:val="16"/>
          <w:color w:val="auto"/>
        </w:rPr>
      </w:pPr>
    </w:p>
    <w:p>
      <w:pPr>
        <w:ind w:left="1300" w:hanging="1292"/>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Form of Underwriting Agreement (1)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1260" w:hanging="1252"/>
        <w:spacing w:after="0"/>
        <w:tabs>
          <w:tab w:leader="none" w:pos="12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(j)(1)</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Custody Agreement dated June 26, 2011 (incorporated by reference to Exhibit 10.8 to the Company’s Annual Report on Form 10-K filed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March 22,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(j)(2)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Custodian Agreement dated November 29, 2012 between TPG Specialty Lending, Inc. and State Street Bank and Trust Company (incorporated</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 to Exhibit 10.1 to the Company’s Current Report on Form 8-K filed on December 4,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Form of Indemnification Agreement between the Company and certain officers and directors (incorporated by reference to Exhibit 10.3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Amendment No. 1 to the Company’s Registration Statement on Form 10 filed on March 14,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Administration Agreement, dated as of March 15, 2011, between the Company and the Adviser (incorporated by reference to Exhibit 10.1 to the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March 15,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(k)(3)</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Revolving Credit Agreement, dated September 28, 2011, among TPG Specialty Lending Inc., as Borrower, Deutsche Bank Trust Company</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Americas, as Administrative Agent, and Lenders Party Thereto (incorporated by reference to Exhibit 10.1 to the Company’s Quarterly Report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on Form 10-Q for the quarter ended September 30, 2011, filed on November 14,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(k)(4)</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First Amendment to Revolving Credit Agreement, dated September 28, 2011, among TPG Specialty Lending, Inc., as Borrower, Deutsche Bank</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Trust Company Americas, as Administrative Agent, and Lenders Party Thereto (incorporated by reference to Exhibit 10.2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September 30, 2011, filed on November 14,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(k)(5)</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Amended and Restated Revolving Credit Agreement, dated December 22, 2011, among TPG Specialty Lending, Inc., as Borrower, Deutsche</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Bank Trust Company Americas, as Administrative Agent, and Lenders Party (incorporated by reference to Exhibit 10.6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Annual Report on Form 10-K filed on March 22,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(k)(6)</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Revolving Credit and Security Agreement, dated May 8, 2012, among TPG SL SPV, LLC, as Borrower, the Lenders from Time to Time Parties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8"/>
              </w:rPr>
              <w:t>Hereto, Natixis, New York Branch, as Facility Agent and The Bank of New York Mellon Trust Company, N.A., as Collateral Agent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to the Company’s Quarterly Report on Form 10-Q filed on August 13,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(k)(7)</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Master Sale and Contribution Agreement by and between TPG Specialty Lending, Inc., as the Originator and TPG SL SPV, LLC, as the Buyer,</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dated as of May 8, 2012 (incorporated by reference to Exhibit 10.2 to the Company’s Quarterly Report on Form 10-Q filed on August 13,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(k)(8)</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Senior Secured Revolving Credit Agreement, dated as of August 23, 2012, among TPG Specialty Lending, Inc., as Borrower, the Lenders Party</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Hereto and SunTrust Bank, as Administrative Agent, JPMorgan Chase Bank, N.A., as Syndication Agent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Quarterly Report on Form 10-Q filed on November 14,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(k)(9)</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First Amendment to Amended and Restated Revolving Credit Agreement, dated October 31, 2012,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10.2 to the Company’s Quarterly Report on Form 10-Q filed on November 14,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(k)(10)</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Instrument of Removal, Appointment and Acceptance, dated November 29, 2012, among State Street Bank and Trust Company and TPG SL</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SPV, LLC, TPG Specialty Lending, Inc. and the Bank of New York Mellon Trust Company, N.A. (incorporated by reference to Exhibit 10.1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the Company’s Current Report on Form 8-K filed on January 2, 2013)</w:t>
            </w:r>
          </w:p>
        </w:tc>
      </w:tr>
      <w:tr>
        <w:trPr>
          <w:trHeight w:val="365"/>
        </w:trPr>
        <w:tc>
          <w:tcPr>
            <w:tcW w:w="880" w:type="dxa"/>
            <w:vAlign w:val="bottom"/>
          </w:tcPr>
          <w:p>
            <w:pPr>
              <w:spacing w:after="0"/>
              <w:rPr>
                <w:sz w:val="24"/>
                <w:szCs w:val="24"/>
                <w:color w:val="auto"/>
              </w:rPr>
            </w:pPr>
          </w:p>
        </w:tc>
        <w:tc>
          <w:tcPr>
            <w:tcW w:w="10520" w:type="dxa"/>
            <w:vAlign w:val="bottom"/>
          </w:tcPr>
          <w:p>
            <w:pPr>
              <w:ind w:left="4700"/>
              <w:spacing w:after="0"/>
              <w:rPr>
                <w:sz w:val="20"/>
                <w:szCs w:val="20"/>
                <w:color w:val="auto"/>
              </w:rPr>
            </w:pPr>
            <w:r>
              <w:rPr>
                <w:rFonts w:ascii="Arial" w:cs="Arial" w:eastAsia="Arial" w:hAnsi="Arial"/>
                <w:sz w:val="18"/>
                <w:szCs w:val="18"/>
                <w:color w:val="auto"/>
              </w:rPr>
              <w:t>C-2</w:t>
            </w:r>
          </w:p>
        </w:tc>
      </w:tr>
    </w:tbl>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(k)(11)</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Second Amendment to Amended and Restated Revolving Credit Agreement, dated May 7, 2013,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Quarterly Report on Form 10-Q filed on May 10,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Amended and Restated Senior Secured Revolving Credit Agreement, dated as of July 2, 2013, among TPG Specialty Lending, Inc., the lenders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party thereto, SunTrust Bank as administrative agent and JPMorgan Chase Bank N.A. as syndication agent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Current Report on Form 8-K filed on July 9,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(k)(13)</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Amendment No. 1 dated July 17, 2013 to Revolving Credit and Security Agreement, dated May 8, 2012, among TPG SL SPV, LLC,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Borrower, the Lenders from Time to Time Parties Hereto, Natixis, New York Branch, as Facility Agent and The Bank of New York Mellon</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Trust Company, N.A., as Collateral Agent (incorporated by reference to Exhibit 10.1 to the Company’s Quarterly Report on Form 10-Q filed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August 9,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(k)(14)</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Third Amendment to Amended and Restated Revolving Credit Agreement, dated November 5, 2013,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Current Report on Form 8-K filed on November 7, 2013)</w:t>
            </w:r>
          </w:p>
        </w:tc>
      </w:tr>
    </w:tbl>
    <w:p>
      <w:pPr>
        <w:spacing w:after="0" w:line="102" w:lineRule="exact"/>
        <w:rPr>
          <w:sz w:val="20"/>
          <w:szCs w:val="20"/>
          <w:color w:val="auto"/>
        </w:rPr>
      </w:pPr>
    </w:p>
    <w:p>
      <w:pPr>
        <w:ind w:left="1260" w:hanging="1252"/>
        <w:spacing w:after="0"/>
        <w:tabs>
          <w:tab w:leader="none" w:pos="1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Form of Opinion and Consent of Cleary Gottlieb Steen &amp; Hamilton LLP (1)</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(n)(1)</w:t>
            </w:r>
          </w:p>
        </w:tc>
        <w:tc>
          <w:tcPr>
            <w:tcW w:w="4240" w:type="dxa"/>
            <w:vAlign w:val="bottom"/>
          </w:tcPr>
          <w:p>
            <w:pPr>
              <w:ind w:left="420"/>
              <w:spacing w:after="0"/>
              <w:rPr>
                <w:sz w:val="20"/>
                <w:szCs w:val="20"/>
                <w:color w:val="auto"/>
              </w:rPr>
            </w:pPr>
            <w:r>
              <w:rPr>
                <w:rFonts w:ascii="Arial" w:cs="Arial" w:eastAsia="Arial" w:hAnsi="Arial"/>
                <w:sz w:val="18"/>
                <w:szCs w:val="18"/>
                <w:color w:val="auto"/>
                <w:w w:val="90"/>
              </w:rPr>
              <w:t>Consent of Cleary Gottlieb Steen &amp; Hamilton LLP (1)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(n)(2)</w:t>
            </w:r>
          </w:p>
        </w:tc>
        <w:tc>
          <w:tcPr>
            <w:tcW w:w="4240" w:type="dxa"/>
            <w:vAlign w:val="bottom"/>
          </w:tcPr>
          <w:p>
            <w:pPr>
              <w:ind w:left="420"/>
              <w:spacing w:after="0"/>
              <w:rPr>
                <w:sz w:val="20"/>
                <w:szCs w:val="20"/>
                <w:color w:val="auto"/>
              </w:rPr>
            </w:pPr>
            <w:r>
              <w:rPr>
                <w:rFonts w:ascii="Arial" w:cs="Arial" w:eastAsia="Arial" w:hAnsi="Arial"/>
                <w:sz w:val="18"/>
                <w:szCs w:val="18"/>
                <w:color w:val="auto"/>
              </w:rPr>
              <w:t>Consent of KPMG LLP (1)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(n)(3)</w:t>
            </w:r>
          </w:p>
        </w:tc>
        <w:tc>
          <w:tcPr>
            <w:tcW w:w="4240" w:type="dxa"/>
            <w:vAlign w:val="bottom"/>
          </w:tcPr>
          <w:p>
            <w:pPr>
              <w:ind w:left="420"/>
              <w:spacing w:after="0"/>
              <w:rPr>
                <w:sz w:val="20"/>
                <w:szCs w:val="20"/>
                <w:color w:val="auto"/>
              </w:rPr>
            </w:pPr>
            <w:r>
              <w:rPr>
                <w:rFonts w:ascii="Arial" w:cs="Arial" w:eastAsia="Arial" w:hAnsi="Arial"/>
                <w:sz w:val="18"/>
                <w:szCs w:val="18"/>
                <w:color w:val="auto"/>
              </w:rPr>
              <w:t>Report of KPMG LLP</w:t>
            </w:r>
          </w:p>
        </w:tc>
      </w:tr>
    </w:tbl>
    <w:p>
      <w:pPr>
        <w:spacing w:after="0" w:line="102" w:lineRule="exact"/>
        <w:rPr>
          <w:sz w:val="20"/>
          <w:szCs w:val="20"/>
          <w:color w:val="auto"/>
        </w:rPr>
      </w:pPr>
    </w:p>
    <w:p>
      <w:pPr>
        <w:ind w:left="1260" w:hanging="1252"/>
        <w:spacing w:after="0"/>
        <w:tabs>
          <w:tab w:leader="none" w:pos="12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Code of Ethics of TPG Specialty Lending, Inc. and TSL Advisers, LLC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p>
      <w:pPr>
        <w:spacing w:after="0" w:line="158"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“Underwriting” in this Registration Statement is incorporated herein by reference.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Item 27.</w:t>
            </w:r>
          </w:p>
        </w:tc>
        <w:tc>
          <w:tcPr>
            <w:tcW w:w="9760" w:type="dxa"/>
            <w:vAlign w:val="bottom"/>
            <w:gridSpan w:val="2"/>
          </w:tcPr>
          <w:p>
            <w:pPr>
              <w:ind w:left="60"/>
              <w:spacing w:after="0"/>
              <w:rPr>
                <w:sz w:val="20"/>
                <w:szCs w:val="20"/>
                <w:color w:val="auto"/>
              </w:rPr>
            </w:pPr>
            <w:r>
              <w:rPr>
                <w:rFonts w:ascii="Arial" w:cs="Arial" w:eastAsia="Arial" w:hAnsi="Arial"/>
                <w:sz w:val="18"/>
                <w:szCs w:val="18"/>
                <w:b w:val="1"/>
                <w:bCs w:val="1"/>
                <w:color w:val="auto"/>
              </w:rPr>
              <w:t>Other Expenses of Issuance and Distribution</w:t>
            </w:r>
          </w:p>
        </w:tc>
        <w:tc>
          <w:tcPr>
            <w:tcW w:w="620" w:type="dxa"/>
            <w:vAlign w:val="bottom"/>
          </w:tcPr>
          <w:p>
            <w:pPr>
              <w:spacing w:after="0"/>
              <w:rPr>
                <w:sz w:val="19"/>
                <w:szCs w:val="19"/>
                <w:color w:val="auto"/>
              </w:rPr>
            </w:pPr>
          </w:p>
        </w:tc>
      </w:tr>
      <w:tr>
        <w:trPr>
          <w:trHeight w:val="412"/>
        </w:trPr>
        <w:tc>
          <w:tcPr>
            <w:tcW w:w="10620" w:type="dxa"/>
            <w:vAlign w:val="bottom"/>
            <w:gridSpan w:val="3"/>
          </w:tcPr>
          <w:p>
            <w:pPr>
              <w:spacing w:after="0"/>
              <w:rPr>
                <w:sz w:val="20"/>
                <w:szCs w:val="20"/>
                <w:color w:val="auto"/>
              </w:rPr>
            </w:pPr>
            <w:r>
              <w:rPr>
                <w:rFonts w:ascii="Arial" w:cs="Arial" w:eastAsia="Arial" w:hAnsi="Arial"/>
                <w:sz w:val="18"/>
                <w:szCs w:val="18"/>
                <w:color w:val="auto"/>
              </w:rPr>
              <w:t>Securities and Exchange Commission registration fee</w:t>
            </w: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6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listing fees</w:t>
            </w:r>
          </w:p>
        </w:tc>
        <w:tc>
          <w:tcPr>
            <w:tcW w:w="620" w:type="dxa"/>
            <w:vAlign w:val="bottom"/>
          </w:tcPr>
          <w:p>
            <w:pPr>
              <w:spacing w:after="0"/>
              <w:rPr>
                <w:sz w:val="18"/>
                <w:szCs w:val="18"/>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Printing expenses</w:t>
            </w:r>
          </w:p>
        </w:tc>
        <w:tc>
          <w:tcPr>
            <w:tcW w:w="620" w:type="dxa"/>
            <w:vAlign w:val="bottom"/>
          </w:tcPr>
          <w:p>
            <w:pPr>
              <w:spacing w:after="0"/>
              <w:rPr>
                <w:sz w:val="18"/>
                <w:szCs w:val="18"/>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620" w:type="dxa"/>
            <w:vAlign w:val="bottom"/>
          </w:tcPr>
          <w:p>
            <w:pPr>
              <w:spacing w:after="0"/>
              <w:rPr>
                <w:sz w:val="18"/>
                <w:szCs w:val="18"/>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620" w:type="dxa"/>
            <w:vAlign w:val="bottom"/>
          </w:tcPr>
          <w:p>
            <w:pPr>
              <w:spacing w:after="0"/>
              <w:rPr>
                <w:sz w:val="18"/>
                <w:szCs w:val="18"/>
                <w:color w:val="auto"/>
              </w:rPr>
            </w:pPr>
          </w:p>
        </w:tc>
      </w:tr>
      <w:tr>
        <w:trPr>
          <w:trHeight w:val="222"/>
        </w:trPr>
        <w:tc>
          <w:tcPr>
            <w:tcW w:w="1062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620" w:type="dxa"/>
            <w:vAlign w:val="bottom"/>
            <w:tcBorders>
              <w:bottom w:val="single" w:sz="8" w:color="auto"/>
            </w:tcBorders>
          </w:tcPr>
          <w:p>
            <w:pPr>
              <w:spacing w:after="0"/>
              <w:rPr>
                <w:sz w:val="19"/>
                <w:szCs w:val="19"/>
                <w:color w:val="auto"/>
              </w:rPr>
            </w:pPr>
          </w:p>
        </w:tc>
      </w:tr>
      <w:tr>
        <w:trPr>
          <w:trHeight w:val="224"/>
        </w:trPr>
        <w:tc>
          <w:tcPr>
            <w:tcW w:w="860" w:type="dxa"/>
            <w:vAlign w:val="bottom"/>
          </w:tcPr>
          <w:p>
            <w:pPr>
              <w:ind w:left="440"/>
              <w:spacing w:after="0"/>
              <w:rPr>
                <w:sz w:val="20"/>
                <w:szCs w:val="20"/>
                <w:color w:val="auto"/>
              </w:rPr>
            </w:pPr>
            <w:r>
              <w:rPr>
                <w:rFonts w:ascii="Arial" w:cs="Arial" w:eastAsia="Arial" w:hAnsi="Arial"/>
                <w:sz w:val="18"/>
                <w:szCs w:val="18"/>
                <w:color w:val="auto"/>
                <w:w w:val="99"/>
              </w:rPr>
              <w:t>Total</w:t>
            </w:r>
          </w:p>
        </w:tc>
        <w:tc>
          <w:tcPr>
            <w:tcW w:w="300" w:type="dxa"/>
            <w:vAlign w:val="bottom"/>
          </w:tcPr>
          <w:p>
            <w:pPr>
              <w:spacing w:after="0"/>
              <w:rPr>
                <w:sz w:val="19"/>
                <w:szCs w:val="19"/>
                <w:color w:val="auto"/>
              </w:rPr>
            </w:pPr>
          </w:p>
        </w:tc>
        <w:tc>
          <w:tcPr>
            <w:tcW w:w="9460" w:type="dxa"/>
            <w:vAlign w:val="bottom"/>
          </w:tcPr>
          <w:p>
            <w:pPr>
              <w:spacing w:after="0"/>
              <w:rPr>
                <w:sz w:val="19"/>
                <w:szCs w:val="19"/>
                <w:color w:val="auto"/>
              </w:rPr>
            </w:pPr>
          </w:p>
        </w:tc>
        <w:tc>
          <w:tcPr>
            <w:tcW w:w="6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79"/>
              </w:rPr>
              <w:t>$</w:t>
            </w: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03"/>
        </w:trPr>
        <w:tc>
          <w:tcPr>
            <w:tcW w:w="8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46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-1225550</wp:posOffset>
            </wp:positionV>
            <wp:extent cx="724662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-951230</wp:posOffset>
            </wp:positionV>
            <wp:extent cx="724662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2466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158"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ectPr>
          <w:pgSz w:w="11900" w:h="16838" w:orient="portrait"/>
          <w:cols w:equalWidth="0" w:num="2">
            <w:col w:w="11240" w:space="0"/>
            <w:col w:w="160"/>
          </w:cols>
          <w:pgMar w:left="240" w:top="460" w:right="259" w:bottom="1440" w:gutter="0" w:footer="0" w:header="0"/>
          <w:type w:val="continuous"/>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8900" w:type="dxa"/>
            <w:vAlign w:val="bottom"/>
            <w:gridSpan w:val="2"/>
          </w:tcPr>
          <w:p>
            <w:pPr>
              <w:ind w:left="80"/>
              <w:spacing w:after="0"/>
              <w:rPr>
                <w:sz w:val="20"/>
                <w:szCs w:val="20"/>
                <w:color w:val="auto"/>
              </w:rPr>
            </w:pPr>
            <w:r>
              <w:rPr>
                <w:rFonts w:ascii="Arial" w:cs="Arial" w:eastAsia="Arial" w:hAnsi="Arial"/>
                <w:sz w:val="18"/>
                <w:szCs w:val="18"/>
                <w:b w:val="1"/>
                <w:bCs w:val="1"/>
                <w:color w:val="auto"/>
              </w:rPr>
              <w:t>Number of Holders of Securities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9740" w:type="dxa"/>
            <w:vAlign w:val="bottom"/>
            <w:gridSpan w:val="3"/>
          </w:tcPr>
          <w:p>
            <w:pPr>
              <w:ind w:left="460"/>
              <w:spacing w:after="0"/>
              <w:rPr>
                <w:sz w:val="20"/>
                <w:szCs w:val="20"/>
                <w:color w:val="auto"/>
              </w:rPr>
            </w:pPr>
            <w:r>
              <w:rPr>
                <w:rFonts w:ascii="Arial" w:cs="Arial" w:eastAsia="Arial" w:hAnsi="Arial"/>
                <w:sz w:val="18"/>
                <w:szCs w:val="18"/>
                <w:color w:val="auto"/>
                <w:w w:val="96"/>
              </w:rPr>
              <w:t>The following table sets forth the approximate number of record holders of our common stock as of September 30, 2013.</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840" w:type="dxa"/>
            <w:vAlign w:val="bottom"/>
          </w:tcPr>
          <w:p>
            <w:pPr>
              <w:spacing w:after="0"/>
              <w:rPr>
                <w:sz w:val="20"/>
                <w:szCs w:val="20"/>
                <w:color w:val="auto"/>
              </w:rPr>
            </w:pPr>
            <w:r>
              <w:rPr>
                <w:rFonts w:ascii="Arial" w:cs="Arial" w:eastAsia="Arial" w:hAnsi="Arial"/>
                <w:sz w:val="14"/>
                <w:szCs w:val="14"/>
                <w:b w:val="1"/>
                <w:bCs w:val="1"/>
                <w:color w:val="auto"/>
                <w:w w:val="94"/>
              </w:rPr>
              <w:t>Title of Class</w:t>
            </w:r>
          </w:p>
        </w:tc>
        <w:tc>
          <w:tcPr>
            <w:tcW w:w="6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Number of Record Holders</w:t>
            </w:r>
          </w:p>
        </w:tc>
      </w:tr>
      <w:tr>
        <w:trPr>
          <w:trHeight w:val="210"/>
        </w:trPr>
        <w:tc>
          <w:tcPr>
            <w:tcW w:w="7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Common Stock, $0.01 par value</w:t>
            </w:r>
          </w:p>
        </w:tc>
        <w:tc>
          <w:tcPr>
            <w:tcW w:w="19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Section 145 of the Delaware General Corporation Law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Delaware General Corporation Law. A form of the indemnification agreement has been filed as an exhibit to the Registration Statement of which this prospectus is a part.</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Advisor.</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on March 28, 2013 (SEC File No. 801-72185), and is incorporated herein by reference.</w:t>
      </w:r>
    </w:p>
    <w:p>
      <w:pPr>
        <w:spacing w:after="0" w:line="2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05"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jc w:val="both"/>
        <w:ind w:left="460" w:right="160" w:hanging="452"/>
        <w:spacing w:after="0" w:line="259" w:lineRule="auto"/>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40"/>
          </w:cols>
          <w:pgMar w:left="240" w:top="460" w:right="3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0" w:type="dxa"/>
            <w:vAlign w:val="bottom"/>
          </w:tcPr>
          <w:p>
            <w:pPr>
              <w:spacing w:after="0"/>
              <w:rPr>
                <w:sz w:val="20"/>
                <w:szCs w:val="20"/>
                <w:color w:val="auto"/>
              </w:rPr>
            </w:pPr>
            <w:r>
              <w:rPr>
                <w:rFonts w:ascii="Arial" w:cs="Arial" w:eastAsia="Arial" w:hAnsi="Arial"/>
                <w:sz w:val="18"/>
                <w:szCs w:val="18"/>
                <w:color w:val="auto"/>
                <w:w w:val="97"/>
              </w:rPr>
              <w:t>behalf by the undersigned, thereunto duly authorized, in the City of</w:t>
            </w:r>
          </w:p>
        </w:tc>
        <w:tc>
          <w:tcPr>
            <w:tcW w:w="1640" w:type="dxa"/>
            <w:vAlign w:val="bottom"/>
          </w:tcPr>
          <w:p>
            <w:pPr>
              <w:ind w:left="460"/>
              <w:spacing w:after="0"/>
              <w:rPr>
                <w:sz w:val="20"/>
                <w:szCs w:val="20"/>
                <w:color w:val="auto"/>
              </w:rPr>
            </w:pPr>
            <w:r>
              <w:rPr>
                <w:rFonts w:ascii="Arial" w:cs="Arial" w:eastAsia="Arial" w:hAnsi="Arial"/>
                <w:sz w:val="18"/>
                <w:szCs w:val="18"/>
                <w:color w:val="auto"/>
                <w:w w:val="84"/>
              </w:rPr>
              <w:t>, and the State of</w:t>
            </w:r>
          </w:p>
        </w:tc>
        <w:tc>
          <w:tcPr>
            <w:tcW w:w="300" w:type="dxa"/>
            <w:vAlign w:val="bottom"/>
          </w:tcPr>
          <w:p>
            <w:pPr>
              <w:spacing w:after="0"/>
              <w:rPr>
                <w:sz w:val="19"/>
                <w:szCs w:val="19"/>
                <w:color w:val="auto"/>
              </w:rPr>
            </w:pPr>
          </w:p>
        </w:tc>
        <w:tc>
          <w:tcPr>
            <w:tcW w:w="1940" w:type="dxa"/>
            <w:vAlign w:val="bottom"/>
          </w:tcPr>
          <w:p>
            <w:pPr>
              <w:ind w:left="680"/>
              <w:spacing w:after="0"/>
              <w:rPr>
                <w:sz w:val="20"/>
                <w:szCs w:val="20"/>
                <w:color w:val="auto"/>
              </w:rPr>
            </w:pPr>
            <w:r>
              <w:rPr>
                <w:rFonts w:ascii="Arial" w:cs="Arial" w:eastAsia="Arial" w:hAnsi="Arial"/>
                <w:sz w:val="18"/>
                <w:szCs w:val="18"/>
                <w:color w:val="auto"/>
              </w:rPr>
              <w:t>on the   day of</w:t>
            </w:r>
          </w:p>
        </w:tc>
        <w:tc>
          <w:tcPr>
            <w:tcW w:w="2340" w:type="dxa"/>
            <w:vAlign w:val="bottom"/>
          </w:tcPr>
          <w:p>
            <w:pPr>
              <w:jc w:val="right"/>
              <w:ind w:right="1672"/>
              <w:spacing w:after="0"/>
              <w:rPr>
                <w:sz w:val="20"/>
                <w:szCs w:val="20"/>
                <w:color w:val="auto"/>
              </w:rPr>
            </w:pPr>
            <w:r>
              <w:rPr>
                <w:rFonts w:ascii="Arial" w:cs="Arial" w:eastAsia="Arial" w:hAnsi="Arial"/>
                <w:sz w:val="18"/>
                <w:szCs w:val="18"/>
                <w:color w:val="auto"/>
              </w:rPr>
              <w:t>, 2013.</w:t>
            </w:r>
          </w:p>
        </w:tc>
      </w:tr>
      <w:tr>
        <w:trPr>
          <w:trHeight w:val="412"/>
        </w:trPr>
        <w:tc>
          <w:tcPr>
            <w:tcW w:w="5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580" w:type="dxa"/>
            <w:vAlign w:val="bottom"/>
            <w:gridSpan w:val="3"/>
          </w:tcPr>
          <w:p>
            <w:pPr>
              <w:ind w:left="20"/>
              <w:spacing w:after="0"/>
              <w:rPr>
                <w:sz w:val="20"/>
                <w:szCs w:val="20"/>
                <w:color w:val="auto"/>
              </w:rPr>
            </w:pPr>
            <w:r>
              <w:rPr>
                <w:rFonts w:ascii="Arial" w:cs="Arial" w:eastAsia="Arial" w:hAnsi="Arial"/>
                <w:sz w:val="18"/>
                <w:szCs w:val="18"/>
                <w:color w:val="auto"/>
              </w:rPr>
              <w:t>TPG SPECIALTY LENDING, INC.</w:t>
            </w:r>
          </w:p>
        </w:tc>
      </w:tr>
      <w:tr>
        <w:trPr>
          <w:trHeight w:val="433"/>
        </w:trPr>
        <w:tc>
          <w:tcPr>
            <w:tcW w:w="5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By:</w:t>
            </w:r>
          </w:p>
        </w:tc>
        <w:tc>
          <w:tcPr>
            <w:tcW w:w="2340" w:type="dxa"/>
            <w:vAlign w:val="bottom"/>
          </w:tcPr>
          <w:p>
            <w:pPr>
              <w:spacing w:after="0"/>
              <w:rPr>
                <w:sz w:val="24"/>
                <w:szCs w:val="24"/>
                <w:color w:val="auto"/>
              </w:rPr>
            </w:pPr>
          </w:p>
        </w:tc>
      </w:tr>
      <w:tr>
        <w:trPr>
          <w:trHeight w:val="196"/>
        </w:trPr>
        <w:tc>
          <w:tcPr>
            <w:tcW w:w="5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Borders>
              <w:top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w w:val="92"/>
              </w:rPr>
              <w:t xml:space="preserve">Name: </w:t>
            </w:r>
            <w:r>
              <w:rPr>
                <w:rFonts w:ascii="Arial" w:cs="Arial" w:eastAsia="Arial" w:hAnsi="Arial"/>
                <w:sz w:val="18"/>
                <w:szCs w:val="18"/>
                <w:color w:val="auto"/>
                <w:w w:val="92"/>
              </w:rPr>
              <w:t>Michael Fishman</w:t>
            </w:r>
          </w:p>
        </w:tc>
        <w:tc>
          <w:tcPr>
            <w:tcW w:w="2340" w:type="dxa"/>
            <w:vAlign w:val="bottom"/>
            <w:tcBorders>
              <w:top w:val="single" w:sz="8" w:color="auto"/>
            </w:tcBorders>
          </w:tcPr>
          <w:p>
            <w:pPr>
              <w:spacing w:after="0"/>
              <w:rPr>
                <w:sz w:val="17"/>
                <w:szCs w:val="17"/>
                <w:color w:val="auto"/>
              </w:rPr>
            </w:pPr>
          </w:p>
        </w:tc>
      </w:tr>
      <w:tr>
        <w:trPr>
          <w:trHeight w:val="228"/>
        </w:trPr>
        <w:tc>
          <w:tcPr>
            <w:tcW w:w="5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Co-Chief Executive Officer</w:t>
            </w:r>
          </w:p>
        </w:tc>
      </w:tr>
      <w:tr>
        <w:trPr>
          <w:trHeight w:val="378"/>
        </w:trPr>
        <w:tc>
          <w:tcPr>
            <w:tcW w:w="5200" w:type="dxa"/>
            <w:vAlign w:val="bottom"/>
          </w:tcPr>
          <w:p>
            <w:pPr>
              <w:ind w:left="460"/>
              <w:spacing w:after="0"/>
              <w:rPr>
                <w:sz w:val="20"/>
                <w:szCs w:val="20"/>
                <w:color w:val="auto"/>
              </w:rPr>
            </w:pPr>
            <w:r>
              <w:rPr>
                <w:rFonts w:ascii="Arial" w:cs="Arial" w:eastAsia="Arial" w:hAnsi="Arial"/>
                <w:sz w:val="18"/>
                <w:szCs w:val="18"/>
                <w:color w:val="auto"/>
              </w:rPr>
              <w:t>POWER OF ATTORNEY</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78"/>
        </w:trPr>
        <w:tc>
          <w:tcPr>
            <w:tcW w:w="9080" w:type="dxa"/>
            <w:vAlign w:val="bottom"/>
            <w:gridSpan w:val="4"/>
          </w:tcPr>
          <w:p>
            <w:pPr>
              <w:ind w:left="460"/>
              <w:spacing w:after="0"/>
              <w:rPr>
                <w:sz w:val="20"/>
                <w:szCs w:val="20"/>
                <w:color w:val="auto"/>
              </w:rPr>
            </w:pPr>
            <w:r>
              <w:rPr>
                <w:rFonts w:ascii="Arial" w:cs="Arial" w:eastAsia="Arial" w:hAnsi="Arial"/>
                <w:sz w:val="18"/>
                <w:szCs w:val="18"/>
                <w:color w:val="auto"/>
                <w:w w:val="95"/>
              </w:rPr>
              <w:t>Each officer and director of TPG Specialty Lending, Inc. whose signature appears below constitutes and appoints</w:t>
            </w:r>
          </w:p>
        </w:tc>
        <w:tc>
          <w:tcPr>
            <w:tcW w:w="2340" w:type="dxa"/>
            <w:vAlign w:val="bottom"/>
          </w:tcPr>
          <w:p>
            <w:pPr>
              <w:jc w:val="right"/>
              <w:ind w:right="192"/>
              <w:spacing w:after="0"/>
              <w:rPr>
                <w:sz w:val="20"/>
                <w:szCs w:val="20"/>
                <w:color w:val="auto"/>
              </w:rPr>
            </w:pPr>
            <w:r>
              <w:rPr>
                <w:rFonts w:ascii="Arial" w:cs="Arial" w:eastAsia="Arial" w:hAnsi="Arial"/>
                <w:sz w:val="18"/>
                <w:szCs w:val="18"/>
                <w:color w:val="auto"/>
              </w:rPr>
              <w:t>, and</w:t>
            </w:r>
          </w:p>
        </w:tc>
      </w:tr>
    </w:tbl>
    <w:p>
      <w:pPr>
        <w:ind w:right="40"/>
        <w:spacing w:after="0" w:line="312" w:lineRule="auto"/>
        <w:rPr>
          <w:sz w:val="20"/>
          <w:szCs w:val="20"/>
          <w:color w:val="auto"/>
        </w:rPr>
      </w:pPr>
      <w:r>
        <w:rPr>
          <w:rFonts w:ascii="Arial" w:cs="Arial" w:eastAsia="Arial" w:hAnsi="Arial"/>
          <w:sz w:val="15"/>
          <w:szCs w:val="15"/>
          <w:color w:val="auto"/>
        </w:rPr>
        <w:t>each of them to act without the other, as his or her true and lawful attorney-in-fact and agent, with full power of substitution and revocation, for him or her and in his or her name, place and stead, in any and all capacities, to execute and file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6"/>
              </w:rPr>
              <w:t>Signature</w:t>
            </w:r>
          </w:p>
        </w:tc>
        <w:tc>
          <w:tcPr>
            <w:tcW w:w="120" w:type="dxa"/>
            <w:vAlign w:val="bottom"/>
          </w:tcPr>
          <w:p>
            <w:pPr>
              <w:spacing w:after="0"/>
              <w:rPr>
                <w:sz w:val="15"/>
                <w:szCs w:val="15"/>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5"/>
                <w:szCs w:val="15"/>
                <w:color w:val="auto"/>
              </w:rPr>
            </w:pPr>
          </w:p>
        </w:tc>
        <w:tc>
          <w:tcPr>
            <w:tcW w:w="21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Date</w:t>
            </w:r>
          </w:p>
        </w:tc>
      </w:tr>
      <w:tr>
        <w:trPr>
          <w:trHeight w:val="412"/>
        </w:trPr>
        <w:tc>
          <w:tcPr>
            <w:tcW w:w="2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Co-Chief Executive Officer and Director</w:t>
            </w:r>
          </w:p>
        </w:tc>
        <w:tc>
          <w:tcPr>
            <w:tcW w:w="2100" w:type="dxa"/>
            <w:vAlign w:val="bottom"/>
          </w:tcPr>
          <w:p>
            <w:pPr>
              <w:spacing w:after="0"/>
              <w:rPr>
                <w:sz w:val="24"/>
                <w:szCs w:val="24"/>
                <w:color w:val="auto"/>
              </w:rPr>
            </w:pP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5"/>
              <w:spacing w:after="0"/>
              <w:rPr>
                <w:sz w:val="20"/>
                <w:szCs w:val="20"/>
                <w:color w:val="auto"/>
              </w:rPr>
            </w:pPr>
            <w:r>
              <w:rPr>
                <w:rFonts w:ascii="Arial" w:cs="Arial" w:eastAsia="Arial" w:hAnsi="Arial"/>
                <w:sz w:val="18"/>
                <w:szCs w:val="18"/>
                <w:color w:val="auto"/>
                <w:w w:val="89"/>
              </w:rPr>
              <w:t>Michael Fishman</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21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Co-Chief Executive Officer,</w:t>
            </w:r>
          </w:p>
        </w:tc>
        <w:tc>
          <w:tcPr>
            <w:tcW w:w="2100" w:type="dxa"/>
            <w:vAlign w:val="bottom"/>
          </w:tcPr>
          <w:p>
            <w:pPr>
              <w:spacing w:after="0"/>
              <w:rPr>
                <w:sz w:val="24"/>
                <w:szCs w:val="24"/>
                <w:color w:val="auto"/>
              </w:rPr>
            </w:pP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5"/>
              <w:spacing w:after="0"/>
              <w:rPr>
                <w:sz w:val="20"/>
                <w:szCs w:val="20"/>
                <w:color w:val="auto"/>
              </w:rPr>
            </w:pPr>
            <w:r>
              <w:rPr>
                <w:rFonts w:ascii="Arial" w:cs="Arial" w:eastAsia="Arial" w:hAnsi="Arial"/>
                <w:sz w:val="18"/>
                <w:szCs w:val="18"/>
                <w:color w:val="auto"/>
                <w:w w:val="85"/>
              </w:rPr>
              <w:t>Joshua Easterly</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Director and Chairman of the Board of Directors</w:t>
            </w:r>
          </w:p>
        </w:tc>
        <w:tc>
          <w:tcPr>
            <w:tcW w:w="21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100" w:type="dxa"/>
            <w:vAlign w:val="bottom"/>
          </w:tcPr>
          <w:p>
            <w:pPr>
              <w:spacing w:after="0"/>
              <w:rPr>
                <w:sz w:val="24"/>
                <w:szCs w:val="24"/>
                <w:color w:val="auto"/>
              </w:rPr>
            </w:pP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5"/>
              <w:spacing w:after="0"/>
              <w:rPr>
                <w:sz w:val="20"/>
                <w:szCs w:val="20"/>
                <w:color w:val="auto"/>
              </w:rPr>
            </w:pPr>
            <w:r>
              <w:rPr>
                <w:rFonts w:ascii="Arial" w:cs="Arial" w:eastAsia="Arial" w:hAnsi="Arial"/>
                <w:sz w:val="18"/>
                <w:szCs w:val="18"/>
                <w:color w:val="auto"/>
                <w:w w:val="91"/>
              </w:rPr>
              <w:t>Alan Kirshenbaum</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21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Director and Chairman of the Audit Committee</w:t>
            </w:r>
          </w:p>
        </w:tc>
        <w:tc>
          <w:tcPr>
            <w:tcW w:w="2100" w:type="dxa"/>
            <w:vAlign w:val="bottom"/>
          </w:tcPr>
          <w:p>
            <w:pPr>
              <w:spacing w:after="0"/>
              <w:rPr>
                <w:sz w:val="24"/>
                <w:szCs w:val="24"/>
                <w:color w:val="auto"/>
              </w:rPr>
            </w:pP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5"/>
              <w:spacing w:after="0"/>
              <w:rPr>
                <w:sz w:val="20"/>
                <w:szCs w:val="20"/>
                <w:color w:val="auto"/>
              </w:rPr>
            </w:pPr>
            <w:r>
              <w:rPr>
                <w:rFonts w:ascii="Arial" w:cs="Arial" w:eastAsia="Arial" w:hAnsi="Arial"/>
                <w:sz w:val="18"/>
                <w:szCs w:val="18"/>
                <w:color w:val="auto"/>
                <w:w w:val="87"/>
              </w:rPr>
              <w:t>John A. Ross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tcPr>
          <w:p>
            <w:pPr>
              <w:spacing w:after="0"/>
              <w:rPr>
                <w:sz w:val="24"/>
                <w:szCs w:val="24"/>
                <w:color w:val="auto"/>
              </w:rPr>
            </w:pP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5"/>
              <w:spacing w:after="0"/>
              <w:rPr>
                <w:sz w:val="20"/>
                <w:szCs w:val="20"/>
                <w:color w:val="auto"/>
              </w:rPr>
            </w:pPr>
            <w:r>
              <w:rPr>
                <w:rFonts w:ascii="Arial" w:cs="Arial" w:eastAsia="Arial" w:hAnsi="Arial"/>
                <w:sz w:val="18"/>
                <w:szCs w:val="18"/>
                <w:color w:val="auto"/>
                <w:w w:val="90"/>
              </w:rPr>
              <w:t>Richard A. Higginbotham</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tcPr>
          <w:p>
            <w:pPr>
              <w:spacing w:after="0"/>
              <w:rPr>
                <w:sz w:val="24"/>
                <w:szCs w:val="24"/>
                <w:color w:val="auto"/>
              </w:rPr>
            </w:pP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5"/>
              <w:spacing w:after="0"/>
              <w:rPr>
                <w:sz w:val="20"/>
                <w:szCs w:val="20"/>
                <w:color w:val="auto"/>
              </w:rPr>
            </w:pPr>
            <w:r>
              <w:rPr>
                <w:rFonts w:ascii="Arial" w:cs="Arial" w:eastAsia="Arial" w:hAnsi="Arial"/>
                <w:sz w:val="18"/>
                <w:szCs w:val="18"/>
                <w:color w:val="auto"/>
                <w:w w:val="87"/>
              </w:rPr>
              <w:t>Ronald K. Tanemura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(n)(3)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date of March 15, 2013, except for Note 8 and Note 9, which are as of December 10, 2013, we reported on the consolidated balance sheets of TPG Specialty Lending, Inc. (and subsidiaries) (the Company), including the consolidated schedules of investments as of December 31, 2012 and 2011, and the related consolidated statements of operations, changes in net assets, cash flows, and the financial highlights (included in Note 12) for the years then ended, which are included in the prospectus. In connection with our audits of the aforementioned consolidated financial statements, we also audited the related consolidated financial statement schedule in the registration statement, under the caption “Senior Securities”. This financial statement schedule is the responsibility of the Company’s management. Our responsibility is to express an opinion on this financial statement schedule based on our audits.</w:t>
      </w:r>
    </w:p>
    <w:p>
      <w:pPr>
        <w:spacing w:after="0" w:line="12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our opinion, such financial statement schedule, when considered in relation to the basic consolidated financial statements taken as a whole, presents fairly, in all material respects, the information set forth therein.</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1)"/>
      <w:numFmt w:val="decimal"/>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
      <w:numFmt w:val="bullet"/>
      <w:start w:val="1"/>
    </w:lvl>
    <w:lvl w:ilvl="1">
      <w:lvlJc w:val="left"/>
      <w:lvlText w:val="•"/>
      <w:numFmt w:val="bullet"/>
      <w:start w:val="1"/>
    </w:lvl>
  </w:abstractNum>
  <w:abstractNum w:abstractNumId="4">
    <w:nsid w:val="49DA307D"/>
    <w:multiLevelType w:val="hybridMultilevel"/>
    <w:lvl w:ilvl="0">
      <w:lvlJc w:val="left"/>
      <w:lvlText w:val="•"/>
      <w:numFmt w:val="bullet"/>
      <w:start w:val="1"/>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
      <w:numFmt w:val="bullet"/>
      <w:start w:val="1"/>
    </w:lvl>
  </w:abstractNum>
  <w:abstractNum w:abstractNumId="7">
    <w:nsid w:val="50801EE1"/>
    <w:multiLevelType w:val="hybridMultilevel"/>
    <w:lvl w:ilvl="0">
      <w:lvlJc w:val="left"/>
      <w:lvlText w:val="•"/>
      <w:numFmt w:val="bullet"/>
      <w:start w:val="1"/>
    </w:lvl>
  </w:abstractNum>
  <w:abstractNum w:abstractNumId="8">
    <w:nsid w:val="488AC1A"/>
    <w:multiLevelType w:val="hybridMultilevel"/>
    <w:lvl w:ilvl="0">
      <w:lvlJc w:val="left"/>
      <w:lvlText w:val="•"/>
      <w:numFmt w:val="bullet"/>
      <w:start w:val="1"/>
    </w:lvl>
  </w:abstractNum>
  <w:abstractNum w:abstractNumId="9">
    <w:nsid w:val="5FB8011C"/>
    <w:multiLevelType w:val="hybridMultilevel"/>
    <w:lvl w:ilvl="0">
      <w:lvlJc w:val="left"/>
      <w:lvlText w:val="•"/>
      <w:numFmt w:val="bullet"/>
      <w:start w:val="1"/>
    </w:lvl>
  </w:abstractNum>
  <w:abstractNum w:abstractNumId="10">
    <w:nsid w:val="6AA78F7F"/>
    <w:multiLevelType w:val="hybridMultilevel"/>
    <w:lvl w:ilvl="0">
      <w:lvlJc w:val="left"/>
      <w:lvlText w:val="•"/>
      <w:numFmt w:val="bullet"/>
      <w:start w:val="1"/>
    </w:lvl>
  </w:abstractNum>
  <w:abstractNum w:abstractNumId="11">
    <w:nsid w:val="7672BD23"/>
    <w:multiLevelType w:val="hybridMultilevel"/>
    <w:lvl w:ilvl="0">
      <w:lvlJc w:val="left"/>
      <w:lvlText w:val="•"/>
      <w:numFmt w:val="bullet"/>
      <w:start w:val="1"/>
    </w:lvl>
  </w:abstractNum>
  <w:abstractNum w:abstractNumId="12">
    <w:nsid w:val="6FC75AF8"/>
    <w:multiLevelType w:val="hybridMultilevel"/>
    <w:lvl w:ilvl="0">
      <w:lvlJc w:val="left"/>
      <w:lvlText w:val="•"/>
      <w:numFmt w:val="bullet"/>
      <w:start w:val="1"/>
    </w:lvl>
  </w:abstractNum>
  <w:abstractNum w:abstractNumId="13">
    <w:nsid w:val="6A5F7029"/>
    <w:multiLevelType w:val="hybridMultilevel"/>
    <w:lvl w:ilvl="0">
      <w:lvlJc w:val="left"/>
      <w:lvlText w:val="•"/>
      <w:numFmt w:val="bullet"/>
      <w:start w:val="1"/>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
      <w:numFmt w:val="bullet"/>
      <w:start w:val="1"/>
    </w:lvl>
  </w:abstractNum>
  <w:abstractNum w:abstractNumId="16">
    <w:nsid w:val="73A1821B"/>
    <w:multiLevelType w:val="hybridMultilevel"/>
    <w:lvl w:ilvl="0">
      <w:lvlJc w:val="left"/>
      <w:lvlText w:val="(%1)"/>
      <w:numFmt w:val="decimal"/>
      <w:start w:val="1"/>
    </w:lvl>
  </w:abstractNum>
  <w:abstractNum w:abstractNumId="17">
    <w:nsid w:val="7DE67713"/>
    <w:multiLevelType w:val="hybridMultilevel"/>
    <w:lvl w:ilvl="0">
      <w:lvlJc w:val="left"/>
      <w:lvlText w:val="(%1)"/>
      <w:numFmt w:val="decimal"/>
      <w:start w:val="3"/>
    </w:lvl>
  </w:abstractNum>
  <w:abstractNum w:abstractNumId="18">
    <w:nsid w:val="555C55B5"/>
    <w:multiLevelType w:val="hybridMultilevel"/>
    <w:lvl w:ilvl="0">
      <w:lvlJc w:val="left"/>
      <w:lvlText w:val="(%1)"/>
      <w:numFmt w:val="decimal"/>
      <w:start w:val="5"/>
    </w:lvl>
  </w:abstractNum>
  <w:abstractNum w:abstractNumId="19">
    <w:nsid w:val="3FA62ACA"/>
    <w:multiLevelType w:val="hybridMultilevel"/>
    <w:lvl w:ilvl="0">
      <w:lvlJc w:val="left"/>
      <w:lvlText w:val="(%1)"/>
      <w:numFmt w:val="decimal"/>
      <w:start w:val="6"/>
    </w:lvl>
  </w:abstractNum>
  <w:abstractNum w:abstractNumId="20">
    <w:nsid w:val="14FCE74E"/>
    <w:multiLevelType w:val="hybridMultilevel"/>
    <w:lvl w:ilvl="0">
      <w:lvlJc w:val="left"/>
      <w:lvlText w:val="•"/>
      <w:numFmt w:val="bullet"/>
      <w:start w:val="1"/>
    </w:lvl>
    <w:lvl w:ilvl="1">
      <w:lvlJc w:val="left"/>
      <w:lvlText w:val="•"/>
      <w:numFmt w:val="bullet"/>
      <w:start w:val="1"/>
    </w:lvl>
  </w:abstractNum>
  <w:abstractNum w:abstractNumId="21">
    <w:nsid w:val="6A3DD3E8"/>
    <w:multiLevelType w:val="hybridMultilevel"/>
    <w:lvl w:ilvl="0">
      <w:lvlJc w:val="left"/>
      <w:lvlText w:val="•"/>
      <w:numFmt w:val="bullet"/>
      <w:start w:val="1"/>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
      <w:numFmt w:val="bullet"/>
      <w:start w:val="1"/>
    </w:lvl>
  </w:abstractNum>
  <w:abstractNum w:abstractNumId="25">
    <w:nsid w:val="1FBFE8E0"/>
    <w:multiLevelType w:val="hybridMultilevel"/>
    <w:lvl w:ilvl="0">
      <w:lvlJc w:val="left"/>
      <w:lvlText w:val="•"/>
      <w:numFmt w:val="bullet"/>
      <w:start w:val="1"/>
    </w:lvl>
  </w:abstractNum>
  <w:abstractNum w:abstractNumId="26">
    <w:nsid w:val="5092CA79"/>
    <w:multiLevelType w:val="hybridMultilevel"/>
    <w:lvl w:ilvl="0">
      <w:lvlJc w:val="left"/>
      <w:lvlText w:val="•"/>
      <w:numFmt w:val="bullet"/>
      <w:start w:val="1"/>
    </w:lvl>
  </w:abstractNum>
  <w:abstractNum w:abstractNumId="27">
    <w:nsid w:val="1D545C4D"/>
    <w:multiLevelType w:val="hybridMultilevel"/>
    <w:lvl w:ilvl="0">
      <w:lvlJc w:val="left"/>
      <w:lvlText w:val="•"/>
      <w:numFmt w:val="bullet"/>
      <w:start w:val="1"/>
    </w:lvl>
  </w:abstractNum>
  <w:abstractNum w:abstractNumId="28">
    <w:nsid w:val="59ADEA3D"/>
    <w:multiLevelType w:val="hybridMultilevel"/>
    <w:lvl w:ilvl="0">
      <w:lvlJc w:val="left"/>
      <w:lvlText w:val="•"/>
      <w:numFmt w:val="bullet"/>
      <w:start w:val="1"/>
    </w:lvl>
  </w:abstractNum>
  <w:abstractNum w:abstractNumId="29">
    <w:nsid w:val="288F1A34"/>
    <w:multiLevelType w:val="hybridMultilevel"/>
    <w:lvl w:ilvl="0">
      <w:lvlJc w:val="left"/>
      <w:lvlText w:val="•"/>
      <w:numFmt w:val="bullet"/>
      <w:start w:val="1"/>
    </w:lvl>
  </w:abstractNum>
  <w:abstractNum w:abstractNumId="30">
    <w:nsid w:val="2A155DBC"/>
    <w:multiLevelType w:val="hybridMultilevel"/>
    <w:lvl w:ilvl="0">
      <w:lvlJc w:val="left"/>
      <w:lvlText w:val="•"/>
      <w:numFmt w:val="bullet"/>
      <w:start w:val="1"/>
    </w:lvl>
  </w:abstractNum>
  <w:abstractNum w:abstractNumId="31">
    <w:nsid w:val="1D9F6E5F"/>
    <w:multiLevelType w:val="hybridMultilevel"/>
    <w:lvl w:ilvl="0">
      <w:lvlJc w:val="left"/>
      <w:lvlText w:val="•"/>
      <w:numFmt w:val="bullet"/>
      <w:start w:val="1"/>
    </w:lvl>
  </w:abstractNum>
  <w:abstractNum w:abstractNumId="32">
    <w:nsid w:val="97E1B4E"/>
    <w:multiLevelType w:val="hybridMultilevel"/>
    <w:lvl w:ilvl="0">
      <w:lvlJc w:val="left"/>
      <w:lvlText w:val="•"/>
      <w:numFmt w:val="bullet"/>
      <w:start w:val="1"/>
    </w:lvl>
  </w:abstractNum>
  <w:abstractNum w:abstractNumId="33">
    <w:nsid w:val="51088277"/>
    <w:multiLevelType w:val="hybridMultilevel"/>
    <w:lvl w:ilvl="0">
      <w:lvlJc w:val="left"/>
      <w:lvlText w:val="(%1)"/>
      <w:numFmt w:val="decimal"/>
      <w:start w:val="1"/>
    </w:lvl>
  </w:abstractNum>
  <w:abstractNum w:abstractNumId="34">
    <w:nsid w:val="1CA0C5FA"/>
    <w:multiLevelType w:val="hybridMultilevel"/>
    <w:lvl w:ilvl="0">
      <w:lvlJc w:val="left"/>
      <w:lvlText w:val="•"/>
      <w:numFmt w:val="bullet"/>
      <w:start w:val="1"/>
    </w:lvl>
  </w:abstractNum>
  <w:abstractNum w:abstractNumId="35">
    <w:nsid w:val="53584BCB"/>
    <w:multiLevelType w:val="hybridMultilevel"/>
    <w:lvl w:ilvl="0">
      <w:lvlJc w:val="left"/>
      <w:lvlText w:val="(%1)"/>
      <w:numFmt w:val="decimal"/>
      <w:start w:val="1"/>
    </w:lvl>
  </w:abstractNum>
  <w:abstractNum w:abstractNumId="36">
    <w:nsid w:val="415E286C"/>
    <w:multiLevelType w:val="hybridMultilevel"/>
    <w:lvl w:ilvl="0">
      <w:lvlJc w:val="left"/>
      <w:lvlText w:val="(%1)"/>
      <w:numFmt w:val="decimal"/>
      <w:start w:val="1"/>
    </w:lvl>
    <w:lvl w:ilvl="1">
      <w:lvlJc w:val="left"/>
      <w:lvlText w:val="(%2)"/>
      <w:numFmt w:val="lowerLetter"/>
      <w:start w:val="2"/>
    </w:lvl>
  </w:abstractNum>
  <w:abstractNum w:abstractNumId="37">
    <w:nsid w:val="7C58FD05"/>
    <w:multiLevelType w:val="hybridMultilevel"/>
    <w:lvl w:ilvl="0">
      <w:lvlJc w:val="left"/>
      <w:lvlText w:val="%1"/>
      <w:numFmt w:val="decimal"/>
      <w:start w:val="1"/>
    </w:lvl>
    <w:lvl w:ilvl="1">
      <w:lvlJc w:val="left"/>
      <w:lvlText w:val="(%2)"/>
      <w:numFmt w:val="lowerLetter"/>
      <w:start w:val="2"/>
    </w:lvl>
  </w:abstractNum>
  <w:abstractNum w:abstractNumId="38">
    <w:nsid w:val="23D86AAC"/>
    <w:multiLevelType w:val="hybridMultilevel"/>
    <w:lvl w:ilvl="0">
      <w:lvlJc w:val="left"/>
      <w:lvlText w:val="•"/>
      <w:numFmt w:val="bullet"/>
      <w:start w:val="1"/>
    </w:lvl>
  </w:abstractNum>
  <w:abstractNum w:abstractNumId="39">
    <w:nsid w:val="45E6D486"/>
    <w:multiLevelType w:val="hybridMultilevel"/>
    <w:lvl w:ilvl="0">
      <w:lvlJc w:val="left"/>
      <w:lvlText w:val="•"/>
      <w:numFmt w:val="bullet"/>
      <w:start w:val="1"/>
    </w:lvl>
  </w:abstractNum>
  <w:abstractNum w:abstractNumId="40">
    <w:nsid w:val="5C10FE21"/>
    <w:multiLevelType w:val="hybridMultilevel"/>
    <w:lvl w:ilvl="0">
      <w:lvlJc w:val="left"/>
      <w:lvlText w:val="•"/>
      <w:numFmt w:val="bullet"/>
      <w:start w:val="1"/>
    </w:lvl>
  </w:abstractNum>
  <w:abstractNum w:abstractNumId="41">
    <w:nsid w:val="E7FFA2B"/>
    <w:multiLevelType w:val="hybridMultilevel"/>
    <w:lvl w:ilvl="0">
      <w:lvlJc w:val="left"/>
      <w:lvlText w:val="(%1)"/>
      <w:numFmt w:val="decimal"/>
      <w:start w:val="1"/>
    </w:lvl>
  </w:abstractNum>
  <w:abstractNum w:abstractNumId="42">
    <w:nsid w:val="3C5991AA"/>
    <w:multiLevelType w:val="hybridMultilevel"/>
    <w:lvl w:ilvl="0">
      <w:lvlJc w:val="left"/>
      <w:lvlText w:val="•"/>
      <w:numFmt w:val="bullet"/>
      <w:start w:val="1"/>
    </w:lvl>
    <w:lvl w:ilvl="1">
      <w:lvlJc w:val="left"/>
      <w:lvlText w:val="º"/>
      <w:numFmt w:val="bullet"/>
      <w:start w:val="1"/>
    </w:lvl>
  </w:abstractNum>
  <w:abstractNum w:abstractNumId="43">
    <w:nsid w:val="4BD8591A"/>
    <w:multiLevelType w:val="hybridMultilevel"/>
    <w:lvl w:ilvl="0">
      <w:lvlJc w:val="left"/>
      <w:lvlText w:val="•"/>
      <w:numFmt w:val="bullet"/>
      <w:start w:val="1"/>
    </w:lvl>
  </w:abstractNum>
  <w:abstractNum w:abstractNumId="44">
    <w:nsid w:val="78DF6A55"/>
    <w:multiLevelType w:val="hybridMultilevel"/>
    <w:lvl w:ilvl="0">
      <w:lvlJc w:val="left"/>
      <w:lvlText w:val="•"/>
      <w:numFmt w:val="bullet"/>
      <w:start w:val="1"/>
    </w:lvl>
  </w:abstractNum>
  <w:abstractNum w:abstractNumId="45">
    <w:nsid w:val="39B7AAA2"/>
    <w:multiLevelType w:val="hybridMultilevel"/>
    <w:lvl w:ilvl="0">
      <w:lvlJc w:val="left"/>
      <w:lvlText w:val="•"/>
      <w:numFmt w:val="bullet"/>
      <w:start w:val="1"/>
    </w:lvl>
  </w:abstractNum>
  <w:abstractNum w:abstractNumId="46">
    <w:nsid w:val="2B0D8DBE"/>
    <w:multiLevelType w:val="hybridMultilevel"/>
    <w:lvl w:ilvl="0">
      <w:lvlJc w:val="left"/>
      <w:lvlText w:val="•"/>
      <w:numFmt w:val="bullet"/>
      <w:start w:val="1"/>
    </w:lvl>
  </w:abstractNum>
  <w:abstractNum w:abstractNumId="47">
    <w:nsid w:val="6C80EC70"/>
    <w:multiLevelType w:val="hybridMultilevel"/>
    <w:lvl w:ilvl="0">
      <w:lvlJc w:val="left"/>
      <w:lvlText w:val="•"/>
      <w:numFmt w:val="bullet"/>
      <w:start w:val="1"/>
    </w:lvl>
  </w:abstractNum>
  <w:abstractNum w:abstractNumId="48">
    <w:nsid w:val="379E21B5"/>
    <w:multiLevelType w:val="hybridMultilevel"/>
    <w:lvl w:ilvl="0">
      <w:lvlJc w:val="left"/>
      <w:lvlText w:val="•"/>
      <w:numFmt w:val="bullet"/>
      <w:start w:val="1"/>
    </w:lvl>
  </w:abstractNum>
  <w:abstractNum w:abstractNumId="49">
    <w:nsid w:val="69E373"/>
    <w:multiLevelType w:val="hybridMultilevel"/>
    <w:lvl w:ilvl="0">
      <w:lvlJc w:val="left"/>
      <w:lvlText w:val="•"/>
      <w:numFmt w:val="bullet"/>
      <w:start w:val="1"/>
    </w:lvl>
  </w:abstractNum>
  <w:abstractNum w:abstractNumId="50">
    <w:nsid w:val="2C27173B"/>
    <w:multiLevelType w:val="hybridMultilevel"/>
    <w:lvl w:ilvl="0">
      <w:lvlJc w:val="left"/>
      <w:lvlText w:val="•"/>
      <w:numFmt w:val="bullet"/>
      <w:start w:val="1"/>
    </w:lvl>
  </w:abstractNum>
  <w:abstractNum w:abstractNumId="51">
    <w:nsid w:val="4C9B0904"/>
    <w:multiLevelType w:val="hybridMultilevel"/>
    <w:lvl w:ilvl="0">
      <w:lvlJc w:val="left"/>
      <w:lvlText w:val="•"/>
      <w:numFmt w:val="bullet"/>
      <w:start w:val="1"/>
    </w:lvl>
  </w:abstractNum>
  <w:abstractNum w:abstractNumId="52">
    <w:nsid w:val="6AA7B75C"/>
    <w:multiLevelType w:val="hybridMultilevel"/>
    <w:lvl w:ilvl="0">
      <w:lvlJc w:val="left"/>
      <w:lvlText w:val="•"/>
      <w:numFmt w:val="bullet"/>
      <w:start w:val="1"/>
    </w:lvl>
  </w:abstractNum>
  <w:abstractNum w:abstractNumId="53">
    <w:nsid w:val="1DF029D3"/>
    <w:multiLevelType w:val="hybridMultilevel"/>
    <w:lvl w:ilvl="0">
      <w:lvlJc w:val="left"/>
      <w:lvlText w:val="(%1)"/>
      <w:numFmt w:val="decimal"/>
      <w:start w:val="1"/>
    </w:lvl>
  </w:abstractNum>
  <w:abstractNum w:abstractNumId="54">
    <w:nsid w:val="5675FF36"/>
    <w:multiLevelType w:val="hybridMultilevel"/>
    <w:lvl w:ilvl="0">
      <w:lvlJc w:val="left"/>
      <w:lvlText w:val="•"/>
      <w:numFmt w:val="bullet"/>
      <w:start w:val="1"/>
    </w:lvl>
    <w:lvl w:ilvl="1">
      <w:lvlJc w:val="left"/>
      <w:lvlText w:val="¡"/>
      <w:numFmt w:val="bullet"/>
      <w:start w:val="1"/>
    </w:lvl>
  </w:abstractNum>
  <w:abstractNum w:abstractNumId="55">
    <w:nsid w:val="3DD15094"/>
    <w:multiLevelType w:val="hybridMultilevel"/>
    <w:lvl w:ilvl="0">
      <w:lvlJc w:val="left"/>
      <w:lvlText w:val="•"/>
      <w:numFmt w:val="bullet"/>
      <w:start w:val="1"/>
    </w:lvl>
  </w:abstractNum>
  <w:abstractNum w:abstractNumId="56">
    <w:nsid w:val="3DB012B3"/>
    <w:multiLevelType w:val="hybridMultilevel"/>
    <w:lvl w:ilvl="0">
      <w:lvlJc w:val="left"/>
      <w:lvlText w:val="•"/>
      <w:numFmt w:val="bullet"/>
      <w:start w:val="1"/>
    </w:lvl>
  </w:abstractNum>
  <w:abstractNum w:abstractNumId="57">
    <w:nsid w:val="2708C9AF"/>
    <w:multiLevelType w:val="hybridMultilevel"/>
    <w:lvl w:ilvl="0">
      <w:lvlJc w:val="left"/>
      <w:lvlText w:val="•"/>
      <w:numFmt w:val="bullet"/>
      <w:start w:val="1"/>
    </w:lvl>
  </w:abstractNum>
  <w:abstractNum w:abstractNumId="58">
    <w:nsid w:val="5B25ACE2"/>
    <w:multiLevelType w:val="hybridMultilevel"/>
    <w:lvl w:ilvl="0">
      <w:lvlJc w:val="left"/>
      <w:lvlText w:val="•"/>
      <w:numFmt w:val="bullet"/>
      <w:start w:val="1"/>
    </w:lvl>
  </w:abstractNum>
  <w:abstractNum w:abstractNumId="59">
    <w:nsid w:val="175DFCF0"/>
    <w:multiLevelType w:val="hybridMultilevel"/>
    <w:lvl w:ilvl="0">
      <w:lvlJc w:val="left"/>
      <w:lvlText w:val="•"/>
      <w:numFmt w:val="bullet"/>
      <w:start w:val="1"/>
    </w:lvl>
  </w:abstractNum>
  <w:abstractNum w:abstractNumId="60">
    <w:nsid w:val="4F97E3E4"/>
    <w:multiLevelType w:val="hybridMultilevel"/>
    <w:lvl w:ilvl="0">
      <w:lvlJc w:val="left"/>
      <w:lvlText w:val="•"/>
      <w:numFmt w:val="bullet"/>
      <w:start w:val="1"/>
    </w:lvl>
  </w:abstractNum>
  <w:abstractNum w:abstractNumId="61">
    <w:nsid w:val="53B0A9E"/>
    <w:multiLevelType w:val="hybridMultilevel"/>
    <w:lvl w:ilvl="0">
      <w:lvlJc w:val="left"/>
      <w:lvlText w:val="•"/>
      <w:numFmt w:val="bullet"/>
      <w:start w:val="1"/>
    </w:lvl>
  </w:abstractNum>
  <w:abstractNum w:abstractNumId="62">
    <w:nsid w:val="34FD6B4F"/>
    <w:multiLevelType w:val="hybridMultilevel"/>
    <w:lvl w:ilvl="0">
      <w:lvlJc w:val="left"/>
      <w:lvlText w:val="•"/>
      <w:numFmt w:val="bullet"/>
      <w:start w:val="1"/>
    </w:lvl>
    <w:lvl w:ilvl="1">
      <w:lvlJc w:val="left"/>
      <w:lvlText w:val="•"/>
      <w:numFmt w:val="bullet"/>
      <w:start w:val="1"/>
    </w:lvl>
  </w:abstractNum>
  <w:abstractNum w:abstractNumId="63">
    <w:nsid w:val="5915FF32"/>
    <w:multiLevelType w:val="hybridMultilevel"/>
    <w:lvl w:ilvl="0">
      <w:lvlJc w:val="left"/>
      <w:lvlText w:val="•"/>
      <w:numFmt w:val="bullet"/>
      <w:start w:val="1"/>
    </w:lvl>
  </w:abstractNum>
  <w:abstractNum w:abstractNumId="64">
    <w:nsid w:val="56438D15"/>
    <w:multiLevelType w:val="hybridMultilevel"/>
    <w:lvl w:ilvl="0">
      <w:lvlJc w:val="left"/>
      <w:lvlText w:val="(%1)"/>
      <w:numFmt w:val="decimal"/>
      <w:start w:val="1"/>
    </w:lvl>
  </w:abstractNum>
  <w:abstractNum w:abstractNumId="65">
    <w:nsid w:val="519E3149"/>
    <w:multiLevelType w:val="hybridMultilevel"/>
    <w:lvl w:ilvl="0">
      <w:lvlJc w:val="left"/>
      <w:lvlText w:val="(%1)"/>
      <w:numFmt w:val="decimal"/>
      <w:start w:val="1"/>
    </w:lvl>
  </w:abstractNum>
  <w:abstractNum w:abstractNumId="66">
    <w:nsid w:val="2C6E4AFD"/>
    <w:multiLevelType w:val="hybridMultilevel"/>
    <w:lvl w:ilvl="0">
      <w:lvlJc w:val="left"/>
      <w:lvlText w:val="(%1)"/>
      <w:numFmt w:val="decimal"/>
      <w:start w:val="1"/>
    </w:lvl>
  </w:abstractNum>
  <w:abstractNum w:abstractNumId="67">
    <w:nsid w:val="17A1B582"/>
    <w:multiLevelType w:val="hybridMultilevel"/>
    <w:lvl w:ilvl="0">
      <w:lvlJc w:val="left"/>
      <w:lvlText w:val="•"/>
      <w:numFmt w:val="bullet"/>
      <w:start w:val="1"/>
    </w:lvl>
  </w:abstractNum>
  <w:abstractNum w:abstractNumId="68">
    <w:nsid w:val="4DF72E4E"/>
    <w:multiLevelType w:val="hybridMultilevel"/>
    <w:lvl w:ilvl="0">
      <w:lvlJc w:val="left"/>
      <w:lvlText w:val="•"/>
      <w:numFmt w:val="bullet"/>
      <w:start w:val="1"/>
    </w:lvl>
  </w:abstractNum>
  <w:abstractNum w:abstractNumId="69">
    <w:nsid w:val="5046B5A9"/>
    <w:multiLevelType w:val="hybridMultilevel"/>
    <w:lvl w:ilvl="0">
      <w:lvlJc w:val="left"/>
      <w:lvlText w:val="•"/>
      <w:numFmt w:val="bullet"/>
      <w:start w:val="1"/>
    </w:lvl>
  </w:abstractNum>
  <w:abstractNum w:abstractNumId="70">
    <w:nsid w:val="5D888A08"/>
    <w:multiLevelType w:val="hybridMultilevel"/>
    <w:lvl w:ilvl="0">
      <w:lvlJc w:val="left"/>
      <w:lvlText w:val="•"/>
      <w:numFmt w:val="bullet"/>
      <w:start w:val="1"/>
    </w:lvl>
  </w:abstractNum>
  <w:abstractNum w:abstractNumId="71">
    <w:nsid w:val="2A082C70"/>
    <w:multiLevelType w:val="hybridMultilevel"/>
    <w:lvl w:ilvl="0">
      <w:lvlJc w:val="left"/>
      <w:lvlText w:val="•"/>
      <w:numFmt w:val="bullet"/>
      <w:start w:val="1"/>
    </w:lvl>
  </w:abstractNum>
  <w:abstractNum w:abstractNumId="72">
    <w:nsid w:val="5EC6AFD4"/>
    <w:multiLevelType w:val="hybridMultilevel"/>
    <w:lvl w:ilvl="0">
      <w:lvlJc w:val="left"/>
      <w:lvlText w:val="•"/>
      <w:numFmt w:val="bullet"/>
      <w:start w:val="1"/>
    </w:lvl>
  </w:abstractNum>
  <w:abstractNum w:abstractNumId="73">
    <w:nsid w:val="19E21BB2"/>
    <w:multiLevelType w:val="hybridMultilevel"/>
    <w:lvl w:ilvl="0">
      <w:lvlJc w:val="left"/>
      <w:lvlText w:val="•"/>
      <w:numFmt w:val="bullet"/>
      <w:start w:val="1"/>
    </w:lvl>
  </w:abstractNum>
  <w:abstractNum w:abstractNumId="74">
    <w:nsid w:val="75E0858A"/>
    <w:multiLevelType w:val="hybridMultilevel"/>
    <w:lvl w:ilvl="0">
      <w:lvlJc w:val="left"/>
      <w:lvlText w:val="•"/>
      <w:numFmt w:val="bullet"/>
      <w:start w:val="1"/>
    </w:lvl>
  </w:abstractNum>
  <w:abstractNum w:abstractNumId="75">
    <w:nsid w:val="57A61A29"/>
    <w:multiLevelType w:val="hybridMultilevel"/>
    <w:lvl w:ilvl="0">
      <w:lvlJc w:val="left"/>
      <w:lvlText w:val="•"/>
      <w:numFmt w:val="bullet"/>
      <w:start w:val="1"/>
    </w:lvl>
  </w:abstractNum>
  <w:abstractNum w:abstractNumId="76">
    <w:nsid w:val="5399C654"/>
    <w:multiLevelType w:val="hybridMultilevel"/>
    <w:lvl w:ilvl="0">
      <w:lvlJc w:val="left"/>
      <w:lvlText w:val="(%1)"/>
      <w:numFmt w:val="lowerRoman"/>
      <w:start w:val="1"/>
    </w:lvl>
  </w:abstractNum>
  <w:abstractNum w:abstractNumId="77">
    <w:nsid w:val="20EE1348"/>
    <w:multiLevelType w:val="hybridMultilevel"/>
    <w:lvl w:ilvl="0">
      <w:lvlJc w:val="left"/>
      <w:lvlText w:val="•"/>
      <w:numFmt w:val="bullet"/>
      <w:start w:val="1"/>
    </w:lvl>
  </w:abstractNum>
  <w:abstractNum w:abstractNumId="78">
    <w:nsid w:val="4427069A"/>
    <w:multiLevelType w:val="hybridMultilevel"/>
    <w:lvl w:ilvl="0">
      <w:lvlJc w:val="left"/>
      <w:lvlText w:val="="/>
      <w:numFmt w:val="bullet"/>
      <w:start w:val="1"/>
    </w:lvl>
  </w:abstractNum>
  <w:abstractNum w:abstractNumId="79">
    <w:nsid w:val="B37E80A"/>
    <w:multiLevelType w:val="hybridMultilevel"/>
    <w:lvl w:ilvl="0">
      <w:lvlJc w:val="left"/>
      <w:lvlText w:val="(%1)"/>
      <w:numFmt w:val="decimal"/>
    </w:lvl>
    <w:lvl w:ilvl="1">
      <w:lvlJc w:val="left"/>
      <w:lvlText w:val="="/>
      <w:numFmt w:val="bullet"/>
      <w:start w:val="1"/>
    </w:lvl>
  </w:abstractNum>
  <w:abstractNum w:abstractNumId="80">
    <w:nsid w:val="2157F6BC"/>
    <w:multiLevelType w:val="hybridMultilevel"/>
    <w:lvl w:ilvl="0">
      <w:lvlJc w:val="left"/>
      <w:lvlText w:val="(*)"/>
      <w:numFmt w:val="bullet"/>
      <w:start w:val="1"/>
    </w:lvl>
  </w:abstractNum>
  <w:abstractNum w:abstractNumId="81">
    <w:nsid w:val="704E1DD5"/>
    <w:multiLevelType w:val="hybridMultilevel"/>
    <w:lvl w:ilvl="0">
      <w:lvlJc w:val="left"/>
      <w:lvlText w:val="•"/>
      <w:numFmt w:val="bullet"/>
      <w:start w:val="1"/>
    </w:lvl>
  </w:abstractNum>
  <w:abstractNum w:abstractNumId="82">
    <w:nsid w:val="57D2F10E"/>
    <w:multiLevelType w:val="hybridMultilevel"/>
    <w:lvl w:ilvl="0">
      <w:lvlJc w:val="left"/>
      <w:lvlText w:val="•"/>
      <w:numFmt w:val="bullet"/>
      <w:start w:val="1"/>
    </w:lvl>
  </w:abstractNum>
  <w:abstractNum w:abstractNumId="83">
    <w:nsid w:val="BFFAE18"/>
    <w:multiLevelType w:val="hybridMultilevel"/>
    <w:lvl w:ilvl="0">
      <w:lvlJc w:val="left"/>
      <w:lvlText w:val="•"/>
      <w:numFmt w:val="bullet"/>
      <w:start w:val="1"/>
    </w:lvl>
  </w:abstractNum>
  <w:abstractNum w:abstractNumId="84">
    <w:nsid w:val="E3E47A8"/>
    <w:multiLevelType w:val="hybridMultilevel"/>
    <w:lvl w:ilvl="0">
      <w:lvlJc w:val="left"/>
      <w:lvlText w:val="•"/>
      <w:numFmt w:val="bullet"/>
      <w:start w:val="1"/>
    </w:lvl>
  </w:abstractNum>
  <w:abstractNum w:abstractNumId="85">
    <w:nsid w:val="2E48F044"/>
    <w:multiLevelType w:val="hybridMultilevel"/>
    <w:lvl w:ilvl="0">
      <w:lvlJc w:val="left"/>
      <w:lvlText w:val="•"/>
      <w:numFmt w:val="bullet"/>
      <w:start w:val="1"/>
    </w:lvl>
  </w:abstractNum>
  <w:abstractNum w:abstractNumId="86">
    <w:nsid w:val="49D0FEAC"/>
    <w:multiLevelType w:val="hybridMultilevel"/>
    <w:lvl w:ilvl="0">
      <w:lvlJc w:val="left"/>
      <w:lvlText w:val="•"/>
      <w:numFmt w:val="bullet"/>
      <w:start w:val="1"/>
    </w:lvl>
  </w:abstractNum>
  <w:abstractNum w:abstractNumId="87">
    <w:nsid w:val="4BEE5A5B"/>
    <w:multiLevelType w:val="hybridMultilevel"/>
    <w:lvl w:ilvl="0">
      <w:lvlJc w:val="left"/>
      <w:lvlText w:val="•"/>
      <w:numFmt w:val="bullet"/>
      <w:start w:val="1"/>
    </w:lvl>
  </w:abstractNum>
  <w:abstractNum w:abstractNumId="88">
    <w:nsid w:val="5551B9F3"/>
    <w:multiLevelType w:val="hybridMultilevel"/>
    <w:lvl w:ilvl="0">
      <w:lvlJc w:val="left"/>
      <w:lvlText w:val="•"/>
      <w:numFmt w:val="bullet"/>
      <w:start w:val="1"/>
    </w:lvl>
  </w:abstractNum>
  <w:abstractNum w:abstractNumId="89">
    <w:nsid w:val="24F6AB8E"/>
    <w:multiLevelType w:val="hybridMultilevel"/>
    <w:lvl w:ilvl="0">
      <w:lvlJc w:val="left"/>
      <w:lvlText w:val="•"/>
      <w:numFmt w:val="bullet"/>
      <w:start w:val="1"/>
    </w:lvl>
  </w:abstractNum>
  <w:abstractNum w:abstractNumId="90">
    <w:nsid w:val="634C574C"/>
    <w:multiLevelType w:val="hybridMultilevel"/>
    <w:lvl w:ilvl="0">
      <w:lvlJc w:val="left"/>
      <w:lvlText w:val="•"/>
      <w:numFmt w:val="bullet"/>
      <w:start w:val="1"/>
    </w:lvl>
  </w:abstractNum>
  <w:abstractNum w:abstractNumId="91">
    <w:nsid w:val="24E99DD7"/>
    <w:multiLevelType w:val="hybridMultilevel"/>
    <w:lvl w:ilvl="0">
      <w:lvlJc w:val="left"/>
      <w:lvlText w:val="•"/>
      <w:numFmt w:val="bullet"/>
      <w:start w:val="1"/>
    </w:lvl>
  </w:abstractNum>
  <w:abstractNum w:abstractNumId="92">
    <w:nsid w:val="2A31B62D"/>
    <w:multiLevelType w:val="hybridMultilevel"/>
    <w:lvl w:ilvl="0">
      <w:lvlJc w:val="left"/>
      <w:lvlText w:val="•"/>
      <w:numFmt w:val="bullet"/>
      <w:start w:val="1"/>
    </w:lvl>
  </w:abstractNum>
  <w:abstractNum w:abstractNumId="93">
    <w:nsid w:val="1849C29B"/>
    <w:multiLevelType w:val="hybridMultilevel"/>
    <w:lvl w:ilvl="0">
      <w:lvlJc w:val="left"/>
      <w:lvlText w:val="*"/>
      <w:numFmt w:val="bullet"/>
      <w:start w:val="1"/>
    </w:lvl>
  </w:abstractNum>
  <w:abstractNum w:abstractNumId="94">
    <w:nsid w:val="7DFF9D09"/>
    <w:multiLevelType w:val="hybridMultilevel"/>
    <w:lvl w:ilvl="0">
      <w:lvlJc w:val="left"/>
      <w:lvlText w:val="(%1)"/>
      <w:numFmt w:val="decimal"/>
      <w:start w:val="2"/>
    </w:lvl>
  </w:abstractNum>
  <w:abstractNum w:abstractNumId="95">
    <w:nsid w:val="754342"/>
    <w:multiLevelType w:val="hybridMultilevel"/>
    <w:lvl w:ilvl="0">
      <w:lvlJc w:val="left"/>
      <w:lvlText w:val="(%1)"/>
      <w:numFmt w:val="decimal"/>
      <w:start w:val="3"/>
    </w:lvl>
  </w:abstractNum>
  <w:abstractNum w:abstractNumId="96">
    <w:nsid w:val="69E7F3E5"/>
    <w:multiLevelType w:val="hybridMultilevel"/>
    <w:lvl w:ilvl="0">
      <w:lvlJc w:val="left"/>
      <w:lvlText w:val="(%1)"/>
      <w:numFmt w:val="decimal"/>
      <w:start w:val="10"/>
    </w:lvl>
  </w:abstractNum>
  <w:abstractNum w:abstractNumId="97">
    <w:nsid w:val="2A6DE806"/>
    <w:multiLevelType w:val="hybridMultilevel"/>
    <w:lvl w:ilvl="0">
      <w:lvlJc w:val="left"/>
      <w:lvlText w:val="(%1)"/>
      <w:numFmt w:val="decimal"/>
      <w:start w:val="11"/>
    </w:lvl>
  </w:abstractNum>
  <w:abstractNum w:abstractNumId="98">
    <w:nsid w:val="1816F8C4"/>
    <w:multiLevelType w:val="hybridMultilevel"/>
    <w:lvl w:ilvl="0">
      <w:lvlJc w:val="left"/>
      <w:lvlText w:val="(%1)"/>
      <w:numFmt w:val="decimal"/>
      <w:start w:val="1"/>
    </w:lvl>
  </w:abstractNum>
  <w:abstractNum w:abstractNumId="99">
    <w:nsid w:val="37DF2233"/>
    <w:multiLevelType w:val="hybridMultilevel"/>
    <w:lvl w:ilvl="0">
      <w:lvlJc w:val="left"/>
      <w:lvlText w:val="•"/>
      <w:numFmt w:val="bullet"/>
      <w:start w:val="1"/>
    </w:lvl>
  </w:abstractNum>
  <w:abstractNum w:abstractNumId="100">
    <w:nsid w:val="7AB49DAF"/>
    <w:multiLevelType w:val="hybridMultilevel"/>
    <w:lvl w:ilvl="0">
      <w:lvlJc w:val="left"/>
      <w:lvlText w:val="•"/>
      <w:numFmt w:val="bullet"/>
      <w:start w:val="1"/>
    </w:lvl>
  </w:abstractNum>
  <w:abstractNum w:abstractNumId="101">
    <w:nsid w:val="759F82CD"/>
    <w:multiLevelType w:val="hybridMultilevel"/>
    <w:lvl w:ilvl="0">
      <w:lvlJc w:val="left"/>
      <w:lvlText w:val="•"/>
      <w:numFmt w:val="bullet"/>
      <w:start w:val="1"/>
    </w:lvl>
  </w:abstractNum>
  <w:abstractNum w:abstractNumId="102">
    <w:nsid w:val="61E74EA3"/>
    <w:multiLevelType w:val="hybridMultilevel"/>
    <w:lvl w:ilvl="0">
      <w:lvlJc w:val="left"/>
      <w:lvlText w:val="•"/>
      <w:numFmt w:val="bullet"/>
      <w:start w:val="1"/>
    </w:lvl>
  </w:abstractNum>
  <w:abstractNum w:abstractNumId="103">
    <w:nsid w:val="597B4D84"/>
    <w:multiLevelType w:val="hybridMultilevel"/>
    <w:lvl w:ilvl="0">
      <w:lvlJc w:val="left"/>
      <w:lvlText w:val="•"/>
      <w:numFmt w:val="bullet"/>
      <w:start w:val="1"/>
    </w:lvl>
    <w:lvl w:ilvl="1">
      <w:lvlJc w:val="left"/>
      <w:lvlText w:val="•"/>
      <w:numFmt w:val="bullet"/>
      <w:start w:val="1"/>
    </w:lvl>
  </w:abstractNum>
  <w:abstractNum w:abstractNumId="104">
    <w:nsid w:val="F819E7F"/>
    <w:multiLevelType w:val="hybridMultilevel"/>
    <w:lvl w:ilvl="0">
      <w:lvlJc w:val="left"/>
      <w:lvlText w:val="•"/>
      <w:numFmt w:val="bullet"/>
      <w:start w:val="1"/>
    </w:lvl>
  </w:abstractNum>
  <w:abstractNum w:abstractNumId="105">
    <w:nsid w:val="57C7D42D"/>
    <w:multiLevelType w:val="hybridMultilevel"/>
    <w:lvl w:ilvl="0">
      <w:lvlJc w:val="left"/>
      <w:lvlText w:val="•"/>
      <w:numFmt w:val="bullet"/>
      <w:start w:val="1"/>
    </w:lvl>
  </w:abstractNum>
  <w:abstractNum w:abstractNumId="106">
    <w:nsid w:val="312167AD"/>
    <w:multiLevelType w:val="hybridMultilevel"/>
    <w:lvl w:ilvl="0">
      <w:lvlJc w:val="left"/>
      <w:lvlText w:val="•"/>
      <w:numFmt w:val="bullet"/>
      <w:start w:val="1"/>
    </w:lvl>
  </w:abstractNum>
  <w:abstractNum w:abstractNumId="107">
    <w:nsid w:val="631B64D4"/>
    <w:multiLevelType w:val="hybridMultilevel"/>
    <w:lvl w:ilvl="0">
      <w:lvlJc w:val="left"/>
      <w:lvlText w:val="•"/>
      <w:numFmt w:val="bullet"/>
      <w:start w:val="1"/>
    </w:lvl>
  </w:abstractNum>
  <w:abstractNum w:abstractNumId="108">
    <w:nsid w:val="78B5E776"/>
    <w:multiLevelType w:val="hybridMultilevel"/>
    <w:lvl w:ilvl="0">
      <w:lvlJc w:val="left"/>
      <w:lvlText w:val="•"/>
      <w:numFmt w:val="bullet"/>
      <w:start w:val="1"/>
    </w:lvl>
  </w:abstractNum>
  <w:abstractNum w:abstractNumId="109">
    <w:nsid w:val="75486E47"/>
    <w:multiLevelType w:val="hybridMultilevel"/>
    <w:lvl w:ilvl="0">
      <w:lvlJc w:val="left"/>
      <w:lvlText w:val="•"/>
      <w:numFmt w:val="bullet"/>
      <w:start w:val="1"/>
    </w:lvl>
  </w:abstractNum>
  <w:abstractNum w:abstractNumId="110">
    <w:nsid w:val="6E534CDE"/>
    <w:multiLevelType w:val="hybridMultilevel"/>
    <w:lvl w:ilvl="0">
      <w:lvlJc w:val="left"/>
      <w:lvlText w:val="•"/>
      <w:numFmt w:val="bullet"/>
      <w:start w:val="1"/>
    </w:lvl>
  </w:abstractNum>
  <w:abstractNum w:abstractNumId="111">
    <w:nsid w:val="1A0DDE32"/>
    <w:multiLevelType w:val="hybridMultilevel"/>
    <w:lvl w:ilvl="0">
      <w:lvlJc w:val="left"/>
      <w:lvlText w:val="•"/>
      <w:numFmt w:val="bullet"/>
      <w:start w:val="1"/>
    </w:lvl>
  </w:abstractNum>
  <w:abstractNum w:abstractNumId="112">
    <w:nsid w:val="65968C1C"/>
    <w:multiLevelType w:val="hybridMultilevel"/>
    <w:lvl w:ilvl="0">
      <w:lvlJc w:val="left"/>
      <w:lvlText w:val="•"/>
      <w:numFmt w:val="bullet"/>
      <w:start w:val="1"/>
    </w:lvl>
  </w:abstractNum>
  <w:abstractNum w:abstractNumId="113">
    <w:nsid w:val="46263DEC"/>
    <w:multiLevelType w:val="hybridMultilevel"/>
    <w:lvl w:ilvl="0">
      <w:lvlJc w:val="left"/>
      <w:lvlText w:val="•"/>
      <w:numFmt w:val="bullet"/>
      <w:start w:val="1"/>
    </w:lvl>
  </w:abstractNum>
  <w:abstractNum w:abstractNumId="114">
    <w:nsid w:val="260D8C4A"/>
    <w:multiLevelType w:val="hybridMultilevel"/>
    <w:lvl w:ilvl="0">
      <w:lvlJc w:val="left"/>
      <w:lvlText w:val="•"/>
      <w:numFmt w:val="bullet"/>
      <w:start w:val="1"/>
    </w:lvl>
  </w:abstractNum>
  <w:abstractNum w:abstractNumId="115">
    <w:nsid w:val="73D4D3C4"/>
    <w:multiLevelType w:val="hybridMultilevel"/>
    <w:lvl w:ilvl="0">
      <w:lvlJc w:val="left"/>
      <w:lvlText w:val="•"/>
      <w:numFmt w:val="bullet"/>
      <w:start w:val="1"/>
    </w:lvl>
  </w:abstractNum>
  <w:abstractNum w:abstractNumId="116">
    <w:nsid w:val="746F2E30"/>
    <w:multiLevelType w:val="hybridMultilevel"/>
    <w:lvl w:ilvl="0">
      <w:lvlJc w:val="left"/>
      <w:lvlText w:val="•"/>
      <w:numFmt w:val="bullet"/>
      <w:start w:val="1"/>
    </w:lvl>
  </w:abstractNum>
  <w:abstractNum w:abstractNumId="117">
    <w:nsid w:val="6FDE8AF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8">
    <w:nsid w:val="3FC32E20"/>
    <w:multiLevelType w:val="hybridMultilevel"/>
    <w:lvl w:ilvl="0">
      <w:lvlJc w:val="left"/>
      <w:lvlText w:val="•"/>
      <w:numFmt w:val="bullet"/>
      <w:start w:val="1"/>
    </w:lvl>
  </w:abstractNum>
  <w:abstractNum w:abstractNumId="119">
    <w:nsid w:val="49C0E823"/>
    <w:multiLevelType w:val="hybridMultilevel"/>
    <w:lvl w:ilvl="0">
      <w:lvlJc w:val="left"/>
      <w:lvlText w:val="•"/>
      <w:numFmt w:val="bullet"/>
      <w:start w:val="1"/>
    </w:lvl>
  </w:abstractNum>
  <w:abstractNum w:abstractNumId="120">
    <w:nsid w:val="14D53685"/>
    <w:multiLevelType w:val="hybridMultilevel"/>
    <w:lvl w:ilvl="0">
      <w:lvlJc w:val="left"/>
      <w:lvlText w:val="•"/>
      <w:numFmt w:val="bullet"/>
      <w:start w:val="1"/>
    </w:lvl>
  </w:abstractNum>
  <w:abstractNum w:abstractNumId="121">
    <w:nsid w:val="230F856C"/>
    <w:multiLevelType w:val="hybridMultilevel"/>
    <w:lvl w:ilvl="0">
      <w:lvlJc w:val="left"/>
      <w:lvlText w:val="•"/>
      <w:numFmt w:val="bullet"/>
      <w:start w:val="1"/>
    </w:lvl>
  </w:abstractNum>
  <w:abstractNum w:abstractNumId="122">
    <w:nsid w:val="6EAA85FB"/>
    <w:multiLevelType w:val="hybridMultilevel"/>
    <w:lvl w:ilvl="0">
      <w:lvlJc w:val="left"/>
      <w:lvlText w:val="•"/>
      <w:numFmt w:val="bullet"/>
      <w:start w:val="1"/>
    </w:lvl>
  </w:abstractNum>
  <w:abstractNum w:abstractNumId="123">
    <w:nsid w:val="3F06ECB2"/>
    <w:multiLevelType w:val="hybridMultilevel"/>
    <w:lvl w:ilvl="0">
      <w:lvlJc w:val="left"/>
      <w:lvlText w:val="(%1)"/>
      <w:numFmt w:val="decimal"/>
      <w:start w:val="1"/>
    </w:lvl>
  </w:abstractNum>
  <w:abstractNum w:abstractNumId="124">
    <w:nsid w:val="3B594807"/>
    <w:multiLevelType w:val="hybridMultilevel"/>
    <w:lvl w:ilvl="0">
      <w:lvlJc w:val="left"/>
      <w:lvlText w:val="(%1)"/>
      <w:numFmt w:val="decimal"/>
      <w:start w:val="1"/>
    </w:lvl>
  </w:abstractNum>
  <w:abstractNum w:abstractNumId="125">
    <w:nsid w:val="6CAA2304"/>
    <w:multiLevelType w:val="hybridMultilevel"/>
    <w:lvl w:ilvl="0">
      <w:lvlJc w:val="left"/>
      <w:lvlText w:val="(%1)"/>
      <w:numFmt w:val="decimal"/>
      <w:start w:val="1"/>
    </w:lvl>
  </w:abstractNum>
  <w:abstractNum w:abstractNumId="126">
    <w:nsid w:val="3F7C2FF4"/>
    <w:multiLevelType w:val="hybridMultilevel"/>
    <w:lvl w:ilvl="0">
      <w:lvlJc w:val="left"/>
      <w:lvlText w:val="(%1)"/>
      <w:numFmt w:val="decimal"/>
      <w:start w:val="5"/>
    </w:lvl>
  </w:abstractNum>
  <w:abstractNum w:abstractNumId="127">
    <w:nsid w:val="25413BEC"/>
    <w:multiLevelType w:val="hybridMultilevel"/>
    <w:lvl w:ilvl="0">
      <w:lvlJc w:val="left"/>
      <w:lvlText w:val="(%1)"/>
      <w:numFmt w:val="lowerLetter"/>
      <w:start w:val="1"/>
    </w:lvl>
  </w:abstractNum>
  <w:abstractNum w:abstractNumId="128">
    <w:nsid w:val="17180B0B"/>
    <w:multiLevelType w:val="hybridMultilevel"/>
    <w:lvl w:ilvl="0">
      <w:lvlJc w:val="left"/>
      <w:lvlText w:val="(%1)"/>
      <w:numFmt w:val="decimal"/>
      <w:start w:val="1"/>
    </w:lvl>
  </w:abstractNum>
  <w:abstractNum w:abstractNumId="129">
    <w:nsid w:val="579328B9"/>
    <w:multiLevelType w:val="hybridMultilevel"/>
    <w:lvl w:ilvl="0">
      <w:lvlJc w:val="left"/>
      <w:lvlText w:val="(%1)"/>
      <w:numFmt w:val="lowerLetter"/>
      <w:start w:val="1"/>
    </w:lvl>
  </w:abstractNum>
  <w:abstractNum w:abstractNumId="130">
    <w:nsid w:val="5D205E20"/>
    <w:multiLevelType w:val="hybridMultilevel"/>
    <w:lvl w:ilvl="0">
      <w:lvlJc w:val="left"/>
      <w:lvlText w:val="%1."/>
      <w:numFmt w:val="decimal"/>
      <w:start w:val="1"/>
    </w:lvl>
  </w:abstractNum>
  <w:abstractNum w:abstractNumId="131">
    <w:nsid w:val="11CCA8BA"/>
    <w:multiLevelType w:val="hybridMultilevel"/>
    <w:lvl w:ilvl="0">
      <w:lvlJc w:val="left"/>
      <w:lvlText w:val="%1."/>
      <w:numFmt w:val="decimal"/>
      <w:start w:val="2"/>
    </w:lvl>
  </w:abstractNum>
  <w:abstractNum w:abstractNumId="132">
    <w:nsid w:val="4D32AB86"/>
    <w:multiLevelType w:val="hybridMultilevel"/>
    <w:lvl w:ilvl="0">
      <w:lvlJc w:val="left"/>
      <w:lvlText w:val="•"/>
      <w:numFmt w:val="bullet"/>
      <w:start w:val="1"/>
    </w:lvl>
  </w:abstractNum>
  <w:abstractNum w:abstractNumId="133">
    <w:nsid w:val="3F07ACC3"/>
    <w:multiLevelType w:val="hybridMultilevel"/>
    <w:lvl w:ilvl="0">
      <w:lvlJc w:val="left"/>
      <w:lvlText w:val="•"/>
      <w:numFmt w:val="bullet"/>
      <w:start w:val="1"/>
    </w:lvl>
  </w:abstractNum>
  <w:abstractNum w:abstractNumId="134">
    <w:nsid w:val="6B47F63E"/>
    <w:multiLevelType w:val="hybridMultilevel"/>
    <w:lvl w:ilvl="0">
      <w:lvlJc w:val="left"/>
      <w:lvlText w:val="(%1)"/>
      <w:numFmt w:val="lowerRoman"/>
      <w:start w:val="1"/>
    </w:lvl>
  </w:abstractNum>
  <w:abstractNum w:abstractNumId="135">
    <w:nsid w:val="5CB44A05"/>
    <w:multiLevelType w:val="hybridMultilevel"/>
    <w:lvl w:ilvl="0">
      <w:lvlJc w:val="left"/>
      <w:lvlText w:val="%1."/>
      <w:numFmt w:val="decimal"/>
      <w:start w:val="3"/>
    </w:lvl>
  </w:abstractNum>
  <w:abstractNum w:abstractNumId="136">
    <w:nsid w:val="16CF80F1"/>
    <w:multiLevelType w:val="hybridMultilevel"/>
    <w:lvl w:ilvl="0">
      <w:lvlJc w:val="left"/>
      <w:lvlText w:val="(%1)"/>
      <w:numFmt w:val="lowerRoman"/>
      <w:start w:val="1"/>
    </w:lvl>
  </w:abstractNum>
  <w:abstractNum w:abstractNumId="137">
    <w:nsid w:val="1C695DEC"/>
    <w:multiLevelType w:val="hybridMultilevel"/>
    <w:lvl w:ilvl="0">
      <w:lvlJc w:val="left"/>
      <w:lvlText w:val="(%1)"/>
      <w:numFmt w:val="decimal"/>
      <w:start w:val="1"/>
    </w:lvl>
  </w:abstractNum>
  <w:abstractNum w:abstractNumId="138">
    <w:nsid w:val="3FCFAED9"/>
    <w:multiLevelType w:val="hybridMultilevel"/>
    <w:lvl w:ilvl="0">
      <w:lvlJc w:val="left"/>
      <w:lvlText w:val="%1."/>
      <w:numFmt w:val="decimal"/>
      <w:start w:val="5"/>
    </w:lvl>
  </w:abstractNum>
  <w:abstractNum w:abstractNumId="139">
    <w:nsid w:val="F856867"/>
    <w:multiLevelType w:val="hybridMultilevel"/>
    <w:lvl w:ilvl="0">
      <w:lvlJc w:val="left"/>
      <w:lvlText w:val="(%1)"/>
      <w:numFmt w:val="decimal"/>
      <w:start w:val="1"/>
    </w:lvl>
  </w:abstractNum>
  <w:abstractNum w:abstractNumId="140">
    <w:nsid w:val="11B1CC33"/>
    <w:multiLevelType w:val="hybridMultilevel"/>
    <w:lvl w:ilvl="0">
      <w:lvlJc w:val="left"/>
      <w:lvlText w:val="(%1)"/>
      <w:numFmt w:val="decimal"/>
      <w:start w:val="1"/>
    </w:lvl>
  </w:abstractNum>
  <w:abstractNum w:abstractNumId="141">
    <w:nsid w:val="2E22FBB7"/>
    <w:multiLevelType w:val="hybridMultilevel"/>
    <w:lvl w:ilvl="0">
      <w:lvlJc w:val="left"/>
      <w:lvlText w:val="%1."/>
      <w:numFmt w:val="decimal"/>
      <w:start w:val="7"/>
    </w:lvl>
  </w:abstractNum>
  <w:abstractNum w:abstractNumId="142">
    <w:nsid w:val="29934699"/>
    <w:multiLevelType w:val="hybridMultilevel"/>
    <w:lvl w:ilvl="0">
      <w:lvlJc w:val="left"/>
      <w:lvlText w:val="(%1)"/>
      <w:numFmt w:val="decimal"/>
      <w:start w:val="1"/>
    </w:lvl>
  </w:abstractNum>
  <w:abstractNum w:abstractNumId="143">
    <w:nsid w:val="77485850"/>
    <w:multiLevelType w:val="hybridMultilevel"/>
    <w:lvl w:ilvl="0">
      <w:lvlJc w:val="left"/>
      <w:lvlText w:val="(%1)"/>
      <w:numFmt w:val="decimal"/>
      <w:start w:val="2"/>
    </w:lvl>
  </w:abstractNum>
  <w:abstractNum w:abstractNumId="144">
    <w:nsid w:val="744939A3"/>
    <w:multiLevelType w:val="hybridMultilevel"/>
    <w:lvl w:ilvl="0">
      <w:lvlJc w:val="left"/>
      <w:lvlText w:val="(%1)"/>
      <w:numFmt w:val="decimal"/>
      <w:start w:val="1"/>
    </w:lvl>
  </w:abstractNum>
  <w:abstractNum w:abstractNumId="145">
    <w:nsid w:val="4FA0D2E3"/>
    <w:multiLevelType w:val="hybridMultilevel"/>
    <w:lvl w:ilvl="0">
      <w:lvlJc w:val="left"/>
      <w:lvlText w:val="%1"/>
      <w:numFmt w:val="decimal"/>
      <w:start w:val="1"/>
    </w:lvl>
    <w:lvl w:ilvl="1">
      <w:lvlJc w:val="left"/>
      <w:lvlText w:val="(%2)"/>
      <w:numFmt w:val="decimal"/>
      <w:start w:val="1"/>
    </w:lvl>
  </w:abstractNum>
  <w:abstractNum w:abstractNumId="146">
    <w:nsid w:val="6B1D2C14"/>
    <w:multiLevelType w:val="hybridMultilevel"/>
    <w:lvl w:ilvl="0">
      <w:lvlJc w:val="left"/>
      <w:lvlText w:val="(%1)"/>
      <w:numFmt w:val="decimal"/>
      <w:start w:val="2"/>
    </w:lvl>
    <w:lvl w:ilvl="1">
      <w:lvlJc w:val="left"/>
      <w:lvlText w:val="%2"/>
      <w:numFmt w:val="decimal"/>
      <w:start w:val="1"/>
    </w:lvl>
  </w:abstractNum>
  <w:abstractNum w:abstractNumId="147">
    <w:nsid w:val="68B867D3"/>
    <w:multiLevelType w:val="hybridMultilevel"/>
    <w:lvl w:ilvl="0">
      <w:lvlJc w:val="left"/>
      <w:lvlText w:val="(%1)"/>
      <w:numFmt w:val="decimal"/>
      <w:start w:val="1"/>
    </w:lvl>
  </w:abstractNum>
  <w:abstractNum w:abstractNumId="148">
    <w:nsid w:val="3F7F5DD9"/>
    <w:multiLevelType w:val="hybridMultilevel"/>
    <w:lvl w:ilvl="0">
      <w:lvlJc w:val="left"/>
      <w:lvlText w:val="(%1)"/>
      <w:numFmt w:val="decimal"/>
      <w:start w:val="1"/>
    </w:lvl>
  </w:abstractNum>
  <w:abstractNum w:abstractNumId="149">
    <w:nsid w:val="2AE05A34"/>
    <w:multiLevelType w:val="hybridMultilevel"/>
    <w:lvl w:ilvl="0">
      <w:lvlJc w:val="left"/>
      <w:lvlText w:val="%1"/>
      <w:numFmt w:val="decimal"/>
      <w:start w:val="1"/>
    </w:lvl>
    <w:lvl w:ilvl="1">
      <w:lvlJc w:val="left"/>
      <w:lvlText w:val="(%2)"/>
      <w:numFmt w:val="decimal"/>
      <w:start w:val="1"/>
    </w:lvl>
  </w:abstractNum>
  <w:abstractNum w:abstractNumId="150">
    <w:nsid w:val="32794FF7"/>
    <w:multiLevelType w:val="hybridMultilevel"/>
    <w:lvl w:ilvl="0">
      <w:lvlJc w:val="left"/>
      <w:lvlText w:val="(%1)"/>
      <w:numFmt w:val="decimal"/>
      <w:start w:val="3"/>
    </w:lvl>
    <w:lvl w:ilvl="1">
      <w:lvlJc w:val="left"/>
      <w:lvlText w:val="%2"/>
      <w:numFmt w:val="decimal"/>
      <w:start w:val="1"/>
    </w:lvl>
  </w:abstractNum>
  <w:abstractNum w:abstractNumId="151">
    <w:nsid w:val="5454945E"/>
    <w:multiLevelType w:val="hybridMultilevel"/>
    <w:lvl w:ilvl="0">
      <w:lvlJc w:val="left"/>
      <w:lvlText w:val="(%1)"/>
      <w:numFmt w:val="decimal"/>
      <w:start w:val="1"/>
    </w:lvl>
  </w:abstractNum>
  <w:abstractNum w:abstractNumId="152">
    <w:nsid w:val="4DEFDFA0"/>
    <w:multiLevelType w:val="hybridMultilevel"/>
    <w:lvl w:ilvl="0">
      <w:lvlJc w:val="left"/>
      <w:lvlText w:val="(%1)"/>
      <w:numFmt w:val="decimal"/>
      <w:start w:val="1"/>
    </w:lvl>
  </w:abstractNum>
  <w:abstractNum w:abstractNumId="153">
    <w:nsid w:val="2123D5F2"/>
    <w:multiLevelType w:val="hybridMultilevel"/>
    <w:lvl w:ilvl="0">
      <w:lvlJc w:val="left"/>
      <w:lvlText w:val="(%1)"/>
      <w:numFmt w:val="decimal"/>
      <w:start w:val="1"/>
    </w:lvl>
  </w:abstractNum>
  <w:abstractNum w:abstractNumId="154">
    <w:nsid w:val="135B8110"/>
    <w:multiLevelType w:val="hybridMultilevel"/>
    <w:lvl w:ilvl="0">
      <w:lvlJc w:val="left"/>
      <w:lvlText w:val="(%1)"/>
      <w:numFmt w:val="decimal"/>
      <w:start w:val="1"/>
    </w:lvl>
  </w:abstractNum>
  <w:abstractNum w:abstractNumId="155">
    <w:nsid w:val="94927A8"/>
    <w:multiLevelType w:val="hybridMultilevel"/>
    <w:lvl w:ilvl="0">
      <w:lvlJc w:val="left"/>
      <w:lvlText w:val="(%1)"/>
      <w:numFmt w:val="decimal"/>
      <w:start w:val="1"/>
    </w:lvl>
  </w:abstractNum>
  <w:abstractNum w:abstractNumId="156">
    <w:nsid w:val="DCDF8F6"/>
    <w:multiLevelType w:val="hybridMultilevel"/>
    <w:lvl w:ilvl="0">
      <w:lvlJc w:val="left"/>
      <w:lvlText w:val="(%1)"/>
      <w:numFmt w:val="lowerLetter"/>
      <w:start w:val="1"/>
    </w:lvl>
  </w:abstractNum>
  <w:abstractNum w:abstractNumId="157">
    <w:nsid w:val="52D7B105"/>
    <w:multiLevelType w:val="hybridMultilevel"/>
    <w:lvl w:ilvl="0">
      <w:lvlJc w:val="left"/>
      <w:lvlText w:val="%1."/>
      <w:numFmt w:val="decimal"/>
      <w:start w:val="1"/>
    </w:lvl>
  </w:abstractNum>
  <w:abstractNum w:abstractNumId="158">
    <w:nsid w:val="2E8A6394"/>
    <w:multiLevelType w:val="hybridMultilevel"/>
    <w:lvl w:ilvl="0">
      <w:lvlJc w:val="left"/>
      <w:lvlText w:val="%1."/>
      <w:numFmt w:val="decimal"/>
      <w:start w:val="2"/>
    </w:lvl>
  </w:abstractNum>
  <w:abstractNum w:abstractNumId="159">
    <w:nsid w:val="24E60401"/>
    <w:multiLevelType w:val="hybridMultilevel"/>
    <w:lvl w:ilvl="0">
      <w:lvlJc w:val="left"/>
      <w:lvlText w:val="•"/>
      <w:numFmt w:val="bullet"/>
      <w:start w:val="1"/>
    </w:lvl>
  </w:abstractNum>
  <w:abstractNum w:abstractNumId="160">
    <w:nsid w:val="2A6AD9BE"/>
    <w:multiLevelType w:val="hybridMultilevel"/>
    <w:lvl w:ilvl="0">
      <w:lvlJc w:val="left"/>
      <w:lvlText w:val="•"/>
      <w:numFmt w:val="bullet"/>
      <w:start w:val="1"/>
    </w:lvl>
  </w:abstractNum>
  <w:abstractNum w:abstractNumId="161">
    <w:nsid w:val="BAAC1B4"/>
    <w:multiLevelType w:val="hybridMultilevel"/>
    <w:lvl w:ilvl="0">
      <w:lvlJc w:val="left"/>
      <w:lvlText w:val="•"/>
      <w:numFmt w:val="bullet"/>
      <w:start w:val="1"/>
    </w:lvl>
  </w:abstractNum>
  <w:abstractNum w:abstractNumId="162">
    <w:nsid w:val="36B2ACBC"/>
    <w:multiLevelType w:val="hybridMultilevel"/>
    <w:lvl w:ilvl="0">
      <w:lvlJc w:val="left"/>
      <w:lvlText w:val="%1."/>
      <w:numFmt w:val="decimal"/>
      <w:start w:val="3"/>
    </w:lvl>
  </w:abstractNum>
  <w:abstractNum w:abstractNumId="163">
    <w:nsid w:val="779D8544"/>
    <w:multiLevelType w:val="hybridMultilevel"/>
    <w:lvl w:ilvl="0">
      <w:lvlJc w:val="left"/>
      <w:lvlText w:val="(%1)"/>
      <w:numFmt w:val="lowerRoman"/>
      <w:start w:val="1"/>
    </w:lvl>
  </w:abstractNum>
  <w:abstractNum w:abstractNumId="164">
    <w:nsid w:val="4AB26E78"/>
    <w:multiLevelType w:val="hybridMultilevel"/>
    <w:lvl w:ilvl="0">
      <w:lvlJc w:val="left"/>
      <w:lvlText w:val="(%1)"/>
      <w:numFmt w:val="decimal"/>
      <w:start w:val="1"/>
    </w:lvl>
  </w:abstractNum>
  <w:abstractNum w:abstractNumId="165">
    <w:nsid w:val="21FAA2FA"/>
    <w:multiLevelType w:val="hybridMultilevel"/>
    <w:lvl w:ilvl="0">
      <w:lvlJc w:val="left"/>
      <w:lvlText w:val="%1."/>
      <w:numFmt w:val="decimal"/>
      <w:start w:val="5"/>
    </w:lvl>
  </w:abstractNum>
  <w:abstractNum w:abstractNumId="166">
    <w:nsid w:val="5451CF49"/>
    <w:multiLevelType w:val="hybridMultilevel"/>
    <w:lvl w:ilvl="0">
      <w:lvlJc w:val="left"/>
      <w:lvlText w:val="%1."/>
      <w:numFmt w:val="decimal"/>
      <w:start w:val="6"/>
    </w:lvl>
  </w:abstractNum>
  <w:abstractNum w:abstractNumId="167">
    <w:nsid w:val="6181EF69"/>
    <w:multiLevelType w:val="hybridMultilevel"/>
    <w:lvl w:ilvl="0">
      <w:lvlJc w:val="left"/>
      <w:lvlText w:val="(%1)"/>
      <w:numFmt w:val="decimal"/>
      <w:start w:val="1"/>
    </w:lvl>
  </w:abstractNum>
  <w:abstractNum w:abstractNumId="168">
    <w:nsid w:val="3E6400E6"/>
    <w:multiLevelType w:val="hybridMultilevel"/>
    <w:lvl w:ilvl="0">
      <w:lvlJc w:val="left"/>
      <w:lvlText w:val="(%1)"/>
      <w:numFmt w:val="decimal"/>
      <w:start w:val="1"/>
    </w:lvl>
  </w:abstractNum>
  <w:abstractNum w:abstractNumId="169">
    <w:nsid w:val="14217E23"/>
    <w:multiLevelType w:val="hybridMultilevel"/>
    <w:lvl w:ilvl="0">
      <w:lvlJc w:val="left"/>
      <w:lvlText w:val="%1."/>
      <w:numFmt w:val="decimal"/>
      <w:start w:val="8"/>
    </w:lvl>
  </w:abstractNum>
  <w:abstractNum w:abstractNumId="170">
    <w:nsid w:val="710757D0"/>
    <w:multiLevelType w:val="hybridMultilevel"/>
    <w:lvl w:ilvl="0">
      <w:lvlJc w:val="left"/>
      <w:lvlText w:val="(%1)"/>
      <w:numFmt w:val="decimal"/>
      <w:start w:val="1"/>
    </w:lvl>
  </w:abstractNum>
  <w:abstractNum w:abstractNumId="171">
    <w:nsid w:val="5015CD1A"/>
    <w:multiLevelType w:val="hybridMultilevel"/>
    <w:lvl w:ilvl="0">
      <w:lvlJc w:val="left"/>
      <w:lvlText w:val="(%1)"/>
      <w:numFmt w:val="decimal"/>
      <w:start w:val="1"/>
    </w:lvl>
  </w:abstractNum>
  <w:abstractNum w:abstractNumId="172">
    <w:nsid w:val="424479DA"/>
    <w:multiLevelType w:val="hybridMultilevel"/>
    <w:lvl w:ilvl="0">
      <w:lvlJc w:val="left"/>
      <w:lvlText w:val="(%1)"/>
      <w:numFmt w:val="decimal"/>
      <w:start w:val="1"/>
    </w:lvl>
  </w:abstractNum>
  <w:abstractNum w:abstractNumId="173">
    <w:nsid w:val="1A9A9E69"/>
    <w:multiLevelType w:val="hybridMultilevel"/>
    <w:lvl w:ilvl="0">
      <w:lvlJc w:val="left"/>
      <w:lvlText w:val="(%1)"/>
      <w:numFmt w:val="decimal"/>
      <w:start w:val="1"/>
    </w:lvl>
  </w:abstractNum>
  <w:abstractNum w:abstractNumId="174">
    <w:nsid w:val="475E256A"/>
    <w:multiLevelType w:val="hybridMultilevel"/>
    <w:lvl w:ilvl="0">
      <w:lvlJc w:val="left"/>
      <w:lvlText w:val="(%1)"/>
      <w:numFmt w:val="decimal"/>
      <w:start w:val="1"/>
    </w:lvl>
  </w:abstractNum>
  <w:abstractNum w:abstractNumId="175">
    <w:nsid w:val="368DB37E"/>
    <w:multiLevelType w:val="hybridMultilevel"/>
    <w:lvl w:ilvl="0">
      <w:lvlJc w:val="left"/>
      <w:lvlText w:val="(%1)"/>
      <w:numFmt w:val="decimal"/>
      <w:start w:val="6"/>
    </w:lvl>
  </w:abstractNum>
  <w:abstractNum w:abstractNumId="176">
    <w:nsid w:val="6A3B714C"/>
    <w:multiLevelType w:val="hybridMultilevel"/>
    <w:lvl w:ilvl="0">
      <w:lvlJc w:val="left"/>
      <w:lvlText w:val="(%1)"/>
      <w:numFmt w:val="decimal"/>
      <w:start w:val="2"/>
    </w:lvl>
  </w:abstractNum>
  <w:abstractNum w:abstractNumId="177">
    <w:nsid w:val="327B517E"/>
    <w:multiLevelType w:val="hybridMultilevel"/>
    <w:lvl w:ilvl="0">
      <w:lvlJc w:val="left"/>
      <w:lvlText w:val="(%1)"/>
      <w:numFmt w:val="lowerLetter"/>
      <w:start w:val="1"/>
    </w:lvl>
  </w:abstractNum>
  <w:abstractNum w:abstractNumId="178">
    <w:nsid w:val="1F461B51"/>
    <w:multiLevelType w:val="hybridMultilevel"/>
    <w:lvl w:ilvl="0">
      <w:lvlJc w:val="left"/>
      <w:lvlText w:val="(%1)"/>
      <w:numFmt w:val="lowerLetter"/>
      <w:start w:val="5"/>
    </w:lvl>
  </w:abstractNum>
  <w:abstractNum w:abstractNumId="179">
    <w:nsid w:val="29BACF25"/>
    <w:multiLevelType w:val="hybridMultilevel"/>
    <w:lvl w:ilvl="0">
      <w:lvlJc w:val="left"/>
      <w:lvlText w:val="(%1)"/>
      <w:numFmt w:val="lowerRoman"/>
      <w:start w:val="1"/>
    </w:lvl>
  </w:abstractNum>
  <w:abstractNum w:abstractNumId="180">
    <w:nsid w:val="5D5BABB3"/>
    <w:multiLevelType w:val="hybridMultilevel"/>
    <w:lvl w:ilvl="0">
      <w:lvlJc w:val="left"/>
      <w:lvlText w:val="(%1)"/>
      <w:numFmt w:val="lowerLetter"/>
      <w:start w:val="12"/>
    </w:lvl>
  </w:abstractNum>
  <w:abstractNum w:abstractNumId="181">
    <w:nsid w:val="51BF6B48"/>
    <w:multiLevelType w:val="hybridMultilevel"/>
    <w:lvl w:ilvl="0">
      <w:lvlJc w:val="left"/>
      <w:lvlText w:val="(%1)"/>
      <w:numFmt w:val="lowerLetter"/>
      <w:start w:val="15"/>
    </w:lvl>
  </w:abstractNum>
  <w:abstractNum w:abstractNumId="182">
    <w:nsid w:val="7E0F6384"/>
    <w:multiLevelType w:val="hybridMultilevel"/>
    <w:lvl w:ilvl="0">
      <w:lvlJc w:val="left"/>
      <w:lvlText w:val="(%1)"/>
      <w:numFmt w:val="decimal"/>
      <w:start w:val="1"/>
    </w:lvl>
  </w:abstractNum>
  <w:abstractNum w:abstractNumId="183">
    <w:nsid w:val="2B4B8B53"/>
    <w:multiLevelType w:val="hybridMultilevel"/>
    <w:lvl w:ilvl="0">
      <w:lvlJc w:val="left"/>
      <w:lvlText w:val="(%1)"/>
      <w:numFmt w:val="decimal"/>
      <w:start w:val="1"/>
    </w:lvl>
  </w:abstractNum>
  <w:abstractNum w:abstractNumId="184">
    <w:nsid w:val="72E3413A"/>
    <w:multiLevelType w:val="hybridMultilevel"/>
    <w:lvl w:ilvl="0">
      <w:lvlJc w:val="left"/>
      <w:lvlText w:val="(%1)"/>
      <w:numFmt w:val="decimal"/>
      <w:start w:val="1"/>
    </w:lvl>
  </w:abstractNum>
  <w:abstractNum w:abstractNumId="185">
    <w:nsid w:val="116AE4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2019-12-07T23:16:45Z</dcterms:created>
  <dcterms:modified xsi:type="dcterms:W3CDTF">2019-12-07T23:16:45Z</dcterms:modified>
</cp:coreProperties>
</file>