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6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August 8, 2013 was 523,617.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2013</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2013 and December 31, 2012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six months ended June 30, 2013 and 2012 (Unaudited)</w:t>
              </w:r>
            </w:hyperlink>
          </w:p>
        </w:tc>
        <w:tc>
          <w:tcPr>
            <w:tcW w:w="22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2013 and December 31, 2012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Consolidated Statements of Changes in Net Assets for the six months ended June 30, 2013 and 2012 (Unaudited)</w:t>
              </w:r>
            </w:hyperlink>
          </w:p>
        </w:tc>
        <w:tc>
          <w:tcPr>
            <w:tcW w:w="21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Consolidated Statements of Cash Flows for the six months ended June 30, 2013 and 2012 (Unaudited)</w:t>
              </w:r>
            </w:hyperlink>
          </w:p>
        </w:tc>
        <w:tc>
          <w:tcPr>
            <w:tcW w:w="2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Notes to Consolidated Financial Statements (Unaudited)</w:t>
              </w:r>
            </w:hyperlink>
          </w:p>
        </w:tc>
        <w:tc>
          <w:tcPr>
            <w:tcW w:w="60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5860" w:type="dxa"/>
            <w:vAlign w:val="bottom"/>
            <w:gridSpan w:val="11"/>
          </w:tcPr>
          <w:p>
            <w:pPr>
              <w:jc w:val="right"/>
              <w:ind w:right="11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2012, filed with the SEC on March 15, 2013, as amended, and elsewhere in our filings with the SEC.</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this Quarterly Report, “Company”, “TSL”, “we”, “us” and “our” refer to TPG Specialty Lending, Inc. and its consolidated subsidiaries unless the context states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$775,038 and $644,421, 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786,984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111,473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4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on foreign currency forward contracts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931,137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378,973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13,675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404,590</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5"/>
              </w:rPr>
              <w:t>Common stock, $0.01 par value; 100,000,000 shares authorized; 517,570 and 474,677 shares issued, respectively;</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and 516,571 and 473,678 shares outstanding, respectively</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513,456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gains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526,547</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931,137</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1,019.31</w:t>
            </w:r>
          </w:p>
        </w:tc>
        <w:tc>
          <w:tcPr>
            <w:tcW w:w="6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380" w:type="dxa"/>
            <w:vAlign w:val="bottom"/>
            <w:gridSpan w:val="3"/>
          </w:tcPr>
          <w:p>
            <w:pPr>
              <w:ind w:left="300"/>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30, 2012</w:t>
            </w:r>
          </w:p>
        </w:tc>
        <w:tc>
          <w:tcPr>
            <w:tcW w:w="50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1,256</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20,940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10,420</w:t>
            </w:r>
          </w:p>
        </w:tc>
        <w:tc>
          <w:tcPr>
            <w:tcW w:w="2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41,742</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41,742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18,288</w:t>
            </w:r>
          </w:p>
        </w:tc>
        <w:tc>
          <w:tcPr>
            <w:tcW w:w="0" w:type="dxa"/>
            <w:vAlign w:val="bottom"/>
          </w:tcPr>
          <w:p>
            <w:pPr>
              <w:spacing w:after="0"/>
              <w:rPr>
                <w:sz w:val="1"/>
                <w:szCs w:val="1"/>
                <w:color w:val="auto"/>
              </w:rPr>
            </w:pPr>
          </w:p>
        </w:tc>
      </w:tr>
      <w:tr>
        <w:trPr>
          <w:trHeight w:val="221"/>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Management fees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6,265</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5,247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19,000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10,288</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Management fees waived (Note 3)</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(3,185)</w:t>
            </w:r>
          </w:p>
        </w:tc>
        <w:tc>
          <w:tcPr>
            <w:tcW w:w="3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15,815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12,817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6,603</w:t>
            </w:r>
          </w:p>
        </w:tc>
        <w:tc>
          <w:tcPr>
            <w:tcW w:w="2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25,927</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12,817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6,603</w:t>
            </w:r>
          </w:p>
        </w:tc>
        <w:tc>
          <w:tcPr>
            <w:tcW w:w="2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25,923</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 (Loss)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860"/>
              <w:spacing w:after="0"/>
              <w:rPr>
                <w:sz w:val="20"/>
                <w:szCs w:val="20"/>
                <w:color w:val="auto"/>
              </w:rPr>
            </w:pPr>
            <w:r>
              <w:rPr>
                <w:rFonts w:ascii="Arial" w:cs="Arial" w:eastAsia="Arial" w:hAnsi="Arial"/>
                <w:sz w:val="18"/>
                <w:szCs w:val="18"/>
                <w:color w:val="auto"/>
              </w:rPr>
              <w:t>Total net change in unrealized gains (losses)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1,194</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(1,560)</w:t>
            </w:r>
          </w:p>
        </w:tc>
        <w:tc>
          <w:tcPr>
            <w:tcW w:w="2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3,142</w:t>
            </w:r>
          </w:p>
        </w:tc>
        <w:tc>
          <w:tcPr>
            <w:tcW w:w="3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860"/>
              <w:spacing w:after="0"/>
              <w:rPr>
                <w:sz w:val="20"/>
                <w:szCs w:val="20"/>
                <w:color w:val="auto"/>
              </w:rPr>
            </w:pPr>
            <w:r>
              <w:rPr>
                <w:rFonts w:ascii="Arial" w:cs="Arial" w:eastAsia="Arial" w:hAnsi="Arial"/>
                <w:sz w:val="18"/>
                <w:szCs w:val="18"/>
                <w:color w:val="auto"/>
              </w:rPr>
              <w:t>Total realized gains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14,208</w:t>
            </w: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7,768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29,668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Schedule of Investments as of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Acquisition</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Amortized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3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Cost (2)</w:t>
            </w:r>
          </w:p>
        </w:tc>
        <w:tc>
          <w:tcPr>
            <w:tcW w:w="8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44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Beverage, food</w:t>
            </w:r>
          </w:p>
        </w:tc>
        <w:tc>
          <w:tcPr>
            <w:tcW w:w="1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4"/>
              </w:rPr>
              <w:t>Senior secured loan</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tobacco</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($45,639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8/2015)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8/31/2011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Electronics</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($20,498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10/2016)</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10/17/2011</w:t>
            </w:r>
          </w:p>
        </w:tc>
        <w:tc>
          <w:tcPr>
            <w:tcW w:w="620" w:type="dxa"/>
            <w:vAlign w:val="bottom"/>
          </w:tcPr>
          <w:p>
            <w:pPr>
              <w:jc w:val="right"/>
              <w:spacing w:after="0"/>
              <w:rPr>
                <w:sz w:val="20"/>
                <w:szCs w:val="20"/>
                <w:color w:val="auto"/>
              </w:rPr>
            </w:pPr>
            <w:r>
              <w:rPr>
                <w:rFonts w:ascii="Arial" w:cs="Arial" w:eastAsia="Arial" w:hAnsi="Arial"/>
                <w:sz w:val="18"/>
                <w:szCs w:val="18"/>
                <w:color w:val="auto"/>
              </w:rPr>
              <w:t>20,264</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20,703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Aerospace and</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defense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($54,859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12/23/2011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Mandalay Baseball Properties,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Hotel, gaming,</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12.00%</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8"/>
                <w:szCs w:val="18"/>
                <w:color w:val="auto"/>
              </w:rPr>
              <w:t>LLC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and leisure</w:t>
            </w:r>
          </w:p>
        </w:tc>
        <w:tc>
          <w:tcPr>
            <w:tcW w:w="1540" w:type="dxa"/>
            <w:vAlign w:val="bottom"/>
            <w:gridSpan w:val="2"/>
          </w:tcPr>
          <w:p>
            <w:pPr>
              <w:spacing w:after="0"/>
              <w:rPr>
                <w:sz w:val="20"/>
                <w:szCs w:val="20"/>
                <w:color w:val="auto"/>
              </w:rPr>
            </w:pPr>
            <w:r>
              <w:rPr>
                <w:rFonts w:ascii="Arial" w:cs="Arial" w:eastAsia="Arial" w:hAnsi="Arial"/>
                <w:sz w:val="18"/>
                <w:szCs w:val="18"/>
                <w:color w:val="auto"/>
              </w:rPr>
              <w:t>($34,089 par, due</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3/2017)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PIK)</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4/12/2012</w:t>
            </w:r>
          </w:p>
        </w:tc>
        <w:tc>
          <w:tcPr>
            <w:tcW w:w="620" w:type="dxa"/>
            <w:vAlign w:val="bottom"/>
          </w:tcPr>
          <w:p>
            <w:pPr>
              <w:jc w:val="right"/>
              <w:spacing w:after="0"/>
              <w:rPr>
                <w:sz w:val="20"/>
                <w:szCs w:val="20"/>
                <w:color w:val="auto"/>
              </w:rPr>
            </w:pPr>
            <w:r>
              <w:rPr>
                <w:rFonts w:ascii="Arial" w:cs="Arial" w:eastAsia="Arial" w:hAnsi="Arial"/>
                <w:sz w:val="18"/>
                <w:szCs w:val="18"/>
                <w:color w:val="auto"/>
              </w:rPr>
              <w:t>33,432</w:t>
            </w:r>
          </w:p>
        </w:tc>
        <w:tc>
          <w:tcPr>
            <w:tcW w:w="2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35,111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($30,225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30,301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Attachmate Corporation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($890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6/25/2012</w:t>
            </w:r>
          </w:p>
        </w:tc>
        <w:tc>
          <w:tcPr>
            <w:tcW w:w="620" w:type="dxa"/>
            <w:vAlign w:val="bottom"/>
          </w:tcPr>
          <w:p>
            <w:pPr>
              <w:jc w:val="right"/>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Teletrac, Inc.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($17,325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7/2017)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17,672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Consona Holdings,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Business</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services</w:t>
            </w:r>
          </w:p>
        </w:tc>
        <w:tc>
          <w:tcPr>
            <w:tcW w:w="1540" w:type="dxa"/>
            <w:vAlign w:val="bottom"/>
            <w:gridSpan w:val="2"/>
          </w:tcPr>
          <w:p>
            <w:pPr>
              <w:spacing w:after="0"/>
              <w:rPr>
                <w:sz w:val="20"/>
                <w:szCs w:val="20"/>
                <w:color w:val="auto"/>
              </w:rPr>
            </w:pPr>
            <w:r>
              <w:rPr>
                <w:rFonts w:ascii="Arial" w:cs="Arial" w:eastAsia="Arial" w:hAnsi="Arial"/>
                <w:sz w:val="18"/>
                <w:szCs w:val="18"/>
                <w:color w:val="auto"/>
              </w:rPr>
              <w:t>($29,775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8/2018)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8/13/2012</w:t>
            </w:r>
          </w:p>
        </w:tc>
        <w:tc>
          <w:tcPr>
            <w:tcW w:w="620" w:type="dxa"/>
            <w:vAlign w:val="bottom"/>
          </w:tcPr>
          <w:p>
            <w:pPr>
              <w:jc w:val="right"/>
              <w:spacing w:after="0"/>
              <w:rPr>
                <w:sz w:val="20"/>
                <w:szCs w:val="20"/>
                <w:color w:val="auto"/>
              </w:rPr>
            </w:pPr>
            <w:r>
              <w:rPr>
                <w:rFonts w:ascii="Arial" w:cs="Arial" w:eastAsia="Arial" w:hAnsi="Arial"/>
                <w:sz w:val="18"/>
                <w:szCs w:val="18"/>
                <w:color w:val="auto"/>
              </w:rPr>
              <w:t>29,396</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29,552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Automotive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LLC (3)(4)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($37,965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Environmental</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industries</w:t>
            </w:r>
          </w:p>
        </w:tc>
        <w:tc>
          <w:tcPr>
            <w:tcW w:w="1380" w:type="dxa"/>
            <w:vAlign w:val="bottom"/>
          </w:tcPr>
          <w:p>
            <w:pPr>
              <w:spacing w:after="0"/>
              <w:rPr>
                <w:sz w:val="20"/>
                <w:szCs w:val="20"/>
                <w:color w:val="auto"/>
              </w:rPr>
            </w:pPr>
            <w:r>
              <w:rPr>
                <w:rFonts w:ascii="Arial" w:cs="Arial" w:eastAsia="Arial" w:hAnsi="Arial"/>
                <w:sz w:val="18"/>
                <w:szCs w:val="18"/>
                <w:color w:val="auto"/>
              </w:rPr>
              <w:t>($3,109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par, due 10/2014)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2,739</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International Equipment Solutions, Inc.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Capital</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($27,349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9/2016)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Mediware Information Systems,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Healthcare and</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tcPr>
          <w:p>
            <w:pPr>
              <w:spacing w:after="0"/>
              <w:rPr>
                <w:sz w:val="20"/>
                <w:szCs w:val="20"/>
                <w:color w:val="auto"/>
              </w:rPr>
            </w:pPr>
            <w:r>
              <w:rPr>
                <w:rFonts w:ascii="Arial" w:cs="Arial" w:eastAsia="Arial" w:hAnsi="Arial"/>
                <w:sz w:val="18"/>
                <w:szCs w:val="18"/>
                <w:color w:val="auto"/>
              </w:rPr>
              <w:t>($55,036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5/2018)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11/9/2012</w:t>
            </w:r>
          </w:p>
        </w:tc>
        <w:tc>
          <w:tcPr>
            <w:tcW w:w="620" w:type="dxa"/>
            <w:vAlign w:val="bottom"/>
          </w:tcPr>
          <w:p>
            <w:pPr>
              <w:jc w:val="right"/>
              <w:spacing w:after="0"/>
              <w:rPr>
                <w:sz w:val="20"/>
                <w:szCs w:val="20"/>
                <w:color w:val="auto"/>
              </w:rPr>
            </w:pPr>
            <w:r>
              <w:rPr>
                <w:rFonts w:ascii="Arial" w:cs="Arial" w:eastAsia="Arial" w:hAnsi="Arial"/>
                <w:sz w:val="18"/>
                <w:szCs w:val="18"/>
                <w:color w:val="auto"/>
              </w:rPr>
              <w:t>53,891</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54,332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Human resource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support services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($7,955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11/2018)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Rogue Wave Holdings,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Financial</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services</w:t>
            </w:r>
          </w:p>
        </w:tc>
        <w:tc>
          <w:tcPr>
            <w:tcW w:w="1540" w:type="dxa"/>
            <w:vAlign w:val="bottom"/>
            <w:gridSpan w:val="2"/>
          </w:tcPr>
          <w:p>
            <w:pPr>
              <w:spacing w:after="0"/>
              <w:rPr>
                <w:sz w:val="20"/>
                <w:szCs w:val="20"/>
                <w:color w:val="auto"/>
              </w:rPr>
            </w:pPr>
            <w:r>
              <w:rPr>
                <w:rFonts w:ascii="Arial" w:cs="Arial" w:eastAsia="Arial" w:hAnsi="Arial"/>
                <w:sz w:val="18"/>
                <w:szCs w:val="18"/>
                <w:color w:val="auto"/>
              </w:rPr>
              <w:t>($39,000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11/21/2012</w:t>
            </w:r>
          </w:p>
        </w:tc>
        <w:tc>
          <w:tcPr>
            <w:tcW w:w="620" w:type="dxa"/>
            <w:vAlign w:val="bottom"/>
          </w:tcPr>
          <w:p>
            <w:pPr>
              <w:jc w:val="right"/>
              <w:spacing w:after="0"/>
              <w:rPr>
                <w:sz w:val="20"/>
                <w:szCs w:val="20"/>
                <w:color w:val="auto"/>
              </w:rPr>
            </w:pPr>
            <w:r>
              <w:rPr>
                <w:rFonts w:ascii="Arial" w:cs="Arial" w:eastAsia="Arial" w:hAnsi="Arial"/>
                <w:sz w:val="18"/>
                <w:szCs w:val="18"/>
                <w:color w:val="auto"/>
              </w:rPr>
              <w:t>38,064</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38,805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Embarcadero Technologies,</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Financial</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($43,596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12/28/2012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Healthcare and</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tcPr>
          <w:p>
            <w:pPr>
              <w:spacing w:after="0"/>
              <w:rPr>
                <w:sz w:val="20"/>
                <w:szCs w:val="20"/>
                <w:color w:val="auto"/>
              </w:rPr>
            </w:pPr>
            <w:r>
              <w:rPr>
                <w:rFonts w:ascii="Arial" w:cs="Arial" w:eastAsia="Arial" w:hAnsi="Arial"/>
                <w:sz w:val="18"/>
                <w:szCs w:val="18"/>
                <w:color w:val="auto"/>
              </w:rPr>
              <w:t>($36,563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12/2017)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35,732</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35,740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Automotive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 (3)(4)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($19,633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12/2016)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12/31/2012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Containers and</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packaging</w:t>
            </w:r>
          </w:p>
        </w:tc>
        <w:tc>
          <w:tcPr>
            <w:tcW w:w="1540" w:type="dxa"/>
            <w:vAlign w:val="bottom"/>
            <w:gridSpan w:val="2"/>
          </w:tcPr>
          <w:p>
            <w:pPr>
              <w:spacing w:after="0"/>
              <w:rPr>
                <w:sz w:val="20"/>
                <w:szCs w:val="20"/>
                <w:color w:val="auto"/>
              </w:rPr>
            </w:pPr>
            <w:r>
              <w:rPr>
                <w:rFonts w:ascii="Arial" w:cs="Arial" w:eastAsia="Arial" w:hAnsi="Arial"/>
                <w:sz w:val="18"/>
                <w:szCs w:val="18"/>
                <w:color w:val="auto"/>
              </w:rPr>
              <w:t>($47,520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2/8/2013</w:t>
            </w:r>
          </w:p>
        </w:tc>
        <w:tc>
          <w:tcPr>
            <w:tcW w:w="620" w:type="dxa"/>
            <w:vAlign w:val="bottom"/>
          </w:tcPr>
          <w:p>
            <w:pPr>
              <w:jc w:val="right"/>
              <w:spacing w:after="0"/>
              <w:rPr>
                <w:sz w:val="20"/>
                <w:szCs w:val="20"/>
                <w:color w:val="auto"/>
              </w:rPr>
            </w:pPr>
            <w:r>
              <w:rPr>
                <w:rFonts w:ascii="Arial" w:cs="Arial" w:eastAsia="Arial" w:hAnsi="Arial"/>
                <w:sz w:val="18"/>
                <w:szCs w:val="18"/>
                <w:color w:val="auto"/>
              </w:rPr>
              <w:t>47,126</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47,282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Actian Corporation (3)(4)</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Business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($72,600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4/2018)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70,170</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Pai Group, Inc. (3)(4)</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Human resource</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support services</w:t>
            </w:r>
          </w:p>
        </w:tc>
        <w:tc>
          <w:tcPr>
            <w:tcW w:w="1540" w:type="dxa"/>
            <w:vAlign w:val="bottom"/>
            <w:gridSpan w:val="2"/>
          </w:tcPr>
          <w:p>
            <w:pPr>
              <w:spacing w:after="0"/>
              <w:rPr>
                <w:sz w:val="20"/>
                <w:szCs w:val="20"/>
                <w:color w:val="auto"/>
              </w:rPr>
            </w:pPr>
            <w:r>
              <w:rPr>
                <w:rFonts w:ascii="Arial" w:cs="Arial" w:eastAsia="Arial" w:hAnsi="Arial"/>
                <w:sz w:val="18"/>
                <w:szCs w:val="18"/>
                <w:color w:val="auto"/>
              </w:rPr>
              <w:t>($34,913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5/2018)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10.50%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5/8/2013</w:t>
            </w:r>
          </w:p>
        </w:tc>
        <w:tc>
          <w:tcPr>
            <w:tcW w:w="620" w:type="dxa"/>
            <w:vAlign w:val="bottom"/>
          </w:tcPr>
          <w:p>
            <w:pPr>
              <w:jc w:val="right"/>
              <w:spacing w:after="0"/>
              <w:rPr>
                <w:sz w:val="20"/>
                <w:szCs w:val="20"/>
                <w:color w:val="auto"/>
              </w:rPr>
            </w:pPr>
            <w:r>
              <w:rPr>
                <w:rFonts w:ascii="Arial" w:cs="Arial" w:eastAsia="Arial" w:hAnsi="Arial"/>
                <w:sz w:val="18"/>
                <w:szCs w:val="18"/>
                <w:color w:val="auto"/>
              </w:rPr>
              <w:t>34,083</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33,915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329"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329"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2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Interest</w:t>
            </w:r>
          </w:p>
        </w:tc>
        <w:tc>
          <w:tcPr>
            <w:tcW w:w="18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rPr>
              <w:t>Cost (2)</w:t>
            </w:r>
          </w:p>
        </w:tc>
        <w:tc>
          <w:tcPr>
            <w:tcW w:w="24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24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6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Intelident Solutions, Inc. (3)</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Healthcare and</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6"/>
              </w:rPr>
              <w:t>Senior secured loan</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8.00%</w:t>
            </w: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($21,546 par, due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(incl.2.00%</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6/4/2013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1"/>
              </w:rPr>
              <w:t>Jeeves Information Systems AB (3)</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Manufacturing</w:t>
            </w:r>
          </w:p>
        </w:tc>
        <w:tc>
          <w:tcPr>
            <w:tcW w:w="1540" w:type="dxa"/>
            <w:vAlign w:val="bottom"/>
            <w:gridSpan w:val="2"/>
          </w:tcPr>
          <w:p>
            <w:pPr>
              <w:spacing w:after="0"/>
              <w:rPr>
                <w:sz w:val="20"/>
                <w:szCs w:val="20"/>
                <w:color w:val="auto"/>
              </w:rPr>
            </w:pPr>
            <w:r>
              <w:rPr>
                <w:rFonts w:ascii="Arial" w:cs="Arial" w:eastAsia="Arial" w:hAnsi="Arial"/>
                <w:sz w:val="18"/>
                <w:szCs w:val="18"/>
                <w:color w:val="auto"/>
                <w:w w:val="94"/>
              </w:rPr>
              <w:t>Senior secured loan</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ind w:left="220"/>
              <w:spacing w:after="0"/>
              <w:rPr>
                <w:sz w:val="20"/>
                <w:szCs w:val="20"/>
                <w:color w:val="auto"/>
              </w:rPr>
            </w:pPr>
            <w:r>
              <w:rPr>
                <w:rFonts w:ascii="Arial" w:cs="Arial" w:eastAsia="Arial" w:hAnsi="Arial"/>
                <w:sz w:val="18"/>
                <w:szCs w:val="18"/>
                <w:color w:val="auto"/>
              </w:rPr>
              <w:t>(5)</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(SEK 178,054 par,</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6/5/2013</w:t>
            </w:r>
          </w:p>
        </w:tc>
        <w:tc>
          <w:tcPr>
            <w:tcW w:w="680" w:type="dxa"/>
            <w:vAlign w:val="bottom"/>
          </w:tcPr>
          <w:p>
            <w:pPr>
              <w:jc w:val="right"/>
              <w:spacing w:after="0"/>
              <w:rPr>
                <w:sz w:val="20"/>
                <w:szCs w:val="20"/>
                <w:color w:val="auto"/>
              </w:rPr>
            </w:pPr>
            <w:r>
              <w:rPr>
                <w:rFonts w:ascii="Arial" w:cs="Arial" w:eastAsia="Arial" w:hAnsi="Arial"/>
                <w:sz w:val="18"/>
                <w:szCs w:val="18"/>
                <w:color w:val="auto"/>
              </w:rPr>
              <w:t>26,506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25,721</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0"/>
              </w:rPr>
              <w:t>Total Senior Secured Loans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693,280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700,431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1"/>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Junior Secured Loans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Centaur, LLC (3)</w:t>
            </w: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Hotel, gaming,</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Junior secured loan</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 leisure</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 due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6/4/2013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Construction and</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Junior secured loan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building</w:t>
            </w:r>
          </w:p>
        </w:tc>
        <w:tc>
          <w:tcPr>
            <w:tcW w:w="1540" w:type="dxa"/>
            <w:vAlign w:val="bottom"/>
            <w:gridSpan w:val="2"/>
          </w:tcPr>
          <w:p>
            <w:pPr>
              <w:spacing w:after="0"/>
              <w:rPr>
                <w:sz w:val="20"/>
                <w:szCs w:val="20"/>
                <w:color w:val="auto"/>
              </w:rPr>
            </w:pPr>
            <w:r>
              <w:rPr>
                <w:rFonts w:ascii="Arial" w:cs="Arial" w:eastAsia="Arial" w:hAnsi="Arial"/>
                <w:sz w:val="18"/>
                <w:szCs w:val="18"/>
                <w:color w:val="auto"/>
              </w:rPr>
              <w:t>($47,542 par, due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(incl.2.00%</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3/2017)</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PIK)</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3/5/2012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52,058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Synagro Technologies, Inc. (3)</w:t>
            </w: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Environmental</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Junior secured loan</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industries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 due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10/2014)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9/14/2012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SumTotal Systems, LLC (3)</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Human resource</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Junior secured loan</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support services</w:t>
            </w:r>
          </w:p>
        </w:tc>
        <w:tc>
          <w:tcPr>
            <w:tcW w:w="1540" w:type="dxa"/>
            <w:vAlign w:val="bottom"/>
            <w:gridSpan w:val="2"/>
          </w:tcPr>
          <w:p>
            <w:pPr>
              <w:spacing w:after="0"/>
              <w:rPr>
                <w:sz w:val="20"/>
                <w:szCs w:val="20"/>
                <w:color w:val="auto"/>
              </w:rPr>
            </w:pPr>
            <w:r>
              <w:rPr>
                <w:rFonts w:ascii="Arial" w:cs="Arial" w:eastAsia="Arial" w:hAnsi="Arial"/>
                <w:sz w:val="18"/>
                <w:szCs w:val="18"/>
                <w:color w:val="auto"/>
              </w:rPr>
              <w:t>($10,000 par, due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5/2018)</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w w:val="95"/>
              </w:rPr>
              <w:t>11/16/2012</w:t>
            </w:r>
          </w:p>
        </w:tc>
        <w:tc>
          <w:tcPr>
            <w:tcW w:w="680" w:type="dxa"/>
            <w:vAlign w:val="bottom"/>
          </w:tcPr>
          <w:p>
            <w:pPr>
              <w:jc w:val="right"/>
              <w:spacing w:after="0"/>
              <w:rPr>
                <w:sz w:val="20"/>
                <w:szCs w:val="20"/>
                <w:color w:val="auto"/>
              </w:rPr>
            </w:pPr>
            <w:r>
              <w:rPr>
                <w:rFonts w:ascii="Arial" w:cs="Arial" w:eastAsia="Arial" w:hAnsi="Arial"/>
                <w:sz w:val="18"/>
                <w:szCs w:val="18"/>
                <w:color w:val="auto"/>
              </w:rPr>
              <w:t>9,954</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9,950</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1"/>
              </w:rPr>
              <w:t>Total Junior Secured Loans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w w:val="92"/>
              </w:rPr>
              <w:t>Senior Secured Revolving Loans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 (3)</w:t>
            </w: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Healthcare and</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par, due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Intelident Solutions, Inc. (3)</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Healthcare and</w:t>
            </w:r>
          </w:p>
        </w:tc>
        <w:tc>
          <w:tcPr>
            <w:tcW w:w="154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($1,712 par, due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8/2016)</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6/4/2013</w:t>
            </w:r>
          </w:p>
        </w:tc>
        <w:tc>
          <w:tcPr>
            <w:tcW w:w="68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1,708</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1"/>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Corporate Bonds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Checkers Drive-In Restaurants,</w:t>
            </w: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Beverage, food</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($7,000 par,</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(4)</w:t>
            </w:r>
          </w:p>
        </w:tc>
        <w:tc>
          <w:tcPr>
            <w:tcW w:w="1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 tobacco</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11/16/2012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Corporate Bonds</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7,350</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Healthcare and</w:t>
            </w:r>
          </w:p>
        </w:tc>
        <w:tc>
          <w:tcPr>
            <w:tcW w:w="154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pharmaceuticals</w:t>
            </w:r>
          </w:p>
        </w:tc>
        <w:tc>
          <w:tcPr>
            <w:tcW w:w="154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775,038</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786,984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June 30, 2013, the Company does not “control” any of the portfolio companies nor are any of its portfolio companies considered to be “affiliates” – see Note 4. Certain portfolio company investments are subject to contractual restrictions on sales.</w:t>
      </w: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9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460" w:right="260" w:hanging="452"/>
        <w:spacing w:after="0" w:line="3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4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5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Date</w:t>
            </w: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Cost (2)</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2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1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Beverage, food</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6"/>
              </w:rPr>
              <w:t>Senior secured loan</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and tobacco</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($46,884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8/2015)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45,987</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Ecommerce Industries,</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Electronics</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color w:val="auto"/>
              </w:rPr>
              <w:t>Inc. (3)(4)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($21,562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par, due 10/2016)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10/17/2011</w:t>
            </w:r>
          </w:p>
        </w:tc>
        <w:tc>
          <w:tcPr>
            <w:tcW w:w="620" w:type="dxa"/>
            <w:vAlign w:val="bottom"/>
          </w:tcPr>
          <w:p>
            <w:pPr>
              <w:jc w:val="right"/>
              <w:spacing w:after="0"/>
              <w:rPr>
                <w:sz w:val="20"/>
                <w:szCs w:val="20"/>
                <w:color w:val="auto"/>
              </w:rPr>
            </w:pPr>
            <w:r>
              <w:rPr>
                <w:rFonts w:ascii="Arial" w:cs="Arial" w:eastAsia="Arial" w:hAnsi="Arial"/>
                <w:sz w:val="18"/>
                <w:szCs w:val="18"/>
                <w:color w:val="auto"/>
              </w:rPr>
              <w:t>21,286</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21,808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Aerospace and</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defense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($56,266 par, due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12/23/2011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55,423</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Federal Signal Corporation (3)(4)</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Capital equipment</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($41,608 par, due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2/2017)</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2/22/2012</w:t>
            </w:r>
          </w:p>
        </w:tc>
        <w:tc>
          <w:tcPr>
            <w:tcW w:w="620" w:type="dxa"/>
            <w:vAlign w:val="bottom"/>
          </w:tcPr>
          <w:p>
            <w:pPr>
              <w:jc w:val="right"/>
              <w:spacing w:after="0"/>
              <w:rPr>
                <w:sz w:val="20"/>
                <w:szCs w:val="20"/>
                <w:color w:val="auto"/>
              </w:rPr>
            </w:pPr>
            <w:r>
              <w:rPr>
                <w:rFonts w:ascii="Arial" w:cs="Arial" w:eastAsia="Arial" w:hAnsi="Arial"/>
                <w:sz w:val="18"/>
                <w:szCs w:val="18"/>
                <w:color w:val="auto"/>
              </w:rPr>
              <w:t>40,897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43,064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Mandalay Baseball Properties, LLC (3)(4)</w:t>
            </w: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Hotel, gaming</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and leisure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 due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(incl.4.00%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3/2017)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Infogix, Inc. (3)(4)</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($30,613 par, due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6/2017)</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6/1/2012</w:t>
            </w:r>
          </w:p>
        </w:tc>
        <w:tc>
          <w:tcPr>
            <w:tcW w:w="620" w:type="dxa"/>
            <w:vAlign w:val="bottom"/>
          </w:tcPr>
          <w:p>
            <w:pPr>
              <w:jc w:val="right"/>
              <w:spacing w:after="0"/>
              <w:rPr>
                <w:sz w:val="20"/>
                <w:szCs w:val="20"/>
                <w:color w:val="auto"/>
              </w:rPr>
            </w:pPr>
            <w:r>
              <w:rPr>
                <w:rFonts w:ascii="Arial" w:cs="Arial" w:eastAsia="Arial" w:hAnsi="Arial"/>
                <w:sz w:val="18"/>
                <w:szCs w:val="18"/>
                <w:color w:val="auto"/>
              </w:rPr>
              <w:t>29,974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30,346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Attachmate Corporation (3)(4)</w:t>
            </w: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($926 par, due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eResearch Technology,</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Healthcare and</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color w:val="auto"/>
              </w:rPr>
              <w:t>Inc. (3)(4)</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pharmaceuticals</w:t>
            </w:r>
          </w:p>
        </w:tc>
        <w:tc>
          <w:tcPr>
            <w:tcW w:w="1580" w:type="dxa"/>
            <w:vAlign w:val="bottom"/>
            <w:gridSpan w:val="2"/>
          </w:tcPr>
          <w:p>
            <w:pPr>
              <w:spacing w:after="0"/>
              <w:rPr>
                <w:sz w:val="20"/>
                <w:szCs w:val="20"/>
                <w:color w:val="auto"/>
              </w:rPr>
            </w:pPr>
            <w:r>
              <w:rPr>
                <w:rFonts w:ascii="Arial" w:cs="Arial" w:eastAsia="Arial" w:hAnsi="Arial"/>
                <w:sz w:val="18"/>
                <w:szCs w:val="18"/>
                <w:color w:val="auto"/>
              </w:rPr>
              <w:t>($24,937 par, due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5/2018)</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24,626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Teletrac, Inc. (3)(4)</w:t>
            </w: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 due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7/2017)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Consona Holdings, Inc. (3)(4)</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Business services</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($29,925 par, due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8/2018)</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8/13/2012</w:t>
            </w:r>
          </w:p>
        </w:tc>
        <w:tc>
          <w:tcPr>
            <w:tcW w:w="620" w:type="dxa"/>
            <w:vAlign w:val="bottom"/>
          </w:tcPr>
          <w:p>
            <w:pPr>
              <w:jc w:val="right"/>
              <w:spacing w:after="0"/>
              <w:rPr>
                <w:sz w:val="20"/>
                <w:szCs w:val="20"/>
                <w:color w:val="auto"/>
              </w:rPr>
            </w:pPr>
            <w:r>
              <w:rPr>
                <w:rFonts w:ascii="Arial" w:cs="Arial" w:eastAsia="Arial" w:hAnsi="Arial"/>
                <w:sz w:val="18"/>
                <w:szCs w:val="18"/>
                <w:color w:val="auto"/>
              </w:rPr>
              <w:t>29,514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29,925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Heartland Automotive Holdings, LLC (3)(4)</w:t>
            </w:r>
          </w:p>
        </w:tc>
        <w:tc>
          <w:tcPr>
            <w:tcW w:w="1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Automotive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($38,951 par, due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Environmental</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industries</w:t>
            </w:r>
          </w:p>
        </w:tc>
        <w:tc>
          <w:tcPr>
            <w:tcW w:w="1400" w:type="dxa"/>
            <w:vAlign w:val="bottom"/>
          </w:tcPr>
          <w:p>
            <w:pPr>
              <w:spacing w:after="0"/>
              <w:rPr>
                <w:sz w:val="20"/>
                <w:szCs w:val="20"/>
                <w:color w:val="auto"/>
              </w:rPr>
            </w:pPr>
            <w:r>
              <w:rPr>
                <w:rFonts w:ascii="Arial" w:cs="Arial" w:eastAsia="Arial" w:hAnsi="Arial"/>
                <w:sz w:val="18"/>
                <w:szCs w:val="18"/>
                <w:color w:val="auto"/>
              </w:rPr>
              <w:t>($3,134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par, due 10/2014)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0" w:type="dxa"/>
            <w:vAlign w:val="bottom"/>
          </w:tcPr>
          <w:p>
            <w:pPr>
              <w:spacing w:after="0"/>
              <w:rPr>
                <w:sz w:val="14"/>
                <w:szCs w:val="14"/>
                <w:color w:val="auto"/>
              </w:rPr>
            </w:pP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4"/>
                <w:szCs w:val="14"/>
                <w:color w:val="auto"/>
              </w:rPr>
            </w:pPr>
          </w:p>
        </w:tc>
        <w:tc>
          <w:tcPr>
            <w:tcW w:w="15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Acquisition</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Interest</w:t>
            </w:r>
          </w:p>
        </w:tc>
        <w:tc>
          <w:tcPr>
            <w:tcW w:w="166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5"/>
              </w:rPr>
              <w:t>Date</w:t>
            </w:r>
          </w:p>
        </w:tc>
        <w:tc>
          <w:tcPr>
            <w:tcW w:w="10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8"/>
              </w:rPr>
              <w:t>Cost (2)</w:t>
            </w:r>
          </w:p>
        </w:tc>
        <w:tc>
          <w:tcPr>
            <w:tcW w:w="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International Equipment Solutions,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Capital</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7"/>
              </w:rPr>
              <w:t>Senior secured loan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(3)(4)</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($29,391 par, due</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9/2016)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Mediware Information Systems,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Healthcare and</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Inc. (3)(4)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4"/>
              </w:rPr>
              <w:t>pharmaceuticals</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($50,500 par, due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5/2018)</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11/9/2012</w:t>
            </w:r>
          </w:p>
        </w:tc>
        <w:tc>
          <w:tcPr>
            <w:tcW w:w="680" w:type="dxa"/>
            <w:vAlign w:val="bottom"/>
          </w:tcPr>
          <w:p>
            <w:pPr>
              <w:jc w:val="right"/>
              <w:spacing w:after="0"/>
              <w:rPr>
                <w:sz w:val="20"/>
                <w:szCs w:val="20"/>
                <w:color w:val="auto"/>
              </w:rPr>
            </w:pPr>
            <w:r>
              <w:rPr>
                <w:rFonts w:ascii="Arial" w:cs="Arial" w:eastAsia="Arial" w:hAnsi="Arial"/>
                <w:sz w:val="18"/>
                <w:szCs w:val="18"/>
                <w:color w:val="auto"/>
              </w:rPr>
              <w:t>49,230</w:t>
            </w:r>
          </w:p>
        </w:tc>
        <w:tc>
          <w:tcPr>
            <w:tcW w:w="3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Human resource</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(3)</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support services</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($10,000 par, due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7"/>
              </w:rPr>
              <w:t>Rogue Wave Holdings, Inc. (3)(4)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86"/>
              </w:rPr>
              <w:t>Financial services</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($40,000 par, due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11/2017)</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11/21/2012</w:t>
            </w:r>
          </w:p>
        </w:tc>
        <w:tc>
          <w:tcPr>
            <w:tcW w:w="680" w:type="dxa"/>
            <w:vAlign w:val="bottom"/>
          </w:tcPr>
          <w:p>
            <w:pPr>
              <w:jc w:val="right"/>
              <w:spacing w:after="0"/>
              <w:rPr>
                <w:sz w:val="20"/>
                <w:szCs w:val="20"/>
                <w:color w:val="auto"/>
              </w:rPr>
            </w:pPr>
            <w:r>
              <w:rPr>
                <w:rFonts w:ascii="Arial" w:cs="Arial" w:eastAsia="Arial" w:hAnsi="Arial"/>
                <w:sz w:val="18"/>
                <w:szCs w:val="18"/>
                <w:color w:val="auto"/>
              </w:rPr>
              <w:t>38,947</w:t>
            </w:r>
          </w:p>
        </w:tc>
        <w:tc>
          <w:tcPr>
            <w:tcW w:w="3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Embarcadero Technologies, Inc. (3)</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Financial services</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($59,714 par, due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12/2017)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58,223</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Healthcare and</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4"/>
              </w:rPr>
              <w:t>pharmaceuticals</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($37,500 par, due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12/2017)</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36,439</w:t>
            </w:r>
          </w:p>
        </w:tc>
        <w:tc>
          <w:tcPr>
            <w:tcW w:w="3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36,563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Sage Automotive Interiors, Inc. (3)</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Automotive</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Senior secured 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($19,878 par, due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12/2016)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1"/>
              </w:rPr>
              <w:t>Total Senior Secured Loans</w:t>
            </w: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574,676</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581,856</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Junior Secured Loans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Mannington Mills,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1"/>
              </w:rPr>
              <w:t>Construction and</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w w:val="99"/>
              </w:rPr>
              <w:t>Junior secured loan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Inc. (3)(4)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building</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($50,537 par, due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(incl.2.00%</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3/2017)</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PIK)</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3/5/2012</w:t>
            </w:r>
          </w:p>
        </w:tc>
        <w:tc>
          <w:tcPr>
            <w:tcW w:w="680" w:type="dxa"/>
            <w:vAlign w:val="bottom"/>
          </w:tcPr>
          <w:p>
            <w:pPr>
              <w:jc w:val="right"/>
              <w:spacing w:after="0"/>
              <w:rPr>
                <w:sz w:val="20"/>
                <w:szCs w:val="20"/>
                <w:color w:val="auto"/>
              </w:rPr>
            </w:pPr>
            <w:r>
              <w:rPr>
                <w:rFonts w:ascii="Arial" w:cs="Arial" w:eastAsia="Arial" w:hAnsi="Arial"/>
                <w:sz w:val="18"/>
                <w:szCs w:val="18"/>
                <w:color w:val="auto"/>
              </w:rPr>
              <w:t>49,551</w:t>
            </w:r>
          </w:p>
        </w:tc>
        <w:tc>
          <w:tcPr>
            <w:tcW w:w="3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53,190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Financial services</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Junior secured 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($5,000 par, due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5/2018)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Environmental</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w w:val="99"/>
              </w:rPr>
              <w:t>Junior secured loan</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industries</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($5,670 par, due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10/2014)</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9/14/2012</w:t>
            </w:r>
          </w:p>
        </w:tc>
        <w:tc>
          <w:tcPr>
            <w:tcW w:w="680" w:type="dxa"/>
            <w:vAlign w:val="bottom"/>
          </w:tcPr>
          <w:p>
            <w:pPr>
              <w:jc w:val="right"/>
              <w:spacing w:after="0"/>
              <w:rPr>
                <w:sz w:val="20"/>
                <w:szCs w:val="20"/>
                <w:color w:val="auto"/>
              </w:rPr>
            </w:pPr>
            <w:r>
              <w:rPr>
                <w:rFonts w:ascii="Arial" w:cs="Arial" w:eastAsia="Arial" w:hAnsi="Arial"/>
                <w:sz w:val="18"/>
                <w:szCs w:val="18"/>
                <w:color w:val="auto"/>
              </w:rPr>
              <w:t>2,814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1"/>
              </w:rPr>
              <w:t>Total Junior Secured Loans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w w:val="93"/>
              </w:rPr>
              <w:t>Senior Secured Revolving Loans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Automotive</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(3)(4)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revolving loan</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($555 par,</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due 6/2017)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Bonds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Checkers Drive-In Restaurants,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Beverage, food</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Bond ($10,000 par,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Inc. (4)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and tobacco</w:t>
            </w: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due 12/2017)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11/16/2012</w:t>
            </w:r>
          </w:p>
        </w:tc>
        <w:tc>
          <w:tcPr>
            <w:tcW w:w="680" w:type="dxa"/>
            <w:vAlign w:val="bottom"/>
          </w:tcPr>
          <w:p>
            <w:pPr>
              <w:jc w:val="right"/>
              <w:spacing w:after="0"/>
              <w:rPr>
                <w:sz w:val="20"/>
                <w:szCs w:val="20"/>
                <w:color w:val="auto"/>
              </w:rPr>
            </w:pPr>
            <w:r>
              <w:rPr>
                <w:rFonts w:ascii="Arial" w:cs="Arial" w:eastAsia="Arial" w:hAnsi="Arial"/>
                <w:sz w:val="18"/>
                <w:szCs w:val="18"/>
                <w:color w:val="auto"/>
              </w:rPr>
              <w:t>10,017</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Corporate Bonds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Healthcare and</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pharmaceuticals</w:t>
            </w: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 A</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(1,980 shares)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Common Shares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Class B</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(2,953,020 shares)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644,421</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2012, the Company does not “control” any of the portfolio companies nor are any of its portfolio companies considered to be “affiliates” – see Note 4. Certain portfolio company investments are subject to contractual restrictions on sales.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0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840" w:type="dxa"/>
            <w:vAlign w:val="bottom"/>
            <w:gridSpan w:val="2"/>
          </w:tcPr>
          <w:p>
            <w:pPr>
              <w:jc w:val="center"/>
              <w:ind w:right="98"/>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98"/>
              <w:spacing w:after="0" w:line="12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820" w:type="dxa"/>
            <w:vAlign w:val="bottom"/>
          </w:tcPr>
          <w:p>
            <w:pPr>
              <w:jc w:val="center"/>
              <w:ind w:left="207"/>
              <w:spacing w:after="0" w:line="12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 at</w:t>
            </w:r>
          </w:p>
        </w:tc>
        <w:tc>
          <w:tcPr>
            <w:tcW w:w="2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Additions</w:t>
            </w:r>
          </w:p>
        </w:tc>
        <w:tc>
          <w:tcPr>
            <w:tcW w:w="140" w:type="dxa"/>
            <w:vAlign w:val="bottom"/>
          </w:tcPr>
          <w:p>
            <w:pPr>
              <w:spacing w:after="0"/>
              <w:rPr>
                <w:sz w:val="12"/>
                <w:szCs w:val="12"/>
                <w:color w:val="auto"/>
              </w:rPr>
            </w:pPr>
          </w:p>
        </w:tc>
        <w:tc>
          <w:tcPr>
            <w:tcW w:w="84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Reductions</w:t>
            </w:r>
          </w:p>
        </w:tc>
        <w:tc>
          <w:tcPr>
            <w:tcW w:w="1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2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85"/>
              </w:rPr>
              <w:t>Value at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Dividend</w:t>
            </w:r>
          </w:p>
        </w:tc>
        <w:tc>
          <w:tcPr>
            <w:tcW w:w="16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98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2011</w:t>
            </w:r>
          </w:p>
        </w:tc>
        <w:tc>
          <w:tcPr>
            <w:tcW w:w="2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84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26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 (c)</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15,990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right="647"/>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$ 1,231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15,990</w:t>
            </w:r>
          </w:p>
        </w:tc>
        <w:tc>
          <w:tcPr>
            <w:tcW w:w="98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(337)</w:t>
            </w:r>
          </w:p>
        </w:tc>
        <w:tc>
          <w:tcPr>
            <w:tcW w:w="940" w:type="dxa"/>
            <w:vAlign w:val="bottom"/>
            <w:gridSpan w:val="2"/>
          </w:tcPr>
          <w:p>
            <w:pPr>
              <w:jc w:val="center"/>
              <w:ind w:right="527"/>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9"/>
              </w:rPr>
              <w:t>$ 1,231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2013</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June 30, 2012</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25,923</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realized gains</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30"/>
        </w:trPr>
        <w:tc>
          <w:tcPr>
            <w:tcW w:w="5940" w:type="dxa"/>
            <w:vAlign w:val="bottom"/>
          </w:tcPr>
          <w:p>
            <w:pPr>
              <w:ind w:left="440"/>
              <w:spacing w:after="0"/>
              <w:rPr>
                <w:sz w:val="20"/>
                <w:szCs w:val="20"/>
                <w:color w:val="auto"/>
              </w:rPr>
            </w:pPr>
            <w:r>
              <w:rPr>
                <w:rFonts w:ascii="Arial" w:cs="Arial" w:eastAsia="Arial" w:hAnsi="Arial"/>
                <w:sz w:val="18"/>
                <w:szCs w:val="18"/>
                <w:b w:val="1"/>
                <w:bCs w:val="1"/>
                <w:color w:val="auto"/>
                <w:w w:val="97"/>
              </w:rPr>
              <w:t>Increase in Net Assets Resulting from Capital Share Transactions</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156,266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479,803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526,547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w w:val="93"/>
              </w:rPr>
              <w:t>Undistributed Net Investment Income Included in Net Assets at the End of</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20"/>
              <w:spacing w:after="0"/>
              <w:rPr>
                <w:sz w:val="20"/>
                <w:szCs w:val="20"/>
                <w:color w:val="auto"/>
              </w:rPr>
            </w:pPr>
            <w:r>
              <w:rPr>
                <w:rFonts w:ascii="Arial" w:cs="Arial" w:eastAsia="Arial" w:hAnsi="Arial"/>
                <w:sz w:val="18"/>
                <w:szCs w:val="18"/>
                <w:b w:val="1"/>
                <w:bCs w:val="1"/>
                <w:color w:val="auto"/>
              </w:rPr>
              <w:t>the Period</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(1,765)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Six Months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29,668</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increase in net assets resulting from operations to net cash used in operating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change in unrealized gains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Realized gains on foreign currency forward contracts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(260,454)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(304,948)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37,997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(117,924)</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Borrowings on revolving credit facilities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(450,863)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(645,600)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31,857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stockholders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Debt issuance costs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(50,352)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111,473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3,557</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11,894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252" w:lineRule="exact"/>
        <w:rPr>
          <w:sz w:val="20"/>
          <w:szCs w:val="20"/>
          <w:color w:val="auto"/>
        </w:rPr>
      </w:pPr>
    </w:p>
    <w:p>
      <w:pPr>
        <w:ind w:right="828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independent third-party valuation firms to perform certain limited procedures that the Board identified and requested them to perform. As of June 30, 2013, independent third-party valuation firms performed their procedures over substantially all of the Company’s investments. Upon completion of such limited procedures for the quarter ended June 30, 2013, the third-party valuation firms determined that the fair value, as determined by the Board, of those investments subjected to their limited procedures, was reasonable.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including those involving derivative instruments. Derivative instruments are measured in terms of the notional contract amount and derive their value based upon one or more underlying instruments. While the notional amount gives some indication of the Company’s volume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219" w:lineRule="exact"/>
        <w:rPr>
          <w:sz w:val="20"/>
          <w:szCs w:val="20"/>
          <w:color w:val="auto"/>
        </w:rPr>
      </w:pPr>
    </w:p>
    <w:p>
      <w:pPr>
        <w:ind w:right="792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For the three and six months ended June 30, 2013, the Company incurred expenses of $0.3 million and $0.6 million, respectively, for administrative services payable to the Adviser under the terms of the Administration Agreement. For the three and six months ended June 30, 2012, the Company incurred expenses of $0.2 million and $0.5 million, respectively, for administrative services payable to the Adviser under the terms of the Administration Agreement.</w:t>
      </w:r>
    </w:p>
    <w:p>
      <w:pPr>
        <w:spacing w:after="0" w:line="8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Administration Agreement remains in effect until March 15, 2014, unless earlier terminated as described below, and may be extended subject to required approvals. The Administration Agreement may be terminated by either party without penalty upon at least 60 days’ written notice to the other party.</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three and six months ended June 30, 2013, Management Fees were $3.2 million and $6.3 million, respectively. For the three and six months ended June 30, 2012, Management Fees were $2.1 million and $3.6 million, respectively.</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Until such time that the Company has an initial public offering of its Common Stock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three and six months ended June 30, 2013, Management Fees of $1.7 million and $3.2 million, respectively, were waived. For the three and six months ended June 30, 2012, Management Fees of $0.9 million and $1.2 million, respectively, were waived.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six months ended June 30, 2013, Incentive Fees were $2.5 million and $5.2 million, respectively, of which $2.3 million and $4.7 million, respectively, were realized and payable to the Adviser. For the three and six months ended June 30, 2012, Incentive Fees were $1.4 million and $2.4 million, respectively, of which $1.2 million and $1.7 million, respectively, were realized and payable to the Adviser.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six months ended June 30, 2013, were $1.3 million and $2.2 million, respectively. Expenses incurred by the Adviser on behalf of the Company for the three and six months ended June 30, 2012, were $0.7 million and $1.7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June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r>
      <w:tr>
        <w:trPr>
          <w:trHeight w:val="210"/>
        </w:trPr>
        <w:tc>
          <w:tcPr>
            <w:tcW w:w="54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773,038</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$785,740</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Common equity</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r>
      <w:tr>
        <w:trPr>
          <w:trHeight w:val="27"/>
        </w:trPr>
        <w:tc>
          <w:tcPr>
            <w:tcW w:w="54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775,038</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786,984</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54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642,421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Common equity</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5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644,421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June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5"/>
              </w:rPr>
              <w:t>June 30, 2013</w:t>
            </w:r>
          </w:p>
        </w:tc>
        <w:tc>
          <w:tcPr>
            <w:tcW w:w="600" w:type="dxa"/>
            <w:vAlign w:val="bottom"/>
          </w:tcPr>
          <w:p>
            <w:pPr>
              <w:spacing w:after="0"/>
              <w:rPr>
                <w:sz w:val="14"/>
                <w:szCs w:val="14"/>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5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w:t>
            </w:r>
          </w:p>
        </w:tc>
        <w:tc>
          <w:tcPr>
            <w:tcW w:w="4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Automotive</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7.3%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Business services</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12.6%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6.6%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Electronics</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2.6%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Financial services</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10.4%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5.7%</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Insurance</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4.0%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Transportation</w:t>
            </w:r>
          </w:p>
        </w:tc>
        <w:tc>
          <w:tcPr>
            <w:tcW w:w="15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June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5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2013</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Midwest</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12.0%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South</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23.9%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Europe</w:t>
            </w:r>
          </w:p>
        </w:tc>
        <w:tc>
          <w:tcPr>
            <w:tcW w:w="21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3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2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60" w:firstLine="8"/>
        <w:spacing w:after="0" w:line="444" w:lineRule="auto"/>
        <w:tabs>
          <w:tab w:leader="none" w:pos="17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one month.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three and six months ended June 30, 2013, we entered into foreign currency forward contracts related to our investment in Jeeves Information Systems AB.</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USD Value at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Unrealized</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294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2"/>
              </w:rPr>
              <w:t>Settlement</w:t>
            </w:r>
          </w:p>
        </w:tc>
        <w:tc>
          <w:tcPr>
            <w:tcW w:w="12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June</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58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6"/>
              </w:rPr>
              <w:t>Settlement Date</w:t>
            </w:r>
          </w:p>
        </w:tc>
        <w:tc>
          <w:tcPr>
            <w:tcW w:w="19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6"/>
              </w:rPr>
              <w:t>Amount and Transaction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66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w w:val="88"/>
              </w:rPr>
              <w:t>30, 2013</w:t>
            </w:r>
          </w:p>
        </w:tc>
        <w:tc>
          <w:tcPr>
            <w:tcW w:w="440" w:type="dxa"/>
            <w:vAlign w:val="bottom"/>
          </w:tcPr>
          <w:p>
            <w:pPr>
              <w:spacing w:after="0"/>
              <w:rPr>
                <w:sz w:val="14"/>
                <w:szCs w:val="14"/>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Swedish Kronor</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July 2, 2013</w:t>
            </w:r>
          </w:p>
        </w:tc>
        <w:tc>
          <w:tcPr>
            <w:tcW w:w="4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178,500 sold</w:t>
            </w: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(27,088)</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(26,447)</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Swedish Kronor</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July 2, 2013</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16,648 sold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Swedish Kronor</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July 2, 2013</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195,148 purchased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28,969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Swedish Kronor</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August 7, 2013</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195,148 sold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(28,945)</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(29,609)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40" w:firstLine="8"/>
        <w:spacing w:after="0" w:line="444" w:lineRule="auto"/>
        <w:tabs>
          <w:tab w:leader="none" w:pos="17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i w:val="1"/>
          <w:iCs w:val="1"/>
          <w:color w:val="auto"/>
        </w:rPr>
        <w:t>Financial Instruments Carried at Fair Value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fair value measurements for Investments at fair value and foreign currency forward contracts based on the inputs used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December 31, 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9"/>
              </w:rPr>
              <w:t>Fair Value Hierarchy at June 30, 2013</w:t>
            </w:r>
          </w:p>
        </w:tc>
      </w:tr>
      <w:tr>
        <w:trPr>
          <w:trHeight w:val="142"/>
        </w:trPr>
        <w:tc>
          <w:tcPr>
            <w:tcW w:w="6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$41,534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$744,206</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$785,740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Common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745,450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786,984</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42,253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745,450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787,703</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8"/>
              </w:rPr>
              <w:t>Fair Value Hierarchy at December 31, 2012</w:t>
            </w:r>
          </w:p>
        </w:tc>
      </w:tr>
      <w:tr>
        <w:trPr>
          <w:trHeight w:val="142"/>
        </w:trPr>
        <w:tc>
          <w:tcPr>
            <w:tcW w:w="6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$84,650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$567,294</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$651,944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Common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569,294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653,944</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changes in Investments at fair value that use Level 3 inputs as of and for the three and six months ended June 30, 2013:</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As of and for the Three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Months Ended June 30, 2013</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Debt</w:t>
            </w:r>
          </w:p>
        </w:tc>
        <w:tc>
          <w:tcPr>
            <w:tcW w:w="4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Investments</w:t>
            </w:r>
          </w:p>
        </w:tc>
        <w:tc>
          <w:tcPr>
            <w:tcW w:w="46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$ 552,968</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$ 2,000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$554,968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179,024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179,024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3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(19,849)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Paid-in-kind interest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realized losses</w:t>
            </w:r>
          </w:p>
        </w:tc>
        <w:tc>
          <w:tcPr>
            <w:tcW w:w="344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2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$ 744,206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$ 1,244</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745,450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As of and for the Six</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Months Ended June 30, 2013</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Debt</w:t>
            </w:r>
          </w:p>
        </w:tc>
        <w:tc>
          <w:tcPr>
            <w:tcW w:w="4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Investments</w:t>
            </w:r>
          </w:p>
        </w:tc>
        <w:tc>
          <w:tcPr>
            <w:tcW w:w="46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$ 567,294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$ 2,000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243,564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243,564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3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(30,615)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3440" w:type="dxa"/>
            <w:vAlign w:val="bottom"/>
            <w:gridSpan w:val="3"/>
          </w:tcPr>
          <w:p>
            <w:pPr>
              <w:jc w:val="right"/>
              <w:ind w:right="20"/>
              <w:spacing w:after="0"/>
              <w:rPr>
                <w:sz w:val="20"/>
                <w:szCs w:val="20"/>
                <w:color w:val="auto"/>
              </w:rPr>
            </w:pPr>
            <w:r>
              <w:rPr>
                <w:rFonts w:ascii="Arial" w:cs="Arial" w:eastAsia="Arial" w:hAnsi="Arial"/>
                <w:sz w:val="18"/>
                <w:szCs w:val="18"/>
                <w:color w:val="auto"/>
              </w:rPr>
              <w:t>(72,023)</w:t>
            </w: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(72,023)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(756)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6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$ 744,206</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$ 1,244</w:t>
            </w:r>
          </w:p>
        </w:tc>
        <w:tc>
          <w:tcPr>
            <w:tcW w:w="4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745,450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vMerge w:val="restart"/>
          </w:tcPr>
          <w:p>
            <w:pPr>
              <w:jc w:val="right"/>
              <w:ind w:right="1512"/>
              <w:spacing w:after="0"/>
              <w:rPr>
                <w:sz w:val="20"/>
                <w:szCs w:val="20"/>
                <w:color w:val="auto"/>
              </w:rPr>
            </w:pPr>
            <w:r>
              <w:rPr>
                <w:rFonts w:ascii="Arial" w:cs="Arial" w:eastAsia="Arial" w:hAnsi="Arial"/>
                <w:sz w:val="18"/>
                <w:szCs w:val="18"/>
                <w:color w:val="auto"/>
              </w:rPr>
              <w:t>20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Consona Holdings, Inc. transferred into Level 3 during the three months ended June 30, 2013, as a result of changes in the observability of inputs into its valuation.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tables present changes in Investments at fair value that use Level 3 inputs as of and for the three and six months ended June 30,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As of and for the Three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Months Ended June 30, 2012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Debt</w:t>
            </w:r>
          </w:p>
        </w:tc>
        <w:tc>
          <w:tcPr>
            <w:tcW w:w="46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Investments</w:t>
            </w:r>
          </w:p>
        </w:tc>
        <w:tc>
          <w:tcPr>
            <w:tcW w:w="2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$ 300,954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110,286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110,286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(3,261)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$ 394,598</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As of and for the Six</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Months Ended June 30, 2012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Debt</w:t>
            </w:r>
          </w:p>
        </w:tc>
        <w:tc>
          <w:tcPr>
            <w:tcW w:w="46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Investments</w:t>
            </w:r>
          </w:p>
        </w:tc>
        <w:tc>
          <w:tcPr>
            <w:tcW w:w="2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298,940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298,935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(60,905)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(7,404)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(945)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$ 394,598</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9,050</w:t>
            </w:r>
          </w:p>
        </w:tc>
        <w:tc>
          <w:tcPr>
            <w:tcW w:w="4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which Level 3 inputs were used in determining fair value that are still held by the Company as of June 30, 2013 and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Net Change in Unrealized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900" w:type="dxa"/>
            <w:vAlign w:val="bottom"/>
            <w:gridSpan w:val="4"/>
          </w:tcPr>
          <w:p>
            <w:pPr>
              <w:jc w:val="center"/>
              <w:ind w:left="25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180" w:type="dxa"/>
            <w:vAlign w:val="bottom"/>
            <w:gridSpan w:val="4"/>
          </w:tcPr>
          <w:p>
            <w:pPr>
              <w:jc w:val="center"/>
              <w:ind w:left="182"/>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38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June 30, 2013 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 2012 on</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 2013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June 30, 2012</w:t>
            </w: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Common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(756)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equity/mezzanine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jc w:val="center"/>
              <w:ind w:right="1312"/>
              <w:spacing w:after="0"/>
              <w:rPr>
                <w:sz w:val="20"/>
                <w:szCs w:val="20"/>
                <w:color w:val="auto"/>
              </w:rPr>
            </w:pPr>
            <w:r>
              <w:rPr>
                <w:rFonts w:ascii="Arial" w:cs="Arial" w:eastAsia="Arial" w:hAnsi="Arial"/>
                <w:sz w:val="18"/>
                <w:szCs w:val="18"/>
                <w:color w:val="auto"/>
                <w:w w:val="87"/>
              </w:rPr>
              <w:t>investments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2680" w:type="dxa"/>
            <w:vAlign w:val="bottom"/>
            <w:vMerge w:val="restart"/>
          </w:tcPr>
          <w:p>
            <w:pPr>
              <w:jc w:val="center"/>
              <w:ind w:right="1332"/>
              <w:spacing w:after="0"/>
              <w:rPr>
                <w:sz w:val="20"/>
                <w:szCs w:val="20"/>
                <w:color w:val="auto"/>
              </w:rPr>
            </w:pPr>
            <w:r>
              <w:rPr>
                <w:rFonts w:ascii="Arial" w:cs="Arial" w:eastAsia="Arial" w:hAnsi="Arial"/>
                <w:sz w:val="18"/>
                <w:szCs w:val="18"/>
                <w:b w:val="1"/>
                <w:bCs w:val="1"/>
                <w:color w:val="auto"/>
                <w:w w:val="88"/>
              </w:rPr>
              <w:t>Total</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3,487</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10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June 30, 2013 and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 2013</w:t>
            </w:r>
          </w:p>
        </w:tc>
        <w:tc>
          <w:tcPr>
            <w:tcW w:w="1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040" w:type="dxa"/>
            <w:vAlign w:val="bottom"/>
            <w:gridSpan w:val="2"/>
            <w:vMerge w:val="continue"/>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Unobservable Input</w:t>
            </w:r>
          </w:p>
        </w:tc>
        <w:tc>
          <w:tcPr>
            <w:tcW w:w="2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744,206</w:t>
            </w:r>
          </w:p>
        </w:tc>
        <w:tc>
          <w:tcPr>
            <w:tcW w:w="5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5.94% — 12.19% (9.92%)</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Common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1,244</w:t>
            </w:r>
          </w:p>
        </w:tc>
        <w:tc>
          <w:tcPr>
            <w:tcW w:w="52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Market Approach</w:t>
            </w:r>
          </w:p>
        </w:tc>
        <w:tc>
          <w:tcPr>
            <w:tcW w:w="172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460" w:type="dxa"/>
            <w:vAlign w:val="bottom"/>
            <w:gridSpan w:val="2"/>
          </w:tcPr>
          <w:p>
            <w:pPr>
              <w:jc w:val="right"/>
              <w:ind w:right="520"/>
              <w:spacing w:after="0"/>
              <w:rPr>
                <w:sz w:val="20"/>
                <w:szCs w:val="20"/>
                <w:color w:val="auto"/>
              </w:rPr>
            </w:pPr>
            <w:r>
              <w:rPr>
                <w:rFonts w:ascii="Arial" w:cs="Arial" w:eastAsia="Arial" w:hAnsi="Arial"/>
                <w:sz w:val="18"/>
                <w:szCs w:val="18"/>
                <w:color w:val="auto"/>
              </w:rPr>
              <w:t>9.5x</w:t>
            </w:r>
          </w:p>
        </w:tc>
        <w:tc>
          <w:tcPr>
            <w:tcW w:w="116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358"/>
        </w:trPr>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9"/>
              </w:rPr>
              <w:t>December 31, 2012</w:t>
            </w:r>
          </w:p>
        </w:tc>
        <w:tc>
          <w:tcPr>
            <w:tcW w:w="1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2040" w:type="dxa"/>
            <w:vAlign w:val="bottom"/>
            <w:gridSpan w:val="2"/>
            <w:vMerge w:val="continue"/>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Unobservable Input</w:t>
            </w:r>
          </w:p>
        </w:tc>
        <w:tc>
          <w:tcPr>
            <w:tcW w:w="2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452,831</w:t>
            </w:r>
          </w:p>
        </w:tc>
        <w:tc>
          <w:tcPr>
            <w:tcW w:w="5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7.00% — 11.29%(9.84%)</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Common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Market Approach (2)</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220" w:hanging="572"/>
        <w:spacing w:after="0" w:line="25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$114.5 million of debt investments which, due to the proximity of the transactions relative to the measurement date, were valued by using the value implied from such transactions.</w:t>
      </w:r>
    </w:p>
    <w:p>
      <w:pPr>
        <w:ind w:left="580" w:right="160" w:hanging="572"/>
        <w:spacing w:after="0" w:line="261"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December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June 30,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June 30,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In accordance with the 1940 Act, with certain limitations, the Company is allowed to borrow amounts such that its asset coverage, as defined in the 1940 Act, is at least 200% after such borrowing. As of June 30, 2013 and December 31, 2012, the Company’s asset coverage was 238.9% and 244.6%,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June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76,473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112,500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$ 378,973</w:t>
            </w:r>
          </w:p>
        </w:tc>
        <w:tc>
          <w:tcPr>
            <w:tcW w:w="6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$ 152,327</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66,836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$ 331,836</w:t>
            </w:r>
          </w:p>
        </w:tc>
        <w:tc>
          <w:tcPr>
            <w:tcW w:w="6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3640" w:hanging="5612"/>
        <w:spacing w:after="0" w:line="440" w:lineRule="auto"/>
        <w:tabs>
          <w:tab w:leader="none" w:pos="4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six months ended June 30, 2013 and 2012, the components of interest expense, average debt outstanding, and weighted average interest rate on borrowings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72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200" w:type="dxa"/>
            <w:vAlign w:val="bottom"/>
          </w:tcPr>
          <w:p>
            <w:pPr>
              <w:spacing w:after="0"/>
              <w:rPr>
                <w:sz w:val="12"/>
                <w:szCs w:val="12"/>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Commitment fees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r>
      <w:tr>
        <w:trPr>
          <w:trHeight w:val="222"/>
        </w:trPr>
        <w:tc>
          <w:tcPr>
            <w:tcW w:w="368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2,429</w:t>
            </w:r>
          </w:p>
        </w:tc>
        <w:tc>
          <w:tcPr>
            <w:tcW w:w="7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4,679</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3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218,987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84,188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203,571</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76,100</w:t>
            </w:r>
          </w:p>
        </w:tc>
        <w:tc>
          <w:tcPr>
            <w:tcW w:w="200" w:type="dxa"/>
            <w:vAlign w:val="bottom"/>
            <w:shd w:val="clear" w:color="auto" w:fill="CCEEFF"/>
          </w:tcPr>
          <w:p>
            <w:pPr>
              <w:spacing w:after="0"/>
              <w:rPr>
                <w:sz w:val="18"/>
                <w:szCs w:val="18"/>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Revolving Credit Facility (Natixis) is secured by a perfected first priority security interest in the assets of TPG SL SPV, LLC, a wholly-owned subsidiary of the Company (the “Subsidiary”) and on any payments received by the Subsidiary in respect of such assets and, as such, are not available to pay the debts of the Company. As of June 30, 2013 and December 31, 2012, the Subsidiary had $184.5 million and $163.8 million, respectively, in assets, including $163.3 million and $154.4 million, respectively, in investments, and $76.9 million and $67.3 million, respectively, in liabilities, including the outstanding borrowings, on its balance sheet. As of June 30, 2013 and December 31, 2012, the Subsidiary had $18.1 million and $4.3 million, respectively, in restricted cash, a component of Prepaid expenses and other assets, in the accompanying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and December 31, 2012, the Company was in compliance with the terms of its debt arrangements.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Subsequent to June 30, 2013, the Company repaid a portion of its debt and borrowed additional amounts to fund investments. As of August 8, 2013, there was $272.3 million outstanding.</w:t>
      </w:r>
    </w:p>
    <w:p>
      <w:pPr>
        <w:spacing w:after="0" w:line="207" w:lineRule="exact"/>
        <w:rPr>
          <w:sz w:val="20"/>
          <w:szCs w:val="20"/>
          <w:color w:val="auto"/>
        </w:rPr>
      </w:pPr>
    </w:p>
    <w:p>
      <w:pPr>
        <w:ind w:right="8740" w:firstLine="8"/>
        <w:spacing w:after="0" w:line="473" w:lineRule="auto"/>
        <w:tabs>
          <w:tab w:leader="none" w:pos="176"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June 30, 2013 and December 31, 2012,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20" w:type="dxa"/>
            <w:vAlign w:val="bottom"/>
            <w:gridSpan w:val="3"/>
          </w:tcPr>
          <w:p>
            <w:pPr>
              <w:ind w:left="1220"/>
              <w:spacing w:after="0"/>
              <w:rPr>
                <w:sz w:val="20"/>
                <w:szCs w:val="20"/>
                <w:color w:val="auto"/>
              </w:rPr>
            </w:pPr>
            <w:r>
              <w:rPr>
                <w:rFonts w:ascii="Arial" w:cs="Arial" w:eastAsia="Arial" w:hAnsi="Arial"/>
                <w:sz w:val="14"/>
                <w:szCs w:val="14"/>
                <w:b w:val="1"/>
                <w:bCs w:val="1"/>
                <w:color w:val="auto"/>
                <w:w w:val="85"/>
              </w:rPr>
              <w:t>June 30, 2013</w:t>
            </w:r>
          </w:p>
        </w:tc>
        <w:tc>
          <w:tcPr>
            <w:tcW w:w="2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22,056</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26,356</w:t>
            </w:r>
          </w:p>
        </w:tc>
        <w:tc>
          <w:tcPr>
            <w:tcW w:w="118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2013 and December 31, 2012, the Company had $1.5 billion and $1.4 billion, respectively, in total capital commitments from investors ($1.0 billion and $1.0 billion unfunded, respectively), of which $117.1 million and $114.1 million, respectively, is from the Adviser and its affiliates ($78.7 million and $76.6 million unfunded, respectively).</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7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six months ended June 30,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87"/>
              </w:rPr>
              <w:t>Six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4"/>
                <w:szCs w:val="14"/>
                <w:b w:val="1"/>
                <w:bCs w:val="1"/>
                <w:color w:val="auto"/>
              </w:rPr>
              <w:t>June 30,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1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31,184</w:t>
            </w:r>
          </w:p>
        </w:tc>
        <w:tc>
          <w:tcPr>
            <w:tcW w:w="124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580" w:type="dxa"/>
            <w:vAlign w:val="bottom"/>
            <w:vMerge w:val="restart"/>
          </w:tcPr>
          <w:p>
            <w:pPr>
              <w:jc w:val="right"/>
              <w:ind w:right="1372"/>
              <w:spacing w:after="0"/>
              <w:rPr>
                <w:sz w:val="20"/>
                <w:szCs w:val="20"/>
                <w:color w:val="auto"/>
              </w:rPr>
            </w:pPr>
            <w:r>
              <w:rPr>
                <w:rFonts w:ascii="Arial" w:cs="Arial" w:eastAsia="Arial" w:hAnsi="Arial"/>
                <w:sz w:val="18"/>
                <w:szCs w:val="18"/>
                <w:color w:val="auto"/>
              </w:rPr>
              <w:t>23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6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8"/>
              </w:rPr>
              <w:t>June 30, 2012</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February 22, 2012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May 31, 2012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June 29, 2012 (1)</w:t>
            </w:r>
          </w:p>
        </w:tc>
        <w:tc>
          <w:tcPr>
            <w:tcW w:w="17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7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2"/>
        </w:trPr>
        <w:tc>
          <w:tcPr>
            <w:tcW w:w="416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166,351</w:t>
            </w:r>
          </w:p>
        </w:tc>
        <w:tc>
          <w:tcPr>
            <w:tcW w:w="116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164,888</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six months ended June 30,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7"/>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b w:val="1"/>
                <w:bCs w:val="1"/>
                <w:color w:val="auto"/>
                <w:w w:val="85"/>
              </w:rPr>
              <w:t>June 30,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0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8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Record Date</w:t>
            </w:r>
          </w:p>
        </w:tc>
        <w:tc>
          <w:tcPr>
            <w:tcW w:w="21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2012</w:t>
            </w:r>
          </w:p>
        </w:tc>
        <w:tc>
          <w:tcPr>
            <w:tcW w:w="4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12, 2013</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860" w:type="dxa"/>
            <w:vAlign w:val="bottom"/>
            <w:gridSpan w:val="2"/>
          </w:tcPr>
          <w:p>
            <w:pPr>
              <w:jc w:val="right"/>
              <w:ind w:right="420"/>
              <w:spacing w:after="0"/>
              <w:rPr>
                <w:sz w:val="20"/>
                <w:szCs w:val="20"/>
                <w:color w:val="auto"/>
              </w:rPr>
            </w:pPr>
            <w:r>
              <w:rPr>
                <w:rFonts w:ascii="Arial" w:cs="Arial" w:eastAsia="Arial" w:hAnsi="Arial"/>
                <w:sz w:val="18"/>
                <w:szCs w:val="18"/>
                <w:color w:val="auto"/>
              </w:rPr>
              <w:t>March 31, 2013</w:t>
            </w: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May 7, 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87"/>
              </w:rPr>
              <w:t>Six Months Ended</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b w:val="1"/>
                <w:bCs w:val="1"/>
                <w:color w:val="auto"/>
                <w:w w:val="85"/>
              </w:rPr>
              <w:t>June 30, 2012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0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86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rPr>
              <w:t>Record Date</w:t>
            </w:r>
          </w:p>
        </w:tc>
        <w:tc>
          <w:tcPr>
            <w:tcW w:w="21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2011</w:t>
            </w:r>
          </w:p>
        </w:tc>
        <w:tc>
          <w:tcPr>
            <w:tcW w:w="4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20, 2012</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1860" w:type="dxa"/>
            <w:vAlign w:val="bottom"/>
            <w:gridSpan w:val="2"/>
          </w:tcPr>
          <w:p>
            <w:pPr>
              <w:jc w:val="right"/>
              <w:ind w:right="420"/>
              <w:spacing w:after="0"/>
              <w:rPr>
                <w:sz w:val="20"/>
                <w:szCs w:val="20"/>
                <w:color w:val="auto"/>
              </w:rPr>
            </w:pPr>
            <w:r>
              <w:rPr>
                <w:rFonts w:ascii="Arial" w:cs="Arial" w:eastAsia="Arial" w:hAnsi="Arial"/>
                <w:sz w:val="18"/>
                <w:szCs w:val="18"/>
                <w:color w:val="auto"/>
              </w:rPr>
              <w:t>March 31, 2012</w:t>
            </w: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May 16, 2012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six months ended June 30,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980" w:type="dxa"/>
            <w:vAlign w:val="bottom"/>
            <w:vMerge w:val="restart"/>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178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Record Date</w:t>
            </w:r>
          </w:p>
        </w:tc>
        <w:tc>
          <w:tcPr>
            <w:tcW w:w="17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31, 2013</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 2013</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July 31, 2013</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980" w:type="dxa"/>
            <w:vAlign w:val="bottom"/>
            <w:vMerge w:val="restart"/>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2012</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178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Record Date</w:t>
            </w:r>
          </w:p>
        </w:tc>
        <w:tc>
          <w:tcPr>
            <w:tcW w:w="17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31, 2012</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 2012</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August 3, 2012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The dividends declared during the six months ended June 30, 2013 and 2012, were derived from net investment income, determined on a tax basis. 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June 30, 2013 and December 31, 2012,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060" w:type="dxa"/>
            <w:vAlign w:val="bottom"/>
            <w:gridSpan w:val="2"/>
          </w:tcPr>
          <w:p>
            <w:pPr>
              <w:ind w:left="19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1,012.93</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unrealized and realized gains (1)</w:t>
            </w:r>
          </w:p>
        </w:tc>
        <w:tc>
          <w:tcPr>
            <w:tcW w:w="1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Dividends declared (2)</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19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060" w:type="dxa"/>
            <w:vAlign w:val="bottom"/>
            <w:gridSpan w:val="2"/>
          </w:tcPr>
          <w:p>
            <w:pPr>
              <w:ind w:left="19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1,019.31</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994.86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344,685</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(3) (4)</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Ratio of net expenses to average net assets (4)</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 (4)</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060" w:type="dxa"/>
            <w:vAlign w:val="bottom"/>
            <w:gridSpan w:val="2"/>
          </w:tcPr>
          <w:p>
            <w:pPr>
              <w:ind w:left="19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526,547</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Total committed capital, end of period (5)</w:t>
            </w:r>
          </w:p>
        </w:tc>
        <w:tc>
          <w:tcPr>
            <w:tcW w:w="2060" w:type="dxa"/>
            <w:vAlign w:val="bottom"/>
            <w:gridSpan w:val="2"/>
          </w:tcPr>
          <w:p>
            <w:pPr>
              <w:ind w:left="19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1,314,664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Year of formation</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includes $117.1 million and $98.4 million of commitments from the Adviser and its affiliates as of June 30, 2013 and 2012,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jc w:val="both"/>
        <w:ind w:right="60" w:firstLine="456"/>
        <w:spacing w:after="0" w:line="305" w:lineRule="auto"/>
        <w:rPr>
          <w:sz w:val="20"/>
          <w:szCs w:val="20"/>
          <w:color w:val="auto"/>
        </w:rPr>
      </w:pPr>
      <w:r>
        <w:rPr>
          <w:rFonts w:ascii="Arial" w:cs="Arial" w:eastAsia="Arial" w:hAnsi="Arial"/>
          <w:sz w:val="15"/>
          <w:szCs w:val="15"/>
          <w:color w:val="auto"/>
        </w:rPr>
        <w:t>On July 2, 2013, the Company entered into an agreement to amend and restate the Revolving Credit Facility (SunTrust). The amended and restated facility became effective on July 3, 2013. The amended and restated facility, among other things, (a) increased the size of the facility from $200 million to $350 million;</w:t>
      </w:r>
    </w:p>
    <w:p>
      <w:pPr>
        <w:ind w:right="140" w:firstLine="8"/>
        <w:spacing w:after="0" w:line="30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17, 2013, the Company’s wholly-owned subsidiary TPG SL SPV, LLC amended the Revolving Credit Facility (Natixis). The amendment modified the matrix table used in connection with managing the various benchmarks and compliance with the collateral quality tests. The amended matrix includes additional options which may be selected from while managing the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have elected to be treated as a regulated investment company (“RIC”) for U.S.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investment activity for the three months ended June 30, 2013 and 2012, is presented below (information presented herein is at amortized cost unless otherwise indicated):</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920" w:type="dxa"/>
            <w:vAlign w:val="bottom"/>
            <w:gridSpan w:val="3"/>
          </w:tcPr>
          <w:p>
            <w:pPr>
              <w:ind w:left="680"/>
              <w:spacing w:after="0"/>
              <w:rPr>
                <w:sz w:val="20"/>
                <w:szCs w:val="20"/>
                <w:color w:val="auto"/>
              </w:rPr>
            </w:pPr>
            <w:r>
              <w:rPr>
                <w:rFonts w:ascii="Arial" w:cs="Arial" w:eastAsia="Arial" w:hAnsi="Arial"/>
                <w:sz w:val="14"/>
                <w:szCs w:val="14"/>
                <w:b w:val="1"/>
                <w:bCs w:val="1"/>
                <w:color w:val="auto"/>
                <w:w w:val="88"/>
              </w:rPr>
              <w:t>Three Months Ended</w:t>
            </w:r>
          </w:p>
        </w:tc>
        <w:tc>
          <w:tcPr>
            <w:tcW w:w="2120" w:type="dxa"/>
            <w:vAlign w:val="bottom"/>
            <w:gridSpan w:val="4"/>
          </w:tcPr>
          <w:p>
            <w:pPr>
              <w:ind w:left="7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June 30, 2013</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(1):</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169.1</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revolving loan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New investment commitments (2):</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Portfolio companies</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20"/>
                <w:szCs w:val="20"/>
                <w:color w:val="auto"/>
              </w:rPr>
            </w:pPr>
            <w:r>
              <w:rPr>
                <w:rFonts w:ascii="Arial" w:cs="Arial" w:eastAsia="Arial" w:hAnsi="Arial"/>
                <w:sz w:val="18"/>
                <w:szCs w:val="18"/>
                <w:b w:val="1"/>
                <w:bCs w:val="1"/>
                <w:color w:val="auto"/>
                <w:w w:val="93"/>
              </w:rPr>
              <w:t>Average Total Investment in New Portfolio Companies (3):</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right="2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repaid by borrowers in the period.</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debt and equity investments made during the period, including investment commitments not yet funded.</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weighted average yields at fair value and amortized cost of the following portions of our portfolio as of June 30, 2013 and December 31,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w w:val="85"/>
              </w:rPr>
              <w:t>June 30, 2013</w:t>
            </w:r>
          </w:p>
        </w:tc>
        <w:tc>
          <w:tcPr>
            <w:tcW w:w="620" w:type="dxa"/>
            <w:vAlign w:val="bottom"/>
          </w:tcPr>
          <w:p>
            <w:pPr>
              <w:spacing w:after="0"/>
              <w:rPr>
                <w:sz w:val="14"/>
                <w:szCs w:val="14"/>
                <w:color w:val="auto"/>
              </w:rPr>
            </w:pPr>
          </w:p>
        </w:tc>
        <w:tc>
          <w:tcPr>
            <w:tcW w:w="19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5"/>
              </w:rPr>
              <w:t>December 31, 2012</w:t>
            </w:r>
          </w:p>
        </w:tc>
      </w:tr>
      <w:tr>
        <w:trPr>
          <w:trHeight w:val="142"/>
        </w:trPr>
        <w:tc>
          <w:tcPr>
            <w:tcW w:w="47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8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Fair Value</w:t>
            </w:r>
          </w:p>
        </w:tc>
        <w:tc>
          <w:tcPr>
            <w:tcW w:w="8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20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term debt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14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bonds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10.9%</w:t>
            </w:r>
          </w:p>
        </w:tc>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14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primary driver of change between the results of our operations for the three and six months ended June 30, 2013 versus the comparable periods in 2012 is related to our investing and other related business activities as we continued to establish our business and deploy our available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various forms, including commitment, loan origination, syndication, and prepayment fees. Certain of these fees are capitalized and amortized as additional interest income over the life of the related investment.</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Investment income for the three and six months ended June 30, 2013, was $20.9 million and $41.7 million, respectively, which consisted of $19.9 million and $40.5 million, respectively, in interest income and $1.1 million and $1.3, respectively, in other income from non-controlled, non-affiliated investments.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Investment income for the three and six months ended June 30, 2012, was $11.3 million and $18.3 million, respectively, which consisted of $11.2 million and $18.1 million, respectively, in interest income and $0.1 million and $0.2 million, respectively, in other income. Investment income from non-controlled, non-affiliated investments was $10.4 million and $16.5 million, respectively, while investment income from non-controlled, affiliated investments was $0.9 million and $1.8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expenses for the three and six months ended June 30, 2013 were $8.1 million and $15.8 million, respectively, which consisted of $2.4 million and $4.7 million, respectively, of interest expense, $1.5 million and $3.1 million, respectively, in Management Fees (net of waivers), $2.5 million and $5.2 million, respectively, in Incentive Fees, $0.9 million and $1.5 million, respectively, in professional fees, $0.1 million and $0.1 million, respectively, in directors’ fees, and $0.6 million and $1.2 million, respectively, in other general and administrative expenses.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expenses for the three and six months ended June 30, 2012, were $4.7 million and $9.1 million, respectively, which consisted of $1.2 million and $2.1 million, respectively, of interest expense, $1.2 million and $2.4 million, respectively, in Management Fees (net of waivers), $1.4 million and $2.4 million, respectively, in Incentive Fees, $0.5 million and $1.4 million, respectively, in professional fees, $0.1 million and $0.1 million, respectively, in directors’ fees, and $0.3 million and $0.7 million, respectively, in other general and administrative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Including Excise Tax</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generally at least 90% of our investment company taxable income, as defined by the Code, for each taxable year. In order to maintain our RIC status, we, among other things, have made and intend to continue to make the requisite distributions to our stockholders which will generally relieve us from U.S. federal income taxes.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dividend distributions from such current year taxable income into the next tax year and pay a 4% excise tax on such income, as required. To the extent that we determine that our estimated current year annual taxable income will be in excess of estimated current year dividend distributions from such income, we accrue excise tax on estimated excess taxable income. For the three months ended June 30, 2013, we did not incur any U.S. federal excise tax. For the six months ended June 30, 2013, a net expense of $4 thousand was recorded for U.S. federal excise tax. For the three and six months ended June 30, 2012, we did not incur any U.S. federal excise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and six months ended June 30, 2013 and 2012, the net change in unrealized gains (losses) on our investment portfolio was comprised of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74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Change in unrealized losses</w:t>
            </w:r>
          </w:p>
        </w:tc>
        <w:tc>
          <w:tcPr>
            <w:tcW w:w="14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56"/>
              <w:spacing w:after="0"/>
              <w:rPr>
                <w:sz w:val="20"/>
                <w:szCs w:val="20"/>
                <w:color w:val="auto"/>
              </w:rPr>
            </w:pPr>
            <w:r>
              <w:rPr>
                <w:rFonts w:ascii="Arial" w:cs="Arial" w:eastAsia="Arial" w:hAnsi="Arial"/>
                <w:sz w:val="18"/>
                <w:szCs w:val="18"/>
                <w:color w:val="auto"/>
                <w:w w:val="99"/>
              </w:rPr>
              <w:t>28</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change in unrealized gains (losses) for the three and six months ended June 30, 2013 and 2012,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600" w:type="dxa"/>
            <w:vAlign w:val="bottom"/>
            <w:vMerge w:val="restart"/>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6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AFS Technologies, Inc.</w:t>
            </w: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Centaur, LLC.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Center Cut Hospitality, Inc.</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Checkers Drive-In Restaurants,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Consona Holdings, Inc.</w:t>
            </w: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(0.3)</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Embarcadero Technologies, Inc.</w:t>
            </w:r>
          </w:p>
        </w:tc>
        <w:tc>
          <w:tcPr>
            <w:tcW w:w="300" w:type="dxa"/>
            <w:vAlign w:val="bottom"/>
          </w:tcPr>
          <w:p>
            <w:pPr>
              <w:spacing w:after="0"/>
              <w:rPr>
                <w:sz w:val="18"/>
                <w:szCs w:val="18"/>
                <w:color w:val="auto"/>
              </w:rPr>
            </w:pPr>
          </w:p>
        </w:tc>
        <w:tc>
          <w:tcPr>
            <w:tcW w:w="480" w:type="dxa"/>
            <w:vAlign w:val="bottom"/>
          </w:tcPr>
          <w:p>
            <w:pPr>
              <w:jc w:val="center"/>
              <w:ind w:left="173"/>
              <w:spacing w:after="0"/>
              <w:rPr>
                <w:sz w:val="20"/>
                <w:szCs w:val="20"/>
                <w:color w:val="auto"/>
              </w:rPr>
            </w:pPr>
            <w:r>
              <w:rPr>
                <w:rFonts w:ascii="Arial" w:cs="Arial" w:eastAsia="Arial" w:hAnsi="Arial"/>
                <w:sz w:val="18"/>
                <w:szCs w:val="18"/>
                <w:color w:val="auto"/>
                <w:w w:val="87"/>
              </w:rPr>
              <w:t>0.1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Federal Signal Corporation</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0.2</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Infogix, Inc.</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International Equipment Solutions, Inc.</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Mandalay Baseball Properties, LLC</w:t>
            </w:r>
          </w:p>
        </w:tc>
        <w:tc>
          <w:tcPr>
            <w:tcW w:w="300" w:type="dxa"/>
            <w:vAlign w:val="bottom"/>
          </w:tcPr>
          <w:p>
            <w:pPr>
              <w:spacing w:after="0"/>
              <w:rPr>
                <w:sz w:val="18"/>
                <w:szCs w:val="18"/>
                <w:color w:val="auto"/>
              </w:rPr>
            </w:pPr>
          </w:p>
        </w:tc>
        <w:tc>
          <w:tcPr>
            <w:tcW w:w="480" w:type="dxa"/>
            <w:vAlign w:val="bottom"/>
          </w:tcPr>
          <w:p>
            <w:pPr>
              <w:jc w:val="center"/>
              <w:ind w:left="173"/>
              <w:spacing w:after="0"/>
              <w:rPr>
                <w:sz w:val="20"/>
                <w:szCs w:val="20"/>
                <w:color w:val="auto"/>
              </w:rPr>
            </w:pPr>
            <w:r>
              <w:rPr>
                <w:rFonts w:ascii="Arial" w:cs="Arial" w:eastAsia="Arial" w:hAnsi="Arial"/>
                <w:sz w:val="18"/>
                <w:szCs w:val="18"/>
                <w:color w:val="auto"/>
                <w:w w:val="87"/>
              </w:rPr>
              <w:t>0.6</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1.6</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Mediware Information Systems, Inc.</w:t>
            </w:r>
          </w:p>
        </w:tc>
        <w:tc>
          <w:tcPr>
            <w:tcW w:w="300" w:type="dxa"/>
            <w:vAlign w:val="bottom"/>
          </w:tcPr>
          <w:p>
            <w:pPr>
              <w:spacing w:after="0"/>
              <w:rPr>
                <w:sz w:val="18"/>
                <w:szCs w:val="18"/>
                <w:color w:val="auto"/>
              </w:rPr>
            </w:pPr>
          </w:p>
        </w:tc>
        <w:tc>
          <w:tcPr>
            <w:tcW w:w="480" w:type="dxa"/>
            <w:vAlign w:val="bottom"/>
          </w:tcPr>
          <w:p>
            <w:pPr>
              <w:jc w:val="center"/>
              <w:ind w:left="173"/>
              <w:spacing w:after="0"/>
              <w:rPr>
                <w:sz w:val="20"/>
                <w:szCs w:val="20"/>
                <w:color w:val="auto"/>
              </w:rPr>
            </w:pPr>
            <w:r>
              <w:rPr>
                <w:rFonts w:ascii="Arial" w:cs="Arial" w:eastAsia="Arial" w:hAnsi="Arial"/>
                <w:sz w:val="18"/>
                <w:szCs w:val="18"/>
                <w:color w:val="auto"/>
                <w:w w:val="87"/>
              </w:rPr>
              <w:t>0.1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The Newark Group, Inc.</w:t>
            </w: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(0.4)</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 Group,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Sage Automotive Interiors, Inc.</w:t>
            </w:r>
          </w:p>
        </w:tc>
        <w:tc>
          <w:tcPr>
            <w:tcW w:w="300" w:type="dxa"/>
            <w:vAlign w:val="bottom"/>
          </w:tcPr>
          <w:p>
            <w:pPr>
              <w:spacing w:after="0"/>
              <w:rPr>
                <w:sz w:val="18"/>
                <w:szCs w:val="18"/>
                <w:color w:val="auto"/>
              </w:rPr>
            </w:pPr>
          </w:p>
        </w:tc>
        <w:tc>
          <w:tcPr>
            <w:tcW w:w="480" w:type="dxa"/>
            <w:vAlign w:val="bottom"/>
          </w:tcPr>
          <w:p>
            <w:pPr>
              <w:jc w:val="center"/>
              <w:ind w:left="173"/>
              <w:spacing w:after="0"/>
              <w:rPr>
                <w:sz w:val="20"/>
                <w:szCs w:val="20"/>
                <w:color w:val="auto"/>
              </w:rPr>
            </w:pPr>
            <w:r>
              <w:rPr>
                <w:rFonts w:ascii="Arial" w:cs="Arial" w:eastAsia="Arial" w:hAnsi="Arial"/>
                <w:sz w:val="18"/>
                <w:szCs w:val="18"/>
                <w:color w:val="auto"/>
                <w:w w:val="87"/>
              </w:rPr>
              <w:t>0.3</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SRS Software, LLC.</w:t>
            </w: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(1.1)</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Synagro Technologies, Inc.</w:t>
            </w:r>
          </w:p>
        </w:tc>
        <w:tc>
          <w:tcPr>
            <w:tcW w:w="300" w:type="dxa"/>
            <w:vAlign w:val="bottom"/>
          </w:tcPr>
          <w:p>
            <w:pPr>
              <w:spacing w:after="0"/>
              <w:rPr>
                <w:sz w:val="18"/>
                <w:szCs w:val="18"/>
                <w:color w:val="auto"/>
              </w:rPr>
            </w:pPr>
          </w:p>
        </w:tc>
        <w:tc>
          <w:tcPr>
            <w:tcW w:w="480" w:type="dxa"/>
            <w:vAlign w:val="bottom"/>
          </w:tcPr>
          <w:p>
            <w:pPr>
              <w:jc w:val="center"/>
              <w:ind w:left="173"/>
              <w:spacing w:after="0"/>
              <w:rPr>
                <w:sz w:val="20"/>
                <w:szCs w:val="20"/>
                <w:color w:val="auto"/>
              </w:rPr>
            </w:pPr>
            <w:r>
              <w:rPr>
                <w:rFonts w:ascii="Arial" w:cs="Arial" w:eastAsia="Arial" w:hAnsi="Arial"/>
                <w:sz w:val="18"/>
                <w:szCs w:val="18"/>
                <w:color w:val="auto"/>
                <w:w w:val="87"/>
              </w:rPr>
              <w:t>0.9</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Teletrac, Inc.</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0.5</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Vivint, Inc.</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0.4</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center"/>
              <w:ind w:left="173"/>
              <w:spacing w:after="0"/>
              <w:rPr>
                <w:sz w:val="20"/>
                <w:szCs w:val="20"/>
                <w:color w:val="auto"/>
              </w:rPr>
            </w:pPr>
            <w:r>
              <w:rPr>
                <w:rFonts w:ascii="Arial" w:cs="Arial" w:eastAsia="Arial" w:hAnsi="Arial"/>
                <w:sz w:val="18"/>
                <w:szCs w:val="18"/>
                <w:color w:val="auto"/>
                <w:w w:val="87"/>
              </w:rPr>
              <w:t>0.7</w:t>
            </w:r>
          </w:p>
        </w:tc>
        <w:tc>
          <w:tcPr>
            <w:tcW w:w="7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1.1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and six months ended June 30, 2013 and 2012, realized gains (losses)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3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760" w:type="dxa"/>
            <w:vAlign w:val="bottom"/>
          </w:tcPr>
          <w:p>
            <w:pPr>
              <w:spacing w:after="0"/>
              <w:rPr>
                <w:sz w:val="12"/>
                <w:szCs w:val="12"/>
                <w:color w:val="auto"/>
              </w:rPr>
            </w:pPr>
          </w:p>
        </w:tc>
        <w:tc>
          <w:tcPr>
            <w:tcW w:w="118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3"/>
              </w:rPr>
              <w:t>June 30, 2013</w:t>
            </w:r>
          </w:p>
        </w:tc>
        <w:tc>
          <w:tcPr>
            <w:tcW w:w="3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June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Centaur, LLC</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Mannington Mills, Inc.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314"/>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three and six months ended June 30, 2013, we entered into foreign currency forward contracts related to our investment in Jeeves Information Systems AB. Other than the foreign currency forward contracts, we did not enter into any other interest rate or other derivative agreements.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foreign currency forward contracts are intended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one month. The volume of open contracts at the end of each reporting period is reflective of the typical volume of transactions during each calendar quarter.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six months ended June 30, 2012,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June 30, 2013, we had $111.5 million in cash and cash equivalents on hand, a decrease of $50.3 million from December 31, 2012. The decrease was primarily attributable to investments made during the period.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to generate additional cash from (1) operations; (2) future offerings of our common or preferred shares; and, (3) borrowings from banks or other lenders.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Cash and cash equivalents on hand as of June 30, 2013,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six months ended June 30, 2013, we entered into subscription agreements (collectively, the “Subscription Agreements”) with several investors, including our Adviser, providing for the private placement of our Common Stock. The subscriptions agreements brought our total capital commitments to $1.5 billion ($117.1 million from the Adviser and its affiliates), the maximum agreed to with our investors.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June 30, 2013 and December 31, 2012, we had $1.5 billion and $1.4 billion, respectively, in total capital commitments from investors ($1.0 billion and $1.0 billion unfunded, respectively), of which $117.1 million and $114.1 million, respectively, is from the Adviser and its affiliates ($78.7 million and $76.6 million unfunded, respectively).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June 30, 2013, we did not deliver any drawdown notices to our investors. During the six months ended June 30, 2013, we delivered drawdown notices to our investors relating to the issuance of 31,184 shares of our Common Stock for aggregate offering proceeds of $31.9 million. See Note 9 to our consolidated financial statements for the dates and amounts of our drawdowns. Proceeds from the issuances were used in our investing activities and for other general corporate purposes.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drawdown noted above, during the six months ended June 30, 2013, we issued 11,709 shares of our Common Stock, respectively, to investors who have not opted out of our dividend reinvestment plan. During the six months ended June 30, 2012, we issued 1,801 shares of our Common Stock, respectively, to investors who have not opted out of our dividend reinvestment plan.</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our Common Stock as the declaration dates of the dividends. The Common Stock issued through the dividend reinvestment plan was rounded down to the nearest whole share to avoid the issuance of fractional shares, and fractional shares were paid in cash.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June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Pr>
          <w:p>
            <w:pPr>
              <w:spacing w:after="0"/>
              <w:rPr>
                <w:sz w:val="19"/>
                <w:szCs w:val="19"/>
                <w:color w:val="auto"/>
              </w:rPr>
            </w:pP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379.0</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r>
              <w:rPr>
                <w:rFonts w:ascii="Arial" w:cs="Arial" w:eastAsia="Arial" w:hAnsi="Arial"/>
                <w:sz w:val="18"/>
                <w:szCs w:val="18"/>
                <w:u w:val="single" w:color="auto"/>
                <w:color w:val="auto"/>
              </w:rPr>
              <w:t>0</w:t>
            </w: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June 30, 2013 and December 31, 2012, we were in compliance with the terms of our debt arrangements. We intend to continue to utilize our credit facilities to fund investments and for other general corporate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below for a summary of recent events related to our revolving credit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Information on our capital commitments from investors and commitments to fund investments is contained in Note 8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2"/>
            <w:vMerge w:val="continue"/>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$ 215.0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379.0</w:t>
            </w:r>
          </w:p>
        </w:tc>
        <w:tc>
          <w:tcPr>
            <w:tcW w:w="1020" w:type="dxa"/>
            <w:vAlign w:val="bottom"/>
            <w:gridSpan w:val="2"/>
          </w:tcPr>
          <w:p>
            <w:pPr>
              <w:jc w:val="center"/>
              <w:ind w:left="372"/>
              <w:spacing w:after="0"/>
              <w:rPr>
                <w:sz w:val="20"/>
                <w:szCs w:val="20"/>
                <w:color w:val="auto"/>
              </w:rPr>
            </w:pPr>
            <w:r>
              <w:rPr>
                <w:rFonts w:ascii="Arial" w:cs="Arial" w:eastAsia="Arial" w:hAnsi="Arial"/>
                <w:sz w:val="18"/>
                <w:szCs w:val="18"/>
                <w:color w:val="auto"/>
                <w:w w:val="93"/>
              </w:rPr>
              <w:t>$ 215.0</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87.5</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Note 8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jc w:val="both"/>
        <w:ind w:right="80" w:firstLine="456"/>
        <w:spacing w:after="0" w:line="305" w:lineRule="auto"/>
        <w:rPr>
          <w:sz w:val="20"/>
          <w:szCs w:val="20"/>
          <w:color w:val="auto"/>
        </w:rPr>
      </w:pPr>
      <w:r>
        <w:rPr>
          <w:rFonts w:ascii="Arial" w:cs="Arial" w:eastAsia="Arial" w:hAnsi="Arial"/>
          <w:sz w:val="15"/>
          <w:szCs w:val="15"/>
          <w:color w:val="auto"/>
        </w:rPr>
        <w:t>On July 2, 2013, the Company entered into an agreement to amend and restate the Revolving Credit Facility (SunTrust). The amended and restated facility became effective on July 3, 2013. The amended and restated facility, among other things, (a) increased the size of the facility from $200 million to $350 million;</w:t>
      </w:r>
    </w:p>
    <w:p>
      <w:pPr>
        <w:ind w:right="160" w:firstLine="8"/>
        <w:spacing w:after="0" w:line="302"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0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17, 2013, the Company’s wholly-owned subsidiary TPG SL SPV, LLC amended the Revolving Credit Facility (Natixis). The amendment modified the matrix table used in connection with managing the various benchmarks and compliance with the collateral quality tests. The amended matrix includes additional options which may be selected from while managing the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2012, which was filed with the SEC on March 15,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Interest rate sensitivity refers to the change in earnings that may result from changes in the level of interest rates. We also fund portions of our investments with borrowings, and at such time, our net investment income are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2013, the majority of the investments at fair value in our portfolio were at variable rates. Our credit facilities also bear interest at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our balance sheet as of June 30, 2013, the following table shows the impact on net income for the three months ended June 30, 2013, of base rate changes in interest rates (considering interest rate floors and ceilings for variable rate instruments) assuming no changes in our investment and borrowing structure: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Net</w:t>
            </w:r>
          </w:p>
        </w:tc>
      </w:tr>
      <w:tr>
        <w:trPr>
          <w:trHeight w:val="149"/>
        </w:trPr>
        <w:tc>
          <w:tcPr>
            <w:tcW w:w="7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w:t>
            </w: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12"/>
                <w:szCs w:val="12"/>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5.5</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center"/>
              <w:ind w:left="12"/>
              <w:spacing w:after="0"/>
              <w:rPr>
                <w:sz w:val="20"/>
                <w:szCs w:val="20"/>
                <w:color w:val="auto"/>
              </w:rPr>
            </w:pPr>
            <w:r>
              <w:rPr>
                <w:rFonts w:ascii="Arial" w:cs="Arial" w:eastAsia="Arial" w:hAnsi="Arial"/>
                <w:sz w:val="18"/>
                <w:szCs w:val="18"/>
                <w:color w:val="auto"/>
                <w:w w:val="87"/>
              </w:rPr>
              <w:t>3.7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6"/>
              </w:rPr>
              <w:t>(0.2)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2012, which was filed with the SEC on March 15,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900" w:type="dxa"/>
            <w:vAlign w:val="bottom"/>
          </w:tcPr>
          <w:p>
            <w:pPr>
              <w:spacing w:after="0"/>
              <w:rPr>
                <w:sz w:val="19"/>
                <w:szCs w:val="19"/>
                <w:color w:val="auto"/>
              </w:rPr>
            </w:pPr>
          </w:p>
        </w:tc>
      </w:tr>
      <w:tr>
        <w:trPr>
          <w:trHeight w:val="412"/>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9900" w:type="dxa"/>
            <w:vAlign w:val="bottom"/>
          </w:tcPr>
          <w:p>
            <w:pPr>
              <w:ind w:left="120"/>
              <w:spacing w:after="0"/>
              <w:rPr>
                <w:sz w:val="20"/>
                <w:szCs w:val="20"/>
                <w:color w:val="auto"/>
              </w:rPr>
            </w:pPr>
            <w:r>
              <w:rPr>
                <w:rFonts w:ascii="Arial" w:cs="Arial" w:eastAsia="Arial" w:hAnsi="Arial"/>
                <w:sz w:val="18"/>
                <w:szCs w:val="18"/>
                <w:color w:val="auto"/>
                <w:w w:val="91"/>
              </w:rPr>
              <w:t>Amendment No. 1 dated July 17, 2013 to Revolving Credit and Security Agreement, dated May 8, 2012, among TPG SL SPV, LLC, as</w:t>
            </w:r>
          </w:p>
        </w:tc>
      </w:tr>
      <w:tr>
        <w:trPr>
          <w:trHeight w:val="216"/>
        </w:trPr>
        <w:tc>
          <w:tcPr>
            <w:tcW w:w="1040" w:type="dxa"/>
            <w:vAlign w:val="bottom"/>
          </w:tcPr>
          <w:p>
            <w:pPr>
              <w:spacing w:after="0"/>
              <w:rPr>
                <w:sz w:val="18"/>
                <w:szCs w:val="18"/>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w w:val="90"/>
              </w:rPr>
              <w:t>Borrower, the Lenders from Time to Time Parties Hereto, Natixis, New York Branch, as Facility Agent and The Bank of New York Mellon</w:t>
            </w:r>
          </w:p>
        </w:tc>
      </w:tr>
      <w:tr>
        <w:trPr>
          <w:trHeight w:val="222"/>
        </w:trPr>
        <w:tc>
          <w:tcPr>
            <w:tcW w:w="1040" w:type="dxa"/>
            <w:vAlign w:val="bottom"/>
          </w:tcPr>
          <w:p>
            <w:pPr>
              <w:spacing w:after="0"/>
              <w:rPr>
                <w:sz w:val="19"/>
                <w:szCs w:val="19"/>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Trust Company, N.A., as Collateral Agent.</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900" w:type="dxa"/>
            <w:vAlign w:val="bottom"/>
          </w:tcPr>
          <w:p>
            <w:pPr>
              <w:ind w:left="12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900" w:type="dxa"/>
            <w:vAlign w:val="bottom"/>
          </w:tcPr>
          <w:p>
            <w:pPr>
              <w:ind w:left="1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380" w:hanging="910"/>
        <w:spacing w:after="0" w:line="268"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9, 2013</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9, 2013</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REVOLVING CREDIT AND SECURITY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AMENDMENT NO. 1 TO REVOLVING CREDIT AND SECURITY AGREEMENT dated as of July 17, 2013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TGP SL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SPV, LLC,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NATIXIS, NEW YORK BRANCH (“</w:t>
      </w:r>
      <w:r>
        <w:rPr>
          <w:rFonts w:ascii="Arial" w:cs="Arial" w:eastAsia="Arial" w:hAnsi="Arial"/>
          <w:sz w:val="16"/>
          <w:szCs w:val="16"/>
          <w:u w:val="single" w:color="auto"/>
          <w:color w:val="auto"/>
        </w:rPr>
        <w:t>Natixis</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agent for the Secured Parties (as defined in the Credit Agreement described below) (in such capacity, together with its successors and assigns,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Agent</w:t>
      </w:r>
      <w:r>
        <w:rPr>
          <w:rFonts w:ascii="Arial" w:cs="Arial" w:eastAsia="Arial" w:hAnsi="Arial"/>
          <w:sz w:val="16"/>
          <w:szCs w:val="16"/>
          <w:color w:val="auto"/>
        </w:rPr>
        <w:t>”) and STATE STREET BANK AND TRUST, as successor collateral agent for the Secured Parties (as defined in the Credit Agreement described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(in such capacity, together with its successors and assigns,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under the Credit Agreement referred to below.</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Borrower, the Lenders party thereto, the Facility Agent and the Collateral Agent are parties to a Revolving Credit and Security Agreement dated as of May 8, 2012 (as amended, modified and supplemented and in effect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32"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The Borrower and the Facility Agent on behalf of the Required Lenders wish now to amend the Credit Agreement in certain respects, and accordingly, the parties hereto hereby agree as follows:</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defined in this Agreement, terms defined in the Credit Agreement are used herein as defined therein. This Agreement shall constitute a Facility Document for all purposes of the Credit Agreement and the other Facility Documents.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Subject to the satisfaction of the conditions precedent specified in Section 4 below, but effective as of the date hereof,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shall be amended as follows:</w:t>
      </w:r>
    </w:p>
    <w:p>
      <w:pPr>
        <w:spacing w:after="0" w:line="16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References Generally</w:t>
      </w:r>
      <w:r>
        <w:rPr>
          <w:rFonts w:ascii="Arial" w:cs="Arial" w:eastAsia="Arial" w:hAnsi="Arial"/>
          <w:sz w:val="18"/>
          <w:szCs w:val="18"/>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Schedules</w:t>
      </w:r>
      <w:r>
        <w:rPr>
          <w:rFonts w:ascii="Arial" w:cs="Arial" w:eastAsia="Arial" w:hAnsi="Arial"/>
          <w:sz w:val="16"/>
          <w:szCs w:val="16"/>
          <w:color w:val="auto"/>
        </w:rPr>
        <w:t>. Schedule 8 to the Credit Agreement is hereby amended and restated in its entirety by substituting Schedule 8 attached hereto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6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represents and warrants to the Secured Parties, that (a) the representations and warranties set forth in Article IV (as hereby amended) of the Credit Agreement, and in each of the other Facility Documents, are true and correct in all material respects on the date hereof as if made on and as of the date hereof (or, if any such representation or warranty is expressly stated to have been made as of a specific date, such representation or warranty shall be true and correct in all material respects as of such specific date), and as if each reference in said Article IV to “this Agreement” included reference to this Agreement (it being agreed that it shall be deemed to be an Event of Default under the Credit Agreement if any of the foregoing representations and warranties shall prove to have been incorrect in any material respect when made and such breach continues for a period of thirty days after the earlier of (x) written notice to the Borrower (which may be by e-mail) by either Agent or the Investment Manager, in each case specifying such breach and requiring it to be remedied and stating that such notice is a “Notice of Default” under the Credit Agreement and (y) actual knowledge of the Borrower), and (b) no Default or Event of Default has occurred and is continuing.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w:t>
      </w:r>
    </w:p>
    <w:p>
      <w:pPr>
        <w:sectPr>
          <w:pgSz w:w="11900" w:h="16838" w:orient="portrait"/>
          <w:cols w:equalWidth="0" w:num="1">
            <w:col w:w="11420"/>
          </w:cols>
          <w:pgMar w:left="240" w:top="125" w:right="239" w:bottom="1440" w:gutter="0" w:footer="0" w:header="0"/>
        </w:sectPr>
      </w:pPr>
    </w:p>
    <w:bookmarkStart w:id="36" w:name="page37"/>
    <w:bookmarkEnd w:id="36"/>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set forth in Section 2 hereof shall become effective, as of the date hereof, upon satisfaction of the following conditions:</w:t>
      </w:r>
    </w:p>
    <w:p>
      <w:pPr>
        <w:spacing w:after="0" w:line="51" w:lineRule="exact"/>
        <w:rPr>
          <w:sz w:val="20"/>
          <w:szCs w:val="20"/>
          <w:color w:val="auto"/>
        </w:rPr>
      </w:pPr>
    </w:p>
    <w:p>
      <w:pPr>
        <w:ind w:left="460" w:right="160" w:firstLine="443"/>
        <w:spacing w:after="0" w:line="268"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The Facility Agent shall have received counterparts of this Agreement executed by the Borrower and the Facility Agent on behalf of the Required Lenders.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Borrower shall have paid all reasonable and documented out-of-pocket costs and expenses of the Facility Agent (including reasonable and documented fees and expenses of counsel to the Facility Agent) incurred in connection with this Agreement.</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Rating Confirmation</w:t>
      </w:r>
      <w:r>
        <w:rPr>
          <w:rFonts w:ascii="Arial" w:cs="Arial" w:eastAsia="Arial" w:hAnsi="Arial"/>
          <w:sz w:val="18"/>
          <w:szCs w:val="18"/>
          <w:color w:val="auto"/>
        </w:rPr>
        <w:t>. A Rating Confirmation shall have been obtained in respect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Confirmation of Security</w:t>
      </w:r>
      <w:r>
        <w:rPr>
          <w:rFonts w:ascii="Arial" w:cs="Arial" w:eastAsia="Arial" w:hAnsi="Arial"/>
          <w:sz w:val="16"/>
          <w:szCs w:val="16"/>
          <w:color w:val="auto"/>
        </w:rPr>
        <w:t>. The Borrower (a) confirms its obligations under the Credit Agreement and the other Facility Documents and</w:t>
      </w:r>
    </w:p>
    <w:p>
      <w:pPr>
        <w:spacing w:after="0" w:line="38" w:lineRule="exact"/>
        <w:rPr>
          <w:sz w:val="20"/>
          <w:szCs w:val="20"/>
          <w:color w:val="auto"/>
        </w:rPr>
      </w:pPr>
    </w:p>
    <w:p>
      <w:pPr>
        <w:jc w:val="both"/>
        <w:ind w:right="120" w:firstLine="8"/>
        <w:spacing w:after="0" w:line="331" w:lineRule="auto"/>
        <w:tabs>
          <w:tab w:leader="none" w:pos="249"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confirms that its obligations under the Credit Agreement as amended hereby are entitled to the benefits of the pledges and guarantees, as applicable, set forth in the Credit Agreement and any other Facility Documents. Each party, by its execution of this Agreement, hereby confirms that the Obligations shall remain in full force and effect, and such Obligations shall continue to be entitled to the benefits of the grant set forth in the Section 7.01 of the Credit Agreement.</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Miscellaneous</w:t>
      </w:r>
      <w:r>
        <w:rPr>
          <w:rFonts w:ascii="Arial" w:cs="Arial" w:eastAsia="Arial" w:hAnsi="Arial"/>
          <w:sz w:val="16"/>
          <w:szCs w:val="16"/>
          <w:color w:val="auto"/>
        </w:rPr>
        <w:t>. Except as herein provided, the Credit Agreement shall remain unchanged and in full force and effect. This Agreement may be executed in any number of counterparts, all of which taken together shall constitute one and the same amendatory instrument and any of the parties hereto may execute this Agreement by signing any such counterpart. Delivery of a counterpart by electronic transmission shall be effective as delivery of a manually executed counterpart hereof. This Agreement and any right, remedy, obligation, claim, controversy, dispute or cause of action (whether in contract, tort or otherwise) based upon, arising out of or relating to this Agreement shall be governed by, and construed in accordance with, the law of the State of New York.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No.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37" w:name="page38"/>
    <w:bookmarkEnd w:id="37"/>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as of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Amendment No. 1</w:t>
      </w:r>
    </w:p>
    <w:p>
      <w:pPr>
        <w:sectPr>
          <w:pgSz w:w="11900" w:h="16838" w:orient="portrait"/>
          <w:cols w:equalWidth="0" w:num="1">
            <w:col w:w="10880"/>
          </w:cols>
          <w:pgMar w:left="240" w:top="280" w:right="779" w:bottom="1440" w:gutter="0" w:footer="0" w:header="0"/>
        </w:sectPr>
      </w:pPr>
    </w:p>
    <w:bookmarkStart w:id="38" w:name="page39"/>
    <w:bookmarkEnd w:id="38"/>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AGENT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Facility Agent on behalf of the Required Lenders</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6"/>
          <w:szCs w:val="16"/>
          <w:u w:val="single" w:color="auto"/>
          <w:color w:val="auto"/>
        </w:rPr>
        <w:t>Amendment No. 1</w:t>
      </w:r>
    </w:p>
    <w:p>
      <w:pPr>
        <w:sectPr>
          <w:pgSz w:w="11900" w:h="16838" w:orient="portrait"/>
          <w:cols w:equalWidth="0" w:num="1">
            <w:col w:w="9300"/>
          </w:cols>
          <w:pgMar w:left="1440" w:top="847" w:right="1159" w:bottom="1440" w:gutter="0" w:footer="0" w:header="0"/>
        </w:sectPr>
      </w:pPr>
    </w:p>
    <w:bookmarkStart w:id="39" w:name="page40"/>
    <w:bookmarkEnd w:id="39"/>
    <w:p>
      <w:pPr>
        <w:ind w:left="4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Schedule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 No. 1</w:t>
      </w:r>
    </w:p>
    <w:p>
      <w:pPr>
        <w:sectPr>
          <w:pgSz w:w="11900" w:h="16838" w:orient="portrait"/>
          <w:cols w:equalWidth="0" w:num="1">
            <w:col w:w="9019"/>
          </w:cols>
          <w:pgMar w:left="1440" w:top="27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8"/>
                <w:szCs w:val="18"/>
                <w:b w:val="1"/>
                <w:bCs w:val="1"/>
                <w:color w:val="auto"/>
                <w:w w:val="94"/>
              </w:rPr>
              <w:t>SCHEDULE 8</w:t>
            </w:r>
          </w:p>
        </w:tc>
      </w:tr>
      <w:tr>
        <w:trPr>
          <w:trHeight w:val="540"/>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4"/>
          </w:tcPr>
          <w:p>
            <w:pPr>
              <w:ind w:left="120"/>
              <w:spacing w:after="0"/>
              <w:rPr>
                <w:sz w:val="20"/>
                <w:szCs w:val="20"/>
                <w:color w:val="auto"/>
              </w:rPr>
            </w:pPr>
            <w:r>
              <w:rPr>
                <w:rFonts w:ascii="Arial" w:cs="Arial" w:eastAsia="Arial" w:hAnsi="Arial"/>
                <w:sz w:val="18"/>
                <w:szCs w:val="18"/>
                <w:b w:val="1"/>
                <w:bCs w:val="1"/>
                <w:color w:val="auto"/>
              </w:rPr>
              <w:t>Matrix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0"/>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Row DBRS</w:t>
            </w:r>
          </w:p>
        </w:tc>
        <w:tc>
          <w:tcPr>
            <w:tcW w:w="1700" w:type="dxa"/>
            <w:vAlign w:val="bottom"/>
          </w:tcPr>
          <w:p>
            <w:pPr>
              <w:spacing w:after="0"/>
              <w:rPr>
                <w:sz w:val="24"/>
                <w:szCs w:val="24"/>
                <w:color w:val="auto"/>
              </w:rPr>
            </w:pPr>
          </w:p>
        </w:tc>
      </w:tr>
      <w:tr>
        <w:trPr>
          <w:trHeight w:val="149"/>
        </w:trPr>
        <w:tc>
          <w:tcPr>
            <w:tcW w:w="212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Applicable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Row Advance</w:t>
            </w:r>
          </w:p>
        </w:tc>
        <w:tc>
          <w:tcPr>
            <w:tcW w:w="1420" w:type="dxa"/>
            <w:vAlign w:val="bottom"/>
          </w:tcPr>
          <w:p>
            <w:pPr>
              <w:jc w:val="center"/>
              <w:ind w:left="313"/>
              <w:spacing w:after="0" w:line="149" w:lineRule="exact"/>
              <w:rPr>
                <w:sz w:val="20"/>
                <w:szCs w:val="20"/>
                <w:color w:val="auto"/>
              </w:rPr>
            </w:pPr>
            <w:r>
              <w:rPr>
                <w:rFonts w:ascii="Arial" w:cs="Arial" w:eastAsia="Arial" w:hAnsi="Arial"/>
                <w:sz w:val="14"/>
                <w:szCs w:val="14"/>
                <w:b w:val="1"/>
                <w:bCs w:val="1"/>
                <w:color w:val="auto"/>
                <w:w w:val="88"/>
              </w:rPr>
              <w:t>Row Diversity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Row Spread</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Average Risk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Row Minimum</w:t>
            </w:r>
          </w:p>
        </w:tc>
      </w:tr>
      <w:tr>
        <w:trPr>
          <w:trHeight w:val="175"/>
        </w:trPr>
        <w:tc>
          <w:tcPr>
            <w:tcW w:w="2120" w:type="dxa"/>
            <w:vAlign w:val="bottom"/>
            <w:gridSpan w:val="2"/>
          </w:tcPr>
          <w:p>
            <w:pPr>
              <w:ind w:left="660"/>
              <w:spacing w:after="0"/>
              <w:rPr>
                <w:sz w:val="20"/>
                <w:szCs w:val="20"/>
                <w:color w:val="auto"/>
              </w:rPr>
            </w:pPr>
            <w:r>
              <w:rPr>
                <w:rFonts w:ascii="Arial" w:cs="Arial" w:eastAsia="Arial" w:hAnsi="Arial"/>
                <w:sz w:val="14"/>
                <w:szCs w:val="14"/>
                <w:b w:val="1"/>
                <w:bCs w:val="1"/>
                <w:color w:val="auto"/>
              </w:rPr>
              <w:t>Row Level</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Rate</w:t>
            </w:r>
          </w:p>
        </w:tc>
        <w:tc>
          <w:tcPr>
            <w:tcW w:w="1420" w:type="dxa"/>
            <w:vAlign w:val="bottom"/>
          </w:tcPr>
          <w:p>
            <w:pPr>
              <w:jc w:val="center"/>
              <w:ind w:left="333"/>
              <w:spacing w:after="0"/>
              <w:rPr>
                <w:sz w:val="20"/>
                <w:szCs w:val="20"/>
                <w:color w:val="auto"/>
              </w:rPr>
            </w:pPr>
            <w:r>
              <w:rPr>
                <w:rFonts w:ascii="Arial" w:cs="Arial" w:eastAsia="Arial" w:hAnsi="Arial"/>
                <w:sz w:val="14"/>
                <w:szCs w:val="14"/>
                <w:b w:val="1"/>
                <w:bCs w:val="1"/>
                <w:color w:val="auto"/>
                <w:w w:val="82"/>
              </w:rPr>
              <w:t>Score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Level</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Score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OC Level</w:t>
            </w:r>
          </w:p>
        </w:tc>
      </w:tr>
      <w:tr>
        <w:trPr>
          <w:trHeight w:val="210"/>
        </w:trPr>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37.50%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79"/>
              </w:rPr>
              <w:t>6</w:t>
            </w: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49.7747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10</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44.4116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10</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44.7739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10</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45.1363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12</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46.5858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12</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47.3105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12</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48.0353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12</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48.7600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12</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49.4848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14</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48.7600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14</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49.4848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14</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50.1348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14</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50.7350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14</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51.3352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53.1358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53.7360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54.3362</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54.9364</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55.5365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18</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55.2365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18</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55.8367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18</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56.4369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18</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57.0371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18</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57.6372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20</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57.3371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20</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57.9373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20</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58.5375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20</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59.1377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20</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59.7379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177.78%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41.5126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42.2373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42.9621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43.6868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22"/>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9"/>
                <w:szCs w:val="19"/>
                <w:color w:val="auto"/>
              </w:rPr>
            </w:pPr>
          </w:p>
        </w:tc>
        <w:tc>
          <w:tcPr>
            <w:tcW w:w="1420" w:type="dxa"/>
            <w:vAlign w:val="bottom"/>
          </w:tcPr>
          <w:p>
            <w:pPr>
              <w:jc w:val="center"/>
              <w:ind w:left="313"/>
              <w:spacing w:after="0"/>
              <w:rPr>
                <w:sz w:val="20"/>
                <w:szCs w:val="20"/>
                <w:color w:val="auto"/>
              </w:rPr>
            </w:pPr>
            <w:r>
              <w:rPr>
                <w:rFonts w:ascii="Arial" w:cs="Arial" w:eastAsia="Arial" w:hAnsi="Arial"/>
                <w:sz w:val="18"/>
                <w:szCs w:val="18"/>
                <w:color w:val="auto"/>
                <w:w w:val="89"/>
              </w:rPr>
              <w:t>16</w:t>
            </w:r>
          </w:p>
        </w:tc>
        <w:tc>
          <w:tcPr>
            <w:tcW w:w="23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44.4116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auto"/>
        </w:rPr>
        <w:t>Amendment No. 1</w:t>
      </w:r>
    </w:p>
    <w:p>
      <w:pPr>
        <w:sectPr>
          <w:pgSz w:w="11900" w:h="16838" w:orient="portrait"/>
          <w:cols w:equalWidth="0" w:num="1">
            <w:col w:w="11420"/>
          </w:cols>
          <w:pgMar w:left="240" w:top="27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Row DBRS</w:t>
            </w:r>
          </w:p>
        </w:tc>
        <w:tc>
          <w:tcPr>
            <w:tcW w:w="1700" w:type="dxa"/>
            <w:vAlign w:val="bottom"/>
          </w:tcPr>
          <w:p>
            <w:pPr>
              <w:spacing w:after="0"/>
              <w:rPr>
                <w:sz w:val="14"/>
                <w:szCs w:val="14"/>
                <w:color w:val="auto"/>
              </w:rPr>
            </w:pPr>
          </w:p>
        </w:tc>
      </w:tr>
      <w:tr>
        <w:trPr>
          <w:trHeight w:val="149"/>
        </w:trPr>
        <w:tc>
          <w:tcPr>
            <w:tcW w:w="2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Applicable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Row Advance</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Row Diversity</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Row Spread</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Average Risk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Row Minimum</w:t>
            </w:r>
          </w:p>
        </w:tc>
      </w:tr>
      <w:tr>
        <w:trPr>
          <w:trHeight w:val="175"/>
        </w:trPr>
        <w:tc>
          <w:tcPr>
            <w:tcW w:w="2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Row Level</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Rate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Score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Level</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Score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OC Level</w:t>
            </w:r>
          </w:p>
        </w:tc>
      </w:tr>
      <w:tr>
        <w:trPr>
          <w:trHeight w:val="210"/>
        </w:trPr>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42.9621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43.6868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44.4116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45.1363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45.8611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44.4116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45.1363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45.8610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46.5858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47.3105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160.00%</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24.0057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24.5694</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25.1331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25.6968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26.2605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24.8513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25.4150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25.9787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26.5424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27.1061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25.6968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26.2605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26.8242</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7.375%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27.3879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133.33%</w:t>
            </w:r>
          </w:p>
        </w:tc>
      </w:tr>
      <w:tr>
        <w:trPr>
          <w:trHeight w:val="216"/>
        </w:trPr>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27.9517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133.33%</w:t>
            </w: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auto"/>
        </w:rPr>
        <w:t>Amendment No. 1</w:t>
      </w:r>
    </w:p>
    <w:p>
      <w:pPr>
        <w:sectPr>
          <w:pgSz w:w="11900" w:h="16838" w:orient="portrait"/>
          <w:cols w:equalWidth="0" w:num="1">
            <w:col w:w="11420"/>
          </w:cols>
          <w:pgMar w:left="240" w:top="26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9, 2013</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Michael Fishman</w:t>
            </w:r>
          </w:p>
        </w:tc>
      </w:tr>
      <w:tr>
        <w:trPr>
          <w:trHeight w:val="202"/>
        </w:trPr>
        <w:tc>
          <w:tcPr>
            <w:tcW w:w="3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9, 2013</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John E. Viola</w:t>
            </w:r>
          </w:p>
        </w:tc>
      </w:tr>
      <w:tr>
        <w:trPr>
          <w:trHeight w:val="202"/>
        </w:trPr>
        <w:tc>
          <w:tcPr>
            <w:tcW w:w="3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June 30, 2013,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E. Viola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2013</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lowerRoman"/>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5"/>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8"/>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decimal"/>
      <w:start w:val="32"/>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2019-12-07T23:42:24Z</dcterms:created>
  <dcterms:modified xsi:type="dcterms:W3CDTF">2019-12-07T23:42:24Z</dcterms:modified>
</cp:coreProperties>
</file>